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pStyle w:val="3"/>
        <w:numPr>
          <w:ilvl w:val="0"/>
          <w:numId w:val="0"/>
        </w:numPr>
        <w:rPr>
          <w:rFonts w:hint="eastAsia"/>
        </w:rPr>
      </w:pPr>
      <w:bookmarkStart w:id="0" w:name="_Toc11242"/>
      <w:bookmarkStart w:id="1" w:name="_Toc8127544"/>
      <w:bookmarkStart w:id="2" w:name="_Toc18025"/>
      <w:bookmarkStart w:id="3" w:name="_Toc19098"/>
      <w:bookmarkStart w:id="4" w:name="_Toc23188"/>
      <w:bookmarkStart w:id="5" w:name="_Toc4429"/>
      <w:bookmarkStart w:id="6" w:name="_Toc2465"/>
      <w:bookmarkStart w:id="7" w:name="_Toc17513"/>
      <w:bookmarkStart w:id="8" w:name="_Toc16018"/>
      <w:bookmarkStart w:id="9" w:name="_Toc4783"/>
      <w:bookmarkStart w:id="10" w:name="_Toc30188"/>
      <w:bookmarkStart w:id="11" w:name="_Toc27331"/>
      <w:bookmarkStart w:id="12" w:name="_Toc27533"/>
      <w:bookmarkStart w:id="13" w:name="_Toc1889"/>
      <w:bookmarkStart w:id="14" w:name="_Toc210"/>
      <w:bookmarkStart w:id="15" w:name="_Toc332975133"/>
      <w:bookmarkStart w:id="16" w:name="_Toc341867025"/>
      <w:bookmarkStart w:id="17" w:name="_Toc21615"/>
      <w:bookmarkStart w:id="18" w:name="_Toc341867031"/>
      <w:bookmarkStart w:id="19" w:name="_Toc332975138"/>
      <w:r>
        <w:rPr>
          <w:rFonts w:hint="eastAsia"/>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pStyle w:val="45"/>
        <w:tabs>
          <w:tab w:val="right" w:leader="dot" w:pos="8958"/>
          <w:tab w:val="clear" w:pos="8948"/>
        </w:tabs>
      </w:pPr>
      <w:r>
        <w:rPr>
          <w:rFonts w:hint="eastAsia"/>
          <w:sz w:val="24"/>
          <w:szCs w:val="24"/>
        </w:rPr>
        <w:fldChar w:fldCharType="begin"/>
      </w:r>
      <w:r>
        <w:rPr>
          <w:rFonts w:hint="eastAsia"/>
          <w:sz w:val="24"/>
          <w:szCs w:val="24"/>
        </w:rPr>
        <w:instrText xml:space="preserve"> TOC \o "1-2" \h \z \u </w:instrText>
      </w:r>
      <w:r>
        <w:rPr>
          <w:rFonts w:hint="eastAsia"/>
          <w:sz w:val="24"/>
          <w:szCs w:val="24"/>
        </w:rPr>
        <w:fldChar w:fldCharType="separate"/>
      </w:r>
      <w:r>
        <w:rPr>
          <w:rFonts w:hint="eastAsia"/>
          <w:szCs w:val="24"/>
        </w:rPr>
        <w:fldChar w:fldCharType="begin"/>
      </w:r>
      <w:r>
        <w:rPr>
          <w:rFonts w:hint="eastAsia"/>
          <w:szCs w:val="24"/>
        </w:rPr>
        <w:instrText xml:space="preserve"> HYPERLINK \l _Toc10892 </w:instrText>
      </w:r>
      <w:r>
        <w:rPr>
          <w:rFonts w:hint="eastAsia"/>
          <w:szCs w:val="24"/>
        </w:rPr>
        <w:fldChar w:fldCharType="separate"/>
      </w:r>
      <w:r>
        <w:rPr>
          <w:rFonts w:hint="eastAsia" w:ascii="Times New Roman" w:hAnsi="Times New Roman"/>
        </w:rPr>
        <w:t>1</w:t>
      </w:r>
      <w:r>
        <w:rPr>
          <w:rFonts w:hint="eastAsia"/>
        </w:rPr>
        <w:t>概   述</w:t>
      </w:r>
      <w:r>
        <w:tab/>
      </w:r>
      <w:r>
        <w:fldChar w:fldCharType="begin"/>
      </w:r>
      <w:r>
        <w:instrText xml:space="preserve"> PAGEREF _Toc10892 \h </w:instrText>
      </w:r>
      <w:r>
        <w:fldChar w:fldCharType="separate"/>
      </w:r>
      <w:r>
        <w:rPr>
          <w:rFonts w:ascii="Times New Roman" w:hAnsi="Times New Roman"/>
        </w:rPr>
        <w:t>1</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_Toc5352 </w:instrText>
      </w:r>
      <w:r>
        <w:rPr>
          <w:rFonts w:hint="eastAsia"/>
          <w:szCs w:val="24"/>
        </w:rPr>
        <w:fldChar w:fldCharType="separate"/>
      </w:r>
      <w:r>
        <w:rPr>
          <w:rFonts w:hint="eastAsia" w:ascii="Times New Roman" w:hAnsi="Times New Roman"/>
        </w:rPr>
        <w:t>1</w:t>
      </w:r>
      <w:r>
        <w:rPr>
          <w:rFonts w:hint="eastAsia"/>
        </w:rPr>
        <w:t>.</w:t>
      </w:r>
      <w:r>
        <w:rPr>
          <w:rFonts w:hint="eastAsia" w:ascii="Times New Roman" w:hAnsi="Times New Roman"/>
        </w:rPr>
        <w:t>1</w:t>
      </w:r>
      <w:r>
        <w:rPr>
          <w:rFonts w:hint="eastAsia"/>
        </w:rPr>
        <w:t>项目背景</w:t>
      </w:r>
      <w:r>
        <w:tab/>
      </w:r>
      <w:r>
        <w:fldChar w:fldCharType="begin"/>
      </w:r>
      <w:r>
        <w:instrText xml:space="preserve"> PAGEREF _Toc5352 \h </w:instrText>
      </w:r>
      <w:r>
        <w:fldChar w:fldCharType="separate"/>
      </w:r>
      <w:r>
        <w:rPr>
          <w:rFonts w:ascii="Times New Roman" w:hAnsi="Times New Roman"/>
        </w:rPr>
        <w:t>1</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_Toc3003 </w:instrText>
      </w:r>
      <w:r>
        <w:rPr>
          <w:rFonts w:hint="eastAsia"/>
          <w:szCs w:val="24"/>
        </w:rPr>
        <w:fldChar w:fldCharType="separate"/>
      </w:r>
      <w:r>
        <w:rPr>
          <w:rFonts w:hint="eastAsia" w:ascii="Times New Roman" w:hAnsi="Times New Roman"/>
        </w:rPr>
        <w:t>1</w:t>
      </w:r>
      <w:r>
        <w:rPr>
          <w:rFonts w:hint="eastAsia"/>
        </w:rPr>
        <w:t>.</w:t>
      </w:r>
      <w:r>
        <w:rPr>
          <w:rFonts w:hint="eastAsia" w:ascii="Times New Roman" w:hAnsi="Times New Roman"/>
        </w:rPr>
        <w:t>2</w:t>
      </w:r>
      <w:r>
        <w:rPr>
          <w:rFonts w:hint="eastAsia"/>
        </w:rPr>
        <w:t>项目特点</w:t>
      </w:r>
      <w:r>
        <w:tab/>
      </w:r>
      <w:r>
        <w:fldChar w:fldCharType="begin"/>
      </w:r>
      <w:r>
        <w:instrText xml:space="preserve"> PAGEREF _Toc3003 \h </w:instrText>
      </w:r>
      <w:r>
        <w:fldChar w:fldCharType="separate"/>
      </w:r>
      <w:r>
        <w:rPr>
          <w:rFonts w:ascii="Times New Roman" w:hAnsi="Times New Roman"/>
        </w:rPr>
        <w:t>1</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_Toc2936 </w:instrText>
      </w:r>
      <w:r>
        <w:rPr>
          <w:rFonts w:hint="eastAsia"/>
          <w:szCs w:val="24"/>
        </w:rPr>
        <w:fldChar w:fldCharType="separate"/>
      </w:r>
      <w:r>
        <w:rPr>
          <w:rFonts w:hint="eastAsia" w:ascii="Times New Roman" w:hAnsi="Times New Roman"/>
        </w:rPr>
        <w:t>1</w:t>
      </w:r>
      <w:r>
        <w:rPr>
          <w:rFonts w:hint="eastAsia"/>
        </w:rPr>
        <w:t>.</w:t>
      </w:r>
      <w:r>
        <w:rPr>
          <w:rFonts w:hint="eastAsia" w:ascii="Times New Roman" w:hAnsi="Times New Roman"/>
        </w:rPr>
        <w:t>3</w:t>
      </w:r>
      <w:r>
        <w:rPr>
          <w:rFonts w:hint="eastAsia" w:ascii="Times New Roman" w:hAnsi="Times New Roman"/>
        </w:rPr>
        <w:t>环</w:t>
      </w:r>
      <w:r>
        <w:rPr>
          <w:rFonts w:hint="eastAsia"/>
        </w:rPr>
        <w:t>评工作过程</w:t>
      </w:r>
      <w:r>
        <w:tab/>
      </w:r>
      <w:r>
        <w:fldChar w:fldCharType="begin"/>
      </w:r>
      <w:r>
        <w:instrText xml:space="preserve"> PAGEREF _Toc2936 \h </w:instrText>
      </w:r>
      <w:r>
        <w:fldChar w:fldCharType="separate"/>
      </w:r>
      <w:r>
        <w:rPr>
          <w:rFonts w:ascii="Times New Roman" w:hAnsi="Times New Roman"/>
        </w:rPr>
        <w:t>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_Toc3537 </w:instrText>
      </w:r>
      <w:r>
        <w:rPr>
          <w:rFonts w:hint="eastAsia"/>
          <w:szCs w:val="24"/>
        </w:rPr>
        <w:fldChar w:fldCharType="separate"/>
      </w:r>
      <w:r>
        <w:rPr>
          <w:rFonts w:hint="eastAsia" w:ascii="Times New Roman" w:hAnsi="Times New Roman"/>
        </w:rPr>
        <w:t>1</w:t>
      </w:r>
      <w:r>
        <w:rPr>
          <w:rFonts w:hint="eastAsia"/>
        </w:rPr>
        <w:t>.</w:t>
      </w:r>
      <w:r>
        <w:rPr>
          <w:rFonts w:hint="eastAsia" w:ascii="Times New Roman" w:hAnsi="Times New Roman"/>
        </w:rPr>
        <w:t>4</w:t>
      </w:r>
      <w:r>
        <w:rPr>
          <w:rFonts w:hint="eastAsia"/>
        </w:rPr>
        <w:t>分析判定相关情况</w:t>
      </w:r>
      <w:r>
        <w:tab/>
      </w:r>
      <w:r>
        <w:fldChar w:fldCharType="begin"/>
      </w:r>
      <w:r>
        <w:instrText xml:space="preserve"> PAGEREF _Toc3537 \h </w:instrText>
      </w:r>
      <w:r>
        <w:fldChar w:fldCharType="separate"/>
      </w:r>
      <w:r>
        <w:rPr>
          <w:rFonts w:ascii="Times New Roman" w:hAnsi="Times New Roman"/>
        </w:rPr>
        <w:t>4</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_Toc14218 </w:instrText>
      </w:r>
      <w:r>
        <w:rPr>
          <w:rFonts w:hint="eastAsia"/>
          <w:szCs w:val="24"/>
        </w:rPr>
        <w:fldChar w:fldCharType="separate"/>
      </w:r>
      <w:r>
        <w:rPr>
          <w:rFonts w:hint="eastAsia" w:ascii="Times New Roman" w:hAnsi="Times New Roman"/>
        </w:rPr>
        <w:t>1</w:t>
      </w:r>
      <w:r>
        <w:rPr>
          <w:rFonts w:hint="eastAsia"/>
        </w:rPr>
        <w:t>.</w:t>
      </w:r>
      <w:r>
        <w:rPr>
          <w:rFonts w:hint="eastAsia" w:ascii="Times New Roman" w:hAnsi="Times New Roman"/>
        </w:rPr>
        <w:t>5</w:t>
      </w:r>
      <w:r>
        <w:rPr>
          <w:rFonts w:hint="eastAsia"/>
        </w:rPr>
        <w:t>主要关注的环境问题及环境影响</w:t>
      </w:r>
      <w:r>
        <w:tab/>
      </w:r>
      <w:r>
        <w:fldChar w:fldCharType="begin"/>
      </w:r>
      <w:r>
        <w:instrText xml:space="preserve"> PAGEREF _Toc14218 \h </w:instrText>
      </w:r>
      <w:r>
        <w:fldChar w:fldCharType="separate"/>
      </w:r>
      <w:r>
        <w:rPr>
          <w:rFonts w:ascii="Times New Roman" w:hAnsi="Times New Roman"/>
        </w:rPr>
        <w:t>18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_Toc18371 </w:instrText>
      </w:r>
      <w:r>
        <w:rPr>
          <w:rFonts w:hint="eastAsia"/>
          <w:szCs w:val="24"/>
        </w:rPr>
        <w:fldChar w:fldCharType="separate"/>
      </w:r>
      <w:r>
        <w:rPr>
          <w:rFonts w:hint="eastAsia" w:ascii="Times New Roman" w:hAnsi="Times New Roman"/>
        </w:rPr>
        <w:t>1</w:t>
      </w:r>
      <w:r>
        <w:rPr>
          <w:rFonts w:hint="eastAsia"/>
        </w:rPr>
        <w:t>.</w:t>
      </w:r>
      <w:r>
        <w:rPr>
          <w:rFonts w:hint="eastAsia" w:ascii="Times New Roman" w:hAnsi="Times New Roman"/>
        </w:rPr>
        <w:t>6</w:t>
      </w:r>
      <w:r>
        <w:rPr>
          <w:rFonts w:hint="eastAsia"/>
        </w:rPr>
        <w:t>环境影响评价的主要结论</w:t>
      </w:r>
      <w:r>
        <w:tab/>
      </w:r>
      <w:r>
        <w:fldChar w:fldCharType="begin"/>
      </w:r>
      <w:r>
        <w:instrText xml:space="preserve"> PAGEREF _Toc18371 \h </w:instrText>
      </w:r>
      <w:r>
        <w:fldChar w:fldCharType="separate"/>
      </w:r>
      <w:r>
        <w:rPr>
          <w:rFonts w:ascii="Times New Roman" w:hAnsi="Times New Roman"/>
        </w:rPr>
        <w:t>19</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_Toc20444 </w:instrText>
      </w:r>
      <w:r>
        <w:rPr>
          <w:rFonts w:hint="eastAsia"/>
          <w:szCs w:val="24"/>
        </w:rPr>
        <w:fldChar w:fldCharType="separate"/>
      </w:r>
      <w:r>
        <w:rPr>
          <w:rFonts w:hint="eastAsia" w:ascii="Times New Roman" w:hAnsi="Times New Roman"/>
        </w:rPr>
        <w:t>2</w:t>
      </w:r>
      <w:r>
        <w:rPr>
          <w:rFonts w:hint="eastAsia"/>
        </w:rPr>
        <w:t>总</w:t>
      </w:r>
      <w:r>
        <w:t xml:space="preserve"> </w:t>
      </w:r>
      <w:r>
        <w:rPr>
          <w:rFonts w:hint="eastAsia"/>
        </w:rPr>
        <w:t>则</w:t>
      </w:r>
      <w:r>
        <w:tab/>
      </w:r>
      <w:r>
        <w:fldChar w:fldCharType="begin"/>
      </w:r>
      <w:r>
        <w:instrText xml:space="preserve"> PAGEREF _Toc20444 \h </w:instrText>
      </w:r>
      <w:r>
        <w:fldChar w:fldCharType="separate"/>
      </w:r>
      <w:r>
        <w:rPr>
          <w:rFonts w:ascii="Times New Roman" w:hAnsi="Times New Roman"/>
        </w:rPr>
        <w:t>20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_Toc10864 </w:instrText>
      </w:r>
      <w:r>
        <w:rPr>
          <w:rFonts w:hint="eastAsia"/>
          <w:szCs w:val="24"/>
        </w:rPr>
        <w:fldChar w:fldCharType="separate"/>
      </w:r>
      <w:r>
        <w:rPr>
          <w:rFonts w:hint="eastAsia" w:ascii="Times New Roman" w:hAnsi="Times New Roman"/>
        </w:rPr>
        <w:t>2</w:t>
      </w:r>
      <w:r>
        <w:rPr>
          <w:rFonts w:hint="eastAsia" w:ascii="Times New Roman" w:hAnsi="Times New Roman"/>
        </w:rPr>
        <w:t>.</w:t>
      </w:r>
      <w:r>
        <w:rPr>
          <w:rFonts w:hint="eastAsia" w:ascii="Times New Roman" w:hAnsi="Times New Roman"/>
          <w:lang w:val="en-US" w:eastAsia="zh-CN"/>
        </w:rPr>
        <w:t>1</w:t>
      </w:r>
      <w:r>
        <w:rPr>
          <w:rFonts w:ascii="Times New Roman" w:hAnsi="Times New Roman"/>
        </w:rPr>
        <w:t>编制依据</w:t>
      </w:r>
      <w:r>
        <w:tab/>
      </w:r>
      <w:r>
        <w:fldChar w:fldCharType="begin"/>
      </w:r>
      <w:r>
        <w:instrText xml:space="preserve"> PAGEREF _Toc10864 \h </w:instrText>
      </w:r>
      <w:r>
        <w:fldChar w:fldCharType="separate"/>
      </w:r>
      <w:r>
        <w:rPr>
          <w:rFonts w:ascii="Times New Roman" w:hAnsi="Times New Roman"/>
        </w:rPr>
        <w:t>20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_Toc10886 </w:instrText>
      </w:r>
      <w:r>
        <w:rPr>
          <w:rFonts w:hint="eastAsia"/>
          <w:szCs w:val="24"/>
        </w:rPr>
        <w:fldChar w:fldCharType="separate"/>
      </w:r>
      <w:r>
        <w:rPr>
          <w:rFonts w:hint="eastAsia" w:ascii="Times New Roman" w:hAnsi="Times New Roman"/>
        </w:rPr>
        <w:t>2</w:t>
      </w:r>
      <w:r>
        <w:rPr>
          <w:rFonts w:hint="eastAsia"/>
        </w:rPr>
        <w:t>.</w:t>
      </w:r>
      <w:r>
        <w:rPr>
          <w:rFonts w:hint="eastAsia" w:ascii="Times New Roman" w:hAnsi="Times New Roman"/>
          <w:lang w:val="en-US" w:eastAsia="zh-CN"/>
        </w:rPr>
        <w:t>2</w:t>
      </w:r>
      <w:r>
        <w:rPr>
          <w:rFonts w:hint="eastAsia"/>
        </w:rPr>
        <w:t>评价时段</w:t>
      </w:r>
      <w:r>
        <w:tab/>
      </w:r>
      <w:r>
        <w:fldChar w:fldCharType="begin"/>
      </w:r>
      <w:r>
        <w:instrText xml:space="preserve"> PAGEREF _Toc10886 \h </w:instrText>
      </w:r>
      <w:r>
        <w:fldChar w:fldCharType="separate"/>
      </w:r>
      <w:r>
        <w:rPr>
          <w:rFonts w:ascii="Times New Roman" w:hAnsi="Times New Roman"/>
        </w:rPr>
        <w:t>26</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_Toc383 </w:instrText>
      </w:r>
      <w:r>
        <w:rPr>
          <w:rFonts w:hint="eastAsia"/>
          <w:szCs w:val="24"/>
        </w:rPr>
        <w:fldChar w:fldCharType="separate"/>
      </w:r>
      <w:r>
        <w:rPr>
          <w:rFonts w:hint="eastAsia" w:ascii="Times New Roman" w:hAnsi="Times New Roman"/>
        </w:rPr>
        <w:t>2</w:t>
      </w:r>
      <w:r>
        <w:t>.</w:t>
      </w:r>
      <w:r>
        <w:rPr>
          <w:rFonts w:hint="eastAsia" w:ascii="Times New Roman" w:hAnsi="Times New Roman"/>
          <w:lang w:val="en-US" w:eastAsia="zh-CN"/>
        </w:rPr>
        <w:t>3</w:t>
      </w:r>
      <w:r>
        <w:rPr>
          <w:rFonts w:hint="eastAsia"/>
        </w:rPr>
        <w:t>环境功能区划</w:t>
      </w:r>
      <w:r>
        <w:tab/>
      </w:r>
      <w:r>
        <w:fldChar w:fldCharType="begin"/>
      </w:r>
      <w:r>
        <w:instrText xml:space="preserve"> PAGEREF _Toc383 \h </w:instrText>
      </w:r>
      <w:r>
        <w:fldChar w:fldCharType="separate"/>
      </w:r>
      <w:r>
        <w:rPr>
          <w:rFonts w:ascii="Times New Roman" w:hAnsi="Times New Roman"/>
        </w:rPr>
        <w:t>26</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_Toc8917 </w:instrText>
      </w:r>
      <w:r>
        <w:rPr>
          <w:rFonts w:hint="eastAsia"/>
          <w:szCs w:val="24"/>
        </w:rPr>
        <w:fldChar w:fldCharType="separate"/>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评价因子及评价标准</w:t>
      </w:r>
      <w:r>
        <w:tab/>
      </w:r>
      <w:r>
        <w:fldChar w:fldCharType="begin"/>
      </w:r>
      <w:r>
        <w:instrText xml:space="preserve"> PAGEREF _Toc8917 \h </w:instrText>
      </w:r>
      <w:r>
        <w:fldChar w:fldCharType="separate"/>
      </w:r>
      <w:r>
        <w:rPr>
          <w:rFonts w:ascii="Times New Roman" w:hAnsi="Times New Roman"/>
        </w:rPr>
        <w:t>27</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_Toc2112 </w:instrText>
      </w:r>
      <w:r>
        <w:rPr>
          <w:rFonts w:hint="eastAsia"/>
          <w:szCs w:val="24"/>
        </w:rPr>
        <w:fldChar w:fldCharType="separate"/>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评价工作等级和评价重点</w:t>
      </w:r>
      <w:r>
        <w:tab/>
      </w:r>
      <w:r>
        <w:fldChar w:fldCharType="begin"/>
      </w:r>
      <w:r>
        <w:instrText xml:space="preserve"> PAGEREF _Toc2112 \h </w:instrText>
      </w:r>
      <w:r>
        <w:fldChar w:fldCharType="separate"/>
      </w:r>
      <w:r>
        <w:rPr>
          <w:rFonts w:ascii="Times New Roman" w:hAnsi="Times New Roman"/>
        </w:rPr>
        <w:t>32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_Toc1835 </w:instrText>
      </w:r>
      <w:r>
        <w:rPr>
          <w:rFonts w:hint="eastAsia"/>
          <w:szCs w:val="24"/>
        </w:rPr>
        <w:fldChar w:fldCharType="separate"/>
      </w:r>
      <w:r>
        <w:rPr>
          <w:rFonts w:hint="eastAsia" w:ascii="Times New Roman" w:hAnsi="Times New Roman"/>
        </w:rPr>
        <w:t>2</w:t>
      </w:r>
      <w:r>
        <w:rPr>
          <w:rFonts w:hint="eastAsia"/>
        </w:rPr>
        <w:t>.</w:t>
      </w:r>
      <w:r>
        <w:rPr>
          <w:rFonts w:hint="eastAsia" w:ascii="Times New Roman" w:hAnsi="Times New Roman"/>
          <w:lang w:val="en-US" w:eastAsia="zh-CN"/>
        </w:rPr>
        <w:t>6</w:t>
      </w:r>
      <w:r>
        <w:rPr>
          <w:rFonts w:hint="eastAsia"/>
        </w:rPr>
        <w:t>评价范围及环境保护目标</w:t>
      </w:r>
      <w:r>
        <w:tab/>
      </w:r>
      <w:r>
        <w:fldChar w:fldCharType="begin"/>
      </w:r>
      <w:r>
        <w:instrText xml:space="preserve"> PAGEREF _Toc1835 \h </w:instrText>
      </w:r>
      <w:r>
        <w:fldChar w:fldCharType="separate"/>
      </w:r>
      <w:r>
        <w:rPr>
          <w:rFonts w:ascii="Times New Roman" w:hAnsi="Times New Roman"/>
        </w:rPr>
        <w:t>37</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_Toc6805 </w:instrText>
      </w:r>
      <w:r>
        <w:rPr>
          <w:rFonts w:hint="eastAsia"/>
          <w:szCs w:val="24"/>
        </w:rPr>
        <w:fldChar w:fldCharType="separate"/>
      </w:r>
      <w:r>
        <w:rPr>
          <w:rFonts w:hint="eastAsia" w:ascii="Times New Roman" w:hAnsi="Times New Roman"/>
        </w:rPr>
        <w:t>3</w:t>
      </w:r>
      <w:r>
        <w:rPr>
          <w:rFonts w:hint="eastAsia"/>
          <w:lang w:eastAsia="zh-CN"/>
        </w:rPr>
        <w:t>现有工程回顾性评价</w:t>
      </w:r>
      <w:r>
        <w:tab/>
      </w:r>
      <w:r>
        <w:fldChar w:fldCharType="begin"/>
      </w:r>
      <w:r>
        <w:instrText xml:space="preserve"> PAGEREF _Toc6805 \h </w:instrText>
      </w:r>
      <w:r>
        <w:fldChar w:fldCharType="separate"/>
      </w:r>
      <w:r>
        <w:rPr>
          <w:rFonts w:ascii="Times New Roman" w:hAnsi="Times New Roman"/>
        </w:rPr>
        <w:t>40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_Toc5825 </w:instrText>
      </w:r>
      <w:r>
        <w:rPr>
          <w:rFonts w:hint="eastAsia"/>
          <w:szCs w:val="24"/>
        </w:rPr>
        <w:fldChar w:fldCharType="separate"/>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现有工程基本情况</w:t>
      </w:r>
      <w:r>
        <w:tab/>
      </w:r>
      <w:r>
        <w:fldChar w:fldCharType="begin"/>
      </w:r>
      <w:r>
        <w:instrText xml:space="preserve"> PAGEREF _Toc5825 \h </w:instrText>
      </w:r>
      <w:r>
        <w:fldChar w:fldCharType="separate"/>
      </w:r>
      <w:r>
        <w:rPr>
          <w:rFonts w:ascii="Times New Roman" w:hAnsi="Times New Roman"/>
        </w:rPr>
        <w:t>40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_Toc2609 </w:instrText>
      </w:r>
      <w:r>
        <w:rPr>
          <w:rFonts w:hint="eastAsia"/>
          <w:szCs w:val="24"/>
        </w:rPr>
        <w:fldChar w:fldCharType="separate"/>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现有工程分析</w:t>
      </w:r>
      <w:r>
        <w:tab/>
      </w:r>
      <w:r>
        <w:fldChar w:fldCharType="begin"/>
      </w:r>
      <w:r>
        <w:instrText xml:space="preserve"> PAGEREF _Toc2609 \h </w:instrText>
      </w:r>
      <w:r>
        <w:fldChar w:fldCharType="separate"/>
      </w:r>
      <w:r>
        <w:rPr>
          <w:rFonts w:ascii="Times New Roman" w:hAnsi="Times New Roman"/>
        </w:rPr>
        <w:t>48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_Toc5747 </w:instrText>
      </w:r>
      <w:r>
        <w:rPr>
          <w:rFonts w:hint="eastAsia"/>
          <w:szCs w:val="24"/>
        </w:rPr>
        <w:fldChar w:fldCharType="separate"/>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现有工程环境管理</w:t>
      </w:r>
      <w:r>
        <w:tab/>
      </w:r>
      <w:r>
        <w:fldChar w:fldCharType="begin"/>
      </w:r>
      <w:r>
        <w:instrText xml:space="preserve"> PAGEREF _Toc5747 \h </w:instrText>
      </w:r>
      <w:r>
        <w:fldChar w:fldCharType="separate"/>
      </w:r>
      <w:r>
        <w:rPr>
          <w:rFonts w:ascii="Times New Roman" w:hAnsi="Times New Roman"/>
        </w:rPr>
        <w:t>62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_Toc8873 </w:instrText>
      </w:r>
      <w:r>
        <w:rPr>
          <w:rFonts w:hint="eastAsia"/>
          <w:szCs w:val="24"/>
        </w:rPr>
        <w:fldChar w:fldCharType="separate"/>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4</w:t>
      </w:r>
      <w:r>
        <w:rPr>
          <w:rFonts w:hint="eastAsia"/>
          <w:lang w:val="en-US" w:eastAsia="zh-CN"/>
        </w:rPr>
        <w:t>现有工程主要污染物总量控制指标</w:t>
      </w:r>
      <w:r>
        <w:tab/>
      </w:r>
      <w:r>
        <w:fldChar w:fldCharType="begin"/>
      </w:r>
      <w:r>
        <w:instrText xml:space="preserve"> PAGEREF _Toc8873 \h </w:instrText>
      </w:r>
      <w:r>
        <w:fldChar w:fldCharType="separate"/>
      </w:r>
      <w:r>
        <w:rPr>
          <w:rFonts w:ascii="Times New Roman" w:hAnsi="Times New Roman"/>
        </w:rPr>
        <w:t>75</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_Toc32006 </w:instrText>
      </w:r>
      <w:r>
        <w:rPr>
          <w:rFonts w:hint="eastAsia"/>
          <w:szCs w:val="24"/>
        </w:rPr>
        <w:fldChar w:fldCharType="separate"/>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现有工程环保手续及履行情况</w:t>
      </w:r>
      <w:r>
        <w:tab/>
      </w:r>
      <w:r>
        <w:fldChar w:fldCharType="begin"/>
      </w:r>
      <w:r>
        <w:instrText xml:space="preserve"> PAGEREF _Toc32006 \h </w:instrText>
      </w:r>
      <w:r>
        <w:fldChar w:fldCharType="separate"/>
      </w:r>
      <w:r>
        <w:rPr>
          <w:rFonts w:ascii="Times New Roman" w:hAnsi="Times New Roman"/>
        </w:rPr>
        <w:t>75</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_Toc31527 </w:instrText>
      </w:r>
      <w:r>
        <w:rPr>
          <w:rFonts w:hint="eastAsia"/>
          <w:szCs w:val="24"/>
        </w:rPr>
        <w:fldChar w:fldCharType="separate"/>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6</w:t>
      </w:r>
      <w:r>
        <w:rPr>
          <w:rFonts w:hint="eastAsia"/>
          <w:lang w:val="en-US" w:eastAsia="zh-CN"/>
        </w:rPr>
        <w:t>现有工程主要环境问题</w:t>
      </w:r>
      <w:r>
        <w:tab/>
      </w:r>
      <w:r>
        <w:fldChar w:fldCharType="begin"/>
      </w:r>
      <w:r>
        <w:instrText xml:space="preserve"> PAGEREF _Toc31527 \h </w:instrText>
      </w:r>
      <w:r>
        <w:fldChar w:fldCharType="separate"/>
      </w:r>
      <w:r>
        <w:rPr>
          <w:rFonts w:ascii="Times New Roman" w:hAnsi="Times New Roman"/>
        </w:rPr>
        <w:t>80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_Toc31366 </w:instrText>
      </w:r>
      <w:r>
        <w:rPr>
          <w:rFonts w:hint="eastAsia"/>
          <w:szCs w:val="24"/>
        </w:rPr>
        <w:fldChar w:fldCharType="separate"/>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7</w:t>
      </w:r>
      <w:r>
        <w:rPr>
          <w:rFonts w:hint="eastAsia"/>
          <w:lang w:val="en-US" w:eastAsia="zh-CN"/>
        </w:rPr>
        <w:t>“以新代老”环保措施</w:t>
      </w:r>
      <w:r>
        <w:tab/>
      </w:r>
      <w:r>
        <w:fldChar w:fldCharType="begin"/>
      </w:r>
      <w:r>
        <w:instrText xml:space="preserve"> PAGEREF _Toc31366 \h </w:instrText>
      </w:r>
      <w:r>
        <w:fldChar w:fldCharType="separate"/>
      </w:r>
      <w:r>
        <w:rPr>
          <w:rFonts w:ascii="Times New Roman" w:hAnsi="Times New Roman"/>
        </w:rPr>
        <w:t>81</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_Toc27344 </w:instrText>
      </w:r>
      <w:r>
        <w:rPr>
          <w:rFonts w:hint="eastAsia"/>
          <w:szCs w:val="24"/>
        </w:rPr>
        <w:fldChar w:fldCharType="separate"/>
      </w:r>
      <w:r>
        <w:rPr>
          <w:rFonts w:hint="eastAsia" w:ascii="Times New Roman" w:hAnsi="Times New Roman"/>
          <w:lang w:val="en-US" w:eastAsia="zh-CN"/>
        </w:rPr>
        <w:t>4</w:t>
      </w:r>
      <w:r>
        <w:rPr>
          <w:rFonts w:hint="eastAsia"/>
        </w:rPr>
        <w:t>建设项目</w:t>
      </w:r>
      <w:r>
        <w:rPr>
          <w:rFonts w:hint="eastAsia"/>
          <w:lang w:eastAsia="zh-CN"/>
        </w:rPr>
        <w:t>工程分析</w:t>
      </w:r>
      <w:r>
        <w:tab/>
      </w:r>
      <w:r>
        <w:fldChar w:fldCharType="begin"/>
      </w:r>
      <w:r>
        <w:instrText xml:space="preserve"> PAGEREF _Toc27344 \h </w:instrText>
      </w:r>
      <w:r>
        <w:fldChar w:fldCharType="separate"/>
      </w:r>
      <w:r>
        <w:rPr>
          <w:rFonts w:ascii="Times New Roman" w:hAnsi="Times New Roman"/>
        </w:rPr>
        <w:t>82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_Toc31664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rPr>
        <w:t>1</w:t>
      </w:r>
      <w:r>
        <w:rPr>
          <w:rFonts w:hint="eastAsia" w:ascii="Times New Roman" w:hAnsi="Times New Roman"/>
          <w:lang w:eastAsia="zh-CN"/>
        </w:rPr>
        <w:t>建设项目概况</w:t>
      </w:r>
      <w:r>
        <w:tab/>
      </w:r>
      <w:r>
        <w:fldChar w:fldCharType="begin"/>
      </w:r>
      <w:r>
        <w:instrText xml:space="preserve"> PAGEREF _Toc31664 \h </w:instrText>
      </w:r>
      <w:r>
        <w:fldChar w:fldCharType="separate"/>
      </w:r>
      <w:r>
        <w:rPr>
          <w:rFonts w:ascii="Times New Roman" w:hAnsi="Times New Roman"/>
        </w:rPr>
        <w:t>82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_Toc23817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ascii="Times New Roman" w:hAnsi="Times New Roman"/>
        </w:rPr>
        <w:t>主要</w:t>
      </w:r>
      <w:r>
        <w:rPr>
          <w:rFonts w:hint="eastAsia"/>
        </w:rPr>
        <w:t>原辅材料及能耗情况</w:t>
      </w:r>
      <w:r>
        <w:tab/>
      </w:r>
      <w:r>
        <w:fldChar w:fldCharType="begin"/>
      </w:r>
      <w:r>
        <w:instrText xml:space="preserve"> PAGEREF _Toc23817 \h </w:instrText>
      </w:r>
      <w:r>
        <w:fldChar w:fldCharType="separate"/>
      </w:r>
      <w:r>
        <w:rPr>
          <w:rFonts w:ascii="Times New Roman" w:hAnsi="Times New Roman"/>
        </w:rPr>
        <w:t>91</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_Toc4480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3</w:t>
      </w:r>
      <w:r>
        <w:rPr>
          <w:rFonts w:hint="eastAsia"/>
        </w:rPr>
        <w:t>主要生产设备</w:t>
      </w:r>
      <w:r>
        <w:tab/>
      </w:r>
      <w:r>
        <w:fldChar w:fldCharType="begin"/>
      </w:r>
      <w:r>
        <w:instrText xml:space="preserve"> PAGEREF _Toc4480 \h </w:instrText>
      </w:r>
      <w:r>
        <w:fldChar w:fldCharType="separate"/>
      </w:r>
      <w:r>
        <w:rPr>
          <w:rFonts w:ascii="Times New Roman" w:hAnsi="Times New Roman"/>
        </w:rPr>
        <w:t>92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_Toc27975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4</w:t>
      </w:r>
      <w:r>
        <w:rPr>
          <w:rFonts w:hint="eastAsia"/>
        </w:rPr>
        <w:t>平面布置</w:t>
      </w:r>
      <w:r>
        <w:tab/>
      </w:r>
      <w:r>
        <w:fldChar w:fldCharType="begin"/>
      </w:r>
      <w:r>
        <w:instrText xml:space="preserve"> PAGEREF _Toc27975 \h </w:instrText>
      </w:r>
      <w:r>
        <w:fldChar w:fldCharType="separate"/>
      </w:r>
      <w:r>
        <w:rPr>
          <w:rFonts w:ascii="Times New Roman" w:hAnsi="Times New Roman"/>
        </w:rPr>
        <w:t>93</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_Toc9820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5</w:t>
      </w:r>
      <w:r>
        <w:rPr>
          <w:rFonts w:hint="eastAsia"/>
        </w:rPr>
        <w:t>主要技术经济指标</w:t>
      </w:r>
      <w:r>
        <w:tab/>
      </w:r>
      <w:r>
        <w:fldChar w:fldCharType="begin"/>
      </w:r>
      <w:r>
        <w:instrText xml:space="preserve"> PAGEREF _Toc9820 \h </w:instrText>
      </w:r>
      <w:r>
        <w:fldChar w:fldCharType="separate"/>
      </w:r>
      <w:r>
        <w:rPr>
          <w:rFonts w:ascii="Times New Roman" w:hAnsi="Times New Roman"/>
        </w:rPr>
        <w:t>94</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_Toc11796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工程分析</w:t>
      </w:r>
      <w:r>
        <w:tab/>
      </w:r>
      <w:r>
        <w:fldChar w:fldCharType="begin"/>
      </w:r>
      <w:r>
        <w:instrText xml:space="preserve"> PAGEREF _Toc11796 \h </w:instrText>
      </w:r>
      <w:r>
        <w:fldChar w:fldCharType="separate"/>
      </w:r>
      <w:r>
        <w:rPr>
          <w:rFonts w:ascii="Times New Roman" w:hAnsi="Times New Roman"/>
        </w:rPr>
        <w:t>95</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_Toc30068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rPr>
        <w:t>运营期污染源分析</w:t>
      </w:r>
      <w:r>
        <w:tab/>
      </w:r>
      <w:r>
        <w:fldChar w:fldCharType="begin"/>
      </w:r>
      <w:r>
        <w:instrText xml:space="preserve"> PAGEREF _Toc30068 \h </w:instrText>
      </w:r>
      <w:r>
        <w:fldChar w:fldCharType="separate"/>
      </w:r>
      <w:r>
        <w:rPr>
          <w:rFonts w:ascii="Times New Roman" w:hAnsi="Times New Roman"/>
        </w:rPr>
        <w:t>102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_Toc23909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8</w:t>
      </w:r>
      <w:r>
        <w:rPr>
          <w:rFonts w:hint="eastAsia"/>
        </w:rPr>
        <w:t>污染源汇总分析</w:t>
      </w:r>
      <w:r>
        <w:tab/>
      </w:r>
      <w:r>
        <w:fldChar w:fldCharType="begin"/>
      </w:r>
      <w:r>
        <w:instrText xml:space="preserve"> PAGEREF _Toc23909 \h </w:instrText>
      </w:r>
      <w:r>
        <w:fldChar w:fldCharType="separate"/>
      </w:r>
      <w:r>
        <w:rPr>
          <w:rFonts w:ascii="Times New Roman" w:hAnsi="Times New Roman"/>
        </w:rPr>
        <w:t>108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_Toc7764 </w:instrText>
      </w:r>
      <w:r>
        <w:rPr>
          <w:rFonts w:hint="eastAsia"/>
          <w:szCs w:val="24"/>
        </w:rPr>
        <w:fldChar w:fldCharType="separate"/>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9</w:t>
      </w:r>
      <w:r>
        <w:rPr>
          <w:rFonts w:hint="eastAsia"/>
          <w:lang w:val="en-US" w:eastAsia="zh-CN"/>
        </w:rPr>
        <w:t>温室气体排放分析</w:t>
      </w:r>
      <w:r>
        <w:tab/>
      </w:r>
      <w:r>
        <w:fldChar w:fldCharType="begin"/>
      </w:r>
      <w:r>
        <w:instrText xml:space="preserve"> PAGEREF _Toc7764 \h </w:instrText>
      </w:r>
      <w:r>
        <w:fldChar w:fldCharType="separate"/>
      </w:r>
      <w:r>
        <w:rPr>
          <w:rFonts w:ascii="Times New Roman" w:hAnsi="Times New Roman"/>
        </w:rPr>
        <w:t>108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_Toc6262 </w:instrText>
      </w:r>
      <w:r>
        <w:rPr>
          <w:rFonts w:hint="eastAsia"/>
          <w:szCs w:val="24"/>
        </w:rPr>
        <w:fldChar w:fldCharType="separate"/>
      </w:r>
      <w:r>
        <w:rPr>
          <w:rFonts w:hint="eastAsia" w:ascii="Times New Roman" w:hAnsi="Times New Roman"/>
          <w:lang w:val="en-US" w:eastAsia="zh-CN"/>
        </w:rPr>
        <w:t>4</w:t>
      </w:r>
      <w:r>
        <w:rPr>
          <w:rFonts w:hint="eastAsia"/>
        </w:rPr>
        <w:t>.</w:t>
      </w:r>
      <w:r>
        <w:rPr>
          <w:rFonts w:hint="eastAsia" w:ascii="Times New Roman" w:hAnsi="Times New Roman"/>
          <w:lang w:val="en-US" w:eastAsia="zh-CN"/>
        </w:rPr>
        <w:t>10</w:t>
      </w:r>
      <w:r>
        <w:rPr>
          <w:rFonts w:hint="eastAsia" w:ascii="Times New Roman" w:hAnsi="Times New Roman"/>
          <w:lang w:val="en-US" w:eastAsia="zh-CN"/>
        </w:rPr>
        <w:t>“三本账”分析</w:t>
      </w:r>
      <w:r>
        <w:tab/>
      </w:r>
      <w:r>
        <w:fldChar w:fldCharType="begin"/>
      </w:r>
      <w:r>
        <w:instrText xml:space="preserve"> PAGEREF _Toc6262 \h </w:instrText>
      </w:r>
      <w:r>
        <w:fldChar w:fldCharType="separate"/>
      </w:r>
      <w:r>
        <w:rPr>
          <w:rFonts w:ascii="Times New Roman" w:hAnsi="Times New Roman"/>
        </w:rPr>
        <w:t>112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_Toc15793 </w:instrText>
      </w:r>
      <w:r>
        <w:rPr>
          <w:rFonts w:hint="eastAsia"/>
          <w:szCs w:val="24"/>
        </w:rPr>
        <w:fldChar w:fldCharType="separate"/>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11</w:t>
      </w:r>
      <w:r>
        <w:rPr>
          <w:rFonts w:hint="eastAsia"/>
          <w:lang w:val="en-US" w:eastAsia="zh-CN"/>
        </w:rPr>
        <w:t>总量控制</w:t>
      </w:r>
      <w:r>
        <w:tab/>
      </w:r>
      <w:r>
        <w:fldChar w:fldCharType="begin"/>
      </w:r>
      <w:r>
        <w:instrText xml:space="preserve"> PAGEREF _Toc15793 \h </w:instrText>
      </w:r>
      <w:r>
        <w:fldChar w:fldCharType="separate"/>
      </w:r>
      <w:r>
        <w:rPr>
          <w:rFonts w:ascii="Times New Roman" w:hAnsi="Times New Roman"/>
        </w:rPr>
        <w:t>112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_Toc29646 </w:instrText>
      </w:r>
      <w:r>
        <w:rPr>
          <w:rFonts w:hint="eastAsia"/>
          <w:szCs w:val="24"/>
        </w:rPr>
        <w:fldChar w:fldCharType="separate"/>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12</w:t>
      </w:r>
      <w:r>
        <w:rPr>
          <w:rFonts w:hint="eastAsia"/>
        </w:rPr>
        <w:t>清洁生产分析</w:t>
      </w:r>
      <w:r>
        <w:tab/>
      </w:r>
      <w:r>
        <w:fldChar w:fldCharType="begin"/>
      </w:r>
      <w:r>
        <w:instrText xml:space="preserve"> PAGEREF _Toc29646 \h </w:instrText>
      </w:r>
      <w:r>
        <w:fldChar w:fldCharType="separate"/>
      </w:r>
      <w:r>
        <w:rPr>
          <w:rFonts w:ascii="Times New Roman" w:hAnsi="Times New Roman"/>
        </w:rPr>
        <w:t>113</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_Toc32251 </w:instrText>
      </w:r>
      <w:r>
        <w:rPr>
          <w:rFonts w:hint="eastAsia"/>
          <w:szCs w:val="24"/>
        </w:rPr>
        <w:fldChar w:fldCharType="separate"/>
      </w:r>
      <w:r>
        <w:rPr>
          <w:rFonts w:hint="eastAsia" w:ascii="Times New Roman" w:hAnsi="Times New Roman"/>
          <w:lang w:val="en-US" w:eastAsia="zh-CN"/>
        </w:rPr>
        <w:t>5</w:t>
      </w:r>
      <w:r>
        <w:rPr>
          <w:rFonts w:hint="eastAsia"/>
        </w:rPr>
        <w:t>环境</w:t>
      </w:r>
      <w:r>
        <w:rPr>
          <w:rFonts w:hint="eastAsia"/>
          <w:lang w:eastAsia="zh-CN"/>
        </w:rPr>
        <w:t>现状调查与评价</w:t>
      </w:r>
      <w:r>
        <w:tab/>
      </w:r>
      <w:r>
        <w:fldChar w:fldCharType="begin"/>
      </w:r>
      <w:r>
        <w:instrText xml:space="preserve"> PAGEREF _Toc32251 \h </w:instrText>
      </w:r>
      <w:r>
        <w:fldChar w:fldCharType="separate"/>
      </w:r>
      <w:r>
        <w:rPr>
          <w:rFonts w:ascii="Times New Roman" w:hAnsi="Times New Roman"/>
        </w:rPr>
        <w:t>117</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_Toc16408 </w:instrText>
      </w:r>
      <w:r>
        <w:rPr>
          <w:rFonts w:hint="eastAsia"/>
          <w:szCs w:val="24"/>
        </w:rPr>
        <w:fldChar w:fldCharType="separate"/>
      </w:r>
      <w:r>
        <w:rPr>
          <w:rFonts w:hint="eastAsia" w:ascii="Times New Roman" w:hAnsi="Times New Roman"/>
          <w:lang w:val="en-US" w:eastAsia="zh-CN"/>
        </w:rPr>
        <w:t>5</w:t>
      </w:r>
      <w:r>
        <w:rPr>
          <w:rFonts w:ascii="Times New Roman" w:hAnsi="Times New Roman"/>
        </w:rPr>
        <w:t>.</w:t>
      </w:r>
      <w:r>
        <w:rPr>
          <w:rFonts w:ascii="Times New Roman" w:hAnsi="Times New Roman"/>
        </w:rPr>
        <w:t>1</w:t>
      </w:r>
      <w:r>
        <w:rPr>
          <w:rFonts w:ascii="Times New Roman" w:hAnsi="Times New Roman"/>
        </w:rPr>
        <w:t>自然环境现状调查与评价</w:t>
      </w:r>
      <w:r>
        <w:tab/>
      </w:r>
      <w:r>
        <w:fldChar w:fldCharType="begin"/>
      </w:r>
      <w:r>
        <w:instrText xml:space="preserve"> PAGEREF _Toc16408 \h </w:instrText>
      </w:r>
      <w:r>
        <w:fldChar w:fldCharType="separate"/>
      </w:r>
      <w:r>
        <w:rPr>
          <w:rFonts w:ascii="Times New Roman" w:hAnsi="Times New Roman"/>
        </w:rPr>
        <w:t>117</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_Toc25924 </w:instrText>
      </w:r>
      <w:r>
        <w:rPr>
          <w:rFonts w:hint="eastAsia"/>
          <w:szCs w:val="24"/>
        </w:rPr>
        <w:fldChar w:fldCharType="separate"/>
      </w:r>
      <w:r>
        <w:rPr>
          <w:rFonts w:hint="eastAsia" w:ascii="Times New Roman" w:hAnsi="Times New Roman"/>
          <w:lang w:val="en-US" w:eastAsia="zh-CN"/>
        </w:rPr>
        <w:t>5</w:t>
      </w:r>
      <w:r>
        <w:rPr>
          <w:rFonts w:hint="eastAsia"/>
        </w:rPr>
        <w:t>.</w:t>
      </w:r>
      <w:r>
        <w:rPr>
          <w:rFonts w:hint="eastAsia" w:ascii="Times New Roman" w:hAnsi="Times New Roman"/>
          <w:lang w:val="en-US" w:eastAsia="zh-CN"/>
        </w:rPr>
        <w:t>2</w:t>
      </w:r>
      <w:r>
        <w:rPr>
          <w:rFonts w:hint="eastAsia" w:ascii="Times New Roman" w:hAnsi="Times New Roman"/>
          <w:lang w:val="en-US" w:eastAsia="zh-CN"/>
        </w:rPr>
        <w:t>乌苏工业园区</w:t>
      </w:r>
      <w:r>
        <w:rPr>
          <w:rFonts w:hint="eastAsia"/>
        </w:rPr>
        <w:t>概况</w:t>
      </w:r>
      <w:r>
        <w:tab/>
      </w:r>
      <w:r>
        <w:fldChar w:fldCharType="begin"/>
      </w:r>
      <w:r>
        <w:instrText xml:space="preserve"> PAGEREF _Toc25924 \h </w:instrText>
      </w:r>
      <w:r>
        <w:fldChar w:fldCharType="separate"/>
      </w:r>
      <w:r>
        <w:rPr>
          <w:rFonts w:ascii="Times New Roman" w:hAnsi="Times New Roman"/>
        </w:rPr>
        <w:t>125</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_Toc19178 </w:instrText>
      </w:r>
      <w:r>
        <w:rPr>
          <w:rFonts w:hint="eastAsia"/>
          <w:szCs w:val="24"/>
        </w:rPr>
        <w:fldChar w:fldCharType="separate"/>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rPr>
        <w:t>基础设施</w:t>
      </w:r>
      <w:r>
        <w:rPr>
          <w:rFonts w:hint="eastAsia"/>
          <w:lang w:eastAsia="zh-CN"/>
        </w:rPr>
        <w:t>建设</w:t>
      </w:r>
      <w:r>
        <w:tab/>
      </w:r>
      <w:r>
        <w:fldChar w:fldCharType="begin"/>
      </w:r>
      <w:r>
        <w:instrText xml:space="preserve"> PAGEREF _Toc19178 \h </w:instrText>
      </w:r>
      <w:r>
        <w:fldChar w:fldCharType="separate"/>
      </w:r>
      <w:r>
        <w:rPr>
          <w:rFonts w:ascii="Times New Roman" w:hAnsi="Times New Roman"/>
        </w:rPr>
        <w:t>126</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_Toc4972 </w:instrText>
      </w:r>
      <w:r>
        <w:rPr>
          <w:rFonts w:hint="eastAsia"/>
          <w:szCs w:val="24"/>
        </w:rPr>
        <w:fldChar w:fldCharType="separate"/>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lang w:val="en-US" w:eastAsia="zh-CN"/>
        </w:rPr>
        <w:t>区域污染源调查</w:t>
      </w:r>
      <w:r>
        <w:tab/>
      </w:r>
      <w:r>
        <w:fldChar w:fldCharType="begin"/>
      </w:r>
      <w:r>
        <w:instrText xml:space="preserve"> PAGEREF _Toc4972 \h </w:instrText>
      </w:r>
      <w:r>
        <w:fldChar w:fldCharType="separate"/>
      </w:r>
      <w:r>
        <w:rPr>
          <w:rFonts w:ascii="Times New Roman" w:hAnsi="Times New Roman"/>
        </w:rPr>
        <w:t>129</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_Toc8891 </w:instrText>
      </w:r>
      <w:r>
        <w:rPr>
          <w:rFonts w:hint="eastAsia"/>
          <w:szCs w:val="24"/>
        </w:rPr>
        <w:fldChar w:fldCharType="separate"/>
      </w:r>
      <w:r>
        <w:rPr>
          <w:rFonts w:hint="eastAsia" w:ascii="Times New Roman" w:hAnsi="Times New Roman"/>
          <w:lang w:val="en-US" w:eastAsia="zh-CN"/>
        </w:rPr>
        <w:t>5</w:t>
      </w:r>
      <w:r>
        <w:rPr>
          <w:rFonts w:hint="eastAsia"/>
        </w:rPr>
        <w:t>.</w:t>
      </w:r>
      <w:r>
        <w:rPr>
          <w:rFonts w:hint="eastAsia" w:ascii="Times New Roman" w:hAnsi="Times New Roman"/>
          <w:lang w:val="en-US" w:eastAsia="zh-CN"/>
        </w:rPr>
        <w:t>5</w:t>
      </w:r>
      <w:r>
        <w:rPr>
          <w:rFonts w:hint="eastAsia"/>
        </w:rPr>
        <w:t>环境质量现状调查与评价</w:t>
      </w:r>
      <w:r>
        <w:tab/>
      </w:r>
      <w:r>
        <w:fldChar w:fldCharType="begin"/>
      </w:r>
      <w:r>
        <w:instrText xml:space="preserve"> PAGEREF _Toc8891 \h </w:instrText>
      </w:r>
      <w:r>
        <w:fldChar w:fldCharType="separate"/>
      </w:r>
      <w:r>
        <w:rPr>
          <w:rFonts w:ascii="Times New Roman" w:hAnsi="Times New Roman"/>
        </w:rPr>
        <w:t>130</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_Toc31422 </w:instrText>
      </w:r>
      <w:r>
        <w:rPr>
          <w:rFonts w:hint="eastAsia"/>
          <w:szCs w:val="24"/>
        </w:rPr>
        <w:fldChar w:fldCharType="separate"/>
      </w:r>
      <w:r>
        <w:rPr>
          <w:rFonts w:hint="eastAsia" w:ascii="Times New Roman" w:hAnsi="Times New Roman"/>
          <w:kern w:val="0"/>
          <w:lang w:val="en-US" w:eastAsia="zh-CN"/>
        </w:rPr>
        <w:t>6</w:t>
      </w:r>
      <w:r>
        <w:rPr>
          <w:rFonts w:hint="eastAsia"/>
          <w:kern w:val="0"/>
          <w:lang w:val="zh-CN"/>
        </w:rPr>
        <w:t>环境影响预测与评价</w:t>
      </w:r>
      <w:r>
        <w:tab/>
      </w:r>
      <w:r>
        <w:fldChar w:fldCharType="begin"/>
      </w:r>
      <w:r>
        <w:instrText xml:space="preserve"> PAGEREF _Toc31422 \h </w:instrText>
      </w:r>
      <w:r>
        <w:fldChar w:fldCharType="separate"/>
      </w:r>
      <w:r>
        <w:rPr>
          <w:rFonts w:ascii="Times New Roman" w:hAnsi="Times New Roman"/>
        </w:rPr>
        <w:t>142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_Toc24469 </w:instrText>
      </w:r>
      <w:r>
        <w:rPr>
          <w:rFonts w:hint="eastAsia"/>
          <w:szCs w:val="24"/>
        </w:rPr>
        <w:fldChar w:fldCharType="separate"/>
      </w:r>
      <w:r>
        <w:rPr>
          <w:rFonts w:hint="eastAsia" w:ascii="Times New Roman" w:hAnsi="Times New Roman"/>
          <w:lang w:val="en-US" w:eastAsia="zh-CN"/>
        </w:rPr>
        <w:t>6</w:t>
      </w:r>
      <w:r>
        <w:rPr>
          <w:rFonts w:hint="eastAsia"/>
        </w:rPr>
        <w:t>.</w:t>
      </w:r>
      <w:r>
        <w:rPr>
          <w:rFonts w:hint="eastAsia" w:ascii="Times New Roman" w:hAnsi="Times New Roman"/>
        </w:rPr>
        <w:t>1</w:t>
      </w:r>
      <w:r>
        <w:rPr>
          <w:rFonts w:hint="eastAsia"/>
          <w:lang w:eastAsia="zh-CN"/>
        </w:rPr>
        <w:t>施工期</w:t>
      </w:r>
      <w:r>
        <w:t>环境影响分析</w:t>
      </w:r>
      <w:r>
        <w:tab/>
      </w:r>
      <w:r>
        <w:fldChar w:fldCharType="begin"/>
      </w:r>
      <w:r>
        <w:instrText xml:space="preserve"> PAGEREF _Toc24469 \h </w:instrText>
      </w:r>
      <w:r>
        <w:fldChar w:fldCharType="separate"/>
      </w:r>
      <w:r>
        <w:rPr>
          <w:rFonts w:ascii="Times New Roman" w:hAnsi="Times New Roman"/>
        </w:rPr>
        <w:t>142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_Toc11870 </w:instrText>
      </w:r>
      <w:r>
        <w:rPr>
          <w:rFonts w:hint="eastAsia"/>
          <w:szCs w:val="24"/>
        </w:rPr>
        <w:fldChar w:fldCharType="separate"/>
      </w:r>
      <w:r>
        <w:rPr>
          <w:rFonts w:hint="eastAsia" w:ascii="Times New Roman" w:hAnsi="Times New Roman"/>
          <w:lang w:val="en-US" w:eastAsia="zh-CN"/>
        </w:rPr>
        <w:t>6</w:t>
      </w:r>
      <w:r>
        <w:t>.</w:t>
      </w:r>
      <w:r>
        <w:rPr>
          <w:rFonts w:hint="eastAsia" w:ascii="Times New Roman" w:hAnsi="Times New Roman"/>
          <w:lang w:val="en-US" w:eastAsia="zh-CN"/>
        </w:rPr>
        <w:t>2</w:t>
      </w:r>
      <w:r>
        <w:rPr>
          <w:rFonts w:hint="eastAsia"/>
          <w:lang w:eastAsia="zh-CN"/>
        </w:rPr>
        <w:t>大气环境影响分析</w:t>
      </w:r>
      <w:r>
        <w:tab/>
      </w:r>
      <w:r>
        <w:fldChar w:fldCharType="begin"/>
      </w:r>
      <w:r>
        <w:instrText xml:space="preserve"> PAGEREF _Toc11870 \h </w:instrText>
      </w:r>
      <w:r>
        <w:fldChar w:fldCharType="separate"/>
      </w:r>
      <w:r>
        <w:rPr>
          <w:rFonts w:ascii="Times New Roman" w:hAnsi="Times New Roman"/>
        </w:rPr>
        <w:t>147</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_Toc15942 </w:instrText>
      </w:r>
      <w:r>
        <w:rPr>
          <w:rFonts w:hint="eastAsia"/>
          <w:szCs w:val="24"/>
        </w:rPr>
        <w:fldChar w:fldCharType="separate"/>
      </w:r>
      <w:r>
        <w:rPr>
          <w:rFonts w:hint="eastAsia" w:ascii="Times New Roman" w:hAnsi="Times New Roman"/>
          <w:lang w:val="en-US" w:eastAsia="zh-CN"/>
        </w:rPr>
        <w:t>6</w:t>
      </w:r>
      <w:r>
        <w:rPr>
          <w:rFonts w:hint="eastAsia"/>
        </w:rPr>
        <w:t>.</w:t>
      </w:r>
      <w:r>
        <w:rPr>
          <w:rFonts w:hint="eastAsia" w:ascii="Times New Roman" w:hAnsi="Times New Roman"/>
          <w:lang w:val="en-US" w:eastAsia="zh-CN"/>
        </w:rPr>
        <w:t>3</w:t>
      </w:r>
      <w:r>
        <w:rPr>
          <w:rFonts w:hint="eastAsia" w:ascii="Times New Roman" w:hAnsi="Times New Roman"/>
        </w:rPr>
        <w:t>地表水</w:t>
      </w:r>
      <w:r>
        <w:t>环境影响分析</w:t>
      </w:r>
      <w:r>
        <w:tab/>
      </w:r>
      <w:r>
        <w:fldChar w:fldCharType="begin"/>
      </w:r>
      <w:r>
        <w:instrText xml:space="preserve"> PAGEREF _Toc15942 \h </w:instrText>
      </w:r>
      <w:r>
        <w:fldChar w:fldCharType="separate"/>
      </w:r>
      <w:r>
        <w:rPr>
          <w:rFonts w:ascii="Times New Roman" w:hAnsi="Times New Roman"/>
        </w:rPr>
        <w:t>161</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_Toc32055 </w:instrText>
      </w:r>
      <w:r>
        <w:rPr>
          <w:rFonts w:hint="eastAsia"/>
          <w:szCs w:val="24"/>
        </w:rPr>
        <w:fldChar w:fldCharType="separate"/>
      </w:r>
      <w:r>
        <w:rPr>
          <w:rFonts w:hint="eastAsia" w:ascii="Times New Roman" w:hAnsi="Times New Roman"/>
          <w:lang w:val="en-US" w:eastAsia="zh-CN"/>
        </w:rPr>
        <w:t>6</w:t>
      </w:r>
      <w:r>
        <w:rPr>
          <w:rFonts w:hint="eastAsia"/>
        </w:rPr>
        <w:t>.</w:t>
      </w:r>
      <w:r>
        <w:rPr>
          <w:rFonts w:hint="eastAsia" w:ascii="Times New Roman" w:hAnsi="Times New Roman"/>
          <w:lang w:val="en-US" w:eastAsia="zh-CN"/>
        </w:rPr>
        <w:t>4</w:t>
      </w:r>
      <w:r>
        <w:rPr>
          <w:rFonts w:hint="eastAsia"/>
        </w:rPr>
        <w:t>地下水环境影响</w:t>
      </w:r>
      <w:r>
        <w:rPr>
          <w:rFonts w:hint="eastAsia"/>
          <w:lang w:eastAsia="zh-CN"/>
        </w:rPr>
        <w:t>预测评价</w:t>
      </w:r>
      <w:r>
        <w:tab/>
      </w:r>
      <w:r>
        <w:fldChar w:fldCharType="begin"/>
      </w:r>
      <w:r>
        <w:instrText xml:space="preserve"> PAGEREF _Toc32055 \h </w:instrText>
      </w:r>
      <w:r>
        <w:fldChar w:fldCharType="separate"/>
      </w:r>
      <w:r>
        <w:rPr>
          <w:rFonts w:ascii="Times New Roman" w:hAnsi="Times New Roman"/>
        </w:rPr>
        <w:t>162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_Toc2584 </w:instrText>
      </w:r>
      <w:r>
        <w:rPr>
          <w:rFonts w:hint="eastAsia"/>
          <w:szCs w:val="24"/>
        </w:rPr>
        <w:fldChar w:fldCharType="separate"/>
      </w:r>
      <w:r>
        <w:rPr>
          <w:rFonts w:hint="eastAsia" w:ascii="Times New Roman" w:hAnsi="Times New Roman"/>
          <w:lang w:val="en-US" w:eastAsia="zh-CN"/>
        </w:rPr>
        <w:t>6</w:t>
      </w:r>
      <w:r>
        <w:rPr>
          <w:rFonts w:hint="eastAsia"/>
        </w:rPr>
        <w:t>.</w:t>
      </w:r>
      <w:r>
        <w:rPr>
          <w:rFonts w:hint="eastAsia" w:ascii="Times New Roman" w:hAnsi="Times New Roman"/>
          <w:lang w:val="en-US" w:eastAsia="zh-CN"/>
        </w:rPr>
        <w:t>5</w:t>
      </w:r>
      <w:r>
        <w:rPr>
          <w:rFonts w:hint="eastAsia"/>
        </w:rPr>
        <w:t>声</w:t>
      </w:r>
      <w:r>
        <w:t>环境影响</w:t>
      </w:r>
      <w:r>
        <w:rPr>
          <w:rFonts w:hint="eastAsia"/>
          <w:lang w:eastAsia="zh-CN"/>
        </w:rPr>
        <w:t>评价</w:t>
      </w:r>
      <w:r>
        <w:tab/>
      </w:r>
      <w:r>
        <w:fldChar w:fldCharType="begin"/>
      </w:r>
      <w:r>
        <w:instrText xml:space="preserve"> PAGEREF _Toc2584 \h </w:instrText>
      </w:r>
      <w:r>
        <w:fldChar w:fldCharType="separate"/>
      </w:r>
      <w:r>
        <w:rPr>
          <w:rFonts w:ascii="Times New Roman" w:hAnsi="Times New Roman"/>
        </w:rPr>
        <w:t>171</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_Toc1355 </w:instrText>
      </w:r>
      <w:r>
        <w:rPr>
          <w:rFonts w:hint="eastAsia"/>
          <w:szCs w:val="24"/>
        </w:rPr>
        <w:fldChar w:fldCharType="separate"/>
      </w:r>
      <w:r>
        <w:rPr>
          <w:rFonts w:hint="eastAsia" w:ascii="Times New Roman" w:hAnsi="Times New Roman"/>
          <w:lang w:val="en-US" w:eastAsia="zh-CN"/>
        </w:rPr>
        <w:t>6</w:t>
      </w:r>
      <w:r>
        <w:rPr>
          <w:rFonts w:hint="eastAsia"/>
        </w:rPr>
        <w:t>.</w:t>
      </w:r>
      <w:r>
        <w:rPr>
          <w:rFonts w:hint="eastAsia" w:ascii="Times New Roman" w:hAnsi="Times New Roman"/>
          <w:lang w:val="en-US" w:eastAsia="zh-CN"/>
        </w:rPr>
        <w:t>6</w:t>
      </w:r>
      <w:r>
        <w:rPr>
          <w:rFonts w:hint="eastAsia"/>
        </w:rPr>
        <w:t>固体废物</w:t>
      </w:r>
      <w:r>
        <w:t>环境影响分析</w:t>
      </w:r>
      <w:r>
        <w:tab/>
      </w:r>
      <w:r>
        <w:fldChar w:fldCharType="begin"/>
      </w:r>
      <w:r>
        <w:instrText xml:space="preserve"> PAGEREF _Toc1355 \h </w:instrText>
      </w:r>
      <w:r>
        <w:fldChar w:fldCharType="separate"/>
      </w:r>
      <w:r>
        <w:rPr>
          <w:rFonts w:ascii="Times New Roman" w:hAnsi="Times New Roman"/>
        </w:rPr>
        <w:t>174</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_Toc29022 </w:instrText>
      </w:r>
      <w:r>
        <w:rPr>
          <w:rFonts w:hint="eastAsia"/>
          <w:szCs w:val="24"/>
        </w:rPr>
        <w:fldChar w:fldCharType="separate"/>
      </w:r>
      <w:r>
        <w:rPr>
          <w:rFonts w:hint="eastAsia" w:ascii="Times New Roman" w:hAnsi="Times New Roman"/>
          <w:lang w:val="en-US" w:eastAsia="zh-CN"/>
        </w:rPr>
        <w:t>6</w:t>
      </w:r>
      <w:r>
        <w:rPr>
          <w:rFonts w:hint="eastAsia"/>
        </w:rPr>
        <w:t>.</w:t>
      </w:r>
      <w:r>
        <w:rPr>
          <w:rFonts w:hint="eastAsia" w:ascii="Times New Roman" w:hAnsi="Times New Roman"/>
          <w:lang w:val="en-US" w:eastAsia="zh-CN"/>
        </w:rPr>
        <w:t>7</w:t>
      </w:r>
      <w:r>
        <w:t>生态影响分析</w:t>
      </w:r>
      <w:r>
        <w:tab/>
      </w:r>
      <w:r>
        <w:fldChar w:fldCharType="begin"/>
      </w:r>
      <w:r>
        <w:instrText xml:space="preserve"> PAGEREF _Toc29022 \h </w:instrText>
      </w:r>
      <w:r>
        <w:fldChar w:fldCharType="separate"/>
      </w:r>
      <w:r>
        <w:rPr>
          <w:rFonts w:ascii="Times New Roman" w:hAnsi="Times New Roman"/>
        </w:rPr>
        <w:t>177</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_Toc2706 </w:instrText>
      </w:r>
      <w:r>
        <w:rPr>
          <w:rFonts w:hint="eastAsia"/>
          <w:szCs w:val="24"/>
        </w:rPr>
        <w:fldChar w:fldCharType="separate"/>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ascii="Times New Roman" w:hAnsi="Times New Roman"/>
        </w:rPr>
        <w:t>土壤环境影响分析</w:t>
      </w:r>
      <w:r>
        <w:tab/>
      </w:r>
      <w:r>
        <w:fldChar w:fldCharType="begin"/>
      </w:r>
      <w:r>
        <w:instrText xml:space="preserve"> PAGEREF _Toc2706 \h </w:instrText>
      </w:r>
      <w:r>
        <w:fldChar w:fldCharType="separate"/>
      </w:r>
      <w:r>
        <w:rPr>
          <w:rFonts w:ascii="Times New Roman" w:hAnsi="Times New Roman"/>
        </w:rPr>
        <w:t>178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_Toc856 </w:instrText>
      </w:r>
      <w:r>
        <w:rPr>
          <w:rFonts w:hint="eastAsia"/>
          <w:szCs w:val="24"/>
        </w:rPr>
        <w:fldChar w:fldCharType="separate"/>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环境风险</w:t>
      </w:r>
      <w:r>
        <w:tab/>
      </w:r>
      <w:r>
        <w:fldChar w:fldCharType="begin"/>
      </w:r>
      <w:r>
        <w:instrText xml:space="preserve"> PAGEREF _Toc856 \h </w:instrText>
      </w:r>
      <w:r>
        <w:fldChar w:fldCharType="separate"/>
      </w:r>
      <w:r>
        <w:rPr>
          <w:rFonts w:ascii="Times New Roman" w:hAnsi="Times New Roman"/>
        </w:rPr>
        <w:t>183</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_Toc30161 </w:instrText>
      </w:r>
      <w:r>
        <w:rPr>
          <w:rFonts w:hint="eastAsia"/>
          <w:szCs w:val="24"/>
        </w:rPr>
        <w:fldChar w:fldCharType="separate"/>
      </w:r>
      <w:r>
        <w:rPr>
          <w:rFonts w:hint="eastAsia" w:ascii="Times New Roman" w:hAnsi="Times New Roman"/>
          <w:kern w:val="0"/>
          <w:lang w:val="en-US" w:eastAsia="zh-CN"/>
        </w:rPr>
        <w:t>7</w:t>
      </w:r>
      <w:r>
        <w:rPr>
          <w:rFonts w:hint="eastAsia"/>
          <w:kern w:val="0"/>
        </w:rPr>
        <w:t>环境保护措施及可行性论证</w:t>
      </w:r>
      <w:r>
        <w:tab/>
      </w:r>
      <w:r>
        <w:fldChar w:fldCharType="begin"/>
      </w:r>
      <w:r>
        <w:instrText xml:space="preserve"> PAGEREF _Toc30161 \h </w:instrText>
      </w:r>
      <w:r>
        <w:fldChar w:fldCharType="separate"/>
      </w:r>
      <w:r>
        <w:rPr>
          <w:rFonts w:ascii="Times New Roman" w:hAnsi="Times New Roman"/>
        </w:rPr>
        <w:t>209</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_Toc19000 </w:instrText>
      </w:r>
      <w:r>
        <w:rPr>
          <w:rFonts w:hint="eastAsia"/>
          <w:szCs w:val="24"/>
        </w:rPr>
        <w:fldChar w:fldCharType="separate"/>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rPr>
        <w:t xml:space="preserve"> 运营期废气防治措施</w:t>
      </w:r>
      <w:r>
        <w:tab/>
      </w:r>
      <w:r>
        <w:fldChar w:fldCharType="begin"/>
      </w:r>
      <w:r>
        <w:instrText xml:space="preserve"> PAGEREF _Toc19000 \h </w:instrText>
      </w:r>
      <w:r>
        <w:fldChar w:fldCharType="separate"/>
      </w:r>
      <w:r>
        <w:rPr>
          <w:rFonts w:ascii="Times New Roman" w:hAnsi="Times New Roman"/>
        </w:rPr>
        <w:t>209</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_Toc17155 </w:instrText>
      </w:r>
      <w:r>
        <w:rPr>
          <w:rFonts w:hint="eastAsia"/>
          <w:szCs w:val="24"/>
        </w:rPr>
        <w:fldChar w:fldCharType="separate"/>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2</w:t>
      </w:r>
      <w:r>
        <w:rPr>
          <w:rFonts w:hint="eastAsia" w:ascii="Times New Roman" w:hAnsi="Times New Roman"/>
          <w:lang w:eastAsia="zh-CN"/>
        </w:rPr>
        <w:t>水环境保护措施及</w:t>
      </w:r>
      <w:r>
        <w:rPr>
          <w:rFonts w:hint="eastAsia"/>
        </w:rPr>
        <w:t>可行性论证</w:t>
      </w:r>
      <w:r>
        <w:tab/>
      </w:r>
      <w:r>
        <w:fldChar w:fldCharType="begin"/>
      </w:r>
      <w:r>
        <w:instrText xml:space="preserve"> PAGEREF _Toc17155 \h </w:instrText>
      </w:r>
      <w:r>
        <w:fldChar w:fldCharType="separate"/>
      </w:r>
      <w:r>
        <w:rPr>
          <w:rFonts w:ascii="Times New Roman" w:hAnsi="Times New Roman"/>
        </w:rPr>
        <w:t>211</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_Toc19022 </w:instrText>
      </w:r>
      <w:r>
        <w:rPr>
          <w:rFonts w:hint="eastAsia"/>
          <w:szCs w:val="24"/>
        </w:rPr>
        <w:fldChar w:fldCharType="separate"/>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3</w:t>
      </w:r>
      <w:r>
        <w:rPr>
          <w:rFonts w:hint="eastAsia"/>
        </w:rPr>
        <w:t>噪声污染防治措施</w:t>
      </w:r>
      <w:r>
        <w:tab/>
      </w:r>
      <w:r>
        <w:fldChar w:fldCharType="begin"/>
      </w:r>
      <w:r>
        <w:instrText xml:space="preserve"> PAGEREF _Toc19022 \h </w:instrText>
      </w:r>
      <w:r>
        <w:fldChar w:fldCharType="separate"/>
      </w:r>
      <w:r>
        <w:rPr>
          <w:rFonts w:ascii="Times New Roman" w:hAnsi="Times New Roman"/>
        </w:rPr>
        <w:t>213</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_Toc9304 </w:instrText>
      </w:r>
      <w:r>
        <w:rPr>
          <w:rFonts w:hint="eastAsia"/>
          <w:szCs w:val="24"/>
        </w:rPr>
        <w:fldChar w:fldCharType="separate"/>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4</w:t>
      </w:r>
      <w:r>
        <w:rPr>
          <w:rFonts w:hint="eastAsia"/>
        </w:rPr>
        <w:t>固体废物污染治理措施</w:t>
      </w:r>
      <w:r>
        <w:tab/>
      </w:r>
      <w:r>
        <w:fldChar w:fldCharType="begin"/>
      </w:r>
      <w:r>
        <w:instrText xml:space="preserve"> PAGEREF _Toc9304 \h </w:instrText>
      </w:r>
      <w:r>
        <w:fldChar w:fldCharType="separate"/>
      </w:r>
      <w:r>
        <w:rPr>
          <w:rFonts w:ascii="Times New Roman" w:hAnsi="Times New Roman"/>
        </w:rPr>
        <w:t>214</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_Toc14251 </w:instrText>
      </w:r>
      <w:r>
        <w:rPr>
          <w:rFonts w:hint="eastAsia"/>
          <w:szCs w:val="24"/>
        </w:rPr>
        <w:fldChar w:fldCharType="separate"/>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5</w:t>
      </w:r>
      <w:r>
        <w:rPr>
          <w:rFonts w:hint="eastAsia"/>
        </w:rPr>
        <w:t>环境风险防范措施</w:t>
      </w:r>
      <w:r>
        <w:tab/>
      </w:r>
      <w:r>
        <w:fldChar w:fldCharType="begin"/>
      </w:r>
      <w:r>
        <w:instrText xml:space="preserve"> PAGEREF _Toc14251 \h </w:instrText>
      </w:r>
      <w:r>
        <w:fldChar w:fldCharType="separate"/>
      </w:r>
      <w:r>
        <w:rPr>
          <w:rFonts w:ascii="Times New Roman" w:hAnsi="Times New Roman"/>
        </w:rPr>
        <w:t>215</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_Toc1487 </w:instrText>
      </w:r>
      <w:r>
        <w:rPr>
          <w:rFonts w:hint="eastAsia"/>
          <w:szCs w:val="24"/>
        </w:rPr>
        <w:fldChar w:fldCharType="separate"/>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6</w:t>
      </w:r>
      <w:r>
        <w:rPr>
          <w:rFonts w:hint="eastAsia"/>
        </w:rPr>
        <w:t>环保投资</w:t>
      </w:r>
      <w:r>
        <w:tab/>
      </w:r>
      <w:r>
        <w:fldChar w:fldCharType="begin"/>
      </w:r>
      <w:r>
        <w:instrText xml:space="preserve"> PAGEREF _Toc1487 \h </w:instrText>
      </w:r>
      <w:r>
        <w:fldChar w:fldCharType="separate"/>
      </w:r>
      <w:r>
        <w:rPr>
          <w:rFonts w:ascii="Times New Roman" w:hAnsi="Times New Roman"/>
        </w:rPr>
        <w:t>217</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_Toc32183 </w:instrText>
      </w:r>
      <w:r>
        <w:rPr>
          <w:rFonts w:hint="eastAsia"/>
          <w:szCs w:val="24"/>
        </w:rPr>
        <w:fldChar w:fldCharType="separate"/>
      </w:r>
      <w:r>
        <w:rPr>
          <w:rFonts w:hint="eastAsia" w:ascii="Times New Roman" w:hAnsi="Times New Roman"/>
          <w:lang w:val="en-US" w:eastAsia="zh-CN"/>
        </w:rPr>
        <w:t>8</w:t>
      </w:r>
      <w:r>
        <w:rPr>
          <w:rFonts w:hint="eastAsia"/>
        </w:rPr>
        <w:t>环境</w:t>
      </w:r>
      <w:r>
        <w:rPr>
          <w:rFonts w:hint="eastAsia"/>
          <w:lang w:eastAsia="zh-CN"/>
        </w:rPr>
        <w:t>影响</w:t>
      </w:r>
      <w:r>
        <w:rPr>
          <w:rFonts w:hint="eastAsia"/>
        </w:rPr>
        <w:t>经济损益分析</w:t>
      </w:r>
      <w:r>
        <w:tab/>
      </w:r>
      <w:r>
        <w:fldChar w:fldCharType="begin"/>
      </w:r>
      <w:r>
        <w:instrText xml:space="preserve"> PAGEREF _Toc32183 \h </w:instrText>
      </w:r>
      <w:r>
        <w:fldChar w:fldCharType="separate"/>
      </w:r>
      <w:r>
        <w:rPr>
          <w:rFonts w:ascii="Times New Roman" w:hAnsi="Times New Roman"/>
        </w:rPr>
        <w:t>218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_Toc16117 </w:instrText>
      </w:r>
      <w:r>
        <w:rPr>
          <w:rFonts w:hint="eastAsia"/>
          <w:szCs w:val="24"/>
        </w:rPr>
        <w:fldChar w:fldCharType="separate"/>
      </w:r>
      <w:r>
        <w:rPr>
          <w:rFonts w:hint="eastAsia" w:ascii="Times New Roman" w:hAnsi="Times New Roman"/>
          <w:lang w:val="en-US" w:eastAsia="zh-CN"/>
        </w:rPr>
        <w:t>8</w:t>
      </w:r>
      <w:r>
        <w:rPr>
          <w:rFonts w:hint="eastAsia"/>
        </w:rPr>
        <w:t>.</w:t>
      </w:r>
      <w:r>
        <w:rPr>
          <w:rFonts w:hint="eastAsia" w:ascii="Times New Roman" w:hAnsi="Times New Roman"/>
        </w:rPr>
        <w:t>1</w:t>
      </w:r>
      <w:r>
        <w:rPr>
          <w:rFonts w:hint="eastAsia" w:ascii="Times New Roman" w:hAnsi="Times New Roman"/>
        </w:rPr>
        <w:t>目的</w:t>
      </w:r>
      <w:r>
        <w:tab/>
      </w:r>
      <w:r>
        <w:fldChar w:fldCharType="begin"/>
      </w:r>
      <w:r>
        <w:instrText xml:space="preserve"> PAGEREF _Toc16117 \h </w:instrText>
      </w:r>
      <w:r>
        <w:fldChar w:fldCharType="separate"/>
      </w:r>
      <w:r>
        <w:rPr>
          <w:rFonts w:ascii="Times New Roman" w:hAnsi="Times New Roman"/>
        </w:rPr>
        <w:t>218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_Toc20618 </w:instrText>
      </w:r>
      <w:r>
        <w:rPr>
          <w:rFonts w:hint="eastAsia"/>
          <w:szCs w:val="24"/>
        </w:rPr>
        <w:fldChar w:fldCharType="separate"/>
      </w: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经济效益分析</w:t>
      </w:r>
      <w:r>
        <w:tab/>
      </w:r>
      <w:r>
        <w:fldChar w:fldCharType="begin"/>
      </w:r>
      <w:r>
        <w:instrText xml:space="preserve"> PAGEREF _Toc20618 \h </w:instrText>
      </w:r>
      <w:r>
        <w:fldChar w:fldCharType="separate"/>
      </w:r>
      <w:r>
        <w:rPr>
          <w:rFonts w:ascii="Times New Roman" w:hAnsi="Times New Roman"/>
        </w:rPr>
        <w:t>218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_Toc27475 </w:instrText>
      </w:r>
      <w:r>
        <w:rPr>
          <w:rFonts w:hint="eastAsia"/>
          <w:szCs w:val="24"/>
        </w:rPr>
        <w:fldChar w:fldCharType="separate"/>
      </w:r>
      <w:r>
        <w:rPr>
          <w:rFonts w:hint="eastAsia" w:ascii="Times New Roman" w:hAnsi="Times New Roman"/>
          <w:lang w:val="en-US" w:eastAsia="zh-CN"/>
        </w:rPr>
        <w:t>8</w:t>
      </w:r>
      <w:r>
        <w:rPr>
          <w:rFonts w:hint="eastAsia"/>
        </w:rPr>
        <w:t>.</w:t>
      </w:r>
      <w:r>
        <w:rPr>
          <w:rFonts w:hint="eastAsia" w:ascii="Times New Roman" w:hAnsi="Times New Roman"/>
        </w:rPr>
        <w:t>3</w:t>
      </w:r>
      <w:r>
        <w:rPr>
          <w:rFonts w:hint="eastAsia" w:ascii="Times New Roman" w:hAnsi="Times New Roman"/>
        </w:rPr>
        <w:t>社会</w:t>
      </w:r>
      <w:r>
        <w:rPr>
          <w:rFonts w:hint="eastAsia"/>
        </w:rPr>
        <w:t>效益分析</w:t>
      </w:r>
      <w:r>
        <w:tab/>
      </w:r>
      <w:r>
        <w:fldChar w:fldCharType="begin"/>
      </w:r>
      <w:r>
        <w:instrText xml:space="preserve"> PAGEREF _Toc27475 \h </w:instrText>
      </w:r>
      <w:r>
        <w:fldChar w:fldCharType="separate"/>
      </w:r>
      <w:r>
        <w:rPr>
          <w:rFonts w:ascii="Times New Roman" w:hAnsi="Times New Roman"/>
        </w:rPr>
        <w:t>220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_Toc32269 </w:instrText>
      </w:r>
      <w:r>
        <w:rPr>
          <w:rFonts w:hint="eastAsia"/>
          <w:szCs w:val="24"/>
        </w:rPr>
        <w:fldChar w:fldCharType="separate"/>
      </w:r>
      <w:r>
        <w:rPr>
          <w:rFonts w:hint="eastAsia" w:ascii="Times New Roman" w:hAnsi="Times New Roman"/>
          <w:lang w:val="en-US" w:eastAsia="zh-CN"/>
        </w:rPr>
        <w:t>8</w:t>
      </w:r>
      <w:r>
        <w:rPr>
          <w:rFonts w:hint="eastAsia"/>
        </w:rPr>
        <w:t>.</w:t>
      </w:r>
      <w:r>
        <w:rPr>
          <w:rFonts w:hint="eastAsia" w:ascii="Times New Roman" w:hAnsi="Times New Roman"/>
        </w:rPr>
        <w:t>4</w:t>
      </w:r>
      <w:r>
        <w:rPr>
          <w:rFonts w:hint="eastAsia"/>
        </w:rPr>
        <w:t xml:space="preserve"> 环境经济损益分析</w:t>
      </w:r>
      <w:r>
        <w:tab/>
      </w:r>
      <w:r>
        <w:fldChar w:fldCharType="begin"/>
      </w:r>
      <w:r>
        <w:instrText xml:space="preserve"> PAGEREF _Toc32269 \h </w:instrText>
      </w:r>
      <w:r>
        <w:fldChar w:fldCharType="separate"/>
      </w:r>
      <w:r>
        <w:rPr>
          <w:rFonts w:ascii="Times New Roman" w:hAnsi="Times New Roman"/>
        </w:rPr>
        <w:t>221</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_Toc26510 </w:instrText>
      </w:r>
      <w:r>
        <w:rPr>
          <w:rFonts w:hint="eastAsia"/>
          <w:szCs w:val="24"/>
        </w:rPr>
        <w:fldChar w:fldCharType="separate"/>
      </w:r>
      <w:r>
        <w:rPr>
          <w:rFonts w:hint="eastAsia" w:ascii="Times New Roman" w:hAnsi="Times New Roman"/>
          <w:bCs/>
          <w:lang w:val="en-US"/>
        </w:rPr>
        <w:t>9</w:t>
      </w:r>
      <w:r>
        <w:rPr>
          <w:rFonts w:hint="eastAsia"/>
          <w:bCs/>
        </w:rPr>
        <w:t>环境管理与监测计划</w:t>
      </w:r>
      <w:r>
        <w:tab/>
      </w:r>
      <w:r>
        <w:fldChar w:fldCharType="begin"/>
      </w:r>
      <w:r>
        <w:instrText xml:space="preserve"> PAGEREF _Toc26510 \h </w:instrText>
      </w:r>
      <w:r>
        <w:fldChar w:fldCharType="separate"/>
      </w:r>
      <w:r>
        <w:rPr>
          <w:rFonts w:ascii="Times New Roman" w:hAnsi="Times New Roman"/>
        </w:rPr>
        <w:t>223</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_Toc9520 </w:instrText>
      </w:r>
      <w:r>
        <w:rPr>
          <w:rFonts w:hint="eastAsia"/>
          <w:szCs w:val="24"/>
        </w:rPr>
        <w:fldChar w:fldCharType="separate"/>
      </w:r>
      <w:r>
        <w:rPr>
          <w:rFonts w:hint="eastAsia" w:ascii="Times New Roman" w:hAnsi="Times New Roman"/>
          <w:lang w:val="en-US" w:eastAsia="zh-CN"/>
        </w:rPr>
        <w:t>9</w:t>
      </w:r>
      <w:r>
        <w:rPr>
          <w:rFonts w:hint="eastAsia"/>
        </w:rPr>
        <w:t>.</w:t>
      </w:r>
      <w:r>
        <w:rPr>
          <w:rFonts w:hint="eastAsia" w:ascii="Times New Roman" w:hAnsi="Times New Roman"/>
        </w:rPr>
        <w:t>1</w:t>
      </w:r>
      <w:r>
        <w:rPr>
          <w:rFonts w:hint="eastAsia"/>
        </w:rPr>
        <w:t xml:space="preserve"> 环境管理</w:t>
      </w:r>
      <w:r>
        <w:tab/>
      </w:r>
      <w:r>
        <w:fldChar w:fldCharType="begin"/>
      </w:r>
      <w:r>
        <w:instrText xml:space="preserve"> PAGEREF _Toc9520 \h </w:instrText>
      </w:r>
      <w:r>
        <w:fldChar w:fldCharType="separate"/>
      </w:r>
      <w:r>
        <w:rPr>
          <w:rFonts w:ascii="Times New Roman" w:hAnsi="Times New Roman"/>
        </w:rPr>
        <w:t>223</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_Toc8264 </w:instrText>
      </w:r>
      <w:r>
        <w:rPr>
          <w:rFonts w:hint="eastAsia"/>
          <w:szCs w:val="24"/>
        </w:rPr>
        <w:fldChar w:fldCharType="separate"/>
      </w:r>
      <w:r>
        <w:rPr>
          <w:rFonts w:hint="eastAsia" w:ascii="Times New Roman" w:hAnsi="Times New Roman"/>
          <w:lang w:val="en-US" w:eastAsia="zh-CN"/>
        </w:rPr>
        <w:t>9</w:t>
      </w:r>
      <w:r>
        <w:rPr>
          <w:rFonts w:hint="eastAsia"/>
        </w:rPr>
        <w:t>.</w:t>
      </w:r>
      <w:r>
        <w:rPr>
          <w:rFonts w:hint="eastAsia" w:ascii="Times New Roman" w:hAnsi="Times New Roman"/>
        </w:rPr>
        <w:t>2</w:t>
      </w:r>
      <w:r>
        <w:rPr>
          <w:rFonts w:hint="eastAsia" w:ascii="Times New Roman" w:hAnsi="Times New Roman"/>
          <w:lang w:eastAsia="zh-CN"/>
        </w:rPr>
        <w:t>各阶段的</w:t>
      </w:r>
      <w:r>
        <w:rPr>
          <w:rFonts w:hint="eastAsia"/>
        </w:rPr>
        <w:t>环境管理要求</w:t>
      </w:r>
      <w:r>
        <w:tab/>
      </w:r>
      <w:r>
        <w:fldChar w:fldCharType="begin"/>
      </w:r>
      <w:r>
        <w:instrText xml:space="preserve"> PAGEREF _Toc8264 \h </w:instrText>
      </w:r>
      <w:r>
        <w:fldChar w:fldCharType="separate"/>
      </w:r>
      <w:r>
        <w:rPr>
          <w:rFonts w:ascii="Times New Roman" w:hAnsi="Times New Roman"/>
        </w:rPr>
        <w:t>224</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_Toc27573 </w:instrText>
      </w:r>
      <w:r>
        <w:rPr>
          <w:rFonts w:hint="eastAsia"/>
          <w:szCs w:val="24"/>
        </w:rPr>
        <w:fldChar w:fldCharType="separate"/>
      </w:r>
      <w:r>
        <w:rPr>
          <w:rFonts w:hint="eastAsia" w:ascii="Times New Roman" w:hAnsi="Times New Roman"/>
          <w:lang w:val="en-US" w:eastAsia="zh-CN"/>
        </w:rPr>
        <w:t>9</w:t>
      </w:r>
      <w:r>
        <w:rPr>
          <w:rFonts w:hint="eastAsia"/>
        </w:rPr>
        <w:t>.</w:t>
      </w:r>
      <w:r>
        <w:rPr>
          <w:rFonts w:hint="eastAsia" w:ascii="Times New Roman" w:hAnsi="Times New Roman"/>
        </w:rPr>
        <w:t>3</w:t>
      </w:r>
      <w:r>
        <w:rPr>
          <w:rFonts w:hint="eastAsia"/>
        </w:rPr>
        <w:t>环境保护“三同时”</w:t>
      </w:r>
      <w:r>
        <w:tab/>
      </w:r>
      <w:r>
        <w:fldChar w:fldCharType="begin"/>
      </w:r>
      <w:r>
        <w:instrText xml:space="preserve"> PAGEREF _Toc27573 \h </w:instrText>
      </w:r>
      <w:r>
        <w:fldChar w:fldCharType="separate"/>
      </w:r>
      <w:r>
        <w:rPr>
          <w:rFonts w:ascii="Times New Roman" w:hAnsi="Times New Roman"/>
        </w:rPr>
        <w:t>232</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_Toc2367 </w:instrText>
      </w:r>
      <w:r>
        <w:rPr>
          <w:rFonts w:hint="eastAsia"/>
          <w:szCs w:val="24"/>
        </w:rPr>
        <w:fldChar w:fldCharType="separate"/>
      </w:r>
      <w:r>
        <w:rPr>
          <w:rFonts w:hint="eastAsia" w:ascii="Times New Roman" w:hAnsi="Times New Roman"/>
          <w:lang w:val="en-US" w:eastAsia="zh-CN"/>
        </w:rPr>
        <w:t>9</w:t>
      </w:r>
      <w:r>
        <w:rPr>
          <w:rFonts w:hint="eastAsia"/>
        </w:rPr>
        <w:t>.</w:t>
      </w:r>
      <w:r>
        <w:rPr>
          <w:rFonts w:hint="eastAsia" w:ascii="Times New Roman" w:hAnsi="Times New Roman"/>
          <w:lang w:val="en-US" w:eastAsia="zh-CN"/>
        </w:rPr>
        <w:t>4</w:t>
      </w:r>
      <w:r>
        <w:rPr>
          <w:rFonts w:hint="eastAsia"/>
        </w:rPr>
        <w:t>污染物排放清单</w:t>
      </w:r>
      <w:r>
        <w:tab/>
      </w:r>
      <w:r>
        <w:fldChar w:fldCharType="begin"/>
      </w:r>
      <w:r>
        <w:instrText xml:space="preserve"> PAGEREF _Toc2367 \h </w:instrText>
      </w:r>
      <w:r>
        <w:fldChar w:fldCharType="separate"/>
      </w:r>
      <w:r>
        <w:rPr>
          <w:rFonts w:ascii="Times New Roman" w:hAnsi="Times New Roman"/>
        </w:rPr>
        <w:t>233</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_Toc20316 </w:instrText>
      </w:r>
      <w:r>
        <w:rPr>
          <w:rFonts w:hint="eastAsia"/>
          <w:szCs w:val="24"/>
        </w:rPr>
        <w:fldChar w:fldCharType="separate"/>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5</w:t>
      </w:r>
      <w:r>
        <w:rPr>
          <w:rFonts w:hint="eastAsia"/>
        </w:rPr>
        <w:t>“三同时”竣工验收</w:t>
      </w:r>
      <w:r>
        <w:tab/>
      </w:r>
      <w:r>
        <w:fldChar w:fldCharType="begin"/>
      </w:r>
      <w:r>
        <w:instrText xml:space="preserve"> PAGEREF _Toc20316 \h </w:instrText>
      </w:r>
      <w:r>
        <w:fldChar w:fldCharType="separate"/>
      </w:r>
      <w:r>
        <w:rPr>
          <w:rFonts w:ascii="Times New Roman" w:hAnsi="Times New Roman"/>
        </w:rPr>
        <w:t>313</w:t>
      </w:r>
      <w:r>
        <w:fldChar w:fldCharType="end"/>
      </w:r>
      <w:r>
        <w:rPr>
          <w:rFonts w:hint="eastAsia"/>
          <w:szCs w:val="24"/>
        </w:rPr>
        <w:fldChar w:fldCharType="end"/>
      </w:r>
    </w:p>
    <w:p>
      <w:pPr>
        <w:pStyle w:val="45"/>
        <w:tabs>
          <w:tab w:val="right" w:leader="dot" w:pos="8958"/>
          <w:tab w:val="clear" w:pos="8948"/>
        </w:tabs>
      </w:pPr>
      <w:r>
        <w:rPr>
          <w:rFonts w:hint="eastAsia"/>
          <w:szCs w:val="24"/>
        </w:rPr>
        <w:fldChar w:fldCharType="begin"/>
      </w:r>
      <w:r>
        <w:rPr>
          <w:rFonts w:hint="eastAsia"/>
          <w:szCs w:val="24"/>
        </w:rPr>
        <w:instrText xml:space="preserve"> HYPERLINK \l _Toc1605 </w:instrText>
      </w:r>
      <w:r>
        <w:rPr>
          <w:rFonts w:hint="eastAsia"/>
          <w:szCs w:val="24"/>
        </w:rPr>
        <w:fldChar w:fldCharType="separate"/>
      </w:r>
      <w:r>
        <w:rPr>
          <w:rFonts w:hint="eastAsia" w:ascii="Times New Roman" w:hAnsi="Times New Roman"/>
          <w:lang w:val="en-US" w:eastAsia="zh-CN"/>
        </w:rPr>
        <w:t>10</w:t>
      </w:r>
      <w:r>
        <w:rPr>
          <w:rFonts w:hint="eastAsia"/>
          <w:lang w:val="en-US" w:eastAsia="zh-CN"/>
        </w:rPr>
        <w:t>环境影响评价</w:t>
      </w:r>
      <w:r>
        <w:rPr>
          <w:rFonts w:hint="eastAsia"/>
        </w:rPr>
        <w:t>结论</w:t>
      </w:r>
      <w:r>
        <w:tab/>
      </w:r>
      <w:r>
        <w:fldChar w:fldCharType="begin"/>
      </w:r>
      <w:r>
        <w:instrText xml:space="preserve"> PAGEREF _Toc1605 \h </w:instrText>
      </w:r>
      <w:r>
        <w:fldChar w:fldCharType="separate"/>
      </w:r>
      <w:r>
        <w:rPr>
          <w:rFonts w:ascii="Times New Roman" w:hAnsi="Times New Roman"/>
        </w:rPr>
        <w:t>315</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_Toc21882 </w:instrText>
      </w:r>
      <w:r>
        <w:rPr>
          <w:rFonts w:hint="eastAsia"/>
          <w:szCs w:val="24"/>
        </w:rPr>
        <w:fldChar w:fldCharType="separate"/>
      </w:r>
      <w:r>
        <w:rPr>
          <w:rFonts w:hint="eastAsia" w:ascii="Times New Roman" w:hAnsi="Times New Roman"/>
          <w:bCs w:val="0"/>
          <w:lang w:val="en-US" w:eastAsia="zh-CN"/>
        </w:rPr>
        <w:t>10</w:t>
      </w:r>
      <w:r>
        <w:rPr>
          <w:rFonts w:hint="eastAsia"/>
          <w:bCs w:val="0"/>
        </w:rPr>
        <w:t>.</w:t>
      </w:r>
      <w:r>
        <w:rPr>
          <w:rFonts w:hint="eastAsia" w:ascii="Times New Roman" w:hAnsi="Times New Roman"/>
          <w:bCs w:val="0"/>
        </w:rPr>
        <w:t>1</w:t>
      </w:r>
      <w:r>
        <w:rPr>
          <w:rFonts w:hint="eastAsia"/>
          <w:bCs w:val="0"/>
        </w:rPr>
        <w:t>建设项目概况</w:t>
      </w:r>
      <w:r>
        <w:tab/>
      </w:r>
      <w:r>
        <w:fldChar w:fldCharType="begin"/>
      </w:r>
      <w:r>
        <w:instrText xml:space="preserve"> PAGEREF _Toc21882 \h </w:instrText>
      </w:r>
      <w:r>
        <w:fldChar w:fldCharType="separate"/>
      </w:r>
      <w:r>
        <w:rPr>
          <w:rFonts w:ascii="Times New Roman" w:hAnsi="Times New Roman"/>
        </w:rPr>
        <w:t>315</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_Toc7421 </w:instrText>
      </w:r>
      <w:r>
        <w:rPr>
          <w:rFonts w:hint="eastAsia"/>
          <w:szCs w:val="24"/>
        </w:rPr>
        <w:fldChar w:fldCharType="separate"/>
      </w:r>
      <w:r>
        <w:rPr>
          <w:rFonts w:hint="eastAsia" w:ascii="Times New Roman" w:hAnsi="Times New Roman"/>
          <w:bCs w:val="0"/>
          <w:lang w:val="en-US" w:eastAsia="zh-CN"/>
        </w:rPr>
        <w:t>10</w:t>
      </w:r>
      <w:r>
        <w:rPr>
          <w:rFonts w:hint="eastAsia"/>
          <w:bCs w:val="0"/>
        </w:rPr>
        <w:t>.</w:t>
      </w:r>
      <w:r>
        <w:rPr>
          <w:rFonts w:hint="eastAsia" w:ascii="Times New Roman" w:hAnsi="Times New Roman"/>
          <w:bCs w:val="0"/>
        </w:rPr>
        <w:t>2</w:t>
      </w:r>
      <w:r>
        <w:rPr>
          <w:rFonts w:hint="eastAsia"/>
          <w:bCs w:val="0"/>
        </w:rPr>
        <w:t>环境质量现状结论</w:t>
      </w:r>
      <w:r>
        <w:tab/>
      </w:r>
      <w:r>
        <w:fldChar w:fldCharType="begin"/>
      </w:r>
      <w:r>
        <w:instrText xml:space="preserve"> PAGEREF _Toc7421 \h </w:instrText>
      </w:r>
      <w:r>
        <w:fldChar w:fldCharType="separate"/>
      </w:r>
      <w:r>
        <w:rPr>
          <w:rFonts w:ascii="Times New Roman" w:hAnsi="Times New Roman"/>
        </w:rPr>
        <w:t>316</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_Toc13376 </w:instrText>
      </w:r>
      <w:r>
        <w:rPr>
          <w:rFonts w:hint="eastAsia"/>
          <w:szCs w:val="24"/>
        </w:rPr>
        <w:fldChar w:fldCharType="separate"/>
      </w:r>
      <w:r>
        <w:rPr>
          <w:rFonts w:hint="eastAsia" w:ascii="Times New Roman" w:hAnsi="Times New Roman"/>
          <w:lang w:val="en-US" w:eastAsia="zh-CN"/>
        </w:rPr>
        <w:t>10</w:t>
      </w:r>
      <w:r>
        <w:rPr>
          <w:rFonts w:hint="eastAsia"/>
        </w:rPr>
        <w:t>.</w:t>
      </w:r>
      <w:r>
        <w:rPr>
          <w:rFonts w:hint="eastAsia" w:ascii="Times New Roman" w:hAnsi="Times New Roman"/>
        </w:rPr>
        <w:t>3</w:t>
      </w:r>
      <w:r>
        <w:rPr>
          <w:rFonts w:hint="eastAsia"/>
        </w:rPr>
        <w:t>污染物排放情况结论</w:t>
      </w:r>
      <w:r>
        <w:tab/>
      </w:r>
      <w:r>
        <w:fldChar w:fldCharType="begin"/>
      </w:r>
      <w:r>
        <w:instrText xml:space="preserve"> PAGEREF _Toc13376 \h </w:instrText>
      </w:r>
      <w:r>
        <w:fldChar w:fldCharType="separate"/>
      </w:r>
      <w:r>
        <w:rPr>
          <w:rFonts w:ascii="Times New Roman" w:hAnsi="Times New Roman"/>
        </w:rPr>
        <w:t>317</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_Toc15749 </w:instrText>
      </w:r>
      <w:r>
        <w:rPr>
          <w:rFonts w:hint="eastAsia"/>
          <w:szCs w:val="24"/>
        </w:rPr>
        <w:fldChar w:fldCharType="separate"/>
      </w:r>
      <w:r>
        <w:rPr>
          <w:rFonts w:hint="eastAsia" w:ascii="Times New Roman" w:hAnsi="Times New Roman"/>
          <w:lang w:val="en-US" w:eastAsia="zh-CN"/>
        </w:rPr>
        <w:t>10</w:t>
      </w:r>
      <w:r>
        <w:rPr>
          <w:rFonts w:hint="eastAsia"/>
        </w:rPr>
        <w:t>.</w:t>
      </w:r>
      <w:r>
        <w:rPr>
          <w:rFonts w:hint="eastAsia" w:ascii="Times New Roman" w:hAnsi="Times New Roman"/>
        </w:rPr>
        <w:t>4</w:t>
      </w:r>
      <w:r>
        <w:rPr>
          <w:rFonts w:hint="eastAsia"/>
        </w:rPr>
        <w:t>主要环境影响结论</w:t>
      </w:r>
      <w:r>
        <w:tab/>
      </w:r>
      <w:r>
        <w:fldChar w:fldCharType="begin"/>
      </w:r>
      <w:r>
        <w:instrText xml:space="preserve"> PAGEREF _Toc15749 \h </w:instrText>
      </w:r>
      <w:r>
        <w:fldChar w:fldCharType="separate"/>
      </w:r>
      <w:r>
        <w:rPr>
          <w:rFonts w:ascii="Times New Roman" w:hAnsi="Times New Roman"/>
        </w:rPr>
        <w:t>318</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_Toc11066 </w:instrText>
      </w:r>
      <w:r>
        <w:rPr>
          <w:rFonts w:hint="eastAsia"/>
          <w:szCs w:val="24"/>
        </w:rPr>
        <w:fldChar w:fldCharType="separate"/>
      </w:r>
      <w:r>
        <w:rPr>
          <w:rFonts w:hint="eastAsia" w:ascii="Times New Roman" w:hAnsi="Times New Roman"/>
          <w:lang w:val="en-US" w:eastAsia="zh-CN"/>
        </w:rPr>
        <w:t>10</w:t>
      </w:r>
      <w:r>
        <w:rPr>
          <w:rFonts w:hint="eastAsia"/>
        </w:rPr>
        <w:t>.</w:t>
      </w:r>
      <w:r>
        <w:rPr>
          <w:rFonts w:hint="eastAsia" w:ascii="Times New Roman" w:hAnsi="Times New Roman"/>
        </w:rPr>
        <w:t>5</w:t>
      </w:r>
      <w:r>
        <w:rPr>
          <w:rFonts w:hint="eastAsia"/>
        </w:rPr>
        <w:t>环境保护措施结论</w:t>
      </w:r>
      <w:r>
        <w:tab/>
      </w:r>
      <w:r>
        <w:fldChar w:fldCharType="begin"/>
      </w:r>
      <w:r>
        <w:instrText xml:space="preserve"> PAGEREF _Toc11066 \h </w:instrText>
      </w:r>
      <w:r>
        <w:fldChar w:fldCharType="separate"/>
      </w:r>
      <w:r>
        <w:rPr>
          <w:rFonts w:ascii="Times New Roman" w:hAnsi="Times New Roman"/>
        </w:rPr>
        <w:t>319</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_Toc8569 </w:instrText>
      </w:r>
      <w:r>
        <w:rPr>
          <w:rFonts w:hint="eastAsia"/>
          <w:szCs w:val="24"/>
        </w:rPr>
        <w:fldChar w:fldCharType="separate"/>
      </w:r>
      <w:r>
        <w:rPr>
          <w:rFonts w:hint="eastAsia" w:ascii="Times New Roman" w:hAnsi="Times New Roman"/>
          <w:lang w:val="en-US" w:eastAsia="zh-CN"/>
        </w:rPr>
        <w:t>10</w:t>
      </w:r>
      <w:r>
        <w:rPr>
          <w:rFonts w:hint="eastAsia"/>
        </w:rPr>
        <w:t>.</w:t>
      </w:r>
      <w:r>
        <w:rPr>
          <w:rFonts w:hint="eastAsia" w:ascii="Times New Roman" w:hAnsi="Times New Roman"/>
        </w:rPr>
        <w:t>6</w:t>
      </w:r>
      <w:r>
        <w:rPr>
          <w:rFonts w:hint="eastAsia"/>
        </w:rPr>
        <w:t>环境影响经济损益分析</w:t>
      </w:r>
      <w:r>
        <w:tab/>
      </w:r>
      <w:r>
        <w:fldChar w:fldCharType="begin"/>
      </w:r>
      <w:r>
        <w:instrText xml:space="preserve"> PAGEREF _Toc8569 \h </w:instrText>
      </w:r>
      <w:r>
        <w:fldChar w:fldCharType="separate"/>
      </w:r>
      <w:r>
        <w:rPr>
          <w:rFonts w:ascii="Times New Roman" w:hAnsi="Times New Roman"/>
        </w:rPr>
        <w:t>319</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_Toc11476 </w:instrText>
      </w:r>
      <w:r>
        <w:rPr>
          <w:rFonts w:hint="eastAsia"/>
          <w:szCs w:val="24"/>
        </w:rPr>
        <w:fldChar w:fldCharType="separate"/>
      </w:r>
      <w:r>
        <w:rPr>
          <w:rFonts w:hint="eastAsia" w:ascii="Times New Roman" w:hAnsi="Times New Roman"/>
          <w:lang w:val="en-US" w:eastAsia="zh-CN"/>
        </w:rPr>
        <w:t>10</w:t>
      </w:r>
      <w:r>
        <w:rPr>
          <w:rFonts w:hint="eastAsia"/>
        </w:rPr>
        <w:t>.</w:t>
      </w:r>
      <w:r>
        <w:rPr>
          <w:rFonts w:hint="eastAsia" w:ascii="Times New Roman" w:hAnsi="Times New Roman"/>
        </w:rPr>
        <w:t>7</w:t>
      </w:r>
      <w:r>
        <w:rPr>
          <w:rFonts w:hint="eastAsia"/>
        </w:rPr>
        <w:t>环境管理与监测计划</w:t>
      </w:r>
      <w:r>
        <w:tab/>
      </w:r>
      <w:r>
        <w:fldChar w:fldCharType="begin"/>
      </w:r>
      <w:r>
        <w:instrText xml:space="preserve"> PAGEREF _Toc11476 \h </w:instrText>
      </w:r>
      <w:r>
        <w:fldChar w:fldCharType="separate"/>
      </w:r>
      <w:r>
        <w:rPr>
          <w:rFonts w:ascii="Times New Roman" w:hAnsi="Times New Roman"/>
        </w:rPr>
        <w:t>320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_Toc31723 </w:instrText>
      </w:r>
      <w:r>
        <w:rPr>
          <w:rFonts w:hint="eastAsia"/>
          <w:szCs w:val="24"/>
        </w:rPr>
        <w:fldChar w:fldCharType="separate"/>
      </w:r>
      <w:r>
        <w:rPr>
          <w:rFonts w:hint="eastAsia" w:ascii="Times New Roman" w:hAnsi="Times New Roman"/>
          <w:lang w:val="en-US" w:eastAsia="zh-CN"/>
        </w:rPr>
        <w:t>10</w:t>
      </w:r>
      <w:r>
        <w:rPr>
          <w:rFonts w:hint="eastAsia"/>
        </w:rPr>
        <w:t>.</w:t>
      </w:r>
      <w:r>
        <w:rPr>
          <w:rFonts w:hint="eastAsia" w:ascii="Times New Roman" w:hAnsi="Times New Roman"/>
        </w:rPr>
        <w:t>8</w:t>
      </w:r>
      <w:r>
        <w:rPr>
          <w:rFonts w:hint="eastAsia" w:ascii="Times New Roman" w:hAnsi="Times New Roman"/>
        </w:rPr>
        <w:t>公众参与调查</w:t>
      </w:r>
      <w:r>
        <w:tab/>
      </w:r>
      <w:r>
        <w:fldChar w:fldCharType="begin"/>
      </w:r>
      <w:r>
        <w:instrText xml:space="preserve"> PAGEREF _Toc31723 \h </w:instrText>
      </w:r>
      <w:r>
        <w:fldChar w:fldCharType="separate"/>
      </w:r>
      <w:r>
        <w:rPr>
          <w:rFonts w:ascii="Times New Roman" w:hAnsi="Times New Roman"/>
        </w:rPr>
        <w:t>320</w:t>
      </w:r>
      <w:r>
        <w:fldChar w:fldCharType="end"/>
      </w:r>
      <w:r>
        <w:rPr>
          <w:rFonts w:hint="eastAsia"/>
          <w:szCs w:val="24"/>
        </w:rPr>
        <w:fldChar w:fldCharType="end"/>
      </w:r>
    </w:p>
    <w:p>
      <w:pPr>
        <w:pStyle w:val="66"/>
        <w:tabs>
          <w:tab w:val="right" w:leader="dot" w:pos="8958"/>
        </w:tabs>
      </w:pPr>
      <w:r>
        <w:rPr>
          <w:rFonts w:hint="eastAsia"/>
          <w:szCs w:val="24"/>
        </w:rPr>
        <w:fldChar w:fldCharType="begin"/>
      </w:r>
      <w:r>
        <w:rPr>
          <w:rFonts w:hint="eastAsia"/>
          <w:szCs w:val="24"/>
        </w:rPr>
        <w:instrText xml:space="preserve"> HYPERLINK \l _Toc18655 </w:instrText>
      </w:r>
      <w:r>
        <w:rPr>
          <w:rFonts w:hint="eastAsia"/>
          <w:szCs w:val="24"/>
        </w:rPr>
        <w:fldChar w:fldCharType="separate"/>
      </w:r>
      <w:r>
        <w:rPr>
          <w:rFonts w:hint="eastAsia" w:ascii="Times New Roman" w:hAnsi="Times New Roman"/>
          <w:lang w:val="en-US" w:eastAsia="zh-CN"/>
        </w:rPr>
        <w:t>10</w:t>
      </w:r>
      <w:r>
        <w:rPr>
          <w:rFonts w:hint="eastAsia"/>
        </w:rPr>
        <w:t>.</w:t>
      </w:r>
      <w:r>
        <w:rPr>
          <w:rFonts w:hint="eastAsia" w:ascii="Times New Roman" w:hAnsi="Times New Roman"/>
        </w:rPr>
        <w:t>9</w:t>
      </w:r>
      <w:r>
        <w:rPr>
          <w:rFonts w:hint="eastAsia"/>
        </w:rPr>
        <w:t>总体结论</w:t>
      </w:r>
      <w:r>
        <w:tab/>
      </w:r>
      <w:r>
        <w:fldChar w:fldCharType="begin"/>
      </w:r>
      <w:r>
        <w:instrText xml:space="preserve"> PAGEREF _Toc18655 \h </w:instrText>
      </w:r>
      <w:r>
        <w:fldChar w:fldCharType="separate"/>
      </w:r>
      <w:r>
        <w:rPr>
          <w:rFonts w:ascii="Times New Roman" w:hAnsi="Times New Roman"/>
        </w:rPr>
        <w:t>320</w:t>
      </w:r>
      <w:r>
        <w:fldChar w:fldCharType="end"/>
      </w:r>
      <w:r>
        <w:rPr>
          <w:rFonts w:hint="eastAsia"/>
          <w:szCs w:val="24"/>
        </w:rPr>
        <w:fldChar w:fldCharType="end"/>
      </w:r>
    </w:p>
    <w:p>
      <w:pPr>
        <w:rPr>
          <w:rFonts w:hint="eastAsia"/>
        </w:rPr>
        <w:sectPr>
          <w:headerReference r:id="rId5" w:type="default"/>
          <w:footerReference r:id="rId6" w:type="default"/>
          <w:footerReference r:id="rId7" w:type="even"/>
          <w:pgSz w:w="11906" w:h="16838"/>
          <w:pgMar w:top="1474" w:right="1474" w:bottom="1474" w:left="1474"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eastAsia"/>
          <w:szCs w:val="24"/>
        </w:rPr>
        <w:fldChar w:fldCharType="end"/>
      </w:r>
    </w:p>
    <w:p>
      <w:pPr>
        <w:pStyle w:val="3"/>
        <w:numPr>
          <w:ilvl w:val="0"/>
          <w:numId w:val="0"/>
        </w:numPr>
        <w:rPr>
          <w:rFonts w:hint="eastAsia"/>
        </w:rPr>
      </w:pPr>
      <w:bookmarkStart w:id="20" w:name="_Toc8127545"/>
      <w:bookmarkStart w:id="21" w:name="_Toc10892"/>
      <w:r>
        <w:rPr>
          <w:rFonts w:hint="eastAsia" w:ascii="Times New Roman" w:hAnsi="Times New Roman"/>
        </w:rPr>
        <w:t>1</w:t>
      </w:r>
      <w:r>
        <w:rPr>
          <w:rFonts w:hint="eastAsia"/>
        </w:rPr>
        <w:t xml:space="preserve">概   </w:t>
      </w:r>
      <w:bookmarkEnd w:id="15"/>
      <w:bookmarkEnd w:id="16"/>
      <w:r>
        <w:rPr>
          <w:rFonts w:hint="eastAsia"/>
        </w:rPr>
        <w:t>述</w:t>
      </w:r>
      <w:bookmarkEnd w:id="17"/>
      <w:bookmarkEnd w:id="20"/>
      <w:bookmarkEnd w:id="21"/>
    </w:p>
    <w:p>
      <w:pPr>
        <w:pStyle w:val="4"/>
        <w:spacing w:before="156" w:after="156"/>
        <w:rPr>
          <w:rFonts w:hint="eastAsia"/>
        </w:rPr>
      </w:pPr>
      <w:bookmarkStart w:id="22" w:name="_Toc5352"/>
      <w:bookmarkStart w:id="23" w:name="_Toc8341"/>
      <w:bookmarkStart w:id="24" w:name="_Toc341867026"/>
      <w:bookmarkStart w:id="25" w:name="_Toc332975134"/>
      <w:r>
        <w:rPr>
          <w:rFonts w:hint="eastAsia" w:ascii="Times New Roman" w:hAnsi="Times New Roman"/>
        </w:rPr>
        <w:t>1</w:t>
      </w:r>
      <w:r>
        <w:rPr>
          <w:rFonts w:hint="eastAsia"/>
        </w:rPr>
        <w:t>.</w:t>
      </w:r>
      <w:r>
        <w:rPr>
          <w:rFonts w:hint="eastAsia" w:ascii="Times New Roman" w:hAnsi="Times New Roman"/>
        </w:rPr>
        <w:t>1</w:t>
      </w:r>
      <w:r>
        <w:rPr>
          <w:rFonts w:hint="eastAsia"/>
        </w:rPr>
        <w:t>项目背景</w:t>
      </w:r>
      <w:bookmarkEnd w:id="22"/>
      <w:bookmarkEnd w:id="23"/>
    </w:p>
    <w:p>
      <w:pPr>
        <w:bidi w:val="0"/>
        <w:rPr>
          <w:rFonts w:hint="eastAsia"/>
          <w:lang w:val="en-US" w:eastAsia="zh-CN"/>
        </w:rPr>
      </w:pPr>
      <w:r>
        <w:rPr>
          <w:rFonts w:hint="eastAsia"/>
          <w:lang w:eastAsia="zh-CN"/>
        </w:rPr>
        <w:t>上海凯赛生物技术研发中心有限公司是由中国留美学者和著名科学家于</w:t>
      </w:r>
      <w:r>
        <w:rPr>
          <w:rFonts w:hint="eastAsia" w:ascii="Times New Roman" w:hAnsi="Times New Roman"/>
          <w:lang w:val="en-US" w:eastAsia="zh-CN"/>
        </w:rPr>
        <w:t>20</w:t>
      </w:r>
      <w:r>
        <w:rPr>
          <w:rFonts w:hint="eastAsia"/>
          <w:lang w:eastAsia="zh-CN"/>
        </w:rPr>
        <w:t>世纪</w:t>
      </w:r>
      <w:r>
        <w:rPr>
          <w:rFonts w:hint="eastAsia" w:ascii="Times New Roman" w:hAnsi="Times New Roman"/>
          <w:lang w:val="en-US" w:eastAsia="zh-CN"/>
        </w:rPr>
        <w:t>90</w:t>
      </w:r>
      <w:r>
        <w:rPr>
          <w:rFonts w:hint="eastAsia"/>
          <w:lang w:val="en-US" w:eastAsia="zh-CN"/>
        </w:rPr>
        <w:t>年代创办的高科技产业公司，多年来致力于新型材料和生物化工等绿色产业的技术开发和产业化，先后开发了生物法长链二元酸、生物丁醇、生物基聚酰胺</w:t>
      </w:r>
      <w:r>
        <w:rPr>
          <w:rFonts w:hint="eastAsia" w:ascii="Times New Roman" w:hAnsi="Times New Roman"/>
          <w:lang w:val="en-US" w:eastAsia="zh-CN"/>
        </w:rPr>
        <w:t>56</w:t>
      </w:r>
      <w:r>
        <w:rPr>
          <w:rFonts w:hint="eastAsia"/>
          <w:lang w:val="en-US" w:eastAsia="zh-CN"/>
        </w:rPr>
        <w:t>等一系列生物产业化技术，其中《生物基重大工程实施方案》重点项目，被国家工信部纳入《产业关键共性技术发展指南（</w:t>
      </w:r>
      <w:r>
        <w:rPr>
          <w:rFonts w:hint="eastAsia" w:ascii="Times New Roman" w:hAnsi="Times New Roman"/>
          <w:lang w:val="en-US" w:eastAsia="zh-CN"/>
        </w:rPr>
        <w:t>2015</w:t>
      </w:r>
      <w:r>
        <w:rPr>
          <w:rFonts w:hint="eastAsia"/>
          <w:lang w:val="en-US" w:eastAsia="zh-CN"/>
        </w:rPr>
        <w:t>年）》目录。</w:t>
      </w:r>
      <w:r>
        <w:rPr>
          <w:rFonts w:hint="eastAsia"/>
          <w:lang w:eastAsia="zh-CN"/>
        </w:rPr>
        <w:t>凯赛（乌苏）生物材料有限公司（以下简称建设单位）为上海凯赛生物技术研发中心有限公司在乌苏工业园区投资建设的全资子公司，</w:t>
      </w:r>
      <w:r>
        <w:rPr>
          <w:rFonts w:hint="eastAsia"/>
          <w:lang w:val="en-US" w:eastAsia="zh-CN"/>
        </w:rPr>
        <w:t>主营生物基材料的研发和生产。建设单位前期投资</w:t>
      </w:r>
      <w:r>
        <w:rPr>
          <w:rFonts w:hint="eastAsia" w:ascii="Times New Roman" w:hAnsi="Times New Roman"/>
          <w:lang w:val="en-US" w:eastAsia="zh-CN"/>
        </w:rPr>
        <w:t>33</w:t>
      </w:r>
      <w:r>
        <w:rPr>
          <w:rFonts w:hint="eastAsia"/>
          <w:lang w:val="en-US" w:eastAsia="zh-CN"/>
        </w:rPr>
        <w:t>亿元开展了“凯赛（乌苏）生物材料有限公司年产</w:t>
      </w:r>
      <w:r>
        <w:rPr>
          <w:rFonts w:hint="eastAsia" w:ascii="Times New Roman" w:hAnsi="Times New Roman"/>
          <w:lang w:val="en-US" w:eastAsia="zh-CN"/>
        </w:rPr>
        <w:t>10</w:t>
      </w:r>
      <w:r>
        <w:rPr>
          <w:rFonts w:hint="eastAsia"/>
          <w:lang w:val="en-US" w:eastAsia="zh-CN"/>
        </w:rPr>
        <w:t>万吨聚酰胺项目”，</w:t>
      </w:r>
      <w:r>
        <w:rPr>
          <w:rFonts w:hint="eastAsia" w:ascii="Times New Roman" w:hAnsi="Times New Roman"/>
          <w:lang w:val="en-US" w:eastAsia="zh-CN"/>
        </w:rPr>
        <w:t>2019</w:t>
      </w:r>
      <w:r>
        <w:rPr>
          <w:rFonts w:hint="eastAsia"/>
          <w:lang w:val="en-US" w:eastAsia="zh-CN"/>
        </w:rPr>
        <w:t>年</w:t>
      </w:r>
      <w:r>
        <w:rPr>
          <w:rFonts w:hint="eastAsia" w:ascii="Times New Roman" w:hAnsi="Times New Roman"/>
          <w:lang w:val="en-US" w:eastAsia="zh-CN"/>
        </w:rPr>
        <w:t>6</w:t>
      </w:r>
      <w:r>
        <w:rPr>
          <w:rFonts w:hint="eastAsia"/>
          <w:lang w:val="en-US" w:eastAsia="zh-CN"/>
        </w:rPr>
        <w:t>月完成了该项目一期工程建设，建设内容包括</w:t>
      </w:r>
      <w:r>
        <w:rPr>
          <w:rFonts w:hint="eastAsia" w:ascii="Times New Roman" w:hAnsi="Times New Roman"/>
          <w:lang w:val="en-US" w:eastAsia="zh-CN"/>
        </w:rPr>
        <w:t>30</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玉米深加工、</w:t>
      </w:r>
      <w:r>
        <w:rPr>
          <w:rFonts w:hint="eastAsia" w:ascii="Times New Roman" w:hAnsi="Times New Roman"/>
          <w:lang w:val="en-US" w:eastAsia="zh-CN"/>
        </w:rPr>
        <w:t>5</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aDN</w:t>
      </w:r>
      <w:r>
        <w:rPr>
          <w:rFonts w:hint="eastAsia"/>
          <w:lang w:val="en-US" w:eastAsia="zh-CN"/>
        </w:rPr>
        <w:t>溶液生产单元、</w:t>
      </w:r>
      <w:r>
        <w:rPr>
          <w:rFonts w:hint="eastAsia" w:ascii="Times New Roman" w:hAnsi="Times New Roman"/>
          <w:lang w:val="en-US" w:eastAsia="zh-CN"/>
        </w:rPr>
        <w:t>10</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聚酰胺生产单元，实现了生物基聚酰胺</w:t>
      </w:r>
      <w:r>
        <w:rPr>
          <w:rFonts w:hint="eastAsia" w:ascii="Times New Roman" w:hAnsi="Times New Roman"/>
          <w:lang w:val="en-US" w:eastAsia="zh-CN"/>
        </w:rPr>
        <w:t>70000t</w:t>
      </w:r>
      <w:r>
        <w:rPr>
          <w:rFonts w:hint="eastAsia"/>
          <w:lang w:val="en-US" w:eastAsia="zh-CN"/>
        </w:rPr>
        <w:t>/</w:t>
      </w:r>
      <w:r>
        <w:rPr>
          <w:rFonts w:hint="eastAsia" w:ascii="Times New Roman" w:hAnsi="Times New Roman"/>
          <w:lang w:val="en-US" w:eastAsia="zh-CN"/>
        </w:rPr>
        <w:t>a</w:t>
      </w:r>
      <w:r>
        <w:rPr>
          <w:rFonts w:hint="eastAsia"/>
          <w:lang w:val="en-US" w:eastAsia="zh-CN"/>
        </w:rPr>
        <w:t>、副产品喷浆玉米纤维</w:t>
      </w:r>
      <w:r>
        <w:rPr>
          <w:rFonts w:hint="eastAsia" w:ascii="Times New Roman" w:hAnsi="Times New Roman"/>
          <w:lang w:val="en-US" w:eastAsia="zh-CN"/>
        </w:rPr>
        <w:t>86190t</w:t>
      </w:r>
      <w:r>
        <w:rPr>
          <w:rFonts w:hint="eastAsia"/>
          <w:lang w:val="en-US" w:eastAsia="zh-CN"/>
        </w:rPr>
        <w:t>/</w:t>
      </w:r>
      <w:r>
        <w:rPr>
          <w:rFonts w:hint="eastAsia" w:ascii="Times New Roman" w:hAnsi="Times New Roman"/>
          <w:lang w:val="en-US" w:eastAsia="zh-CN"/>
        </w:rPr>
        <w:t>a</w:t>
      </w:r>
      <w:r>
        <w:rPr>
          <w:rFonts w:hint="eastAsia"/>
          <w:lang w:val="en-US" w:eastAsia="zh-CN"/>
        </w:rPr>
        <w:t>、玉米高蛋白饲料</w:t>
      </w:r>
      <w:r>
        <w:rPr>
          <w:rFonts w:hint="eastAsia" w:ascii="Times New Roman" w:hAnsi="Times New Roman"/>
          <w:lang w:val="en-US" w:eastAsia="zh-CN"/>
        </w:rPr>
        <w:t>16300t</w:t>
      </w:r>
      <w:r>
        <w:rPr>
          <w:rFonts w:hint="eastAsia"/>
          <w:lang w:val="en-US" w:eastAsia="zh-CN"/>
        </w:rPr>
        <w:t>/</w:t>
      </w:r>
      <w:r>
        <w:rPr>
          <w:rFonts w:hint="eastAsia" w:ascii="Times New Roman" w:hAnsi="Times New Roman"/>
          <w:lang w:val="en-US" w:eastAsia="zh-CN"/>
        </w:rPr>
        <w:t>a</w:t>
      </w:r>
      <w:r>
        <w:rPr>
          <w:rFonts w:hint="eastAsia"/>
          <w:lang w:val="en-US" w:eastAsia="zh-CN"/>
        </w:rPr>
        <w:t>、干胚芽</w:t>
      </w:r>
      <w:r>
        <w:rPr>
          <w:rFonts w:hint="eastAsia" w:ascii="Times New Roman" w:hAnsi="Times New Roman"/>
          <w:lang w:val="en-US" w:eastAsia="zh-CN"/>
        </w:rPr>
        <w:t>19000t</w:t>
      </w:r>
      <w:r>
        <w:rPr>
          <w:rFonts w:hint="eastAsia"/>
          <w:lang w:val="en-US" w:eastAsia="zh-CN"/>
        </w:rPr>
        <w:t>/</w:t>
      </w:r>
      <w:r>
        <w:rPr>
          <w:rFonts w:hint="eastAsia" w:ascii="Times New Roman" w:hAnsi="Times New Roman"/>
          <w:lang w:val="en-US" w:eastAsia="zh-CN"/>
        </w:rPr>
        <w:t>a</w:t>
      </w:r>
      <w:r>
        <w:rPr>
          <w:rFonts w:hint="eastAsia"/>
          <w:lang w:val="en-US" w:eastAsia="zh-CN"/>
        </w:rPr>
        <w:t>的生产规模；二期工程</w:t>
      </w:r>
      <w:r>
        <w:rPr>
          <w:rFonts w:hint="eastAsia" w:ascii="Times New Roman" w:hAnsi="Times New Roman"/>
          <w:lang w:val="en-US" w:eastAsia="zh-CN"/>
        </w:rPr>
        <w:t>30000t</w:t>
      </w:r>
      <w:r>
        <w:rPr>
          <w:rFonts w:hint="eastAsia"/>
          <w:lang w:val="en-US" w:eastAsia="zh-CN"/>
        </w:rPr>
        <w:t>/</w:t>
      </w:r>
      <w:r>
        <w:rPr>
          <w:rFonts w:hint="eastAsia" w:ascii="Times New Roman" w:hAnsi="Times New Roman"/>
          <w:lang w:val="en-US" w:eastAsia="zh-CN"/>
        </w:rPr>
        <w:t>a</w:t>
      </w:r>
      <w:r>
        <w:rPr>
          <w:rFonts w:hint="eastAsia"/>
          <w:lang w:val="en-US" w:eastAsia="zh-CN"/>
        </w:rPr>
        <w:t>短纤产品目前尚未建设。建设单位计划利用一期工程的中间产品</w:t>
      </w:r>
      <w:r>
        <w:rPr>
          <w:rFonts w:hint="eastAsia" w:ascii="Times New Roman" w:hAnsi="Times New Roman"/>
          <w:lang w:val="en-US" w:eastAsia="zh-CN"/>
        </w:rPr>
        <w:t>DN</w:t>
      </w:r>
      <w:r>
        <w:rPr>
          <w:rFonts w:hint="eastAsia" w:ascii="Times New Roman" w:hAnsi="Times New Roman"/>
          <w:lang w:val="en-US" w:eastAsia="zh-CN"/>
        </w:rPr>
        <w:t>溶液</w:t>
      </w:r>
      <w:r>
        <w:rPr>
          <w:rFonts w:hint="eastAsia"/>
          <w:lang w:val="en-US" w:eastAsia="zh-CN"/>
        </w:rPr>
        <w:t>为原料延伸产业链，制备下游</w:t>
      </w:r>
      <w:r>
        <w:rPr>
          <w:rFonts w:hint="eastAsia" w:ascii="Times New Roman" w:hAnsi="Times New Roman"/>
          <w:lang w:val="en-US" w:eastAsia="zh-CN"/>
        </w:rPr>
        <w:t>PD</w:t>
      </w:r>
      <w:r>
        <w:rPr>
          <w:rFonts w:hint="eastAsia"/>
          <w:lang w:val="en-US" w:eastAsia="zh-CN"/>
        </w:rPr>
        <w:t xml:space="preserve">产品。  </w:t>
      </w:r>
    </w:p>
    <w:p>
      <w:pPr>
        <w:bidi w:val="0"/>
        <w:rPr>
          <w:rFonts w:hint="eastAsia"/>
          <w:kern w:val="24"/>
          <w:sz w:val="24"/>
          <w:lang w:eastAsia="zh-CN"/>
        </w:rPr>
      </w:pPr>
      <w:r>
        <w:rPr>
          <w:rFonts w:hint="eastAsia" w:ascii="Times New Roman" w:hAnsi="Times New Roman"/>
          <w:kern w:val="24"/>
          <w:sz w:val="24"/>
          <w:lang w:val="en-US" w:eastAsia="zh-CN"/>
        </w:rPr>
        <w:t>PD</w:t>
      </w:r>
      <w:r>
        <w:rPr>
          <w:rFonts w:hint="eastAsia"/>
          <w:kern w:val="24"/>
          <w:sz w:val="24"/>
          <w:lang w:eastAsia="zh-CN"/>
        </w:rPr>
        <w:t>是一种环状脂族仲胺，常规生产方法有两种：一种是呋喃胺或四氢呋喃在高温高压和催化剂作用下转化为</w:t>
      </w:r>
      <w:r>
        <w:rPr>
          <w:rFonts w:hint="eastAsia" w:ascii="Times New Roman" w:hAnsi="Times New Roman"/>
          <w:kern w:val="24"/>
          <w:sz w:val="24"/>
          <w:lang w:eastAsia="zh-CN"/>
        </w:rPr>
        <w:t>PD</w:t>
      </w:r>
      <w:r>
        <w:rPr>
          <w:rFonts w:hint="eastAsia"/>
          <w:kern w:val="24"/>
          <w:sz w:val="24"/>
          <w:lang w:eastAsia="zh-CN"/>
        </w:rPr>
        <w:t>；另一种是</w:t>
      </w:r>
      <w:r>
        <w:rPr>
          <w:rFonts w:hint="eastAsia" w:ascii="Times New Roman" w:hAnsi="Times New Roman"/>
          <w:kern w:val="24"/>
          <w:sz w:val="24"/>
          <w:lang w:eastAsia="zh-CN"/>
        </w:rPr>
        <w:t>BD</w:t>
      </w:r>
      <w:r>
        <w:rPr>
          <w:rFonts w:hint="eastAsia"/>
          <w:kern w:val="24"/>
          <w:sz w:val="24"/>
          <w:lang w:eastAsia="zh-CN"/>
        </w:rPr>
        <w:t>加氢转化为</w:t>
      </w:r>
      <w:r>
        <w:rPr>
          <w:rFonts w:hint="eastAsia" w:ascii="Times New Roman" w:hAnsi="Times New Roman"/>
          <w:kern w:val="24"/>
          <w:sz w:val="24"/>
          <w:lang w:eastAsia="zh-CN"/>
        </w:rPr>
        <w:t>PD</w:t>
      </w:r>
      <w:r>
        <w:rPr>
          <w:rFonts w:hint="eastAsia"/>
          <w:kern w:val="24"/>
          <w:sz w:val="24"/>
          <w:lang w:eastAsia="zh-CN"/>
        </w:rPr>
        <w:t>。前者生产工艺中涉及有毒有害物质四氢呋喃，而后者又具有反应时间长，生产效率低，工艺要求较高等缺点。与传统的</w:t>
      </w:r>
      <w:r>
        <w:rPr>
          <w:rFonts w:hint="eastAsia" w:ascii="Times New Roman" w:hAnsi="Times New Roman"/>
          <w:kern w:val="24"/>
          <w:sz w:val="24"/>
          <w:lang w:eastAsia="zh-CN"/>
        </w:rPr>
        <w:t>PD</w:t>
      </w:r>
      <w:r>
        <w:rPr>
          <w:rFonts w:hint="eastAsia"/>
          <w:kern w:val="24"/>
          <w:sz w:val="24"/>
          <w:lang w:eastAsia="zh-CN"/>
        </w:rPr>
        <w:t>生产方法相比，本项目采用现有生物化工中间产品</w:t>
      </w:r>
      <w:r>
        <w:rPr>
          <w:rFonts w:hint="eastAsia" w:ascii="Times New Roman" w:hAnsi="Times New Roman"/>
          <w:kern w:val="24"/>
          <w:sz w:val="24"/>
          <w:lang w:val="en-US" w:eastAsia="zh-CN"/>
        </w:rPr>
        <w:t>DN</w:t>
      </w:r>
      <w:r>
        <w:rPr>
          <w:rFonts w:hint="eastAsia"/>
          <w:kern w:val="24"/>
          <w:sz w:val="24"/>
          <w:lang w:val="en-US" w:eastAsia="zh-CN"/>
        </w:rPr>
        <w:t>溶液</w:t>
      </w:r>
      <w:r>
        <w:rPr>
          <w:rFonts w:hint="eastAsia"/>
          <w:kern w:val="24"/>
          <w:sz w:val="24"/>
          <w:lang w:eastAsia="zh-CN"/>
        </w:rPr>
        <w:t>经催化反应和精馏的方法制备</w:t>
      </w:r>
      <w:r>
        <w:rPr>
          <w:rFonts w:hint="eastAsia" w:ascii="Times New Roman" w:hAnsi="Times New Roman"/>
          <w:kern w:val="24"/>
          <w:sz w:val="24"/>
          <w:lang w:val="en-US" w:eastAsia="zh-CN"/>
        </w:rPr>
        <w:t>PD</w:t>
      </w:r>
      <w:r>
        <w:rPr>
          <w:rFonts w:hint="eastAsia"/>
          <w:kern w:val="24"/>
          <w:sz w:val="24"/>
          <w:lang w:eastAsia="zh-CN"/>
        </w:rPr>
        <w:t>，可以省略复杂的前期合成步骤，大幅简化反应流程，不涉及四氢呋喃等污染物排放，对环境更为友好</w:t>
      </w:r>
      <w:r>
        <w:rPr>
          <w:rFonts w:hint="eastAsia"/>
          <w:kern w:val="24"/>
          <w:sz w:val="24"/>
          <w:lang w:val="en-US" w:eastAsia="zh-CN"/>
        </w:rPr>
        <w:t>的同时</w:t>
      </w:r>
      <w:r>
        <w:rPr>
          <w:rFonts w:hint="eastAsia"/>
          <w:kern w:val="24"/>
          <w:sz w:val="24"/>
          <w:lang w:eastAsia="zh-CN"/>
        </w:rPr>
        <w:t>可以实现连续生产。</w:t>
      </w:r>
    </w:p>
    <w:p>
      <w:pPr>
        <w:rPr>
          <w:rFonts w:hint="eastAsia"/>
        </w:rPr>
      </w:pPr>
      <w:r>
        <w:rPr>
          <w:rFonts w:hint="eastAsia" w:ascii="Times New Roman" w:hAnsi="Times New Roman"/>
          <w:kern w:val="24"/>
          <w:sz w:val="24"/>
          <w:lang w:eastAsia="zh-CN"/>
        </w:rPr>
        <w:t>PD</w:t>
      </w:r>
      <w:r>
        <w:rPr>
          <w:rFonts w:hint="eastAsia"/>
          <w:kern w:val="24"/>
          <w:sz w:val="24"/>
          <w:lang w:eastAsia="zh-CN"/>
        </w:rPr>
        <w:t>是精细化工领域中重要的中间体，在食品工业、化学工业和医药工业等均有广泛用途。建设单位利用厂内中间产品</w:t>
      </w:r>
      <w:r>
        <w:rPr>
          <w:rFonts w:hint="eastAsia" w:ascii="Times New Roman" w:hAnsi="Times New Roman"/>
          <w:kern w:val="24"/>
          <w:sz w:val="24"/>
          <w:lang w:val="en-US" w:eastAsia="zh-CN"/>
        </w:rPr>
        <w:t>DN</w:t>
      </w:r>
      <w:r>
        <w:rPr>
          <w:rFonts w:hint="eastAsia"/>
          <w:kern w:val="24"/>
          <w:sz w:val="24"/>
          <w:lang w:val="en-US" w:eastAsia="zh-CN"/>
        </w:rPr>
        <w:t>溶液</w:t>
      </w:r>
      <w:r>
        <w:rPr>
          <w:rFonts w:hint="eastAsia"/>
          <w:kern w:val="24"/>
          <w:sz w:val="24"/>
          <w:lang w:eastAsia="zh-CN"/>
        </w:rPr>
        <w:t>为原料延伸了下游产业链，增强了企业竞争力，</w:t>
      </w:r>
      <w:r>
        <w:rPr>
          <w:rFonts w:hint="eastAsia"/>
        </w:rPr>
        <w:t>具有较好的经济效益和</w:t>
      </w:r>
      <w:r>
        <w:rPr>
          <w:rFonts w:hint="eastAsia"/>
          <w:lang w:eastAsia="zh-CN"/>
        </w:rPr>
        <w:t>环境</w:t>
      </w:r>
      <w:r>
        <w:rPr>
          <w:rFonts w:hint="eastAsia"/>
        </w:rPr>
        <w:t>效益。</w:t>
      </w:r>
    </w:p>
    <w:p>
      <w:pPr>
        <w:pStyle w:val="4"/>
        <w:spacing w:before="156" w:after="156"/>
        <w:rPr>
          <w:rFonts w:hint="eastAsia"/>
        </w:rPr>
      </w:pPr>
      <w:bookmarkStart w:id="26" w:name="_Toc16768"/>
      <w:bookmarkStart w:id="27" w:name="_Toc3003"/>
      <w:r>
        <w:rPr>
          <w:rFonts w:hint="eastAsia" w:ascii="Times New Roman" w:hAnsi="Times New Roman"/>
        </w:rPr>
        <w:t>1</w:t>
      </w:r>
      <w:r>
        <w:rPr>
          <w:rFonts w:hint="eastAsia"/>
        </w:rPr>
        <w:t>.</w:t>
      </w:r>
      <w:r>
        <w:rPr>
          <w:rFonts w:hint="eastAsia" w:ascii="Times New Roman" w:hAnsi="Times New Roman"/>
        </w:rPr>
        <w:t>2</w:t>
      </w:r>
      <w:r>
        <w:rPr>
          <w:rFonts w:hint="eastAsia"/>
        </w:rPr>
        <w:t>项目特点</w:t>
      </w:r>
      <w:bookmarkEnd w:id="26"/>
      <w:bookmarkEnd w:id="27"/>
    </w:p>
    <w:p>
      <w:pPr>
        <w:rPr>
          <w:rFonts w:hint="eastAsia" w:eastAsia="宋体"/>
          <w:lang w:eastAsia="zh-CN"/>
        </w:rPr>
      </w:pPr>
      <w:r>
        <w:rPr>
          <w:rFonts w:hint="eastAsia"/>
        </w:rPr>
        <w:t>（</w:t>
      </w:r>
      <w:r>
        <w:rPr>
          <w:rFonts w:hint="eastAsia" w:ascii="Times New Roman" w:hAnsi="Times New Roman"/>
        </w:rPr>
        <w:t>1</w:t>
      </w:r>
      <w:r>
        <w:rPr>
          <w:rFonts w:hint="eastAsia"/>
        </w:rPr>
        <w:t>）</w:t>
      </w:r>
      <w:r>
        <w:rPr>
          <w:rFonts w:hint="eastAsia"/>
          <w:lang w:eastAsia="zh-CN"/>
        </w:rPr>
        <w:t>本项目位于乌苏工业园区西区凯赛（乌苏）生物材料有限公司厂区预留地内，不新占用园区用地。项目水、电、蒸汽和主要原料</w:t>
      </w:r>
      <w:r>
        <w:rPr>
          <w:rFonts w:hint="eastAsia" w:ascii="Times New Roman" w:hAnsi="Times New Roman"/>
          <w:lang w:val="en-US" w:eastAsia="zh-CN"/>
        </w:rPr>
        <w:t>DN</w:t>
      </w:r>
      <w:r>
        <w:rPr>
          <w:rFonts w:hint="eastAsia"/>
          <w:lang w:val="en-US" w:eastAsia="zh-CN"/>
        </w:rPr>
        <w:t>溶液</w:t>
      </w:r>
      <w:r>
        <w:rPr>
          <w:rFonts w:hint="eastAsia"/>
          <w:lang w:eastAsia="zh-CN"/>
        </w:rPr>
        <w:t>均由厂内现有工程提供。</w:t>
      </w:r>
    </w:p>
    <w:p>
      <w:pPr>
        <w:rPr>
          <w:rFonts w:hint="eastAsia" w:eastAsia="宋体"/>
          <w:color w:val="auto"/>
          <w:lang w:eastAsia="zh-CN"/>
        </w:rPr>
      </w:pPr>
      <w:r>
        <w:rPr>
          <w:rFonts w:hint="eastAsia"/>
        </w:rPr>
        <w:t>（</w:t>
      </w:r>
      <w:r>
        <w:rPr>
          <w:rFonts w:hint="eastAsia" w:ascii="Times New Roman" w:hAnsi="Times New Roman"/>
        </w:rPr>
        <w:t>2</w:t>
      </w:r>
      <w:r>
        <w:rPr>
          <w:rFonts w:hint="eastAsia"/>
        </w:rPr>
        <w:t>）</w:t>
      </w:r>
      <w:r>
        <w:rPr>
          <w:rFonts w:hint="eastAsia"/>
          <w:lang w:eastAsia="zh-CN"/>
        </w:rPr>
        <w:t>本项目通过两级反应器可制备</w:t>
      </w:r>
      <w:r>
        <w:rPr>
          <w:rFonts w:hint="eastAsia" w:ascii="Times New Roman" w:hAnsi="Times New Roman"/>
          <w:lang w:val="en-US" w:eastAsia="zh-CN"/>
        </w:rPr>
        <w:t>10000</w:t>
      </w:r>
      <w:r>
        <w:rPr>
          <w:rFonts w:hint="eastAsia"/>
          <w:lang w:val="en-US" w:eastAsia="zh-CN"/>
        </w:rPr>
        <w:t>吨</w:t>
      </w:r>
      <w:r>
        <w:rPr>
          <w:rFonts w:hint="eastAsia"/>
          <w:lang w:eastAsia="zh-CN"/>
        </w:rPr>
        <w:t>精</w:t>
      </w:r>
      <w:r>
        <w:rPr>
          <w:rFonts w:hint="eastAsia" w:ascii="Times New Roman" w:hAnsi="Times New Roman"/>
          <w:lang w:eastAsia="zh-CN"/>
        </w:rPr>
        <w:t>PD</w:t>
      </w:r>
      <w:r>
        <w:rPr>
          <w:rFonts w:hint="eastAsia"/>
          <w:lang w:eastAsia="zh-CN"/>
        </w:rPr>
        <w:t>产品，剩余副产约</w:t>
      </w:r>
      <w:r>
        <w:rPr>
          <w:rFonts w:hint="eastAsia" w:ascii="Times New Roman" w:hAnsi="Times New Roman"/>
          <w:lang w:val="en-US" w:eastAsia="zh-CN"/>
        </w:rPr>
        <w:t>2000</w:t>
      </w:r>
      <w:r>
        <w:rPr>
          <w:rFonts w:hint="eastAsia"/>
          <w:lang w:val="en-US" w:eastAsia="zh-CN"/>
        </w:rPr>
        <w:t>吨</w:t>
      </w:r>
      <w:r>
        <w:rPr>
          <w:rFonts w:hint="eastAsia"/>
          <w:lang w:eastAsia="zh-CN"/>
        </w:rPr>
        <w:t>含</w:t>
      </w:r>
      <w:r>
        <w:rPr>
          <w:rFonts w:hint="eastAsia" w:ascii="Times New Roman" w:hAnsi="Times New Roman"/>
          <w:lang w:eastAsia="zh-CN"/>
        </w:rPr>
        <w:t>PD</w:t>
      </w:r>
      <w:r>
        <w:rPr>
          <w:rFonts w:hint="eastAsia"/>
          <w:lang w:eastAsia="zh-CN"/>
        </w:rPr>
        <w:t>溶液作为粗</w:t>
      </w:r>
      <w:r>
        <w:rPr>
          <w:rFonts w:hint="eastAsia" w:ascii="Times New Roman" w:hAnsi="Times New Roman"/>
          <w:lang w:eastAsia="zh-CN"/>
        </w:rPr>
        <w:t>PD</w:t>
      </w:r>
      <w:r>
        <w:rPr>
          <w:rFonts w:hint="eastAsia"/>
          <w:lang w:eastAsia="zh-CN"/>
        </w:rPr>
        <w:t>产品外售。建设单位现有工程主要生产工艺为：玉米净化→浸泡→淀粉乳加工→</w:t>
      </w:r>
      <w:r>
        <w:rPr>
          <w:rFonts w:hint="eastAsia" w:ascii="Times New Roman" w:hAnsi="Times New Roman"/>
          <w:lang w:val="en-US" w:eastAsia="zh-CN"/>
        </w:rPr>
        <w:t>DN</w:t>
      </w:r>
      <w:r>
        <w:rPr>
          <w:rFonts w:hint="eastAsia"/>
          <w:lang w:val="en-US" w:eastAsia="zh-CN"/>
        </w:rPr>
        <w:t>溶液发酵</w:t>
      </w:r>
      <w:r>
        <w:rPr>
          <w:rFonts w:hint="eastAsia"/>
          <w:lang w:eastAsia="zh-CN"/>
        </w:rPr>
        <w:t>→</w:t>
      </w:r>
      <w:r>
        <w:rPr>
          <w:rFonts w:hint="eastAsia" w:ascii="Times New Roman" w:hAnsi="Times New Roman"/>
          <w:lang w:val="en-US" w:eastAsia="zh-CN"/>
        </w:rPr>
        <w:t>DN</w:t>
      </w:r>
      <w:r>
        <w:rPr>
          <w:rFonts w:hint="eastAsia"/>
          <w:lang w:val="en-US" w:eastAsia="zh-CN"/>
        </w:rPr>
        <w:t>溶液提取</w:t>
      </w:r>
      <w:r>
        <w:rPr>
          <w:rFonts w:hint="eastAsia"/>
          <w:lang w:eastAsia="zh-CN"/>
        </w:rPr>
        <w:t>→聚合→生物基聚酰胺或短纤产品，</w:t>
      </w:r>
      <w:r>
        <w:rPr>
          <w:rFonts w:hint="eastAsia" w:ascii="Times New Roman" w:hAnsi="Times New Roman"/>
          <w:lang w:val="en-US" w:eastAsia="zh-CN"/>
        </w:rPr>
        <w:t>DN</w:t>
      </w:r>
      <w:r>
        <w:rPr>
          <w:rFonts w:hint="eastAsia"/>
          <w:lang w:val="en-US" w:eastAsia="zh-CN"/>
        </w:rPr>
        <w:t>溶液为现有工程中间产品。厂内</w:t>
      </w:r>
      <w:r>
        <w:rPr>
          <w:rFonts w:hint="eastAsia"/>
          <w:lang w:eastAsia="zh-CN"/>
        </w:rPr>
        <w:t>使用</w:t>
      </w:r>
      <w:r>
        <w:rPr>
          <w:rFonts w:hint="eastAsia" w:ascii="Times New Roman" w:hAnsi="Times New Roman"/>
          <w:lang w:eastAsia="zh-CN"/>
        </w:rPr>
        <w:t>DN</w:t>
      </w:r>
      <w:r>
        <w:rPr>
          <w:rFonts w:hint="eastAsia"/>
          <w:lang w:eastAsia="zh-CN"/>
        </w:rPr>
        <w:t>溶液为原料的生产单元包括</w:t>
      </w:r>
      <w:r>
        <w:rPr>
          <w:rFonts w:hint="eastAsia"/>
          <w:lang w:val="en-US" w:eastAsia="zh-CN"/>
        </w:rPr>
        <w:t>现有工程的</w:t>
      </w:r>
      <w:r>
        <w:rPr>
          <w:rFonts w:hint="eastAsia" w:ascii="Times New Roman" w:hAnsi="Times New Roman"/>
          <w:lang w:val="en-US" w:eastAsia="zh-CN"/>
        </w:rPr>
        <w:t>7</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聚酰胺和</w:t>
      </w:r>
      <w:r>
        <w:rPr>
          <w:rFonts w:hint="eastAsia" w:ascii="Times New Roman" w:hAnsi="Times New Roman"/>
          <w:lang w:val="en-US" w:eastAsia="zh-CN"/>
        </w:rPr>
        <w:t>3</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短纤项目和凯赛（乌苏）生物</w:t>
      </w:r>
      <w:r>
        <w:rPr>
          <w:rFonts w:hint="eastAsia"/>
          <w:lang w:eastAsia="zh-CN"/>
        </w:rPr>
        <w:t>技术有限公司的</w:t>
      </w:r>
      <w:r>
        <w:rPr>
          <w:rFonts w:hint="eastAsia" w:ascii="Times New Roman" w:hAnsi="Times New Roman"/>
          <w:lang w:val="en-US" w:eastAsia="zh-CN"/>
        </w:rPr>
        <w:t>2</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长链聚酰胺项目。</w:t>
      </w:r>
      <w:r>
        <w:rPr>
          <w:rFonts w:hint="eastAsia"/>
          <w:color w:val="auto"/>
          <w:lang w:val="en-US" w:eastAsia="zh-CN"/>
        </w:rPr>
        <w:t>经与建设单位核实</w:t>
      </w:r>
      <w:r>
        <w:rPr>
          <w:rFonts w:hint="eastAsia"/>
          <w:color w:val="auto"/>
          <w:lang w:eastAsia="zh-CN"/>
        </w:rPr>
        <w:t>，本项目实施后，在确保</w:t>
      </w:r>
      <w:r>
        <w:rPr>
          <w:rFonts w:hint="eastAsia"/>
          <w:color w:val="auto"/>
          <w:lang w:val="en-US" w:eastAsia="zh-CN"/>
        </w:rPr>
        <w:t>凯赛（乌苏）生物</w:t>
      </w:r>
      <w:r>
        <w:rPr>
          <w:rFonts w:hint="eastAsia"/>
          <w:color w:val="auto"/>
          <w:lang w:eastAsia="zh-CN"/>
        </w:rPr>
        <w:t>技术有限公司</w:t>
      </w:r>
      <w:r>
        <w:rPr>
          <w:rFonts w:hint="eastAsia" w:ascii="Times New Roman" w:hAnsi="Times New Roman"/>
          <w:color w:val="auto"/>
          <w:lang w:val="en-US" w:eastAsia="zh-CN"/>
        </w:rPr>
        <w:t>2</w:t>
      </w:r>
      <w:r>
        <w:rPr>
          <w:rFonts w:hint="eastAsia"/>
          <w:color w:val="auto"/>
          <w:lang w:val="en-US" w:eastAsia="zh-CN"/>
        </w:rPr>
        <w:t>万</w:t>
      </w:r>
      <w:r>
        <w:rPr>
          <w:rFonts w:hint="eastAsia" w:ascii="Times New Roman" w:hAnsi="Times New Roman"/>
          <w:color w:val="auto"/>
          <w:lang w:val="en-US" w:eastAsia="zh-CN"/>
        </w:rPr>
        <w:t>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长链聚酰胺项目产能不变的情况下，</w:t>
      </w:r>
      <w:r>
        <w:rPr>
          <w:rFonts w:hint="eastAsia"/>
          <w:color w:val="auto"/>
          <w:lang w:eastAsia="zh-CN"/>
        </w:rPr>
        <w:t>现有工程生物基聚酰胺相应减产。</w:t>
      </w:r>
    </w:p>
    <w:p>
      <w:pPr>
        <w:rPr>
          <w:rFonts w:hint="eastAsia"/>
          <w:lang w:eastAsia="zh-CN"/>
        </w:rPr>
      </w:pPr>
      <w:r>
        <w:rPr>
          <w:rFonts w:hint="eastAsia"/>
          <w:lang w:eastAsia="zh-CN"/>
        </w:rPr>
        <w:t>（</w:t>
      </w:r>
      <w:r>
        <w:rPr>
          <w:rFonts w:hint="eastAsia" w:ascii="Times New Roman" w:hAnsi="Times New Roman"/>
          <w:lang w:val="en-US" w:eastAsia="zh-CN"/>
        </w:rPr>
        <w:t>3</w:t>
      </w:r>
      <w:r>
        <w:rPr>
          <w:rFonts w:hint="eastAsia"/>
          <w:lang w:eastAsia="zh-CN"/>
        </w:rPr>
        <w:t>）本项目</w:t>
      </w:r>
      <w:r>
        <w:rPr>
          <w:rFonts w:hint="eastAsia" w:ascii="Times New Roman" w:hAnsi="Times New Roman"/>
          <w:lang w:eastAsia="zh-CN"/>
        </w:rPr>
        <w:t>PD</w:t>
      </w:r>
      <w:r>
        <w:rPr>
          <w:rFonts w:hint="eastAsia"/>
          <w:lang w:eastAsia="zh-CN"/>
        </w:rPr>
        <w:t>生产工艺废气中的主要污染物为</w:t>
      </w:r>
      <w:r>
        <w:rPr>
          <w:rFonts w:hint="eastAsia" w:ascii="Times New Roman" w:hAnsi="Times New Roman"/>
          <w:lang w:val="en-US" w:eastAsia="zh-CN"/>
        </w:rPr>
        <w:t>VOCs</w:t>
      </w:r>
      <w:r>
        <w:rPr>
          <w:rFonts w:hint="eastAsia"/>
          <w:lang w:val="en-US" w:eastAsia="zh-CN"/>
        </w:rPr>
        <w:t>（以</w:t>
      </w:r>
      <w:r>
        <w:rPr>
          <w:rFonts w:hint="eastAsia" w:ascii="Times New Roman" w:hAnsi="Times New Roman"/>
          <w:lang w:val="en-US" w:eastAsia="zh-CN"/>
        </w:rPr>
        <w:t>NMHC</w:t>
      </w:r>
      <w:r>
        <w:rPr>
          <w:rFonts w:hint="eastAsia"/>
          <w:lang w:val="en-US" w:eastAsia="zh-CN"/>
        </w:rPr>
        <w:t>计）</w:t>
      </w:r>
      <w:r>
        <w:rPr>
          <w:rFonts w:hint="eastAsia"/>
          <w:lang w:eastAsia="zh-CN"/>
        </w:rPr>
        <w:t>和</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lang w:eastAsia="zh-CN"/>
        </w:rPr>
        <w:t>工艺尾气经冷凝后，不凝气依次通过尾气吸收塔（一级水吸收</w:t>
      </w:r>
      <w:r>
        <w:rPr>
          <w:rFonts w:hint="eastAsia"/>
          <w:lang w:val="en-US" w:eastAsia="zh-CN"/>
        </w:rPr>
        <w:t>+二级酸吸收</w:t>
      </w:r>
      <w:r>
        <w:rPr>
          <w:rFonts w:hint="eastAsia"/>
          <w:lang w:eastAsia="zh-CN"/>
        </w:rPr>
        <w:t>）处理后排放，水吸收液回用于动力站配置脱硫剂使用，酸吸收液回用于现有工程发酵工艺；本项目新增废水主要为装置地面冲洗废水和新增生活污水，纳入厂内现有污水处理系统处理。</w:t>
      </w:r>
    </w:p>
    <w:p>
      <w:pPr>
        <w:rPr>
          <w:rFonts w:hint="eastAsia"/>
          <w:lang w:eastAsia="zh-CN"/>
        </w:rPr>
      </w:pPr>
      <w:r>
        <w:rPr>
          <w:rFonts w:hint="eastAsia"/>
          <w:lang w:eastAsia="zh-CN"/>
        </w:rPr>
        <w:t>（</w:t>
      </w:r>
      <w:r>
        <w:rPr>
          <w:rFonts w:hint="eastAsia" w:ascii="Times New Roman" w:hAnsi="Times New Roman"/>
          <w:lang w:val="en-US" w:eastAsia="zh-CN"/>
        </w:rPr>
        <w:t>4</w:t>
      </w:r>
      <w:r>
        <w:rPr>
          <w:rFonts w:hint="eastAsia"/>
          <w:lang w:eastAsia="zh-CN"/>
        </w:rPr>
        <w:t>）由于本项目原料</w:t>
      </w:r>
      <w:r>
        <w:rPr>
          <w:rFonts w:hint="eastAsia" w:ascii="Times New Roman" w:hAnsi="Times New Roman"/>
          <w:lang w:val="en-US" w:eastAsia="zh-CN"/>
        </w:rPr>
        <w:t>DN</w:t>
      </w:r>
      <w:r>
        <w:rPr>
          <w:rFonts w:hint="eastAsia"/>
          <w:lang w:val="en-US" w:eastAsia="zh-CN"/>
        </w:rPr>
        <w:t>溶液</w:t>
      </w:r>
      <w:r>
        <w:rPr>
          <w:rFonts w:hint="eastAsia"/>
          <w:lang w:eastAsia="zh-CN"/>
        </w:rPr>
        <w:t>纯度高，且成品塔精馏温度较低（通常在</w:t>
      </w:r>
      <w:r>
        <w:rPr>
          <w:rFonts w:hint="eastAsia" w:ascii="Times New Roman" w:hAnsi="Times New Roman"/>
          <w:lang w:val="en-US" w:eastAsia="zh-CN"/>
        </w:rPr>
        <w:t>110</w:t>
      </w:r>
      <w:r>
        <w:rPr>
          <w:rFonts w:hint="eastAsia"/>
          <w:lang w:val="en-US" w:eastAsia="zh-CN"/>
        </w:rPr>
        <w:t>℃～</w:t>
      </w:r>
      <w:r>
        <w:rPr>
          <w:rFonts w:hint="eastAsia" w:ascii="Times New Roman" w:hAnsi="Times New Roman"/>
          <w:lang w:val="en-US" w:eastAsia="zh-CN"/>
        </w:rPr>
        <w:t>150</w:t>
      </w:r>
      <w:r>
        <w:rPr>
          <w:rFonts w:hint="eastAsia"/>
          <w:lang w:val="en-US" w:eastAsia="zh-CN"/>
        </w:rPr>
        <w:t>℃</w:t>
      </w:r>
      <w:r>
        <w:rPr>
          <w:rFonts w:hint="eastAsia"/>
          <w:lang w:eastAsia="zh-CN"/>
        </w:rPr>
        <w:t>），因此</w:t>
      </w:r>
      <w:r>
        <w:rPr>
          <w:rFonts w:hint="eastAsia" w:ascii="Times New Roman" w:hAnsi="Times New Roman"/>
          <w:lang w:eastAsia="zh-CN"/>
        </w:rPr>
        <w:t>PD</w:t>
      </w:r>
      <w:r>
        <w:rPr>
          <w:rFonts w:hint="eastAsia"/>
          <w:lang w:eastAsia="zh-CN"/>
        </w:rPr>
        <w:t>精馏过程不产生重组分残渣；本项目生产过程产生的固体废物主要为废催化剂，规范收集，在现有危险废物贮存库暂存，定期委托有资质的单位处理。</w:t>
      </w:r>
    </w:p>
    <w:bookmarkEnd w:id="24"/>
    <w:bookmarkEnd w:id="25"/>
    <w:p>
      <w:pPr>
        <w:pStyle w:val="4"/>
        <w:spacing w:before="156" w:after="156"/>
        <w:rPr>
          <w:rFonts w:hint="eastAsia"/>
        </w:rPr>
      </w:pPr>
      <w:bookmarkStart w:id="28" w:name="_Toc332975135"/>
      <w:bookmarkStart w:id="29" w:name="_Toc341867029"/>
      <w:bookmarkStart w:id="30" w:name="_Toc16728"/>
      <w:bookmarkStart w:id="31" w:name="_Toc2936"/>
      <w:r>
        <w:rPr>
          <w:rFonts w:hint="eastAsia" w:ascii="Times New Roman" w:hAnsi="Times New Roman"/>
        </w:rPr>
        <w:t>1</w:t>
      </w:r>
      <w:r>
        <w:rPr>
          <w:rFonts w:hint="eastAsia"/>
        </w:rPr>
        <w:t>.</w:t>
      </w:r>
      <w:r>
        <w:rPr>
          <w:rFonts w:hint="eastAsia" w:ascii="Times New Roman" w:hAnsi="Times New Roman"/>
        </w:rPr>
        <w:t>3</w:t>
      </w:r>
      <w:r>
        <w:rPr>
          <w:rFonts w:hint="eastAsia" w:ascii="Times New Roman" w:hAnsi="Times New Roman"/>
        </w:rPr>
        <w:t>环</w:t>
      </w:r>
      <w:r>
        <w:rPr>
          <w:rFonts w:hint="eastAsia"/>
        </w:rPr>
        <w:t>评工作过程</w:t>
      </w:r>
      <w:bookmarkEnd w:id="28"/>
      <w:bookmarkEnd w:id="29"/>
      <w:bookmarkEnd w:id="30"/>
      <w:bookmarkEnd w:id="31"/>
    </w:p>
    <w:p>
      <w:pPr>
        <w:ind w:firstLine="480"/>
        <w:rPr>
          <w:rFonts w:hAnsi="宋体"/>
        </w:rPr>
      </w:pPr>
      <w:r>
        <w:rPr>
          <w:rFonts w:hAnsi="宋体"/>
        </w:rPr>
        <w:t>根据《中华人民共和国环境保护法》、《中华人民共和国环境影响评价法》</w:t>
      </w:r>
      <w:r>
        <w:rPr>
          <w:rFonts w:hint="eastAsia" w:hAnsi="宋体"/>
          <w:lang w:eastAsia="zh-CN"/>
        </w:rPr>
        <w:t>、</w:t>
      </w:r>
      <w:r>
        <w:rPr>
          <w:rFonts w:hAnsi="宋体"/>
        </w:rPr>
        <w:t>《建设项目环境保护管理条例》</w:t>
      </w:r>
      <w:r>
        <w:rPr>
          <w:rFonts w:hint="eastAsia" w:hAnsi="宋体"/>
          <w:lang w:eastAsia="zh-CN"/>
        </w:rPr>
        <w:t>和《建设项目环境影响评价分类管理名录》（</w:t>
      </w:r>
      <w:r>
        <w:rPr>
          <w:rFonts w:hint="eastAsia" w:ascii="Times New Roman" w:hAnsi="Times New Roman"/>
          <w:lang w:val="en-US" w:eastAsia="zh-CN"/>
        </w:rPr>
        <w:t>2021</w:t>
      </w:r>
      <w:r>
        <w:rPr>
          <w:rFonts w:hint="eastAsia" w:hAnsi="宋体"/>
          <w:lang w:val="en-US" w:eastAsia="zh-CN"/>
        </w:rPr>
        <w:t>年版</w:t>
      </w:r>
      <w:r>
        <w:rPr>
          <w:rFonts w:hint="eastAsia" w:hAnsi="宋体"/>
          <w:lang w:eastAsia="zh-CN"/>
        </w:rPr>
        <w:t>）</w:t>
      </w:r>
      <w:r>
        <w:rPr>
          <w:rFonts w:hAnsi="宋体"/>
        </w:rPr>
        <w:t>，</w:t>
      </w:r>
      <w:r>
        <w:rPr>
          <w:rFonts w:hint="eastAsia" w:hAnsi="宋体"/>
          <w:lang w:eastAsia="zh-CN"/>
        </w:rPr>
        <w:t>本项目属于“</w:t>
      </w:r>
      <w:r>
        <w:rPr>
          <w:rFonts w:hint="eastAsia"/>
          <w:lang w:eastAsia="zh-CN"/>
        </w:rPr>
        <w:t>二十三、化学原料和化学制品制造业</w:t>
      </w:r>
      <w:r>
        <w:rPr>
          <w:rFonts w:hint="eastAsia"/>
          <w:lang w:val="en-US" w:eastAsia="zh-CN"/>
        </w:rPr>
        <w:t xml:space="preserve"> </w:t>
      </w:r>
      <w:r>
        <w:rPr>
          <w:rFonts w:hint="eastAsia" w:ascii="Times New Roman" w:hAnsi="Times New Roman"/>
          <w:lang w:val="en-US" w:eastAsia="zh-CN"/>
        </w:rPr>
        <w:t>26</w:t>
      </w:r>
      <w:r>
        <w:rPr>
          <w:rFonts w:hint="eastAsia"/>
          <w:lang w:val="en-US" w:eastAsia="zh-CN"/>
        </w:rPr>
        <w:t xml:space="preserve">基础化学原料制造 </w:t>
      </w:r>
      <w:r>
        <w:rPr>
          <w:rFonts w:hint="eastAsia" w:ascii="Times New Roman" w:hAnsi="Times New Roman"/>
          <w:lang w:val="en-US" w:eastAsia="zh-CN"/>
        </w:rPr>
        <w:t>261</w:t>
      </w:r>
      <w:r>
        <w:rPr>
          <w:rFonts w:hint="eastAsia" w:hAnsi="宋体"/>
          <w:lang w:eastAsia="zh-CN"/>
        </w:rPr>
        <w:t>”</w:t>
      </w:r>
      <w:r>
        <w:rPr>
          <w:rFonts w:hint="eastAsia"/>
          <w:lang w:eastAsia="zh-CN"/>
        </w:rPr>
        <w:t>，</w:t>
      </w:r>
      <w:r>
        <w:rPr>
          <w:rFonts w:hint="eastAsia" w:hAnsi="宋体"/>
          <w:lang w:eastAsia="zh-CN"/>
        </w:rPr>
        <w:t>应编制环境影响报告书。受</w:t>
      </w:r>
      <w:r>
        <w:rPr>
          <w:rFonts w:hint="eastAsia"/>
          <w:lang w:eastAsia="zh-CN"/>
        </w:rPr>
        <w:t>凯赛（乌苏）生物材料有限公司</w:t>
      </w:r>
      <w:r>
        <w:rPr>
          <w:rFonts w:hint="eastAsia" w:hAnsi="宋体"/>
        </w:rPr>
        <w:t>委托</w:t>
      </w:r>
      <w:r>
        <w:rPr>
          <w:rFonts w:hint="eastAsia" w:hAnsi="宋体"/>
          <w:lang w:eastAsia="zh-CN"/>
        </w:rPr>
        <w:t>，乌鲁木齐湘永丽景环保科技有限公司承担了</w:t>
      </w:r>
      <w:r>
        <w:rPr>
          <w:rFonts w:hint="eastAsia"/>
          <w:lang w:eastAsia="zh-CN"/>
        </w:rPr>
        <w:t>本</w:t>
      </w:r>
      <w:r>
        <w:rPr>
          <w:rFonts w:hint="eastAsia" w:hAnsi="宋体"/>
          <w:lang w:eastAsia="zh-CN"/>
        </w:rPr>
        <w:t>项目</w:t>
      </w:r>
      <w:r>
        <w:rPr>
          <w:rFonts w:hint="eastAsia" w:hAnsi="宋体"/>
        </w:rPr>
        <w:t>的环境影响评价工作</w:t>
      </w:r>
      <w:r>
        <w:rPr>
          <w:rFonts w:hAnsi="宋体"/>
        </w:rPr>
        <w:t>。</w:t>
      </w:r>
    </w:p>
    <w:p>
      <w:pPr>
        <w:ind w:firstLine="480"/>
        <w:rPr>
          <w:rFonts w:hAnsi="宋体"/>
        </w:rPr>
      </w:pPr>
      <w:r>
        <w:rPr>
          <w:rFonts w:hint="eastAsia"/>
        </w:rPr>
        <w:t>环境影响评价一般分为三个阶段，即调查分析和工作方案制定阶段，分析论证和预测评价阶段，环境影响报告书编制阶段。环境影响评价的工作程序见图</w:t>
      </w:r>
      <w:r>
        <w:rPr>
          <w:rFonts w:hint="eastAsia" w:ascii="Times New Roman" w:hAnsi="Times New Roman"/>
        </w:rPr>
        <w:t>1</w:t>
      </w:r>
      <w:r>
        <w:rPr>
          <w:rFonts w:hint="eastAsia"/>
        </w:rPr>
        <w:t>.</w:t>
      </w:r>
      <w:r>
        <w:rPr>
          <w:rFonts w:hint="eastAsia" w:ascii="Times New Roman" w:hAnsi="Times New Roman"/>
        </w:rPr>
        <w:t>3</w:t>
      </w:r>
      <w:r>
        <w:rPr>
          <w:rFonts w:hint="eastAsia"/>
        </w:rPr>
        <w:t>-</w:t>
      </w:r>
      <w:r>
        <w:rPr>
          <w:rFonts w:hint="eastAsia" w:ascii="Times New Roman" w:hAnsi="Times New Roman"/>
        </w:rPr>
        <w:t>1</w:t>
      </w:r>
      <w:r>
        <w:rPr>
          <w:rFonts w:hint="eastAsia"/>
        </w:rPr>
        <w:t>。</w:t>
      </w:r>
    </w:p>
    <w:p>
      <w:pPr>
        <w:ind w:firstLine="480"/>
        <w:rPr>
          <w:rFonts w:hint="eastAsia" w:ascii="黑体" w:hAnsi="黑体" w:eastAsia="黑体"/>
          <w:szCs w:val="24"/>
        </w:rPr>
      </w:pPr>
      <w:r>
        <w:rPr>
          <w:rFonts w:hint="eastAsia"/>
          <w:color w:val="auto"/>
        </w:rPr>
        <w:t>接受委托后，</w:t>
      </w:r>
      <w:r>
        <w:rPr>
          <w:rFonts w:hint="eastAsia"/>
          <w:color w:val="auto"/>
          <w:lang w:val="zh-CN"/>
        </w:rPr>
        <w:t>评价单位编制人员根据建设单位提供的相关文件和技术资料，对建设项目影响区域进行实地踏勘，依据环境影响评价技术导则的有关技术要求，展开深入细致的工作</w:t>
      </w:r>
      <w:r>
        <w:rPr>
          <w:rFonts w:hint="eastAsia"/>
          <w:color w:val="auto"/>
        </w:rPr>
        <w:t>，对评价区范围的自然环境进行了调查，收集了当地水文、地质、气象以及环境现状等资料，</w:t>
      </w:r>
      <w:r>
        <w:rPr>
          <w:rFonts w:hint="eastAsia"/>
          <w:color w:val="auto"/>
          <w:lang w:val="zh-CN"/>
        </w:rPr>
        <w:t>开展环境现状监测。建设单位开展了公众参与调查和公示，根据公众意见和建议，提出了相关的污染治理措施。根据建设项目工程分析，各环境要素的评价等级筛选及其相应评价等级要求，对各环境要素进行了环境影响预测和评价，本次评价提出了相应的环境保护措施并进行了论证，在此基础上</w:t>
      </w:r>
      <w:r>
        <w:rPr>
          <w:rFonts w:hint="eastAsia"/>
          <w:color w:val="auto"/>
        </w:rPr>
        <w:t>编制完成了《</w:t>
      </w:r>
      <w:r>
        <w:rPr>
          <w:rFonts w:hint="eastAsia"/>
          <w:color w:val="auto"/>
          <w:lang w:eastAsia="zh-CN"/>
        </w:rPr>
        <w:t>凯赛（乌苏）生物材料有限公司年产</w:t>
      </w:r>
      <w:r>
        <w:rPr>
          <w:rFonts w:hint="eastAsia" w:ascii="Times New Roman" w:hAnsi="Times New Roman"/>
          <w:color w:val="auto"/>
          <w:lang w:val="en-US" w:eastAsia="zh-CN"/>
        </w:rPr>
        <w:t>10000</w:t>
      </w:r>
      <w:r>
        <w:rPr>
          <w:rFonts w:hint="eastAsia"/>
          <w:color w:val="auto"/>
          <w:lang w:val="en-US" w:eastAsia="zh-CN"/>
        </w:rPr>
        <w:t>吨</w:t>
      </w:r>
      <w:r>
        <w:rPr>
          <w:rFonts w:hint="eastAsia" w:ascii="Times New Roman" w:hAnsi="Times New Roman"/>
          <w:color w:val="auto"/>
          <w:lang w:val="en-US" w:eastAsia="zh-CN"/>
        </w:rPr>
        <w:t>PD</w:t>
      </w:r>
      <w:r>
        <w:rPr>
          <w:rFonts w:hint="eastAsia"/>
          <w:color w:val="auto"/>
        </w:rPr>
        <w:t>项目环境影响报告书》，并提交生态环境主管部门</w:t>
      </w:r>
      <w:r>
        <w:rPr>
          <w:rFonts w:hint="eastAsia"/>
          <w:color w:val="auto"/>
          <w:lang w:eastAsia="zh-CN"/>
        </w:rPr>
        <w:t>审批</w:t>
      </w:r>
      <w:r>
        <w:rPr>
          <w:rFonts w:hint="eastAsia"/>
          <w:color w:val="auto"/>
        </w:rPr>
        <w:t>。</w:t>
      </w:r>
    </w:p>
    <w:p>
      <w:pPr>
        <w:pStyle w:val="20"/>
        <w:bidi w:val="0"/>
      </w:pPr>
      <w:r>
        <w:drawing>
          <wp:anchor distT="0" distB="0" distL="114300" distR="114300" simplePos="0" relativeHeight="251660288" behindDoc="0" locked="0" layoutInCell="1" allowOverlap="1">
            <wp:simplePos x="0" y="0"/>
            <wp:positionH relativeFrom="column">
              <wp:posOffset>353695</wp:posOffset>
            </wp:positionH>
            <wp:positionV relativeFrom="page">
              <wp:posOffset>2243455</wp:posOffset>
            </wp:positionV>
            <wp:extent cx="4937125" cy="6461125"/>
            <wp:effectExtent l="0" t="0" r="15875" b="15875"/>
            <wp:wrapTopAndBottom/>
            <wp:docPr id="1" name="图片 5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49" descr="IMG_256"/>
                    <pic:cNvPicPr>
                      <a:picLocks noChangeAspect="1"/>
                    </pic:cNvPicPr>
                  </pic:nvPicPr>
                  <pic:blipFill>
                    <a:blip r:embed="rId14"/>
                    <a:stretch>
                      <a:fillRect/>
                    </a:stretch>
                  </pic:blipFill>
                  <pic:spPr>
                    <a:xfrm>
                      <a:off x="0" y="0"/>
                      <a:ext cx="4937125" cy="6461125"/>
                    </a:xfrm>
                    <a:prstGeom prst="rect">
                      <a:avLst/>
                    </a:prstGeom>
                    <a:noFill/>
                    <a:ln>
                      <a:noFill/>
                    </a:ln>
                  </pic:spPr>
                </pic:pic>
              </a:graphicData>
            </a:graphic>
          </wp:anchor>
        </w:drawing>
      </w:r>
      <w:r>
        <w:rPr>
          <w:rFonts w:hint="eastAsia"/>
        </w:rPr>
        <w:t>图</w:t>
      </w:r>
      <w:r>
        <w:rPr>
          <w:rFonts w:hint="eastAsia" w:ascii="Times New Roman" w:hAnsi="Times New Roman"/>
        </w:rPr>
        <w:t>1</w:t>
      </w:r>
      <w:r>
        <w:rPr>
          <w:rFonts w:hint="eastAsia"/>
        </w:rPr>
        <w:t>.</w:t>
      </w:r>
      <w:r>
        <w:rPr>
          <w:rFonts w:hint="eastAsia" w:ascii="Times New Roman" w:hAnsi="Times New Roman"/>
        </w:rPr>
        <w:t>3</w:t>
      </w:r>
      <w:r>
        <w:rPr>
          <w:rFonts w:hint="eastAsia"/>
        </w:rPr>
        <w:t>-</w:t>
      </w:r>
      <w:r>
        <w:rPr>
          <w:rFonts w:hint="eastAsia" w:ascii="Times New Roman" w:hAnsi="Times New Roman"/>
        </w:rPr>
        <w:t>1</w:t>
      </w:r>
      <w:r>
        <w:rPr>
          <w:rFonts w:hint="eastAsia"/>
        </w:rPr>
        <w:t xml:space="preserve">     环境影响评价工作程序图</w:t>
      </w:r>
    </w:p>
    <w:p>
      <w:pPr>
        <w:rPr>
          <w:rFonts w:hAnsi="宋体"/>
          <w:sz w:val="32"/>
        </w:rPr>
        <w:sectPr>
          <w:footerReference r:id="rId8" w:type="default"/>
          <w:pgSz w:w="11906" w:h="16838"/>
          <w:pgMar w:top="1474" w:right="1474" w:bottom="1474" w:left="1474"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4"/>
        <w:spacing w:before="156" w:after="156"/>
        <w:rPr>
          <w:rFonts w:hint="eastAsia"/>
        </w:rPr>
      </w:pPr>
      <w:bookmarkStart w:id="32" w:name="_Toc500"/>
      <w:bookmarkStart w:id="33" w:name="_Toc3537"/>
      <w:r>
        <w:rPr>
          <w:rFonts w:hint="eastAsia" w:ascii="Times New Roman" w:hAnsi="Times New Roman"/>
        </w:rPr>
        <w:t>1</w:t>
      </w:r>
      <w:r>
        <w:rPr>
          <w:rFonts w:hint="eastAsia"/>
        </w:rPr>
        <w:t>.</w:t>
      </w:r>
      <w:r>
        <w:rPr>
          <w:rFonts w:hint="eastAsia" w:ascii="Times New Roman" w:hAnsi="Times New Roman"/>
        </w:rPr>
        <w:t>4</w:t>
      </w:r>
      <w:r>
        <w:rPr>
          <w:rFonts w:hint="eastAsia"/>
        </w:rPr>
        <w:t>分析判定相关情况</w:t>
      </w:r>
      <w:bookmarkEnd w:id="32"/>
      <w:bookmarkEnd w:id="33"/>
    </w:p>
    <w:p>
      <w:pPr>
        <w:pStyle w:val="5"/>
        <w:spacing w:before="156"/>
      </w:pPr>
      <w:r>
        <w:rPr>
          <w:rFonts w:hint="eastAsia" w:ascii="Times New Roman" w:hAnsi="Times New Roman"/>
        </w:rPr>
        <w:t>1</w:t>
      </w:r>
      <w:r>
        <w:rPr>
          <w:rFonts w:hint="eastAsia"/>
        </w:rPr>
        <w:t>.</w:t>
      </w:r>
      <w:r>
        <w:rPr>
          <w:rFonts w:hint="eastAsia" w:ascii="Times New Roman" w:hAnsi="Times New Roman"/>
        </w:rPr>
        <w:t>4</w:t>
      </w:r>
      <w:r>
        <w:rPr>
          <w:rFonts w:hint="eastAsia"/>
        </w:rPr>
        <w:t>.</w:t>
      </w:r>
      <w:r>
        <w:rPr>
          <w:rFonts w:hint="eastAsia" w:ascii="Times New Roman" w:hAnsi="Times New Roman"/>
        </w:rPr>
        <w:t>1</w:t>
      </w:r>
      <w:r>
        <w:rPr>
          <w:rFonts w:hint="eastAsia"/>
        </w:rPr>
        <w:t>产业政策符合性</w:t>
      </w:r>
    </w:p>
    <w:p>
      <w:pPr>
        <w:ind w:firstLine="480"/>
        <w:rPr>
          <w:rFonts w:hint="eastAsia"/>
          <w:lang w:val="en-US" w:eastAsia="zh-CN"/>
        </w:rPr>
      </w:pPr>
      <w:r>
        <w:rPr>
          <w:rFonts w:hint="eastAsia"/>
          <w:lang w:eastAsia="zh-CN"/>
        </w:rPr>
        <w:t>本项目利用现有工程的中间产品</w:t>
      </w:r>
      <w:r>
        <w:rPr>
          <w:rFonts w:hint="eastAsia" w:ascii="Times New Roman" w:hAnsi="Times New Roman"/>
          <w:lang w:val="en-US" w:eastAsia="zh-CN"/>
        </w:rPr>
        <w:t>DN</w:t>
      </w:r>
      <w:r>
        <w:rPr>
          <w:rFonts w:hint="eastAsia"/>
          <w:lang w:val="en-US" w:eastAsia="zh-CN"/>
        </w:rPr>
        <w:t>溶液</w:t>
      </w:r>
      <w:r>
        <w:rPr>
          <w:rFonts w:hint="eastAsia"/>
          <w:lang w:eastAsia="zh-CN"/>
        </w:rPr>
        <w:t>经催化环合反应生产下游的</w:t>
      </w:r>
      <w:r>
        <w:rPr>
          <w:rFonts w:hint="eastAsia" w:ascii="Times New Roman" w:hAnsi="Times New Roman"/>
          <w:lang w:eastAsia="zh-CN"/>
        </w:rPr>
        <w:t>PD</w:t>
      </w:r>
      <w:r>
        <w:rPr>
          <w:rFonts w:hint="eastAsia"/>
          <w:lang w:eastAsia="zh-CN"/>
        </w:rPr>
        <w:t>产品。根据</w:t>
      </w:r>
      <w:r>
        <w:rPr>
          <w:rFonts w:hint="eastAsia"/>
        </w:rPr>
        <w:t>《国民经济行业分类》（</w:t>
      </w:r>
      <w:r>
        <w:rPr>
          <w:rFonts w:hint="eastAsia" w:ascii="Times New Roman" w:hAnsi="Times New Roman"/>
        </w:rPr>
        <w:t>GB</w:t>
      </w:r>
      <w:r>
        <w:rPr>
          <w:rFonts w:hint="eastAsia"/>
        </w:rPr>
        <w:t>/</w:t>
      </w:r>
      <w:r>
        <w:rPr>
          <w:rFonts w:hint="eastAsia" w:ascii="Times New Roman" w:hAnsi="Times New Roman"/>
        </w:rPr>
        <w:t>T4754</w:t>
      </w:r>
      <w:r>
        <w:rPr>
          <w:rFonts w:hint="eastAsia"/>
        </w:rPr>
        <w:t>-</w:t>
      </w:r>
      <w:r>
        <w:rPr>
          <w:rFonts w:hint="eastAsia" w:ascii="Times New Roman" w:hAnsi="Times New Roman"/>
        </w:rPr>
        <w:t>2017</w:t>
      </w:r>
      <w:r>
        <w:rPr>
          <w:rFonts w:hint="eastAsia"/>
        </w:rPr>
        <w:t>），本项目</w:t>
      </w:r>
      <w:r>
        <w:rPr>
          <w:rFonts w:hint="eastAsia"/>
          <w:lang w:eastAsia="zh-CN"/>
        </w:rPr>
        <w:t>属于化学原料和化学制品制造业（</w:t>
      </w:r>
      <w:r>
        <w:rPr>
          <w:rFonts w:hint="eastAsia" w:ascii="Times New Roman" w:hAnsi="Times New Roman"/>
          <w:lang w:val="en-US" w:eastAsia="zh-CN"/>
        </w:rPr>
        <w:t>C2619</w:t>
      </w:r>
      <w:r>
        <w:rPr>
          <w:rFonts w:hint="eastAsia"/>
          <w:lang w:val="en-US" w:eastAsia="zh-CN"/>
        </w:rPr>
        <w:t>其他基础</w:t>
      </w:r>
      <w:r>
        <w:rPr>
          <w:rFonts w:hint="eastAsia"/>
          <w:lang w:eastAsia="zh-CN"/>
        </w:rPr>
        <w:t>化学原料制造）。</w:t>
      </w:r>
      <w:r>
        <w:rPr>
          <w:rFonts w:hint="eastAsia"/>
        </w:rPr>
        <w:t>根据《产业结构调整指导目录（</w:t>
      </w:r>
      <w:r>
        <w:rPr>
          <w:rFonts w:hint="eastAsia" w:ascii="Times New Roman" w:hAnsi="Times New Roman"/>
        </w:rPr>
        <w:t>201</w:t>
      </w:r>
      <w:r>
        <w:rPr>
          <w:rFonts w:hint="eastAsia" w:ascii="Times New Roman" w:hAnsi="Times New Roman"/>
          <w:lang w:val="en-US" w:eastAsia="zh-CN"/>
        </w:rPr>
        <w:t>9</w:t>
      </w:r>
      <w:r>
        <w:rPr>
          <w:rFonts w:hint="eastAsia"/>
        </w:rPr>
        <w:t>年本）》</w:t>
      </w:r>
      <w:r>
        <w:rPr>
          <w:rFonts w:hint="eastAsia"/>
          <w:lang w:eastAsia="zh-CN"/>
        </w:rPr>
        <w:t>，本项目</w:t>
      </w:r>
      <w:r>
        <w:rPr>
          <w:rFonts w:hint="eastAsia"/>
          <w:lang w:val="en-US" w:eastAsia="zh-CN"/>
        </w:rPr>
        <w:t>不属于鼓励类、限制类和淘汰类，属于允许类。</w:t>
      </w:r>
    </w:p>
    <w:p>
      <w:pPr>
        <w:bidi w:val="0"/>
        <w:rPr>
          <w:rFonts w:hint="eastAsia"/>
          <w:lang w:val="en-US" w:eastAsia="zh-CN"/>
        </w:rPr>
      </w:pPr>
      <w:r>
        <w:rPr>
          <w:rFonts w:hint="eastAsia"/>
          <w:lang w:val="en-US" w:eastAsia="zh-CN"/>
        </w:rPr>
        <w:t>根据《环境保护综合名录（</w:t>
      </w:r>
      <w:r>
        <w:rPr>
          <w:rFonts w:hint="eastAsia" w:ascii="Times New Roman" w:hAnsi="Times New Roman"/>
          <w:lang w:val="en-US" w:eastAsia="zh-CN"/>
        </w:rPr>
        <w:t>2021</w:t>
      </w:r>
      <w:r>
        <w:rPr>
          <w:rFonts w:hint="eastAsia"/>
          <w:lang w:val="en-US" w:eastAsia="zh-CN"/>
        </w:rPr>
        <w:t>年版）》，</w:t>
      </w:r>
      <w:r>
        <w:rPr>
          <w:rFonts w:hint="eastAsia" w:ascii="Times New Roman" w:hAnsi="Times New Roman"/>
          <w:lang w:val="en-US" w:eastAsia="zh-CN"/>
        </w:rPr>
        <w:t>DN</w:t>
      </w:r>
      <w:r>
        <w:rPr>
          <w:rFonts w:hint="eastAsia"/>
          <w:lang w:val="en-US" w:eastAsia="zh-CN"/>
        </w:rPr>
        <w:t>溶液、</w:t>
      </w:r>
      <w:r>
        <w:rPr>
          <w:rFonts w:hint="eastAsia" w:ascii="Times New Roman" w:hAnsi="Times New Roman"/>
          <w:lang w:val="en-US" w:eastAsia="zh-CN"/>
        </w:rPr>
        <w:t>PD</w:t>
      </w:r>
      <w:r>
        <w:rPr>
          <w:rFonts w:hint="eastAsia"/>
          <w:lang w:val="en-US" w:eastAsia="zh-CN"/>
        </w:rPr>
        <w:t>均不属于高环境风险产品。</w:t>
      </w:r>
    </w:p>
    <w:p>
      <w:pPr>
        <w:bidi w:val="0"/>
        <w:rPr>
          <w:rFonts w:hint="eastAsia"/>
          <w:lang w:val="en-US" w:eastAsia="zh-CN"/>
        </w:rPr>
      </w:pPr>
      <w:r>
        <w:rPr>
          <w:rFonts w:hint="eastAsia"/>
          <w:lang w:val="en-US" w:eastAsia="zh-CN"/>
        </w:rPr>
        <w:t>根据《市场准入负面清单》（</w:t>
      </w:r>
      <w:r>
        <w:rPr>
          <w:rFonts w:hint="eastAsia" w:ascii="Times New Roman" w:hAnsi="Times New Roman"/>
          <w:lang w:val="en-US" w:eastAsia="zh-CN"/>
        </w:rPr>
        <w:t>2022</w:t>
      </w:r>
      <w:r>
        <w:rPr>
          <w:rFonts w:hint="eastAsia"/>
          <w:lang w:val="en-US" w:eastAsia="zh-CN"/>
        </w:rPr>
        <w:t>年版），本项目不属于禁止或许可事项。</w:t>
      </w:r>
    </w:p>
    <w:p>
      <w:pPr>
        <w:bidi w:val="0"/>
        <w:rPr>
          <w:rFonts w:hint="eastAsia"/>
          <w:lang w:val="en-US" w:eastAsia="zh-CN"/>
        </w:rPr>
      </w:pPr>
      <w:r>
        <w:rPr>
          <w:rFonts w:hint="eastAsia"/>
          <w:lang w:val="en-US" w:eastAsia="zh-CN"/>
        </w:rPr>
        <w:t>根据国家统计局《战略性新兴产业分类（</w:t>
      </w:r>
      <w:r>
        <w:rPr>
          <w:rFonts w:hint="eastAsia" w:ascii="Times New Roman" w:hAnsi="Times New Roman"/>
          <w:lang w:val="en-US" w:eastAsia="zh-CN"/>
        </w:rPr>
        <w:t>2018</w:t>
      </w:r>
      <w:r>
        <w:rPr>
          <w:rFonts w:hint="eastAsia"/>
          <w:lang w:val="en-US" w:eastAsia="zh-CN"/>
        </w:rPr>
        <w:t>）》，生物产业主要包括生物医药、生物农业、生物制造等，属于国家七大战略新兴产业之一。本</w:t>
      </w:r>
      <w:r>
        <w:rPr>
          <w:rFonts w:hint="eastAsia"/>
          <w:kern w:val="24"/>
          <w:sz w:val="24"/>
          <w:lang w:eastAsia="zh-CN"/>
        </w:rPr>
        <w:t>项目属于生物化学延伸的下游产业，生产</w:t>
      </w:r>
      <w:r>
        <w:rPr>
          <w:rFonts w:hint="eastAsia" w:ascii="Times New Roman" w:hAnsi="Times New Roman"/>
          <w:kern w:val="24"/>
          <w:sz w:val="24"/>
          <w:lang w:val="en-US" w:eastAsia="zh-CN"/>
        </w:rPr>
        <w:t>PD</w:t>
      </w:r>
      <w:r>
        <w:rPr>
          <w:rFonts w:hint="eastAsia"/>
          <w:kern w:val="24"/>
          <w:sz w:val="24"/>
          <w:lang w:eastAsia="zh-CN"/>
        </w:rPr>
        <w:t>产品，采用的工艺技术世界领先。因此本项目不涉及限制、淘汰类的生产工艺和装备，符合国家产业政策</w:t>
      </w:r>
      <w:r>
        <w:rPr>
          <w:rFonts w:hint="eastAsia"/>
          <w:lang w:val="en-US" w:eastAsia="zh-CN"/>
        </w:rPr>
        <w:t>。</w:t>
      </w:r>
    </w:p>
    <w:p>
      <w:pPr>
        <w:bidi w:val="0"/>
        <w:rPr>
          <w:rFonts w:hint="default"/>
          <w:lang w:val="en-US" w:eastAsia="zh-CN"/>
        </w:rPr>
      </w:pPr>
      <w:r>
        <w:rPr>
          <w:rFonts w:hint="eastAsia"/>
          <w:lang w:val="en-US" w:eastAsia="zh-CN"/>
        </w:rPr>
        <w:t>本项目已在乌苏市发展和改革委员会备案，符合地方产业政策。</w:t>
      </w:r>
    </w:p>
    <w:p>
      <w:pPr>
        <w:pStyle w:val="5"/>
        <w:spacing w:before="156"/>
      </w:pPr>
      <w:r>
        <w:rPr>
          <w:rFonts w:hint="eastAsia" w:ascii="Times New Roman" w:hAnsi="Times New Roman"/>
        </w:rPr>
        <w:t>1</w:t>
      </w:r>
      <w:r>
        <w:rPr>
          <w:rFonts w:hint="eastAsia"/>
        </w:rPr>
        <w:t>.</w:t>
      </w:r>
      <w:r>
        <w:rPr>
          <w:rFonts w:hint="eastAsia" w:ascii="Times New Roman" w:hAnsi="Times New Roman"/>
        </w:rPr>
        <w:t>4</w:t>
      </w:r>
      <w:r>
        <w:rPr>
          <w:rFonts w:hint="eastAsia"/>
        </w:rPr>
        <w:t>.</w:t>
      </w:r>
      <w:r>
        <w:rPr>
          <w:rFonts w:hint="eastAsia" w:ascii="Times New Roman" w:hAnsi="Times New Roman"/>
          <w:lang w:val="en-US" w:eastAsia="zh-CN"/>
        </w:rPr>
        <w:t>2</w:t>
      </w:r>
      <w:r>
        <w:rPr>
          <w:rFonts w:hint="eastAsia"/>
        </w:rPr>
        <w:t>敏感目标调查</w:t>
      </w:r>
    </w:p>
    <w:p>
      <w:r>
        <w:rPr>
          <w:rFonts w:hint="eastAsia"/>
        </w:rPr>
        <w:t>本项目选</w:t>
      </w:r>
      <w:r>
        <w:rPr>
          <w:rFonts w:hint="eastAsia"/>
          <w:color w:val="auto"/>
        </w:rPr>
        <w:t>址位于</w:t>
      </w:r>
      <w:r>
        <w:rPr>
          <w:rFonts w:hint="eastAsia"/>
          <w:color w:val="auto"/>
          <w:lang w:eastAsia="zh-CN"/>
        </w:rPr>
        <w:t>乌苏工业园区西区</w:t>
      </w:r>
      <w:r>
        <w:rPr>
          <w:rFonts w:hint="eastAsia"/>
          <w:color w:val="auto"/>
        </w:rPr>
        <w:t>，</w:t>
      </w:r>
      <w:r>
        <w:rPr>
          <w:rFonts w:hint="eastAsia"/>
          <w:color w:val="auto"/>
          <w:lang w:eastAsia="zh-CN"/>
        </w:rPr>
        <w:t>凯赛（乌苏）生物材料有限公司厂区预留地，属于工业用地</w:t>
      </w:r>
      <w:r>
        <w:rPr>
          <w:rFonts w:hint="eastAsia"/>
          <w:color w:val="auto"/>
        </w:rPr>
        <w:t>，</w:t>
      </w:r>
      <w:r>
        <w:rPr>
          <w:rFonts w:hint="eastAsia"/>
          <w:color w:val="auto"/>
          <w:lang w:eastAsia="zh-CN"/>
        </w:rPr>
        <w:t>周边主要为工业企业，不涉及《建设项目环境影响评价分类管理名录（</w:t>
      </w:r>
      <w:r>
        <w:rPr>
          <w:rFonts w:hint="eastAsia" w:ascii="Times New Roman" w:hAnsi="Times New Roman"/>
          <w:color w:val="auto"/>
          <w:lang w:val="en-US" w:eastAsia="zh-CN"/>
        </w:rPr>
        <w:t>2021</w:t>
      </w:r>
      <w:r>
        <w:rPr>
          <w:rFonts w:hint="eastAsia"/>
          <w:color w:val="auto"/>
          <w:lang w:val="en-US" w:eastAsia="zh-CN"/>
        </w:rPr>
        <w:t>年版</w:t>
      </w:r>
      <w:r>
        <w:rPr>
          <w:rFonts w:hint="eastAsia"/>
          <w:color w:val="auto"/>
          <w:lang w:eastAsia="zh-CN"/>
        </w:rPr>
        <w:t>）》界定的环境敏感区。本</w:t>
      </w:r>
      <w:r>
        <w:rPr>
          <w:rFonts w:hint="eastAsia"/>
          <w:color w:val="auto"/>
        </w:rPr>
        <w:t>项目</w:t>
      </w:r>
      <w:r>
        <w:rPr>
          <w:rFonts w:hint="eastAsia"/>
          <w:color w:val="auto"/>
          <w:lang w:eastAsia="zh-CN"/>
        </w:rPr>
        <w:t>所在区域主导风向不明显，地下水流向总体由南向北，周边最近的环境敏感目标为厂区东侧约</w:t>
      </w:r>
      <w:r>
        <w:rPr>
          <w:rFonts w:hint="eastAsia" w:ascii="Times New Roman" w:hAnsi="Times New Roman"/>
          <w:color w:val="auto"/>
          <w:lang w:val="en-US" w:eastAsia="zh-CN"/>
        </w:rPr>
        <w:t>970m</w:t>
      </w:r>
      <w:r>
        <w:rPr>
          <w:rFonts w:hint="eastAsia"/>
          <w:color w:val="auto"/>
          <w:lang w:eastAsia="zh-CN"/>
        </w:rPr>
        <w:t>的园区办公室</w:t>
      </w:r>
      <w:r>
        <w:rPr>
          <w:rFonts w:hint="eastAsia"/>
        </w:rPr>
        <w:t>，</w:t>
      </w:r>
      <w:r>
        <w:rPr>
          <w:rFonts w:hint="eastAsia"/>
          <w:lang w:eastAsia="zh-CN"/>
        </w:rPr>
        <w:t>厂区东南侧约</w:t>
      </w:r>
      <w:r>
        <w:rPr>
          <w:rFonts w:hint="eastAsia" w:ascii="Times New Roman" w:hAnsi="Times New Roman"/>
          <w:lang w:val="en-US" w:eastAsia="zh-CN"/>
        </w:rPr>
        <w:t>2900m</w:t>
      </w:r>
      <w:r>
        <w:rPr>
          <w:rFonts w:hint="eastAsia"/>
          <w:lang w:val="en-US" w:eastAsia="zh-CN"/>
        </w:rPr>
        <w:t>的牧民新村和厂区西北侧约</w:t>
      </w:r>
      <w:r>
        <w:rPr>
          <w:rFonts w:hint="eastAsia" w:ascii="Times New Roman" w:hAnsi="Times New Roman"/>
          <w:lang w:val="en-US" w:eastAsia="zh-CN"/>
        </w:rPr>
        <w:t>2530m</w:t>
      </w:r>
      <w:r>
        <w:rPr>
          <w:rFonts w:hint="eastAsia"/>
          <w:lang w:val="en-US" w:eastAsia="zh-CN"/>
        </w:rPr>
        <w:t>的哈尔扎木村</w:t>
      </w:r>
      <w:r>
        <w:rPr>
          <w:rFonts w:hint="eastAsia"/>
        </w:rPr>
        <w:t>。</w:t>
      </w:r>
    </w:p>
    <w:p>
      <w:pPr>
        <w:pStyle w:val="5"/>
        <w:bidi w:val="0"/>
        <w:rPr>
          <w:rFonts w:hint="default"/>
          <w:lang w:val="en-US" w:eastAsia="zh-CN"/>
        </w:rPr>
      </w:pP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lang w:val="en-US" w:eastAsia="zh-CN"/>
        </w:rPr>
        <w:t>规划符合性分析</w:t>
      </w:r>
    </w:p>
    <w:p>
      <w:pPr>
        <w:pStyle w:val="6"/>
        <w:bidi w:val="0"/>
        <w:rPr>
          <w:rFonts w:hint="default"/>
          <w:lang w:val="en-US" w:eastAsia="zh-CN"/>
        </w:rPr>
      </w:pP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国家及地区相关规划符合性</w:t>
      </w:r>
    </w:p>
    <w:p>
      <w:pPr>
        <w:rPr>
          <w:rFonts w:hint="eastAsia"/>
          <w:color w:val="auto"/>
          <w:lang w:eastAsia="zh-CN"/>
        </w:rPr>
      </w:pPr>
      <w:r>
        <w:rPr>
          <w:rFonts w:hint="eastAsia"/>
          <w:color w:val="auto"/>
          <w:lang w:eastAsia="zh-CN"/>
        </w:rPr>
        <w:t>（</w:t>
      </w:r>
      <w:r>
        <w:rPr>
          <w:rFonts w:hint="eastAsia" w:ascii="Times New Roman" w:hAnsi="Times New Roman"/>
          <w:color w:val="auto"/>
          <w:lang w:val="en-US" w:eastAsia="zh-CN"/>
        </w:rPr>
        <w:t>1</w:t>
      </w:r>
      <w:r>
        <w:rPr>
          <w:rFonts w:hint="eastAsia"/>
          <w:color w:val="auto"/>
          <w:lang w:eastAsia="zh-CN"/>
        </w:rPr>
        <w:t>）项目与《“十四五”工业绿色发展规划》符合性</w:t>
      </w:r>
    </w:p>
    <w:p>
      <w:pPr>
        <w:rPr>
          <w:rFonts w:hint="default"/>
          <w:color w:val="auto"/>
          <w:lang w:val="en-US" w:eastAsia="zh-CN"/>
        </w:rPr>
      </w:pPr>
      <w:r>
        <w:rPr>
          <w:rFonts w:hint="eastAsia"/>
          <w:color w:val="auto"/>
          <w:lang w:val="en-US" w:eastAsia="zh-CN"/>
        </w:rPr>
        <w:t>本项目与</w:t>
      </w:r>
      <w:r>
        <w:rPr>
          <w:rFonts w:hint="eastAsia"/>
          <w:color w:val="auto"/>
          <w:lang w:eastAsia="zh-CN"/>
        </w:rPr>
        <w:t>《“</w:t>
      </w:r>
      <w:r>
        <w:rPr>
          <w:rFonts w:hint="eastAsia"/>
          <w:color w:val="auto"/>
          <w:lang w:val="en-US" w:eastAsia="zh-CN"/>
        </w:rPr>
        <w:t>十四五</w:t>
      </w:r>
      <w:r>
        <w:rPr>
          <w:rFonts w:hint="eastAsia"/>
          <w:color w:val="auto"/>
          <w:lang w:eastAsia="zh-CN"/>
        </w:rPr>
        <w:t>”</w:t>
      </w:r>
      <w:r>
        <w:rPr>
          <w:rFonts w:hint="eastAsia"/>
          <w:color w:val="auto"/>
          <w:lang w:val="en-US" w:eastAsia="zh-CN"/>
        </w:rPr>
        <w:t>工业绿色发展规划</w:t>
      </w:r>
      <w:r>
        <w:rPr>
          <w:rFonts w:hint="eastAsia"/>
          <w:color w:val="auto"/>
          <w:lang w:eastAsia="zh-CN"/>
        </w:rPr>
        <w:t>》（</w:t>
      </w:r>
      <w:r>
        <w:rPr>
          <w:rFonts w:hint="eastAsia"/>
          <w:color w:val="auto"/>
          <w:lang w:val="en-US" w:eastAsia="zh-CN"/>
        </w:rPr>
        <w:t>工信部规[</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178</w:t>
      </w:r>
      <w:r>
        <w:rPr>
          <w:rFonts w:hint="eastAsia"/>
          <w:color w:val="auto"/>
          <w:lang w:val="en-US" w:eastAsia="zh-CN"/>
        </w:rPr>
        <w:t>号</w:t>
      </w:r>
      <w:r>
        <w:rPr>
          <w:rFonts w:hint="eastAsia"/>
          <w:color w:val="auto"/>
          <w:lang w:eastAsia="zh-CN"/>
        </w:rPr>
        <w:t>）</w:t>
      </w:r>
      <w:r>
        <w:rPr>
          <w:rFonts w:hint="eastAsia"/>
          <w:color w:val="auto"/>
          <w:lang w:val="en-US" w:eastAsia="zh-CN"/>
        </w:rPr>
        <w:t>符合性分析见表</w:t>
      </w: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4</w:t>
      </w:r>
      <w:r>
        <w:rPr>
          <w:rFonts w:hint="eastAsia"/>
          <w:color w:val="auto"/>
          <w:lang w:val="en-US" w:eastAsia="zh-CN"/>
        </w:rPr>
        <w:t>-</w:t>
      </w:r>
      <w:r>
        <w:rPr>
          <w:rFonts w:hint="eastAsia" w:ascii="Times New Roman" w:hAnsi="Times New Roman" w:cs="Times New Roman"/>
          <w:color w:val="auto"/>
          <w:lang w:val="en-US" w:eastAsia="zh-CN"/>
        </w:rPr>
        <w:t>1</w:t>
      </w:r>
      <w:r>
        <w:rPr>
          <w:rFonts w:hint="eastAsia"/>
          <w:color w:val="auto"/>
          <w:lang w:val="en-US" w:eastAsia="zh-CN"/>
        </w:rPr>
        <w:t>。</w:t>
      </w:r>
    </w:p>
    <w:p>
      <w:pPr>
        <w:pStyle w:val="20"/>
        <w:spacing w:before="156" w:line="240" w:lineRule="auto"/>
        <w:rPr>
          <w:rFonts w:ascii="Times New Roman" w:hAnsi="Times New Roman"/>
          <w:color w:val="auto"/>
        </w:rPr>
      </w:pPr>
    </w:p>
    <w:p>
      <w:pPr>
        <w:pStyle w:val="20"/>
        <w:spacing w:before="156" w:line="240" w:lineRule="auto"/>
        <w:rPr>
          <w:rFonts w:ascii="Times New Roman" w:hAnsi="Times New Roman"/>
          <w:color w:val="auto"/>
        </w:rPr>
      </w:pPr>
    </w:p>
    <w:p>
      <w:pPr>
        <w:pStyle w:val="20"/>
        <w:spacing w:before="156" w:line="240" w:lineRule="auto"/>
        <w:rPr>
          <w:rFonts w:ascii="Times New Roman" w:hAnsi="Times New Roman"/>
          <w:color w:val="auto"/>
        </w:rPr>
      </w:pPr>
      <w:r>
        <w:rPr>
          <w:rFonts w:ascii="Times New Roman" w:hAnsi="Times New Roman"/>
          <w:color w:val="auto"/>
        </w:rPr>
        <w:t>表</w:t>
      </w:r>
      <w:r>
        <w:rPr>
          <w:rFonts w:ascii="Times New Roman" w:hAnsi="Times New Roman" w:cs="Times New Roman"/>
          <w:color w:val="auto"/>
        </w:rPr>
        <w:t>1</w:t>
      </w:r>
      <w:r>
        <w:rPr>
          <w:rFonts w:ascii="Times New Roman" w:hAnsi="Times New Roman"/>
          <w:color w:val="auto"/>
        </w:rPr>
        <w:t>.</w:t>
      </w:r>
      <w:r>
        <w:rPr>
          <w:rFonts w:ascii="Times New Roman" w:hAnsi="Times New Roman" w:cs="Times New Roman"/>
          <w:color w:val="auto"/>
        </w:rPr>
        <w:t>4</w:t>
      </w:r>
      <w:r>
        <w:rPr>
          <w:rFonts w:ascii="Times New Roman" w:hAnsi="Times New Roman"/>
          <w:color w:val="auto"/>
        </w:rPr>
        <w:t>-</w:t>
      </w:r>
      <w:r>
        <w:rPr>
          <w:rFonts w:hint="eastAsia" w:ascii="Times New Roman" w:hAnsi="Times New Roman" w:cs="Times New Roman"/>
          <w:color w:val="auto"/>
          <w:lang w:val="en-US" w:eastAsia="zh-CN"/>
        </w:rPr>
        <w:t>1</w:t>
      </w:r>
      <w:r>
        <w:rPr>
          <w:rFonts w:ascii="Times New Roman" w:hAnsi="Times New Roman"/>
          <w:color w:val="auto"/>
        </w:rPr>
        <w:t xml:space="preserve">  </w:t>
      </w:r>
      <w:r>
        <w:rPr>
          <w:rFonts w:hint="eastAsia" w:ascii="Times New Roman" w:hAnsi="Times New Roman"/>
          <w:color w:val="auto"/>
          <w:lang w:eastAsia="zh-CN"/>
        </w:rPr>
        <w:t>本</w:t>
      </w:r>
      <w:r>
        <w:rPr>
          <w:rFonts w:ascii="Times New Roman" w:hAnsi="Times New Roman"/>
          <w:color w:val="auto"/>
        </w:rPr>
        <w:t>项目与</w:t>
      </w:r>
      <w:r>
        <w:rPr>
          <w:rFonts w:hint="eastAsia" w:ascii="Times New Roman" w:hAnsi="Times New Roman"/>
          <w:color w:val="auto"/>
          <w:lang w:val="en-US" w:eastAsia="zh-CN"/>
        </w:rPr>
        <w:t>《“十四五”工业绿色发展规划》</w:t>
      </w:r>
      <w:r>
        <w:rPr>
          <w:rFonts w:ascii="Times New Roman" w:hAnsi="Times New Roman"/>
          <w:color w:val="auto"/>
        </w:rPr>
        <w:t>符合性分析</w:t>
      </w:r>
    </w:p>
    <w:tbl>
      <w:tblPr>
        <w:tblStyle w:val="80"/>
        <w:tblW w:w="89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7"/>
        <w:gridCol w:w="5612"/>
        <w:gridCol w:w="2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7" w:type="dxa"/>
            <w:vAlign w:val="center"/>
          </w:tcPr>
          <w:p>
            <w:pPr>
              <w:spacing w:line="240" w:lineRule="auto"/>
              <w:ind w:firstLine="0"/>
              <w:jc w:val="center"/>
              <w:rPr>
                <w:rFonts w:ascii="Times New Roman"/>
                <w:color w:val="auto"/>
                <w:sz w:val="21"/>
                <w:szCs w:val="21"/>
              </w:rPr>
            </w:pPr>
            <w:r>
              <w:rPr>
                <w:rFonts w:ascii="Times New Roman"/>
                <w:color w:val="auto"/>
                <w:sz w:val="21"/>
                <w:szCs w:val="21"/>
              </w:rPr>
              <w:t>类别</w:t>
            </w:r>
          </w:p>
        </w:tc>
        <w:tc>
          <w:tcPr>
            <w:tcW w:w="5612" w:type="dxa"/>
            <w:vAlign w:val="center"/>
          </w:tcPr>
          <w:p>
            <w:pPr>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规划要求</w:t>
            </w:r>
          </w:p>
        </w:tc>
        <w:tc>
          <w:tcPr>
            <w:tcW w:w="2476" w:type="dxa"/>
            <w:vAlign w:val="center"/>
          </w:tcPr>
          <w:p>
            <w:pPr>
              <w:spacing w:line="240" w:lineRule="auto"/>
              <w:ind w:firstLine="0"/>
              <w:jc w:val="center"/>
              <w:rPr>
                <w:rFonts w:ascii="Times New Roman"/>
                <w:color w:val="auto"/>
                <w:sz w:val="21"/>
                <w:szCs w:val="21"/>
              </w:rPr>
            </w:pPr>
            <w:r>
              <w:rPr>
                <w:rFonts w:ascii="Times New Roman"/>
                <w:color w:val="auto"/>
                <w:sz w:val="21"/>
                <w:szCs w:val="21"/>
              </w:rPr>
              <w:t>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7" w:type="dxa"/>
            <w:vAlign w:val="center"/>
          </w:tcPr>
          <w:p>
            <w:pPr>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推进产业结构高端化转型</w:t>
            </w:r>
          </w:p>
        </w:tc>
        <w:tc>
          <w:tcPr>
            <w:tcW w:w="5612" w:type="dxa"/>
            <w:vAlign w:val="center"/>
          </w:tcPr>
          <w:p>
            <w:pPr>
              <w:pStyle w:val="73"/>
              <w:widowControl/>
              <w:pBdr>
                <w:top w:val="none" w:color="auto" w:sz="0" w:space="0"/>
                <w:left w:val="none" w:color="auto" w:sz="0" w:space="0"/>
                <w:bottom w:val="none" w:color="auto" w:sz="0" w:space="0"/>
                <w:right w:val="none" w:color="auto" w:sz="0" w:space="0"/>
              </w:pBdr>
              <w:shd w:val="clear" w:color="060000" w:fill="FFFFFF"/>
              <w:spacing w:before="0" w:beforeAutospacing="0" w:after="0" w:afterAutospacing="0" w:line="300" w:lineRule="atLeast"/>
              <w:ind w:left="0" w:leftChars="0" w:right="0" w:firstLine="0" w:firstLineChars="0"/>
              <w:jc w:val="both"/>
              <w:rPr>
                <w:rFonts w:hint="default" w:ascii="Times New Roman" w:eastAsia="宋体"/>
                <w:color w:val="auto"/>
                <w:sz w:val="21"/>
                <w:szCs w:val="21"/>
                <w:lang w:val="en-US" w:eastAsia="zh-CN"/>
              </w:rPr>
            </w:pPr>
            <w:r>
              <w:rPr>
                <w:rFonts w:hint="eastAsia" w:ascii="Times New Roman"/>
                <w:color w:val="auto"/>
                <w:sz w:val="21"/>
                <w:szCs w:val="21"/>
                <w:lang w:val="en-US" w:eastAsia="zh-CN"/>
              </w:rPr>
              <w:t>壮大绿色环保战略性新兴产业：着力打造能源资源消耗低、环境污染少、附加值高、市场需求旺盛的产业发展新引擎，加快发展新能源、新材料、新能源汽车、绿色智能船舶、绿色环保、高端装备、能源电子等战略性新兴产业，带动整个经济社会的低碳发展。</w:t>
            </w:r>
          </w:p>
        </w:tc>
        <w:tc>
          <w:tcPr>
            <w:tcW w:w="2476" w:type="dxa"/>
            <w:vAlign w:val="center"/>
          </w:tcPr>
          <w:p>
            <w:pPr>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本项目属于生物化工下游产业，采用催化反应和精馏工艺进行生产，比传统生产工艺在环保、物耗、能耗上均有巨大优势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7" w:type="dxa"/>
            <w:vAlign w:val="center"/>
          </w:tcPr>
          <w:p>
            <w:pPr>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加快能源消费低碳化转型</w:t>
            </w:r>
          </w:p>
        </w:tc>
        <w:tc>
          <w:tcPr>
            <w:tcW w:w="5612" w:type="dxa"/>
            <w:vAlign w:val="center"/>
          </w:tcPr>
          <w:p>
            <w:pPr>
              <w:pStyle w:val="73"/>
              <w:widowControl/>
              <w:pBdr>
                <w:top w:val="none" w:color="auto" w:sz="0" w:space="0"/>
                <w:left w:val="none" w:color="auto" w:sz="0" w:space="0"/>
                <w:bottom w:val="none" w:color="auto" w:sz="0" w:space="0"/>
                <w:right w:val="none" w:color="auto" w:sz="0" w:space="0"/>
              </w:pBdr>
              <w:shd w:val="clear" w:color="060000" w:fill="FFFFFF"/>
              <w:spacing w:before="0" w:beforeAutospacing="0" w:after="0" w:afterAutospacing="0" w:line="300" w:lineRule="atLeast"/>
              <w:ind w:left="0" w:leftChars="0" w:right="0" w:firstLine="0" w:firstLineChars="0"/>
              <w:jc w:val="both"/>
              <w:rPr>
                <w:rFonts w:hint="default"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提高能源利用效率：加快重点用能行业的节能技术装备创新和应用，持续推进典型流程工业能量系统优化。推动工业窑炉、锅炉、电机、泵、风机、压缩机等重点用能设备系统的节能改造。加强余能回收利用，对重点工艺流程、用能设备实施信息化数字化改造升级。鼓励企业、园区建设能源综合管理系统，实现能效优化调控。</w:t>
            </w:r>
          </w:p>
        </w:tc>
        <w:tc>
          <w:tcPr>
            <w:tcW w:w="2476" w:type="dxa"/>
            <w:vAlign w:val="center"/>
          </w:tcPr>
          <w:p>
            <w:pPr>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本项目采取了一系列节能降耗措施，包括配电系统设施电容器补偿；照明系统采用节能光源等；充分利用自然光和自然通风；供水、风机等设备均采用智能变频控制</w:t>
            </w:r>
          </w:p>
        </w:tc>
      </w:tr>
    </w:tbl>
    <w:p>
      <w:pPr>
        <w:rPr>
          <w:rFonts w:hint="eastAsia"/>
          <w:color w:val="auto"/>
          <w:lang w:eastAsia="zh-CN"/>
        </w:rPr>
      </w:pPr>
      <w:r>
        <w:rPr>
          <w:rFonts w:hint="eastAsia"/>
          <w:color w:val="auto"/>
          <w:lang w:eastAsia="zh-CN"/>
        </w:rPr>
        <w:t>根据分析，生物化工产业本身属于战略新兴产业，本项目属于生物化工下游产业链延伸，充分体现了产业高端化发展，资源高效利用的原则，符合规划要求。</w:t>
      </w:r>
    </w:p>
    <w:p>
      <w:pPr>
        <w:rPr>
          <w:rFonts w:hint="eastAsia"/>
          <w:color w:val="auto"/>
          <w:lang w:eastAsia="zh-CN"/>
        </w:rPr>
      </w:pPr>
      <w:r>
        <w:rPr>
          <w:rFonts w:hint="eastAsia"/>
          <w:color w:val="auto"/>
          <w:lang w:eastAsia="zh-CN"/>
        </w:rPr>
        <w:t>（</w:t>
      </w:r>
      <w:r>
        <w:rPr>
          <w:rFonts w:hint="eastAsia" w:ascii="Times New Roman" w:hAnsi="Times New Roman"/>
          <w:color w:val="auto"/>
          <w:lang w:val="en-US" w:eastAsia="zh-CN"/>
        </w:rPr>
        <w:t>2</w:t>
      </w:r>
      <w:r>
        <w:rPr>
          <w:rFonts w:hint="eastAsia"/>
          <w:color w:val="auto"/>
          <w:lang w:eastAsia="zh-CN"/>
        </w:rPr>
        <w:t>）项目与《“十四五”原材料工业发展规划》符合性</w:t>
      </w:r>
    </w:p>
    <w:p>
      <w:pPr>
        <w:rPr>
          <w:rFonts w:hint="eastAsia"/>
          <w:color w:val="auto"/>
          <w:lang w:val="en-US" w:eastAsia="zh-CN"/>
        </w:rPr>
      </w:pPr>
      <w:r>
        <w:rPr>
          <w:rFonts w:hint="eastAsia"/>
          <w:color w:val="auto"/>
          <w:lang w:eastAsia="zh-CN"/>
        </w:rPr>
        <w:t>根据《“十四五”原材料工业发展规划》，到</w:t>
      </w:r>
      <w:r>
        <w:rPr>
          <w:rFonts w:hint="eastAsia" w:ascii="Times New Roman" w:hAnsi="Times New Roman"/>
          <w:color w:val="auto"/>
          <w:lang w:val="en-US" w:eastAsia="zh-CN"/>
        </w:rPr>
        <w:t>2025</w:t>
      </w:r>
      <w:r>
        <w:rPr>
          <w:rFonts w:hint="eastAsia"/>
          <w:color w:val="auto"/>
          <w:lang w:val="en-US" w:eastAsia="zh-CN"/>
        </w:rPr>
        <w:t>年，原材料工业保障和引领制造业高质量发展的能力明显增强；增加值增速保持合理水平，在制造业中比重基本稳定；新材料产业规模持续提升，占原材料工业比重明显提高；初步形成更高质量、更好效益、更优布局、更加绿色、更为安全的产业发展格局。</w:t>
      </w:r>
    </w:p>
    <w:p>
      <w:pPr>
        <w:rPr>
          <w:rFonts w:hint="eastAsia"/>
          <w:color w:val="auto"/>
          <w:lang w:eastAsia="zh-CN"/>
        </w:rPr>
      </w:pPr>
      <w:r>
        <w:rPr>
          <w:rFonts w:hint="eastAsia"/>
          <w:color w:val="auto"/>
          <w:lang w:val="en-US" w:eastAsia="zh-CN"/>
        </w:rPr>
        <w:t>本项目利用现有工程中间产品</w:t>
      </w:r>
      <w:r>
        <w:rPr>
          <w:rFonts w:hint="eastAsia" w:ascii="Times New Roman" w:hAnsi="Times New Roman"/>
          <w:color w:val="auto"/>
          <w:lang w:val="en-US" w:eastAsia="zh-CN"/>
        </w:rPr>
        <w:t>DN</w:t>
      </w:r>
      <w:r>
        <w:rPr>
          <w:rFonts w:hint="eastAsia"/>
          <w:color w:val="auto"/>
          <w:lang w:val="en-US" w:eastAsia="zh-CN"/>
        </w:rPr>
        <w:t>溶液经催化环合工艺生产</w:t>
      </w:r>
      <w:r>
        <w:rPr>
          <w:rFonts w:hint="eastAsia" w:ascii="Times New Roman" w:hAnsi="Times New Roman"/>
          <w:color w:val="auto"/>
          <w:lang w:val="en-US" w:eastAsia="zh-CN"/>
        </w:rPr>
        <w:t>PD</w:t>
      </w:r>
      <w:r>
        <w:rPr>
          <w:rFonts w:hint="eastAsia"/>
          <w:color w:val="auto"/>
          <w:lang w:val="en-US" w:eastAsia="zh-CN"/>
        </w:rPr>
        <w:t>，相对传统工艺具有操作简单、安全可靠、适合连续生产的优点，符合规划中技术创新重点方向：推进生物基材料全产业链制备，因此本项目符合《“十四五”原材料工业发展规划》。</w:t>
      </w:r>
    </w:p>
    <w:p>
      <w:pPr>
        <w:rPr>
          <w:rFonts w:hint="eastAsia"/>
          <w:color w:val="auto"/>
          <w:lang w:eastAsia="zh-CN"/>
        </w:rPr>
      </w:pPr>
      <w:r>
        <w:rPr>
          <w:rFonts w:hint="eastAsia"/>
          <w:color w:val="auto"/>
          <w:lang w:eastAsia="zh-CN"/>
        </w:rPr>
        <w:t>（</w:t>
      </w:r>
      <w:r>
        <w:rPr>
          <w:rFonts w:hint="eastAsia" w:ascii="Times New Roman" w:hAnsi="Times New Roman"/>
          <w:color w:val="auto"/>
          <w:lang w:val="en-US" w:eastAsia="zh-CN"/>
        </w:rPr>
        <w:t>3</w:t>
      </w:r>
      <w:r>
        <w:rPr>
          <w:rFonts w:hint="eastAsia"/>
          <w:color w:val="auto"/>
          <w:lang w:eastAsia="zh-CN"/>
        </w:rPr>
        <w:t>）项目与《新疆维吾尔自治区国民经济和社会发展第十四个五年规划和</w:t>
      </w:r>
      <w:r>
        <w:rPr>
          <w:rFonts w:hint="eastAsia" w:ascii="Times New Roman" w:hAnsi="Times New Roman"/>
          <w:color w:val="auto"/>
          <w:lang w:val="en-US" w:eastAsia="zh-CN"/>
        </w:rPr>
        <w:t>2035</w:t>
      </w:r>
      <w:r>
        <w:rPr>
          <w:rFonts w:hint="eastAsia"/>
          <w:color w:val="auto"/>
          <w:lang w:val="en-US" w:eastAsia="zh-CN"/>
        </w:rPr>
        <w:t>年远景目标纲要</w:t>
      </w:r>
      <w:r>
        <w:rPr>
          <w:rFonts w:hint="eastAsia"/>
          <w:color w:val="auto"/>
          <w:lang w:eastAsia="zh-CN"/>
        </w:rPr>
        <w:t>》符合性</w:t>
      </w:r>
    </w:p>
    <w:p>
      <w:pPr>
        <w:rPr>
          <w:rFonts w:hint="eastAsia"/>
          <w:color w:val="auto"/>
          <w:lang w:val="en-US" w:eastAsia="zh-CN"/>
        </w:rPr>
      </w:pPr>
      <w:r>
        <w:rPr>
          <w:rFonts w:hint="eastAsia"/>
          <w:color w:val="auto"/>
          <w:lang w:eastAsia="zh-CN"/>
        </w:rPr>
        <w:t>根据《新疆维吾尔自治区国民经济和社会发展第十四个五年规划和</w:t>
      </w:r>
      <w:r>
        <w:rPr>
          <w:rFonts w:hint="eastAsia" w:ascii="Times New Roman" w:hAnsi="Times New Roman"/>
          <w:color w:val="auto"/>
          <w:lang w:val="en-US" w:eastAsia="zh-CN"/>
        </w:rPr>
        <w:t>2035</w:t>
      </w:r>
      <w:r>
        <w:rPr>
          <w:rFonts w:hint="eastAsia"/>
          <w:color w:val="auto"/>
          <w:lang w:val="en-US" w:eastAsia="zh-CN"/>
        </w:rPr>
        <w:t>年远景目标纲要</w:t>
      </w:r>
      <w:r>
        <w:rPr>
          <w:rFonts w:hint="eastAsia"/>
          <w:color w:val="auto"/>
          <w:lang w:eastAsia="zh-CN"/>
        </w:rPr>
        <w:t>》，本项目与相关规划符合性分析见表</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2</w:t>
      </w:r>
      <w:r>
        <w:rPr>
          <w:rFonts w:hint="eastAsia"/>
          <w:lang w:val="en-US" w:eastAsia="zh-CN"/>
        </w:rPr>
        <w:t xml:space="preserve">  本项目与相关规划符合性分析</w:t>
      </w:r>
    </w:p>
    <w:tbl>
      <w:tblPr>
        <w:tblStyle w:val="80"/>
        <w:tblW w:w="89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7"/>
        <w:gridCol w:w="5402"/>
        <w:gridCol w:w="26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7" w:type="dxa"/>
            <w:vAlign w:val="center"/>
          </w:tcPr>
          <w:p>
            <w:pPr>
              <w:spacing w:line="240" w:lineRule="auto"/>
              <w:ind w:firstLine="0"/>
              <w:jc w:val="center"/>
              <w:rPr>
                <w:rFonts w:ascii="Times New Roman"/>
                <w:color w:val="auto"/>
                <w:sz w:val="21"/>
                <w:szCs w:val="21"/>
              </w:rPr>
            </w:pPr>
            <w:r>
              <w:rPr>
                <w:rFonts w:ascii="Times New Roman"/>
                <w:color w:val="auto"/>
                <w:sz w:val="21"/>
                <w:szCs w:val="21"/>
              </w:rPr>
              <w:t>类别</w:t>
            </w:r>
          </w:p>
        </w:tc>
        <w:tc>
          <w:tcPr>
            <w:tcW w:w="5402" w:type="dxa"/>
            <w:vAlign w:val="center"/>
          </w:tcPr>
          <w:p>
            <w:pPr>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规划要求</w:t>
            </w:r>
          </w:p>
        </w:tc>
        <w:tc>
          <w:tcPr>
            <w:tcW w:w="2686" w:type="dxa"/>
            <w:vAlign w:val="center"/>
          </w:tcPr>
          <w:p>
            <w:pPr>
              <w:spacing w:line="240" w:lineRule="auto"/>
              <w:ind w:firstLine="0"/>
              <w:jc w:val="center"/>
              <w:rPr>
                <w:rFonts w:ascii="Times New Roman"/>
                <w:color w:val="auto"/>
                <w:sz w:val="21"/>
                <w:szCs w:val="21"/>
              </w:rPr>
            </w:pPr>
            <w:r>
              <w:rPr>
                <w:rFonts w:ascii="Times New Roman"/>
                <w:color w:val="auto"/>
                <w:sz w:val="21"/>
                <w:szCs w:val="21"/>
              </w:rPr>
              <w:t>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7" w:type="dxa"/>
            <w:vMerge w:val="restart"/>
            <w:vAlign w:val="center"/>
          </w:tcPr>
          <w:p>
            <w:pPr>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第十三篇 第二章推动绿色低碳发展</w:t>
            </w:r>
          </w:p>
        </w:tc>
        <w:tc>
          <w:tcPr>
            <w:tcW w:w="5402" w:type="dxa"/>
            <w:vAlign w:val="center"/>
          </w:tcPr>
          <w:p>
            <w:pPr>
              <w:pStyle w:val="73"/>
              <w:widowControl/>
              <w:pBdr>
                <w:top w:val="none" w:color="auto" w:sz="0" w:space="0"/>
                <w:left w:val="none" w:color="auto" w:sz="0" w:space="0"/>
                <w:bottom w:val="none" w:color="auto" w:sz="0" w:space="0"/>
                <w:right w:val="none" w:color="auto" w:sz="0" w:space="0"/>
              </w:pBdr>
              <w:shd w:val="clear" w:color="060000" w:fill="FFFFFF"/>
              <w:spacing w:before="0" w:beforeAutospacing="0" w:after="0" w:afterAutospacing="0" w:line="300" w:lineRule="atLeast"/>
              <w:ind w:left="0" w:leftChars="0" w:right="0" w:firstLine="0" w:firstLineChars="0"/>
              <w:jc w:val="both"/>
              <w:rPr>
                <w:rFonts w:hint="default" w:ascii="Times New Roman" w:eastAsia="宋体"/>
                <w:color w:val="auto"/>
                <w:sz w:val="21"/>
                <w:szCs w:val="21"/>
                <w:lang w:val="en-US" w:eastAsia="zh-CN"/>
              </w:rPr>
            </w:pPr>
            <w:r>
              <w:rPr>
                <w:rFonts w:hint="eastAsia" w:ascii="Times New Roman" w:hAnsi="宋体" w:eastAsia="宋体" w:cs="Times New Roman"/>
                <w:color w:val="auto"/>
                <w:kern w:val="0"/>
                <w:sz w:val="21"/>
                <w:szCs w:val="21"/>
                <w:lang w:val="en-US" w:eastAsia="zh-CN" w:bidi="ar-SA"/>
              </w:rPr>
              <w:t>健全生态保护机制：实施最严格的生态保护制度，严禁“三高”项目进新疆，严格执行能源、矿产资源开发自治区人民政府“一支笔”审批制度、环境保护“一票否决”制度，守住生态保护红线、环境质量底线和自然资源利用上线。实行最严格的水资源管理制度，严守水资源开发利用控制、用水效率控制和水功能区限制纳污“三条红线”，严格实行区域用水总量和强度控制，强化节水约束性指标管理。全面实行排污许可制，适时开展排污权、用水权、用能权、碳排放权交易。</w:t>
            </w:r>
          </w:p>
        </w:tc>
        <w:tc>
          <w:tcPr>
            <w:tcW w:w="2686" w:type="dxa"/>
            <w:vAlign w:val="center"/>
          </w:tcPr>
          <w:p>
            <w:pPr>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本项目属于生物化工产业的下游化工产业，不属于“三高”项目，符合“三线一单”的相关要求，项目将严格落实排污许可等相关制度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867" w:type="dxa"/>
            <w:vMerge w:val="continue"/>
            <w:vAlign w:val="center"/>
          </w:tcPr>
          <w:p>
            <w:pPr>
              <w:spacing w:line="240" w:lineRule="auto"/>
              <w:ind w:firstLine="0"/>
              <w:jc w:val="center"/>
              <w:rPr>
                <w:rFonts w:hint="eastAsia" w:ascii="Times New Roman"/>
                <w:color w:val="auto"/>
                <w:sz w:val="21"/>
                <w:szCs w:val="21"/>
                <w:lang w:val="en-US" w:eastAsia="zh-CN"/>
              </w:rPr>
            </w:pPr>
          </w:p>
        </w:tc>
        <w:tc>
          <w:tcPr>
            <w:tcW w:w="5402" w:type="dxa"/>
            <w:vAlign w:val="center"/>
          </w:tcPr>
          <w:p>
            <w:pPr>
              <w:pStyle w:val="73"/>
              <w:widowControl/>
              <w:pBdr>
                <w:top w:val="none" w:color="auto" w:sz="0" w:space="0"/>
                <w:left w:val="none" w:color="auto" w:sz="0" w:space="0"/>
                <w:bottom w:val="none" w:color="auto" w:sz="0" w:space="0"/>
                <w:right w:val="none" w:color="auto" w:sz="0" w:space="0"/>
              </w:pBdr>
              <w:shd w:val="clear" w:color="060000" w:fill="FFFFFF"/>
              <w:spacing w:before="0" w:beforeAutospacing="0" w:after="0" w:afterAutospacing="0" w:line="300" w:lineRule="atLeast"/>
              <w:ind w:left="0" w:leftChars="0" w:right="0" w:firstLine="0" w:firstLineChars="0"/>
              <w:jc w:val="both"/>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推动绿色低碳发展：严格执行《绿色产业指导目录（</w:t>
            </w:r>
            <w:r>
              <w:rPr>
                <w:rFonts w:hint="eastAsia" w:ascii="Times New Roman" w:hAnsi="Times New Roman" w:eastAsia="宋体" w:cs="Times New Roman"/>
                <w:color w:val="auto"/>
                <w:kern w:val="0"/>
                <w:sz w:val="21"/>
                <w:szCs w:val="21"/>
                <w:lang w:val="en-US" w:eastAsia="zh-CN" w:bidi="ar-SA"/>
              </w:rPr>
              <w:t>2019</w:t>
            </w:r>
            <w:r>
              <w:rPr>
                <w:rFonts w:hint="eastAsia" w:ascii="Times New Roman" w:hAnsi="宋体" w:eastAsia="宋体" w:cs="Times New Roman"/>
                <w:color w:val="auto"/>
                <w:kern w:val="0"/>
                <w:sz w:val="21"/>
                <w:szCs w:val="21"/>
                <w:lang w:val="en-US" w:eastAsia="zh-CN" w:bidi="ar-SA"/>
              </w:rPr>
              <w:t>年版）》，落实环境准入要求，实施生态环境准入清单管理，从源头上防止环境污染。加强能耗“双控”管理，严格控制能源消费增量和能耗强度。优化能源消费结构。</w:t>
            </w:r>
          </w:p>
        </w:tc>
        <w:tc>
          <w:tcPr>
            <w:tcW w:w="2686" w:type="dxa"/>
            <w:vAlign w:val="center"/>
          </w:tcPr>
          <w:p>
            <w:pPr>
              <w:spacing w:line="240" w:lineRule="auto"/>
              <w:ind w:firstLine="0"/>
              <w:jc w:val="center"/>
              <w:rPr>
                <w:rFonts w:hint="eastAsia" w:ascii="Times New Roman"/>
                <w:color w:val="auto"/>
                <w:sz w:val="21"/>
                <w:szCs w:val="21"/>
                <w:lang w:val="en-US" w:eastAsia="zh-CN"/>
              </w:rPr>
            </w:pPr>
            <w:r>
              <w:rPr>
                <w:rFonts w:hint="eastAsia" w:ascii="Times New Roman"/>
                <w:color w:val="auto"/>
                <w:sz w:val="21"/>
                <w:szCs w:val="21"/>
                <w:lang w:val="en-US" w:eastAsia="zh-CN"/>
              </w:rPr>
              <w:t>本项目使用厂内动力锅炉蒸汽进行生产，不使用化石燃料，本项目能耗将纳入厂内碳排放计划，严控能耗</w:t>
            </w:r>
          </w:p>
        </w:tc>
      </w:tr>
    </w:tbl>
    <w:p>
      <w:pPr>
        <w:rPr>
          <w:rFonts w:hint="eastAsia"/>
          <w:color w:val="auto"/>
          <w:lang w:eastAsia="zh-CN"/>
        </w:rPr>
      </w:pPr>
      <w:r>
        <w:rPr>
          <w:rFonts w:hint="eastAsia"/>
          <w:color w:val="auto"/>
          <w:lang w:eastAsia="zh-CN"/>
        </w:rPr>
        <w:t>本项目不属于“三高”项目，符合《新疆维吾尔自治区国民经济和社会发展第十四个五年规划和</w:t>
      </w:r>
      <w:r>
        <w:rPr>
          <w:rFonts w:hint="eastAsia" w:ascii="Times New Roman" w:hAnsi="Times New Roman"/>
          <w:color w:val="auto"/>
          <w:lang w:val="en-US" w:eastAsia="zh-CN"/>
        </w:rPr>
        <w:t>2035</w:t>
      </w:r>
      <w:r>
        <w:rPr>
          <w:rFonts w:hint="eastAsia"/>
          <w:color w:val="auto"/>
          <w:lang w:val="en-US" w:eastAsia="zh-CN"/>
        </w:rPr>
        <w:t>年远景目标纲要</w:t>
      </w:r>
      <w:r>
        <w:rPr>
          <w:rFonts w:hint="eastAsia"/>
          <w:color w:val="auto"/>
          <w:lang w:eastAsia="zh-CN"/>
        </w:rPr>
        <w:t>》要求。</w:t>
      </w:r>
    </w:p>
    <w:p>
      <w:pPr>
        <w:bidi w:val="0"/>
        <w:rPr>
          <w:rFonts w:hint="eastAsia"/>
          <w:lang w:eastAsia="zh-CN"/>
        </w:rPr>
      </w:pPr>
      <w:r>
        <w:rPr>
          <w:rFonts w:hint="eastAsia"/>
          <w:color w:val="auto"/>
          <w:lang w:eastAsia="zh-CN"/>
        </w:rPr>
        <w:t>（</w:t>
      </w:r>
      <w:r>
        <w:rPr>
          <w:rFonts w:hint="eastAsia" w:ascii="Times New Roman" w:hAnsi="Times New Roman"/>
          <w:color w:val="auto"/>
          <w:lang w:val="en-US" w:eastAsia="zh-CN"/>
        </w:rPr>
        <w:t>4</w:t>
      </w:r>
      <w:r>
        <w:rPr>
          <w:rFonts w:hint="eastAsia"/>
          <w:color w:val="auto"/>
          <w:lang w:eastAsia="zh-CN"/>
        </w:rPr>
        <w:t>）</w:t>
      </w:r>
      <w:r>
        <w:rPr>
          <w:rFonts w:hint="eastAsia"/>
          <w:lang w:eastAsia="zh-CN"/>
        </w:rPr>
        <w:t>项目与《新疆生态环境保护“十四五”规划》符合性</w:t>
      </w:r>
    </w:p>
    <w:p>
      <w:pPr>
        <w:bidi w:val="0"/>
        <w:rPr>
          <w:rFonts w:hint="default" w:ascii="Times New Roman" w:hAnsi="Times New Roman" w:eastAsia="宋体" w:cs="Times New Roman"/>
          <w:lang w:eastAsia="zh-CN"/>
        </w:rPr>
      </w:pPr>
      <w:r>
        <w:rPr>
          <w:rFonts w:hint="eastAsia" w:ascii="Times New Roman" w:hAnsi="Times New Roman" w:cs="Times New Roman"/>
          <w:lang w:eastAsia="zh-CN"/>
        </w:rPr>
        <w:t>《</w:t>
      </w:r>
      <w:r>
        <w:rPr>
          <w:rFonts w:hint="eastAsia" w:ascii="Times New Roman" w:hAnsi="Times New Roman" w:eastAsia="宋体" w:cs="Times New Roman"/>
          <w:lang w:eastAsia="zh-CN"/>
        </w:rPr>
        <w:t>新疆生态环境保护“十四五”规划》</w:t>
      </w:r>
      <w:r>
        <w:rPr>
          <w:rFonts w:hint="default" w:ascii="Times New Roman" w:hAnsi="Times New Roman" w:eastAsia="宋体" w:cs="Times New Roman"/>
          <w:lang w:eastAsia="zh-CN"/>
        </w:rPr>
        <w:t>中</w:t>
      </w:r>
      <w:r>
        <w:rPr>
          <w:rFonts w:hint="eastAsia" w:ascii="Times New Roman" w:hAnsi="Times New Roman" w:cs="Times New Roman"/>
          <w:lang w:eastAsia="zh-CN"/>
        </w:rPr>
        <w:t>，第三章第二节</w:t>
      </w:r>
      <w:r>
        <w:rPr>
          <w:rFonts w:hint="eastAsia" w:ascii="Times New Roman" w:hAnsi="Times New Roman" w:cs="Times New Roman"/>
          <w:lang w:val="en-US" w:eastAsia="zh-CN"/>
        </w:rPr>
        <w:t xml:space="preserve"> </w:t>
      </w:r>
      <w:r>
        <w:rPr>
          <w:rFonts w:hint="eastAsia" w:ascii="Times New Roman" w:hAnsi="Times New Roman" w:cs="Times New Roman"/>
          <w:lang w:eastAsia="zh-CN"/>
        </w:rPr>
        <w:t>持续优化产业结构，推进产业转型升级。坚持高质量发展与严格环境准入标准相结合，坚持淘汰落后与鼓励先进相结合，支持产业发展向产业链中下游、价值链中高端迈进，坚持推进产业结构优化调整。强化产业集聚发展。结合重点区域大气污染防治，能耗总量和强度“双控”目标，立足各地产业园区（开发区）自身优势和比较优势，结合“三线一单”和规划环评要求，进一步优化园区产业布局，明确产业定位，因地制宜发展特色产业，培育打造制造业高质量发展示范园区。</w:t>
      </w:r>
    </w:p>
    <w:p>
      <w:pPr>
        <w:bidi w:val="0"/>
        <w:rPr>
          <w:rFonts w:hint="eastAsia" w:eastAsia="宋体"/>
          <w:lang w:eastAsia="zh-CN"/>
        </w:rPr>
      </w:pPr>
      <w:r>
        <w:rPr>
          <w:rFonts w:hint="eastAsia" w:ascii="Times New Roman" w:hAnsi="Times New Roman" w:cs="Times New Roman"/>
          <w:bCs/>
          <w:color w:val="auto"/>
          <w:lang w:val="zh-TW" w:eastAsia="zh-CN"/>
        </w:rPr>
        <w:t>本项目属生物化学的下游化工产业，</w:t>
      </w:r>
      <w:r>
        <w:rPr>
          <w:rFonts w:hint="default" w:ascii="Times New Roman" w:hAnsi="Times New Roman" w:cs="Times New Roman"/>
        </w:rPr>
        <w:t>符合</w:t>
      </w:r>
      <w:r>
        <w:rPr>
          <w:rFonts w:hint="eastAsia" w:ascii="Times New Roman" w:hAnsi="Times New Roman" w:cs="Times New Roman"/>
          <w:lang w:eastAsia="zh-CN"/>
        </w:rPr>
        <w:t>《新疆生态环境保护“十四五”规划》</w:t>
      </w:r>
      <w:r>
        <w:rPr>
          <w:rFonts w:hint="default" w:ascii="Times New Roman" w:hAnsi="Times New Roman" w:cs="Times New Roman"/>
        </w:rPr>
        <w:t>。</w:t>
      </w:r>
    </w:p>
    <w:p>
      <w:pPr>
        <w:pStyle w:val="6"/>
        <w:bidi w:val="0"/>
        <w:rPr>
          <w:rFonts w:hint="default"/>
          <w:lang w:val="en-US" w:eastAsia="zh-CN"/>
        </w:rPr>
      </w:pP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园区规划及规划环评符合性</w:t>
      </w:r>
    </w:p>
    <w:p>
      <w:pPr>
        <w:bidi w:val="0"/>
        <w:rPr>
          <w:rFonts w:hint="eastAsia" w:ascii="Times New Roman" w:hAnsi="Times New Roman" w:eastAsia="宋体"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）与</w:t>
      </w:r>
      <w:r>
        <w:rPr>
          <w:rFonts w:ascii="宋体" w:hAnsi="宋体" w:eastAsia="宋体" w:cs="宋体"/>
          <w:color w:val="auto"/>
          <w:sz w:val="24"/>
          <w:szCs w:val="24"/>
        </w:rPr>
        <w:t>《乌苏</w:t>
      </w:r>
      <w:r>
        <w:rPr>
          <w:rFonts w:hint="eastAsia" w:cs="宋体"/>
          <w:color w:val="auto"/>
          <w:sz w:val="24"/>
          <w:szCs w:val="24"/>
          <w:lang w:eastAsia="zh-CN"/>
        </w:rPr>
        <w:t>工业园区</w:t>
      </w:r>
      <w:r>
        <w:rPr>
          <w:rFonts w:ascii="宋体" w:hAnsi="宋体" w:eastAsia="宋体" w:cs="宋体"/>
          <w:color w:val="auto"/>
          <w:sz w:val="24"/>
          <w:szCs w:val="24"/>
        </w:rPr>
        <w:t>总体规划（</w:t>
      </w:r>
      <w:r>
        <w:rPr>
          <w:rFonts w:ascii="Times New Roman" w:hAnsi="Times New Roman" w:eastAsia="宋体" w:cs="宋体"/>
          <w:color w:val="auto"/>
          <w:sz w:val="24"/>
          <w:szCs w:val="24"/>
        </w:rPr>
        <w:t>201</w:t>
      </w:r>
      <w:r>
        <w:rPr>
          <w:rFonts w:hint="eastAsia" w:ascii="Times New Roman" w:hAnsi="Times New Roman" w:cs="宋体"/>
          <w:color w:val="auto"/>
          <w:sz w:val="24"/>
          <w:szCs w:val="24"/>
          <w:lang w:val="en-US" w:eastAsia="zh-CN"/>
        </w:rPr>
        <w:t>6</w:t>
      </w:r>
      <w:r>
        <w:rPr>
          <w:rFonts w:ascii="宋体" w:hAnsi="宋体" w:eastAsia="宋体" w:cs="宋体"/>
          <w:color w:val="auto"/>
          <w:sz w:val="24"/>
          <w:szCs w:val="24"/>
        </w:rPr>
        <w:t>-</w:t>
      </w:r>
      <w:r>
        <w:rPr>
          <w:rFonts w:ascii="Times New Roman" w:hAnsi="Times New Roman" w:eastAsia="宋体" w:cs="宋体"/>
          <w:color w:val="auto"/>
          <w:sz w:val="24"/>
          <w:szCs w:val="24"/>
        </w:rPr>
        <w:t>203</w:t>
      </w:r>
      <w:r>
        <w:rPr>
          <w:rFonts w:hint="eastAsia" w:ascii="Times New Roman" w:hAnsi="Times New Roman" w:cs="宋体"/>
          <w:color w:val="auto"/>
          <w:sz w:val="24"/>
          <w:szCs w:val="24"/>
          <w:lang w:val="en-US" w:eastAsia="zh-CN"/>
        </w:rPr>
        <w:t>0</w:t>
      </w:r>
      <w:r>
        <w:rPr>
          <w:rFonts w:ascii="宋体" w:hAnsi="宋体" w:eastAsia="宋体" w:cs="宋体"/>
          <w:color w:val="auto"/>
          <w:sz w:val="24"/>
          <w:szCs w:val="24"/>
        </w:rPr>
        <w:t>）》</w:t>
      </w:r>
      <w:r>
        <w:rPr>
          <w:rFonts w:hint="eastAsia" w:ascii="宋体" w:hAnsi="宋体" w:eastAsia="宋体" w:cs="宋体"/>
          <w:color w:val="auto"/>
          <w:sz w:val="24"/>
          <w:szCs w:val="24"/>
          <w:lang w:eastAsia="zh-CN"/>
        </w:rPr>
        <w:t>符合</w:t>
      </w:r>
      <w:r>
        <w:rPr>
          <w:rFonts w:hint="eastAsia" w:ascii="宋体" w:hAnsi="宋体" w:eastAsia="宋体" w:cs="宋体"/>
          <w:sz w:val="24"/>
          <w:szCs w:val="24"/>
          <w:lang w:eastAsia="zh-CN"/>
        </w:rPr>
        <w:t>性</w:t>
      </w:r>
    </w:p>
    <w:p>
      <w:pPr>
        <w:bidi w:val="0"/>
        <w:rPr>
          <w:rFonts w:hint="eastAsia" w:ascii="Times New Roman" w:hAnsi="Times New Roman" w:cs="Times New Roman"/>
          <w:lang w:eastAsia="zh-CN"/>
        </w:rPr>
      </w:pPr>
      <w:r>
        <w:rPr>
          <w:rFonts w:hint="eastAsia" w:ascii="Times New Roman" w:hAnsi="Times New Roman" w:cs="Times New Roman"/>
          <w:lang w:eastAsia="zh-CN"/>
        </w:rPr>
        <w:t>根据规划，</w:t>
      </w:r>
      <w:r>
        <w:rPr>
          <w:color w:val="000000" w:themeColor="text1"/>
          <w14:textFill>
            <w14:solidFill>
              <w14:schemeClr w14:val="tx1"/>
            </w14:solidFill>
          </w14:textFill>
        </w:rPr>
        <w:t>园区位于乌苏市西部，距离乌苏市约</w:t>
      </w:r>
      <w:r>
        <w:rPr>
          <w:rFonts w:ascii="Times New Roman" w:hAnsi="Times New Roman"/>
          <w:color w:val="000000" w:themeColor="text1"/>
          <w14:textFill>
            <w14:solidFill>
              <w14:schemeClr w14:val="tx1"/>
            </w14:solidFill>
          </w14:textFill>
        </w:rPr>
        <w:t>40km</w:t>
      </w:r>
      <w:r>
        <w:rPr>
          <w:color w:val="000000" w:themeColor="text1"/>
          <w14:textFill>
            <w14:solidFill>
              <w14:schemeClr w14:val="tx1"/>
            </w14:solidFill>
          </w14:textFill>
        </w:rPr>
        <w:t>、距离奎屯市约</w:t>
      </w:r>
      <w:r>
        <w:rPr>
          <w:rFonts w:ascii="Times New Roman" w:hAnsi="Times New Roman"/>
          <w:color w:val="000000" w:themeColor="text1"/>
          <w14:textFill>
            <w14:solidFill>
              <w14:schemeClr w14:val="tx1"/>
            </w14:solidFill>
          </w14:textFill>
        </w:rPr>
        <w:t>50km</w:t>
      </w:r>
      <w:r>
        <w:rPr>
          <w:color w:val="000000" w:themeColor="text1"/>
          <w14:textFill>
            <w14:solidFill>
              <w14:schemeClr w14:val="tx1"/>
            </w14:solidFill>
          </w14:textFill>
        </w:rPr>
        <w:t>、距离哈图布呼镇区约</w:t>
      </w:r>
      <w:r>
        <w:rPr>
          <w:rFonts w:ascii="Times New Roman" w:hAnsi="Times New Roman"/>
          <w:color w:val="000000" w:themeColor="text1"/>
          <w14:textFill>
            <w14:solidFill>
              <w14:schemeClr w14:val="tx1"/>
            </w14:solidFill>
          </w14:textFill>
        </w:rPr>
        <w:t>7</w:t>
      </w:r>
      <w:r>
        <w:rPr>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5km</w:t>
      </w:r>
      <w:r>
        <w:rPr>
          <w:color w:val="000000" w:themeColor="text1"/>
          <w14:textFill>
            <w14:solidFill>
              <w14:schemeClr w14:val="tx1"/>
            </w14:solidFill>
          </w14:textFill>
        </w:rPr>
        <w:t>、距离四棵树镇区约</w:t>
      </w:r>
      <w:r>
        <w:rPr>
          <w:rFonts w:ascii="Times New Roman" w:hAnsi="Times New Roman"/>
          <w:color w:val="000000" w:themeColor="text1"/>
          <w14:textFill>
            <w14:solidFill>
              <w14:schemeClr w14:val="tx1"/>
            </w14:solidFill>
          </w14:textFill>
        </w:rPr>
        <w:t>4</w:t>
      </w:r>
      <w:r>
        <w:rPr>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5km</w:t>
      </w:r>
      <w:r>
        <w:rPr>
          <w:color w:val="000000" w:themeColor="text1"/>
          <w14:textFill>
            <w14:solidFill>
              <w14:schemeClr w14:val="tx1"/>
            </w14:solidFill>
          </w14:textFill>
        </w:rPr>
        <w:t>，园区用地属于塔布勒合特蒙古民族乡管辖。乌苏工业园区北起灌溉渠，南至</w:t>
      </w:r>
      <w:r>
        <w:rPr>
          <w:rFonts w:ascii="Times New Roman" w:hAnsi="Times New Roman"/>
          <w:color w:val="000000" w:themeColor="text1"/>
          <w14:textFill>
            <w14:solidFill>
              <w14:schemeClr w14:val="tx1"/>
            </w14:solidFill>
          </w14:textFill>
        </w:rPr>
        <w:t>750kv</w:t>
      </w:r>
      <w:r>
        <w:rPr>
          <w:color w:val="000000" w:themeColor="text1"/>
          <w14:textFill>
            <w14:solidFill>
              <w14:schemeClr w14:val="tx1"/>
            </w14:solidFill>
          </w14:textFill>
        </w:rPr>
        <w:t>伊苏高压输电线，西起库鲁木村东侧的规划经二路，东至四棵树河西岸，规划总面积约为</w:t>
      </w:r>
      <w:r>
        <w:rPr>
          <w:rFonts w:ascii="Times New Roman" w:hAnsi="Times New Roman"/>
          <w:color w:val="000000" w:themeColor="text1"/>
          <w14:textFill>
            <w14:solidFill>
              <w14:schemeClr w14:val="tx1"/>
            </w14:solidFill>
          </w14:textFill>
        </w:rPr>
        <w:t>9</w:t>
      </w:r>
      <w:r>
        <w:rPr>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7</w:t>
      </w:r>
      <w:r>
        <w:rPr>
          <w:color w:val="000000" w:themeColor="text1"/>
          <w14:textFill>
            <w14:solidFill>
              <w14:schemeClr w14:val="tx1"/>
            </w14:solidFill>
          </w14:textFill>
        </w:rPr>
        <w:t>平方公里。</w:t>
      </w:r>
    </w:p>
    <w:p>
      <w:pPr>
        <w:bidi w:val="0"/>
        <w:rPr>
          <w:rFonts w:hint="eastAsia" w:ascii="Times New Roman" w:hAnsi="Times New Roman" w:cs="Times New Roman"/>
          <w:lang w:val="en-US" w:eastAsia="zh-CN"/>
        </w:rPr>
      </w:pPr>
      <w:r>
        <w:rPr>
          <w:rFonts w:hint="eastAsia" w:ascii="Times New Roman" w:hAnsi="Times New Roman" w:cs="Times New Roman"/>
          <w:lang w:val="en-US" w:eastAsia="zh-CN"/>
        </w:rPr>
        <w:t>园区产业定位为：新疆丝绸之路经济带核心区的新型示范工业园区；促进地区协调发展的带动区，高新技术产业的先行区，成为地区发展的增长极；塔城地区的具有较高创新水平的自治区级高端产业园区；乌苏市工业的发展中心。</w:t>
      </w:r>
    </w:p>
    <w:p>
      <w:pPr>
        <w:bidi w:val="0"/>
        <w:rPr>
          <w:rFonts w:hint="eastAsia" w:ascii="Times New Roman" w:hAnsi="Times New Roman" w:cs="Times New Roman"/>
          <w:lang w:val="en-US" w:eastAsia="zh-CN"/>
        </w:rPr>
      </w:pPr>
      <w:r>
        <w:rPr>
          <w:rFonts w:hint="eastAsia" w:ascii="Times New Roman" w:hAnsi="Times New Roman" w:cs="Times New Roman"/>
          <w:lang w:val="en-US" w:eastAsia="zh-CN"/>
        </w:rPr>
        <w:t>产业规划：西区承接东区转移的化工、冶金建材类基础工业，重点发展生物化工、纺织服装和应急产业等新兴产业，并加快发展生产线服务业。</w:t>
      </w:r>
    </w:p>
    <w:p>
      <w:pPr>
        <w:bidi w:val="0"/>
        <w:rPr>
          <w:rFonts w:hint="eastAsia" w:ascii="Times New Roman" w:hAnsi="Times New Roman" w:eastAsia="宋体" w:cs="Times New Roman"/>
          <w:lang w:eastAsia="zh-CN"/>
        </w:rPr>
      </w:pPr>
      <w:r>
        <w:rPr>
          <w:rFonts w:hint="eastAsia" w:ascii="Times New Roman" w:hAnsi="Times New Roman" w:cs="Times New Roman"/>
          <w:lang w:val="en-US" w:eastAsia="zh-CN"/>
        </w:rPr>
        <w:t>本项目位于生物化工产业区凯赛（乌苏）生物材料有限公司厂内预留地，</w:t>
      </w:r>
      <w:r>
        <w:rPr>
          <w:rFonts w:hint="eastAsia" w:eastAsia="宋体" w:cs="Times New Roman"/>
          <w:lang w:val="en-US" w:eastAsia="zh-CN"/>
        </w:rPr>
        <w:t>属于</w:t>
      </w:r>
      <w:r>
        <w:rPr>
          <w:rFonts w:hint="eastAsia" w:cs="Times New Roman"/>
          <w:lang w:val="en-US" w:eastAsia="zh-CN"/>
        </w:rPr>
        <w:t>生物化工</w:t>
      </w:r>
      <w:r>
        <w:rPr>
          <w:rFonts w:hint="eastAsia" w:eastAsia="宋体" w:cs="Times New Roman"/>
          <w:lang w:val="en-US" w:eastAsia="zh-CN"/>
        </w:rPr>
        <w:t>产业</w:t>
      </w:r>
      <w:r>
        <w:rPr>
          <w:rFonts w:hint="eastAsia" w:cs="Times New Roman"/>
          <w:lang w:val="en-US" w:eastAsia="zh-CN"/>
        </w:rPr>
        <w:t>的下游产业链延伸，</w:t>
      </w:r>
      <w:r>
        <w:rPr>
          <w:rFonts w:hint="eastAsia" w:ascii="Times New Roman" w:hAnsi="Times New Roman" w:cs="Times New Roman"/>
          <w:lang w:val="en-US" w:eastAsia="zh-CN"/>
        </w:rPr>
        <w:t>符合园区规划的产业定位。</w:t>
      </w:r>
    </w:p>
    <w:p>
      <w:pPr>
        <w:bidi w:val="0"/>
        <w:rPr>
          <w:rFonts w:hint="eastAsia" w:ascii="Times New Roman" w:hAnsi="Times New Roman" w:eastAsia="宋体"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）与</w:t>
      </w:r>
      <w:r>
        <w:rPr>
          <w:rFonts w:hint="eastAsia" w:ascii="Times New Roman" w:hAnsi="Times New Roman" w:eastAsia="宋体" w:cs="Times New Roman"/>
        </w:rPr>
        <w:t>《乌苏工业园区总体规划修编（</w:t>
      </w:r>
      <w:r>
        <w:rPr>
          <w:rFonts w:hint="eastAsia" w:ascii="Times New Roman" w:hAnsi="Times New Roman" w:eastAsia="宋体" w:cs="Times New Roman"/>
        </w:rPr>
        <w:t>2018</w:t>
      </w:r>
      <w:r>
        <w:rPr>
          <w:rFonts w:hint="eastAsia" w:ascii="Times New Roman" w:hAnsi="Times New Roman" w:eastAsia="宋体" w:cs="Times New Roman"/>
        </w:rPr>
        <w:t>-</w:t>
      </w:r>
      <w:r>
        <w:rPr>
          <w:rFonts w:hint="eastAsia" w:ascii="Times New Roman" w:hAnsi="Times New Roman" w:eastAsia="宋体" w:cs="Times New Roman"/>
        </w:rPr>
        <w:t>2035</w:t>
      </w:r>
      <w:r>
        <w:rPr>
          <w:rFonts w:hint="eastAsia" w:ascii="Times New Roman" w:hAnsi="Times New Roman" w:eastAsia="宋体" w:cs="Times New Roman"/>
        </w:rPr>
        <w:t>）环境影响报告书》及审查意见</w:t>
      </w:r>
      <w:r>
        <w:rPr>
          <w:rFonts w:hint="eastAsia" w:ascii="Times New Roman" w:hAnsi="Times New Roman" w:eastAsia="宋体" w:cs="Times New Roman"/>
          <w:lang w:eastAsia="zh-CN"/>
        </w:rPr>
        <w:t>符合性</w:t>
      </w:r>
    </w:p>
    <w:p>
      <w:pPr>
        <w:spacing w:line="440" w:lineRule="exact"/>
        <w:rPr>
          <w:rFonts w:hint="eastAsia"/>
        </w:rPr>
      </w:pPr>
      <w:r>
        <w:rPr>
          <w:rFonts w:hint="eastAsia"/>
        </w:rPr>
        <w:t>根据规划环评要求，</w:t>
      </w:r>
      <w:r>
        <w:rPr>
          <w:rFonts w:hint="eastAsia"/>
          <w:lang w:eastAsia="zh-CN"/>
        </w:rPr>
        <w:t>本项目</w:t>
      </w:r>
      <w:r>
        <w:rPr>
          <w:rFonts w:hint="eastAsia"/>
        </w:rPr>
        <w:t>与环境准入的符合性见表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rPr>
        <w:t>。</w:t>
      </w:r>
    </w:p>
    <w:p>
      <w:pPr>
        <w:pStyle w:val="20"/>
        <w:spacing w:before="156"/>
        <w:rPr>
          <w:rFonts w:hint="eastAsia"/>
        </w:rPr>
      </w:pPr>
      <w:r>
        <w:rPr>
          <w:rFonts w:hint="eastAsia"/>
        </w:rPr>
        <w:t>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3</w:t>
      </w:r>
      <w:r>
        <w:rPr>
          <w:rFonts w:hint="eastAsia"/>
        </w:rPr>
        <w:t xml:space="preserve">  与规划环评环境准入的符合性</w:t>
      </w:r>
    </w:p>
    <w:tbl>
      <w:tblPr>
        <w:tblStyle w:val="80"/>
        <w:tblW w:w="9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978"/>
        <w:gridCol w:w="2635"/>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20" w:type="dxa"/>
            <w:noWrap w:val="0"/>
            <w:vAlign w:val="center"/>
          </w:tcPr>
          <w:p>
            <w:pPr>
              <w:pStyle w:val="199"/>
              <w:spacing w:line="240" w:lineRule="auto"/>
              <w:ind w:firstLine="0"/>
              <w:rPr>
                <w:sz w:val="20"/>
                <w:szCs w:val="20"/>
              </w:rPr>
            </w:pPr>
            <w:r>
              <w:rPr>
                <w:rFonts w:hint="eastAsia"/>
                <w:sz w:val="20"/>
                <w:szCs w:val="20"/>
              </w:rPr>
              <w:t>序号</w:t>
            </w:r>
          </w:p>
        </w:tc>
        <w:tc>
          <w:tcPr>
            <w:tcW w:w="4978" w:type="dxa"/>
            <w:noWrap w:val="0"/>
            <w:vAlign w:val="center"/>
          </w:tcPr>
          <w:p>
            <w:pPr>
              <w:pStyle w:val="199"/>
              <w:spacing w:line="240" w:lineRule="auto"/>
              <w:ind w:firstLine="0"/>
              <w:rPr>
                <w:sz w:val="20"/>
                <w:szCs w:val="20"/>
              </w:rPr>
            </w:pPr>
            <w:r>
              <w:rPr>
                <w:rFonts w:hint="eastAsia"/>
                <w:sz w:val="20"/>
                <w:szCs w:val="20"/>
              </w:rPr>
              <w:t>原则要求</w:t>
            </w:r>
          </w:p>
        </w:tc>
        <w:tc>
          <w:tcPr>
            <w:tcW w:w="2635" w:type="dxa"/>
            <w:noWrap w:val="0"/>
            <w:vAlign w:val="center"/>
          </w:tcPr>
          <w:p>
            <w:pPr>
              <w:pStyle w:val="199"/>
              <w:spacing w:line="240" w:lineRule="auto"/>
              <w:ind w:firstLine="0"/>
              <w:rPr>
                <w:sz w:val="20"/>
                <w:szCs w:val="20"/>
              </w:rPr>
            </w:pPr>
            <w:r>
              <w:rPr>
                <w:rFonts w:hint="eastAsia"/>
                <w:sz w:val="20"/>
                <w:szCs w:val="20"/>
              </w:rPr>
              <w:t>项目情况</w:t>
            </w:r>
          </w:p>
        </w:tc>
        <w:tc>
          <w:tcPr>
            <w:tcW w:w="887" w:type="dxa"/>
            <w:noWrap w:val="0"/>
            <w:vAlign w:val="center"/>
          </w:tcPr>
          <w:p>
            <w:pPr>
              <w:pStyle w:val="199"/>
              <w:spacing w:line="240" w:lineRule="auto"/>
              <w:ind w:firstLine="0"/>
              <w:rPr>
                <w:sz w:val="20"/>
                <w:szCs w:val="20"/>
              </w:rPr>
            </w:pPr>
            <w:r>
              <w:rPr>
                <w:rFonts w:hint="eastAsia"/>
                <w:sz w:val="20"/>
                <w:szCs w:val="20"/>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720" w:type="dxa"/>
            <w:noWrap w:val="0"/>
            <w:vAlign w:val="center"/>
          </w:tcPr>
          <w:p>
            <w:pPr>
              <w:pStyle w:val="199"/>
              <w:spacing w:line="240" w:lineRule="auto"/>
              <w:ind w:firstLine="0"/>
              <w:rPr>
                <w:sz w:val="20"/>
                <w:szCs w:val="20"/>
              </w:rPr>
            </w:pPr>
            <w:r>
              <w:rPr>
                <w:rFonts w:hint="eastAsia" w:ascii="Times New Roman" w:hAnsi="Times New Roman" w:cs="Times New Roman"/>
                <w:sz w:val="20"/>
                <w:szCs w:val="20"/>
              </w:rPr>
              <w:t>1</w:t>
            </w:r>
          </w:p>
        </w:tc>
        <w:tc>
          <w:tcPr>
            <w:tcW w:w="4978" w:type="dxa"/>
            <w:noWrap w:val="0"/>
            <w:vAlign w:val="center"/>
          </w:tcPr>
          <w:p>
            <w:pPr>
              <w:pStyle w:val="199"/>
              <w:spacing w:line="240" w:lineRule="exact"/>
              <w:ind w:firstLine="0"/>
              <w:rPr>
                <w:rFonts w:hint="eastAsia" w:eastAsia="宋体"/>
                <w:sz w:val="20"/>
                <w:szCs w:val="20"/>
                <w:lang w:eastAsia="zh-CN"/>
              </w:rPr>
            </w:pPr>
            <w:r>
              <w:rPr>
                <w:rFonts w:hint="eastAsia"/>
                <w:sz w:val="20"/>
                <w:szCs w:val="20"/>
                <w:lang w:eastAsia="zh-CN"/>
              </w:rPr>
              <w:t>强化规划引导。进一步做好并加强《规划》与国土空间规划、城市总体规划、土地利用总体规划、主体功能区规划的衔接，确保园区产业定位、用地布局符合上位规划；落实园区“三线一单”的管控要求，着力促进产业链延伸，推动产品质量升级，使得传统优势工业优化发展和战略性新型产业及节能减排、循环经济联动发展。</w:t>
            </w:r>
          </w:p>
        </w:tc>
        <w:tc>
          <w:tcPr>
            <w:tcW w:w="2635" w:type="dxa"/>
            <w:noWrap w:val="0"/>
            <w:vAlign w:val="center"/>
          </w:tcPr>
          <w:p>
            <w:pPr>
              <w:pStyle w:val="199"/>
              <w:spacing w:line="240" w:lineRule="auto"/>
              <w:ind w:firstLine="0"/>
              <w:rPr>
                <w:rFonts w:hint="eastAsia"/>
                <w:sz w:val="20"/>
                <w:szCs w:val="20"/>
              </w:rPr>
            </w:pPr>
            <w:r>
              <w:rPr>
                <w:rFonts w:hint="eastAsia"/>
                <w:sz w:val="20"/>
                <w:szCs w:val="20"/>
                <w:lang w:eastAsia="zh-CN"/>
              </w:rPr>
              <w:t>本</w:t>
            </w:r>
            <w:r>
              <w:rPr>
                <w:rFonts w:hint="eastAsia"/>
                <w:sz w:val="20"/>
                <w:szCs w:val="20"/>
              </w:rPr>
              <w:t>项目符合国家产业政策，属于</w:t>
            </w:r>
            <w:r>
              <w:rPr>
                <w:rFonts w:hint="eastAsia"/>
                <w:sz w:val="20"/>
                <w:szCs w:val="20"/>
                <w:lang w:eastAsia="zh-CN"/>
              </w:rPr>
              <w:t>生物化学工业下游延伸产业</w:t>
            </w:r>
          </w:p>
        </w:tc>
        <w:tc>
          <w:tcPr>
            <w:tcW w:w="887" w:type="dxa"/>
            <w:noWrap w:val="0"/>
            <w:vAlign w:val="center"/>
          </w:tcPr>
          <w:p>
            <w:pPr>
              <w:pStyle w:val="199"/>
              <w:spacing w:line="240" w:lineRule="auto"/>
              <w:ind w:firstLine="0"/>
              <w:rPr>
                <w:rFonts w:hint="eastAsia"/>
                <w:sz w:val="20"/>
                <w:szCs w:val="20"/>
              </w:rPr>
            </w:pPr>
            <w:r>
              <w:rPr>
                <w:rFonts w:hint="eastAsia"/>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0" w:type="dxa"/>
            <w:noWrap w:val="0"/>
            <w:vAlign w:val="center"/>
          </w:tcPr>
          <w:p>
            <w:pPr>
              <w:pStyle w:val="199"/>
              <w:spacing w:line="240" w:lineRule="auto"/>
              <w:ind w:firstLine="0"/>
              <w:rPr>
                <w:rFonts w:hint="eastAsia"/>
                <w:sz w:val="20"/>
                <w:szCs w:val="20"/>
              </w:rPr>
            </w:pPr>
            <w:r>
              <w:rPr>
                <w:rFonts w:hint="eastAsia" w:ascii="Times New Roman" w:hAnsi="Times New Roman" w:cs="Times New Roman"/>
                <w:sz w:val="20"/>
                <w:szCs w:val="20"/>
              </w:rPr>
              <w:t>2</w:t>
            </w:r>
          </w:p>
        </w:tc>
        <w:tc>
          <w:tcPr>
            <w:tcW w:w="4978" w:type="dxa"/>
            <w:noWrap w:val="0"/>
            <w:vAlign w:val="center"/>
          </w:tcPr>
          <w:p>
            <w:pPr>
              <w:pStyle w:val="199"/>
              <w:spacing w:line="240" w:lineRule="exact"/>
              <w:ind w:firstLine="0"/>
              <w:rPr>
                <w:rFonts w:hint="eastAsia" w:eastAsia="宋体"/>
                <w:sz w:val="20"/>
                <w:szCs w:val="20"/>
                <w:lang w:eastAsia="zh-CN"/>
              </w:rPr>
            </w:pPr>
            <w:r>
              <w:rPr>
                <w:rFonts w:hint="eastAsia"/>
                <w:sz w:val="20"/>
                <w:szCs w:val="20"/>
                <w:lang w:eastAsia="zh-CN"/>
              </w:rPr>
              <w:t>严守生态保护红线，加强空间管控。</w:t>
            </w:r>
          </w:p>
        </w:tc>
        <w:tc>
          <w:tcPr>
            <w:tcW w:w="2635" w:type="dxa"/>
            <w:noWrap w:val="0"/>
            <w:vAlign w:val="center"/>
          </w:tcPr>
          <w:p>
            <w:pPr>
              <w:pStyle w:val="199"/>
              <w:spacing w:line="240" w:lineRule="auto"/>
              <w:ind w:firstLine="0"/>
              <w:rPr>
                <w:rFonts w:hint="eastAsia" w:eastAsia="宋体"/>
                <w:sz w:val="20"/>
                <w:szCs w:val="20"/>
                <w:lang w:eastAsia="zh-CN"/>
              </w:rPr>
            </w:pPr>
            <w:r>
              <w:rPr>
                <w:rFonts w:hint="eastAsia"/>
                <w:sz w:val="20"/>
                <w:szCs w:val="20"/>
                <w:lang w:eastAsia="zh-CN"/>
              </w:rPr>
              <w:t>本项目不涉及生态保护红线</w:t>
            </w:r>
          </w:p>
        </w:tc>
        <w:tc>
          <w:tcPr>
            <w:tcW w:w="887" w:type="dxa"/>
            <w:noWrap w:val="0"/>
            <w:vAlign w:val="center"/>
          </w:tcPr>
          <w:p>
            <w:pPr>
              <w:pStyle w:val="199"/>
              <w:spacing w:line="240" w:lineRule="auto"/>
              <w:ind w:firstLine="0"/>
              <w:rPr>
                <w:sz w:val="20"/>
                <w:szCs w:val="20"/>
              </w:rPr>
            </w:pPr>
            <w:r>
              <w:rPr>
                <w:rFonts w:hint="eastAsia"/>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20" w:type="dxa"/>
            <w:noWrap w:val="0"/>
            <w:vAlign w:val="center"/>
          </w:tcPr>
          <w:p>
            <w:pPr>
              <w:pStyle w:val="199"/>
              <w:spacing w:line="240" w:lineRule="auto"/>
              <w:ind w:firstLine="0"/>
              <w:rPr>
                <w:rFonts w:hint="eastAsia" w:ascii="Times New Roman" w:hAnsi="Times New Roman"/>
                <w:sz w:val="20"/>
                <w:szCs w:val="20"/>
              </w:rPr>
            </w:pPr>
            <w:r>
              <w:rPr>
                <w:rFonts w:hint="eastAsia" w:ascii="Times New Roman" w:hAnsi="Times New Roman" w:cs="Times New Roman"/>
                <w:sz w:val="20"/>
                <w:szCs w:val="20"/>
              </w:rPr>
              <w:t>3</w:t>
            </w:r>
          </w:p>
        </w:tc>
        <w:tc>
          <w:tcPr>
            <w:tcW w:w="4978" w:type="dxa"/>
            <w:noWrap w:val="0"/>
            <w:vAlign w:val="center"/>
          </w:tcPr>
          <w:p>
            <w:pPr>
              <w:pStyle w:val="199"/>
              <w:spacing w:line="240" w:lineRule="exact"/>
              <w:ind w:firstLine="0"/>
              <w:rPr>
                <w:rFonts w:hint="default" w:eastAsia="宋体"/>
                <w:sz w:val="20"/>
                <w:szCs w:val="20"/>
                <w:lang w:val="en-US" w:eastAsia="zh-CN"/>
              </w:rPr>
            </w:pPr>
            <w:r>
              <w:rPr>
                <w:rFonts w:hint="eastAsia"/>
                <w:sz w:val="20"/>
                <w:szCs w:val="20"/>
                <w:lang w:eastAsia="zh-CN"/>
              </w:rPr>
              <w:t>坚守环境质量底线，严格污染物总量管控。根据《自治区打赢蓝天保卫战三年行动计划（</w:t>
            </w:r>
            <w:r>
              <w:rPr>
                <w:rFonts w:hint="eastAsia" w:ascii="Times New Roman" w:hAnsi="Times New Roman"/>
                <w:sz w:val="20"/>
                <w:szCs w:val="20"/>
                <w:lang w:val="en-US" w:eastAsia="zh-CN"/>
              </w:rPr>
              <w:t>2018</w:t>
            </w:r>
            <w:r>
              <w:rPr>
                <w:rFonts w:hint="eastAsia"/>
                <w:sz w:val="20"/>
                <w:szCs w:val="20"/>
                <w:lang w:val="en-US" w:eastAsia="zh-CN"/>
              </w:rPr>
              <w:t>-</w:t>
            </w:r>
            <w:r>
              <w:rPr>
                <w:rFonts w:hint="eastAsia" w:ascii="Times New Roman" w:hAnsi="Times New Roman"/>
                <w:sz w:val="20"/>
                <w:szCs w:val="20"/>
                <w:lang w:val="en-US" w:eastAsia="zh-CN"/>
              </w:rPr>
              <w:t>2020</w:t>
            </w:r>
            <w:r>
              <w:rPr>
                <w:rFonts w:hint="eastAsia"/>
                <w:sz w:val="20"/>
                <w:szCs w:val="20"/>
                <w:lang w:val="en-US" w:eastAsia="zh-CN"/>
              </w:rPr>
              <w:t>年</w:t>
            </w:r>
            <w:r>
              <w:rPr>
                <w:rFonts w:hint="eastAsia"/>
                <w:sz w:val="20"/>
                <w:szCs w:val="20"/>
                <w:lang w:eastAsia="zh-CN"/>
              </w:rPr>
              <w:t>）》《塔城地区打赢蓝天保卫战三年行动计划（</w:t>
            </w:r>
            <w:r>
              <w:rPr>
                <w:rFonts w:hint="eastAsia" w:ascii="Times New Roman" w:hAnsi="Times New Roman"/>
                <w:sz w:val="20"/>
                <w:szCs w:val="20"/>
                <w:lang w:val="en-US" w:eastAsia="zh-CN"/>
              </w:rPr>
              <w:t>2018</w:t>
            </w:r>
            <w:r>
              <w:rPr>
                <w:rFonts w:hint="eastAsia"/>
                <w:sz w:val="20"/>
                <w:szCs w:val="20"/>
                <w:lang w:val="en-US" w:eastAsia="zh-CN"/>
              </w:rPr>
              <w:t>-</w:t>
            </w:r>
            <w:r>
              <w:rPr>
                <w:rFonts w:hint="eastAsia" w:ascii="Times New Roman" w:hAnsi="Times New Roman"/>
                <w:sz w:val="20"/>
                <w:szCs w:val="20"/>
                <w:lang w:val="en-US" w:eastAsia="zh-CN"/>
              </w:rPr>
              <w:t>2020</w:t>
            </w:r>
            <w:r>
              <w:rPr>
                <w:rFonts w:hint="eastAsia"/>
                <w:sz w:val="20"/>
                <w:szCs w:val="20"/>
                <w:lang w:val="en-US" w:eastAsia="zh-CN"/>
              </w:rPr>
              <w:t>年</w:t>
            </w:r>
            <w:r>
              <w:rPr>
                <w:rFonts w:hint="eastAsia"/>
                <w:sz w:val="20"/>
                <w:szCs w:val="20"/>
                <w:lang w:eastAsia="zh-CN"/>
              </w:rPr>
              <w:t>）》《乌苏市打赢蓝天保卫战三年行动计划（</w:t>
            </w:r>
            <w:r>
              <w:rPr>
                <w:rFonts w:hint="eastAsia" w:ascii="Times New Roman" w:hAnsi="Times New Roman"/>
                <w:sz w:val="20"/>
                <w:szCs w:val="20"/>
                <w:lang w:val="en-US" w:eastAsia="zh-CN"/>
              </w:rPr>
              <w:t>2018</w:t>
            </w:r>
            <w:r>
              <w:rPr>
                <w:rFonts w:hint="eastAsia"/>
                <w:sz w:val="20"/>
                <w:szCs w:val="20"/>
                <w:lang w:val="en-US" w:eastAsia="zh-CN"/>
              </w:rPr>
              <w:t>-</w:t>
            </w:r>
            <w:r>
              <w:rPr>
                <w:rFonts w:hint="eastAsia" w:ascii="Times New Roman" w:hAnsi="Times New Roman"/>
                <w:sz w:val="20"/>
                <w:szCs w:val="20"/>
                <w:lang w:val="en-US" w:eastAsia="zh-CN"/>
              </w:rPr>
              <w:t>2020</w:t>
            </w:r>
            <w:r>
              <w:rPr>
                <w:rFonts w:hint="eastAsia"/>
                <w:sz w:val="20"/>
                <w:szCs w:val="20"/>
                <w:lang w:val="en-US" w:eastAsia="zh-CN"/>
              </w:rPr>
              <w:t>年</w:t>
            </w:r>
            <w:r>
              <w:rPr>
                <w:rFonts w:hint="eastAsia"/>
                <w:sz w:val="20"/>
                <w:szCs w:val="20"/>
                <w:lang w:eastAsia="zh-CN"/>
              </w:rPr>
              <w:t>）》等文件要求，落实建设项目新增二氧化硫、氮氧化物、</w:t>
            </w:r>
            <w:r>
              <w:rPr>
                <w:rFonts w:hint="eastAsia" w:ascii="Times New Roman" w:hAnsi="Times New Roman"/>
                <w:sz w:val="20"/>
                <w:szCs w:val="20"/>
                <w:lang w:val="en-US" w:eastAsia="zh-CN"/>
              </w:rPr>
              <w:t>VOCs</w:t>
            </w:r>
            <w:r>
              <w:rPr>
                <w:rFonts w:hint="eastAsia"/>
                <w:sz w:val="20"/>
                <w:szCs w:val="20"/>
                <w:lang w:val="en-US" w:eastAsia="zh-CN"/>
              </w:rPr>
              <w:t>等污染物的两倍量替代，确保实现区域环境质量改善目标。各类污染物排放须满足国家和自治区先行污染物排放标准要求。园区废水处置达标后优先用于园区企业循环冷却水、绿化灌溉及洒水降尘等，其余尾水排至乌苏北部污水库，用于荒漠内生态林灌溉</w:t>
            </w:r>
          </w:p>
        </w:tc>
        <w:tc>
          <w:tcPr>
            <w:tcW w:w="2635" w:type="dxa"/>
            <w:noWrap w:val="0"/>
            <w:vAlign w:val="center"/>
          </w:tcPr>
          <w:p>
            <w:pPr>
              <w:pStyle w:val="199"/>
              <w:spacing w:line="240" w:lineRule="auto"/>
              <w:ind w:firstLine="0"/>
              <w:rPr>
                <w:rFonts w:hint="default" w:eastAsia="宋体"/>
                <w:sz w:val="20"/>
                <w:szCs w:val="20"/>
                <w:lang w:val="en-US" w:eastAsia="zh-CN"/>
              </w:rPr>
            </w:pPr>
            <w:r>
              <w:rPr>
                <w:rFonts w:hint="eastAsia"/>
                <w:sz w:val="20"/>
                <w:szCs w:val="20"/>
                <w:lang w:val="en-US" w:eastAsia="zh-CN"/>
              </w:rPr>
              <w:t>本项目生产过程产生少量挥发性有机物，集中收集，采用冷凝+水吸收+酸吸收处理后排放，新增污染物执行区域两倍替代；本项目仅产生装置地面冲洗废水和少量生活污水，纳入厂内现有污水处理系统处理</w:t>
            </w:r>
          </w:p>
        </w:tc>
        <w:tc>
          <w:tcPr>
            <w:tcW w:w="887" w:type="dxa"/>
            <w:noWrap w:val="0"/>
            <w:vAlign w:val="center"/>
          </w:tcPr>
          <w:p>
            <w:pPr>
              <w:pStyle w:val="199"/>
              <w:spacing w:line="240" w:lineRule="auto"/>
              <w:ind w:firstLine="0"/>
              <w:rPr>
                <w:rFonts w:hint="eastAsia"/>
                <w:sz w:val="20"/>
                <w:szCs w:val="20"/>
              </w:rPr>
            </w:pPr>
            <w:r>
              <w:rPr>
                <w:rFonts w:hint="eastAsia"/>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20" w:type="dxa"/>
            <w:noWrap w:val="0"/>
            <w:vAlign w:val="center"/>
          </w:tcPr>
          <w:p>
            <w:pPr>
              <w:pStyle w:val="199"/>
              <w:spacing w:line="240" w:lineRule="auto"/>
              <w:ind w:firstLine="0"/>
              <w:rPr>
                <w:rFonts w:hint="eastAsia" w:ascii="Times New Roman" w:hAnsi="Times New Roman" w:eastAsia="宋体"/>
                <w:sz w:val="20"/>
                <w:szCs w:val="20"/>
                <w:lang w:eastAsia="zh-CN"/>
              </w:rPr>
            </w:pPr>
            <w:r>
              <w:rPr>
                <w:rFonts w:hint="eastAsia" w:ascii="Times New Roman" w:hAnsi="Times New Roman" w:cs="Times New Roman"/>
                <w:sz w:val="20"/>
                <w:szCs w:val="20"/>
                <w:lang w:val="en-US" w:eastAsia="zh-CN"/>
              </w:rPr>
              <w:t>4</w:t>
            </w:r>
          </w:p>
        </w:tc>
        <w:tc>
          <w:tcPr>
            <w:tcW w:w="4978" w:type="dxa"/>
            <w:noWrap w:val="0"/>
            <w:vAlign w:val="center"/>
          </w:tcPr>
          <w:p>
            <w:pPr>
              <w:pStyle w:val="199"/>
              <w:spacing w:line="240" w:lineRule="exact"/>
              <w:ind w:firstLine="0"/>
              <w:rPr>
                <w:rFonts w:hint="eastAsia" w:eastAsia="宋体"/>
                <w:sz w:val="20"/>
                <w:szCs w:val="20"/>
                <w:lang w:eastAsia="zh-CN"/>
              </w:rPr>
            </w:pPr>
            <w:r>
              <w:rPr>
                <w:rFonts w:hint="eastAsia"/>
                <w:sz w:val="20"/>
                <w:szCs w:val="20"/>
                <w:lang w:eastAsia="zh-CN"/>
              </w:rPr>
              <w:t>严守水资源“三条红线”，“以水定产、以水定规模”，优化调整园区的产业结构和规模。引进项目的生产工艺、设备、污染治理技术，以及单位产品能耗、物耗、污染物排放和资源利用率均应达到同行业国际国内先进水平</w:t>
            </w:r>
          </w:p>
        </w:tc>
        <w:tc>
          <w:tcPr>
            <w:tcW w:w="2635" w:type="dxa"/>
            <w:noWrap w:val="0"/>
            <w:vAlign w:val="center"/>
          </w:tcPr>
          <w:p>
            <w:pPr>
              <w:pStyle w:val="199"/>
              <w:spacing w:line="240" w:lineRule="auto"/>
              <w:ind w:firstLine="0"/>
              <w:rPr>
                <w:rFonts w:hint="default" w:eastAsia="宋体"/>
                <w:sz w:val="20"/>
                <w:szCs w:val="20"/>
                <w:lang w:val="en-US" w:eastAsia="zh-CN"/>
              </w:rPr>
            </w:pPr>
            <w:r>
              <w:rPr>
                <w:rFonts w:hint="eastAsia"/>
                <w:sz w:val="20"/>
                <w:szCs w:val="20"/>
                <w:lang w:val="en-US" w:eastAsia="zh-CN"/>
              </w:rPr>
              <w:t>本项目生产工艺不用水也不排废水，能耗、物耗、污染物排放和资源利用率均可达到国内先进水平</w:t>
            </w:r>
          </w:p>
        </w:tc>
        <w:tc>
          <w:tcPr>
            <w:tcW w:w="887" w:type="dxa"/>
            <w:noWrap w:val="0"/>
            <w:vAlign w:val="center"/>
          </w:tcPr>
          <w:p>
            <w:pPr>
              <w:pStyle w:val="199"/>
              <w:spacing w:line="240" w:lineRule="auto"/>
              <w:ind w:firstLine="0"/>
              <w:rPr>
                <w:rFonts w:hint="eastAsia"/>
                <w:sz w:val="20"/>
                <w:szCs w:val="20"/>
              </w:rPr>
            </w:pPr>
            <w:r>
              <w:rPr>
                <w:rFonts w:hint="eastAsia"/>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720" w:type="dxa"/>
            <w:noWrap w:val="0"/>
            <w:vAlign w:val="center"/>
          </w:tcPr>
          <w:p>
            <w:pPr>
              <w:pStyle w:val="199"/>
              <w:spacing w:line="240" w:lineRule="auto"/>
              <w:ind w:firstLine="0"/>
              <w:rPr>
                <w:rFonts w:hint="eastAsia" w:ascii="Times New Roman" w:hAnsi="Times New Roman" w:eastAsia="宋体" w:cs="Times New Roman"/>
                <w:sz w:val="20"/>
                <w:szCs w:val="20"/>
                <w:lang w:eastAsia="zh-CN"/>
              </w:rPr>
            </w:pPr>
            <w:r>
              <w:rPr>
                <w:rFonts w:hint="eastAsia" w:ascii="Times New Roman" w:hAnsi="Times New Roman" w:cs="Times New Roman"/>
                <w:sz w:val="20"/>
                <w:szCs w:val="20"/>
                <w:lang w:val="en-US" w:eastAsia="zh-CN"/>
              </w:rPr>
              <w:t>5</w:t>
            </w:r>
          </w:p>
        </w:tc>
        <w:tc>
          <w:tcPr>
            <w:tcW w:w="4978" w:type="dxa"/>
            <w:noWrap w:val="0"/>
            <w:vAlign w:val="center"/>
          </w:tcPr>
          <w:p>
            <w:pPr>
              <w:pStyle w:val="199"/>
              <w:spacing w:line="240" w:lineRule="exact"/>
              <w:ind w:firstLine="0"/>
              <w:rPr>
                <w:rFonts w:hint="eastAsia" w:eastAsia="宋体"/>
                <w:sz w:val="20"/>
                <w:szCs w:val="20"/>
                <w:lang w:eastAsia="zh-CN"/>
              </w:rPr>
            </w:pPr>
            <w:r>
              <w:rPr>
                <w:rFonts w:hint="eastAsia"/>
                <w:sz w:val="20"/>
                <w:szCs w:val="20"/>
                <w:lang w:eastAsia="zh-CN"/>
              </w:rPr>
              <w:t>严格入园产业和项目的环境准入。坚持实行入园企业环保准入审核制度，属于园区规划中产业发展负面清单的项目一律不得入园区。严格“三高”项目入园区。入园建设项目必须符合园区规划要求并依法开展环境影响评价，严格执行入园企业的“环评”及竣工环保验收“三同时”环境管理制度。</w:t>
            </w:r>
          </w:p>
        </w:tc>
        <w:tc>
          <w:tcPr>
            <w:tcW w:w="2635" w:type="dxa"/>
            <w:noWrap w:val="0"/>
            <w:vAlign w:val="center"/>
          </w:tcPr>
          <w:p>
            <w:pPr>
              <w:pStyle w:val="199"/>
              <w:spacing w:line="240" w:lineRule="auto"/>
              <w:ind w:firstLine="0"/>
              <w:rPr>
                <w:rFonts w:hint="default" w:eastAsia="宋体"/>
                <w:sz w:val="20"/>
                <w:szCs w:val="20"/>
                <w:lang w:val="en-US" w:eastAsia="zh-CN"/>
              </w:rPr>
            </w:pPr>
            <w:r>
              <w:rPr>
                <w:rFonts w:hint="eastAsia"/>
                <w:sz w:val="20"/>
                <w:szCs w:val="20"/>
                <w:lang w:eastAsia="zh-CN"/>
              </w:rPr>
              <w:t>本项目属于生物化工下游的延伸化工产业，不涉及“三高”项目</w:t>
            </w:r>
          </w:p>
        </w:tc>
        <w:tc>
          <w:tcPr>
            <w:tcW w:w="887" w:type="dxa"/>
            <w:noWrap w:val="0"/>
            <w:vAlign w:val="center"/>
          </w:tcPr>
          <w:p>
            <w:pPr>
              <w:pStyle w:val="199"/>
              <w:spacing w:line="240" w:lineRule="auto"/>
              <w:ind w:firstLine="0"/>
              <w:rPr>
                <w:rFonts w:hint="eastAsia"/>
                <w:sz w:val="20"/>
                <w:szCs w:val="20"/>
              </w:rPr>
            </w:pPr>
            <w:r>
              <w:rPr>
                <w:rFonts w:hint="eastAsia"/>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20" w:type="dxa"/>
            <w:noWrap w:val="0"/>
            <w:vAlign w:val="center"/>
          </w:tcPr>
          <w:p>
            <w:pPr>
              <w:pStyle w:val="199"/>
              <w:spacing w:line="240" w:lineRule="auto"/>
              <w:ind w:firstLine="0"/>
              <w:rPr>
                <w:rFonts w:hint="eastAsia" w:ascii="Times New Roman" w:hAnsi="Times New Roman" w:eastAsia="宋体" w:cs="Times New Roman"/>
                <w:sz w:val="20"/>
                <w:szCs w:val="20"/>
                <w:lang w:eastAsia="zh-CN"/>
              </w:rPr>
            </w:pPr>
            <w:r>
              <w:rPr>
                <w:rFonts w:hint="eastAsia" w:ascii="Times New Roman" w:hAnsi="Times New Roman" w:cs="Times New Roman"/>
                <w:sz w:val="20"/>
                <w:szCs w:val="20"/>
                <w:lang w:val="en-US" w:eastAsia="zh-CN"/>
              </w:rPr>
              <w:t>6</w:t>
            </w:r>
          </w:p>
        </w:tc>
        <w:tc>
          <w:tcPr>
            <w:tcW w:w="4978" w:type="dxa"/>
            <w:noWrap w:val="0"/>
            <w:vAlign w:val="center"/>
          </w:tcPr>
          <w:p>
            <w:pPr>
              <w:pStyle w:val="199"/>
              <w:spacing w:line="240" w:lineRule="exact"/>
              <w:ind w:firstLine="0"/>
              <w:rPr>
                <w:rFonts w:hint="eastAsia" w:eastAsia="宋体"/>
                <w:sz w:val="20"/>
                <w:szCs w:val="20"/>
                <w:lang w:eastAsia="zh-CN"/>
              </w:rPr>
            </w:pPr>
            <w:r>
              <w:rPr>
                <w:rFonts w:hint="eastAsia"/>
                <w:sz w:val="20"/>
                <w:szCs w:val="20"/>
                <w:lang w:eastAsia="zh-CN"/>
              </w:rPr>
              <w:t>强化环境风险监控和管理。构建以相关企业为主体，乌苏市人民政府、园区主管部门、安全监督管理部门、生态环境主管部门其他相关部门等共同参与的区域环境风险应急联动平台，强化联动机制。配备应急物资，定期开展应急演习，不断发展环境风险应急预案，防控园区储运中可能引发的环境风险</w:t>
            </w:r>
          </w:p>
        </w:tc>
        <w:tc>
          <w:tcPr>
            <w:tcW w:w="2635" w:type="dxa"/>
            <w:noWrap w:val="0"/>
            <w:vAlign w:val="center"/>
          </w:tcPr>
          <w:p>
            <w:pPr>
              <w:pStyle w:val="199"/>
              <w:spacing w:line="240" w:lineRule="auto"/>
              <w:ind w:firstLine="0"/>
              <w:rPr>
                <w:rFonts w:hint="eastAsia" w:eastAsia="宋体"/>
                <w:sz w:val="20"/>
                <w:szCs w:val="20"/>
                <w:lang w:eastAsia="zh-CN"/>
              </w:rPr>
            </w:pPr>
            <w:r>
              <w:rPr>
                <w:rFonts w:hint="eastAsia"/>
                <w:sz w:val="20"/>
                <w:szCs w:val="20"/>
                <w:lang w:eastAsia="zh-CN"/>
              </w:rPr>
              <w:t>本项目将纳入厂内应急预案，按相关要求开展应急演练，防止储运过程可能发生的环境风险</w:t>
            </w:r>
          </w:p>
        </w:tc>
        <w:tc>
          <w:tcPr>
            <w:tcW w:w="887" w:type="dxa"/>
            <w:noWrap w:val="0"/>
            <w:vAlign w:val="center"/>
          </w:tcPr>
          <w:p>
            <w:pPr>
              <w:pStyle w:val="199"/>
              <w:spacing w:line="240" w:lineRule="auto"/>
              <w:ind w:firstLine="0"/>
              <w:rPr>
                <w:rFonts w:hint="eastAsia"/>
                <w:sz w:val="20"/>
                <w:szCs w:val="20"/>
              </w:rPr>
            </w:pPr>
            <w:r>
              <w:rPr>
                <w:rFonts w:hint="eastAsia"/>
                <w:sz w:val="20"/>
                <w:szCs w:val="20"/>
              </w:rPr>
              <w:t>符合</w:t>
            </w:r>
          </w:p>
        </w:tc>
      </w:tr>
    </w:tbl>
    <w:p>
      <w:pPr>
        <w:bidi w:val="0"/>
        <w:rPr>
          <w:rFonts w:hint="eastAsia"/>
          <w:lang w:eastAsia="zh-CN"/>
        </w:rPr>
      </w:pPr>
      <w:r>
        <w:rPr>
          <w:rFonts w:hint="eastAsia" w:ascii="Times New Roman"/>
          <w:color w:val="auto"/>
          <w:lang w:eastAsia="zh-CN"/>
        </w:rPr>
        <w:t>根据分析，本项目符合《乌苏</w:t>
      </w:r>
      <w:r>
        <w:rPr>
          <w:rFonts w:hint="eastAsia" w:ascii="Times New Roman"/>
          <w:lang w:eastAsia="zh-CN"/>
        </w:rPr>
        <w:t>工业园区总体规划修编（</w:t>
      </w:r>
      <w:r>
        <w:rPr>
          <w:rFonts w:hint="eastAsia" w:ascii="Times New Roman" w:hAnsi="Times New Roman"/>
          <w:lang w:val="en-US" w:eastAsia="zh-CN"/>
        </w:rPr>
        <w:t>2018</w:t>
      </w:r>
      <w:r>
        <w:rPr>
          <w:rFonts w:hint="eastAsia" w:ascii="Times New Roman"/>
          <w:lang w:val="en-US" w:eastAsia="zh-CN"/>
        </w:rPr>
        <w:t>-</w:t>
      </w:r>
      <w:r>
        <w:rPr>
          <w:rFonts w:hint="eastAsia" w:ascii="Times New Roman" w:hAnsi="Times New Roman"/>
          <w:lang w:val="en-US" w:eastAsia="zh-CN"/>
        </w:rPr>
        <w:t>2035</w:t>
      </w:r>
      <w:r>
        <w:rPr>
          <w:rFonts w:hint="eastAsia" w:ascii="Times New Roman"/>
          <w:lang w:eastAsia="zh-CN"/>
        </w:rPr>
        <w:t>）环境影响报告书》的环境准入要求。</w:t>
      </w:r>
    </w:p>
    <w:p>
      <w:pPr>
        <w:pStyle w:val="5"/>
        <w:bidi w:val="0"/>
        <w:rPr>
          <w:rFonts w:hint="default"/>
          <w:lang w:val="en-US" w:eastAsia="zh-CN"/>
        </w:rPr>
      </w:pP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4</w:t>
      </w:r>
      <w:r>
        <w:rPr>
          <w:rFonts w:hint="eastAsia"/>
          <w:lang w:val="en-US" w:eastAsia="zh-CN"/>
        </w:rPr>
        <w:t>环境准入符合性分析</w:t>
      </w:r>
    </w:p>
    <w:p>
      <w:pPr>
        <w:rPr>
          <w:rFonts w:hint="eastAsia" w:eastAsia="宋体"/>
          <w:lang w:eastAsia="zh-CN"/>
        </w:rPr>
      </w:pPr>
      <w:r>
        <w:rPr>
          <w:rFonts w:hint="eastAsia"/>
        </w:rPr>
        <w:t>（</w:t>
      </w:r>
      <w:r>
        <w:rPr>
          <w:rFonts w:hint="eastAsia" w:ascii="Times New Roman" w:hAnsi="Times New Roman"/>
        </w:rPr>
        <w:t>1</w:t>
      </w:r>
      <w:r>
        <w:rPr>
          <w:rFonts w:hint="eastAsia"/>
        </w:rPr>
        <w:t>）</w:t>
      </w:r>
      <w:r>
        <w:rPr>
          <w:rFonts w:hint="eastAsia"/>
          <w:lang w:eastAsia="zh-CN"/>
        </w:rPr>
        <w:t>与</w:t>
      </w:r>
      <w:r>
        <w:rPr>
          <w:rFonts w:hint="eastAsia"/>
        </w:rPr>
        <w:t>《国务院关于印发大气污染防治行动计划的通知》（国发[</w:t>
      </w:r>
      <w:r>
        <w:rPr>
          <w:rFonts w:hint="eastAsia" w:ascii="Times New Roman" w:hAnsi="Times New Roman"/>
        </w:rPr>
        <w:t>2013</w:t>
      </w:r>
      <w:r>
        <w:rPr>
          <w:rFonts w:hint="eastAsia"/>
        </w:rPr>
        <w:t>]</w:t>
      </w:r>
      <w:r>
        <w:rPr>
          <w:rFonts w:hint="eastAsia" w:ascii="Times New Roman" w:hAnsi="Times New Roman"/>
        </w:rPr>
        <w:t>37</w:t>
      </w:r>
      <w:r>
        <w:rPr>
          <w:rFonts w:hint="eastAsia"/>
        </w:rPr>
        <w:t>号</w:t>
      </w:r>
      <w:r>
        <w:t>）</w:t>
      </w:r>
      <w:r>
        <w:rPr>
          <w:rFonts w:hint="eastAsia"/>
          <w:lang w:eastAsia="zh-CN"/>
        </w:rPr>
        <w:t>符合性分析</w:t>
      </w:r>
    </w:p>
    <w:p>
      <w:pPr>
        <w:rPr>
          <w:rFonts w:hint="eastAsia"/>
        </w:rPr>
      </w:pPr>
      <w:r>
        <w:t>根据</w:t>
      </w:r>
      <w:r>
        <w:rPr>
          <w:rFonts w:hint="eastAsia"/>
        </w:rPr>
        <w:t>《国务院关于印发大气污染防治行动计划的通知》（国发[</w:t>
      </w:r>
      <w:r>
        <w:rPr>
          <w:rFonts w:hint="eastAsia" w:ascii="Times New Roman" w:hAnsi="Times New Roman"/>
        </w:rPr>
        <w:t>2013</w:t>
      </w:r>
      <w:r>
        <w:rPr>
          <w:rFonts w:hint="eastAsia"/>
        </w:rPr>
        <w:t>]</w:t>
      </w:r>
      <w:r>
        <w:rPr>
          <w:rFonts w:hint="eastAsia" w:ascii="Times New Roman" w:hAnsi="Times New Roman"/>
        </w:rPr>
        <w:t>37</w:t>
      </w:r>
      <w:r>
        <w:rPr>
          <w:rFonts w:hint="eastAsia"/>
        </w:rPr>
        <w:t>号</w:t>
      </w:r>
      <w:r>
        <w:t>），分析本项目的符合性，详见</w:t>
      </w:r>
      <w:r>
        <w:rPr>
          <w:rFonts w:hint="eastAsia"/>
        </w:rPr>
        <w:t>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4</w:t>
      </w:r>
      <w:r>
        <w:t>。</w:t>
      </w:r>
    </w:p>
    <w:p>
      <w:pPr>
        <w:pStyle w:val="20"/>
        <w:spacing w:before="156"/>
        <w:rPr>
          <w:rFonts w:hint="eastAsia"/>
        </w:rPr>
      </w:pPr>
      <w:bookmarkStart w:id="34" w:name="_Ref498528758"/>
      <w:r>
        <w:rPr>
          <w:rFonts w:hint="eastAsia"/>
        </w:rPr>
        <w:t>表</w:t>
      </w:r>
      <w:bookmarkEnd w:id="34"/>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4</w:t>
      </w:r>
      <w:r>
        <w:rPr>
          <w:rFonts w:hint="eastAsia"/>
        </w:rPr>
        <w:t xml:space="preserve">  本项目与国发[</w:t>
      </w:r>
      <w:r>
        <w:rPr>
          <w:rFonts w:hint="eastAsia" w:ascii="Times New Roman" w:hAnsi="Times New Roman"/>
        </w:rPr>
        <w:t>2013</w:t>
      </w:r>
      <w:r>
        <w:rPr>
          <w:rFonts w:hint="eastAsia"/>
        </w:rPr>
        <w:t>]</w:t>
      </w:r>
      <w:r>
        <w:rPr>
          <w:rFonts w:hint="eastAsia" w:ascii="Times New Roman" w:hAnsi="Times New Roman"/>
        </w:rPr>
        <w:t>37</w:t>
      </w:r>
      <w:r>
        <w:rPr>
          <w:rFonts w:hint="eastAsia"/>
        </w:rPr>
        <w:t>号符合性分析一览表</w:t>
      </w:r>
    </w:p>
    <w:tbl>
      <w:tblPr>
        <w:tblStyle w:val="80"/>
        <w:tblW w:w="92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7"/>
        <w:gridCol w:w="5371"/>
        <w:gridCol w:w="2675"/>
        <w:gridCol w:w="7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序号</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国发[</w:t>
            </w:r>
            <w:r>
              <w:rPr>
                <w:rFonts w:ascii="Times New Roman" w:hAnsi="Times New Roman" w:cs="Times New Roman"/>
                <w:sz w:val="21"/>
                <w:szCs w:val="21"/>
              </w:rPr>
              <w:t>2013</w:t>
            </w:r>
            <w:r>
              <w:rPr>
                <w:sz w:val="21"/>
                <w:szCs w:val="21"/>
              </w:rPr>
              <w:t>]</w:t>
            </w:r>
            <w:r>
              <w:rPr>
                <w:rFonts w:ascii="Times New Roman" w:hAnsi="Times New Roman" w:cs="Times New Roman"/>
                <w:sz w:val="21"/>
                <w:szCs w:val="21"/>
              </w:rPr>
              <w:t>37</w:t>
            </w:r>
            <w:r>
              <w:rPr>
                <w:sz w:val="21"/>
                <w:szCs w:val="21"/>
              </w:rPr>
              <w:t>号文件要求</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项目情况</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rFonts w:ascii="Times New Roman" w:hAnsi="Times New Roman" w:cs="Times New Roman"/>
                <w:sz w:val="21"/>
                <w:szCs w:val="21"/>
              </w:rPr>
              <w:t>1</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全面整治燃煤小锅炉。加快推进集中供热、“煤改气”、“煤改电”工程建设，到</w:t>
            </w:r>
            <w:r>
              <w:rPr>
                <w:rFonts w:ascii="Times New Roman" w:hAnsi="Times New Roman" w:cs="Times New Roman"/>
                <w:sz w:val="21"/>
                <w:szCs w:val="21"/>
              </w:rPr>
              <w:t>2017</w:t>
            </w:r>
            <w:r>
              <w:rPr>
                <w:sz w:val="21"/>
                <w:szCs w:val="21"/>
              </w:rPr>
              <w:t>年，除必要保留的以外，地级及以上城市建成区基本淘汰每小时</w:t>
            </w:r>
            <w:r>
              <w:rPr>
                <w:rFonts w:ascii="Times New Roman" w:hAnsi="Times New Roman" w:cs="Times New Roman"/>
                <w:sz w:val="21"/>
                <w:szCs w:val="21"/>
              </w:rPr>
              <w:t>10</w:t>
            </w:r>
            <w:r>
              <w:rPr>
                <w:sz w:val="21"/>
                <w:szCs w:val="21"/>
              </w:rPr>
              <w:t>蒸吨及以下的燃煤锅炉，禁止新建每小时</w:t>
            </w:r>
            <w:r>
              <w:rPr>
                <w:rFonts w:ascii="Times New Roman" w:hAnsi="Times New Roman" w:cs="Times New Roman"/>
                <w:sz w:val="21"/>
                <w:szCs w:val="21"/>
              </w:rPr>
              <w:t>20</w:t>
            </w:r>
            <w:r>
              <w:rPr>
                <w:sz w:val="21"/>
                <w:szCs w:val="21"/>
              </w:rPr>
              <w:t>蒸吨以下的燃煤锅炉；其他地区原则上不再新建每小时</w:t>
            </w:r>
            <w:r>
              <w:rPr>
                <w:rFonts w:ascii="Times New Roman" w:hAnsi="Times New Roman" w:cs="Times New Roman"/>
                <w:sz w:val="21"/>
                <w:szCs w:val="21"/>
              </w:rPr>
              <w:t>10</w:t>
            </w:r>
            <w:r>
              <w:rPr>
                <w:sz w:val="21"/>
                <w:szCs w:val="21"/>
              </w:rPr>
              <w:t>蒸吨以下的燃煤锅炉。</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rPr>
              <w:t>本项目</w:t>
            </w:r>
            <w:r>
              <w:rPr>
                <w:rFonts w:hint="eastAsia"/>
                <w:sz w:val="21"/>
                <w:szCs w:val="21"/>
                <w:lang w:eastAsia="zh-CN"/>
              </w:rPr>
              <w:t>用热利用现有工程蒸汽，</w:t>
            </w:r>
            <w:r>
              <w:rPr>
                <w:rFonts w:hint="eastAsia"/>
                <w:sz w:val="21"/>
                <w:szCs w:val="21"/>
              </w:rPr>
              <w:t>不</w:t>
            </w:r>
            <w:r>
              <w:rPr>
                <w:rFonts w:hint="eastAsia"/>
                <w:sz w:val="21"/>
                <w:szCs w:val="21"/>
                <w:lang w:eastAsia="zh-CN"/>
              </w:rPr>
              <w:t>建设</w:t>
            </w:r>
            <w:r>
              <w:rPr>
                <w:rFonts w:hint="eastAsia"/>
                <w:sz w:val="21"/>
                <w:szCs w:val="21"/>
              </w:rPr>
              <w:t>燃煤</w:t>
            </w:r>
            <w:r>
              <w:rPr>
                <w:rFonts w:hint="eastAsia"/>
                <w:sz w:val="21"/>
                <w:szCs w:val="21"/>
                <w:lang w:eastAsia="zh-CN"/>
              </w:rPr>
              <w:t>锅炉</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rFonts w:ascii="Times New Roman" w:hAnsi="Times New Roman" w:cs="Times New Roman"/>
                <w:sz w:val="21"/>
                <w:szCs w:val="21"/>
              </w:rPr>
              <w:t>2</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在石化、有机化工、表面涂装、包装印刷等行业实施挥发性有机物综合整治，在石化行业开展“泄漏检测与修复”技术改造。</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本项目</w:t>
            </w:r>
            <w:r>
              <w:rPr>
                <w:rFonts w:hint="eastAsia"/>
                <w:sz w:val="21"/>
                <w:szCs w:val="21"/>
                <w:lang w:eastAsia="zh-CN"/>
              </w:rPr>
              <w:t>按要求实施挥发性有机物综合整治，由于不属于石化行业，不开展</w:t>
            </w:r>
            <w:r>
              <w:rPr>
                <w:sz w:val="21"/>
                <w:szCs w:val="21"/>
              </w:rPr>
              <w:t>“泄漏检测与修复”</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rFonts w:ascii="Times New Roman" w:hAnsi="Times New Roman" w:cs="Times New Roman"/>
                <w:sz w:val="21"/>
                <w:szCs w:val="21"/>
              </w:rPr>
              <w:t>3</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加强施工扬尘监管，积极推进绿色施工，建设工程施工现场应全封闭设置围挡墙，严禁敞开式作业，施工现场道路应进行地面硬化。渣土运输车辆应采取密闭措施，并逐步安装卫星定位系统。</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本项目</w:t>
            </w:r>
            <w:r>
              <w:rPr>
                <w:rFonts w:hint="eastAsia"/>
                <w:sz w:val="21"/>
                <w:szCs w:val="21"/>
                <w:lang w:eastAsia="zh-CN"/>
              </w:rPr>
              <w:t>在现有厂区预留地建设，按照相关规范进行施工</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rFonts w:ascii="Times New Roman" w:hAnsi="Times New Roman" w:cs="Times New Roman"/>
                <w:sz w:val="21"/>
                <w:szCs w:val="21"/>
              </w:rPr>
              <w:t>4</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严格控制“两高”行业新增产能，新、改、扩建项目要实行产能等量或减量置换。</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sz w:val="21"/>
                <w:szCs w:val="21"/>
              </w:rPr>
            </w:pPr>
            <w:r>
              <w:rPr>
                <w:rFonts w:hint="eastAsia"/>
                <w:sz w:val="21"/>
                <w:szCs w:val="21"/>
              </w:rPr>
              <w:t>本项目不属于“两高”行业</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rFonts w:ascii="Times New Roman" w:hAnsi="Times New Roman" w:cs="Times New Roman"/>
                <w:sz w:val="21"/>
                <w:szCs w:val="21"/>
              </w:rPr>
              <w:t>5</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按照《部分工业行业淘汰落后生产工艺装备和产品指导目录（</w:t>
            </w:r>
            <w:r>
              <w:rPr>
                <w:rFonts w:ascii="Times New Roman" w:hAnsi="Times New Roman" w:cs="Times New Roman"/>
                <w:sz w:val="21"/>
                <w:szCs w:val="21"/>
              </w:rPr>
              <w:t>2010</w:t>
            </w:r>
            <w:r>
              <w:rPr>
                <w:sz w:val="21"/>
                <w:szCs w:val="21"/>
              </w:rPr>
              <w:t>年本）》、《产业结构调整指导目录（</w:t>
            </w:r>
            <w:r>
              <w:rPr>
                <w:rFonts w:ascii="Times New Roman" w:hAnsi="Times New Roman" w:cs="Times New Roman"/>
                <w:sz w:val="21"/>
                <w:szCs w:val="21"/>
              </w:rPr>
              <w:t>2011</w:t>
            </w:r>
            <w:r>
              <w:rPr>
                <w:sz w:val="21"/>
                <w:szCs w:val="21"/>
              </w:rPr>
              <w:t>年本）（修正）》的要求，采取经济、技术、法律和必要的行政手段，提前一年完成钢铁、水泥、电解铝、平板玻璃等</w:t>
            </w:r>
            <w:r>
              <w:rPr>
                <w:rFonts w:ascii="Times New Roman" w:hAnsi="Times New Roman" w:cs="Times New Roman"/>
                <w:sz w:val="21"/>
                <w:szCs w:val="21"/>
              </w:rPr>
              <w:t>21</w:t>
            </w:r>
            <w:r>
              <w:rPr>
                <w:sz w:val="21"/>
                <w:szCs w:val="21"/>
              </w:rPr>
              <w:t>个重点行业的“十二五”落后产能淘汰任务。</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本项目不属于限制类及淘汰类，符合国家产业政策</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rFonts w:ascii="Times New Roman" w:hAnsi="Times New Roman" w:cs="Times New Roman"/>
                <w:sz w:val="21"/>
                <w:szCs w:val="21"/>
              </w:rPr>
              <w:t>6</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优化能源结构，加快发展天然气与可再生能源，实现清洁能源供应和消费多元化。</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eastAsia"/>
                <w:sz w:val="21"/>
                <w:szCs w:val="21"/>
              </w:rPr>
            </w:pPr>
            <w:r>
              <w:rPr>
                <w:sz w:val="21"/>
                <w:szCs w:val="21"/>
              </w:rPr>
              <w:t>本项目</w:t>
            </w:r>
            <w:r>
              <w:rPr>
                <w:rFonts w:hint="eastAsia"/>
                <w:sz w:val="21"/>
                <w:szCs w:val="21"/>
                <w:lang w:eastAsia="zh-CN"/>
              </w:rPr>
              <w:t>采用动力站蒸汽进行生产，不使用化石能源</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45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rFonts w:ascii="Times New Roman" w:hAnsi="Times New Roman" w:cs="Times New Roman"/>
                <w:sz w:val="21"/>
                <w:szCs w:val="21"/>
              </w:rPr>
              <w:t>7</w:t>
            </w:r>
          </w:p>
        </w:tc>
        <w:tc>
          <w:tcPr>
            <w:tcW w:w="5371"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企业是大气污染治理的责任主体，要按照环保规范要求，加强内部管理，增加资金投入，采用先进的生产工艺和治理技术，确保达标排放，甚至达到“零排放”；要自觉履行环境保护的社会责任，接受社会监督。</w:t>
            </w:r>
          </w:p>
        </w:tc>
        <w:tc>
          <w:tcPr>
            <w:tcW w:w="2675"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本项目采用</w:t>
            </w:r>
            <w:r>
              <w:rPr>
                <w:rFonts w:hint="eastAsia"/>
                <w:sz w:val="21"/>
                <w:szCs w:val="21"/>
                <w:lang w:eastAsia="zh-CN"/>
              </w:rPr>
              <w:t>先进</w:t>
            </w:r>
            <w:r>
              <w:rPr>
                <w:sz w:val="21"/>
                <w:szCs w:val="21"/>
              </w:rPr>
              <w:t>的</w:t>
            </w:r>
            <w:r>
              <w:rPr>
                <w:rFonts w:hint="eastAsia"/>
                <w:sz w:val="21"/>
                <w:szCs w:val="21"/>
              </w:rPr>
              <w:t>生产工艺和符合规范</w:t>
            </w:r>
            <w:r>
              <w:rPr>
                <w:rFonts w:hint="eastAsia"/>
                <w:sz w:val="21"/>
                <w:szCs w:val="21"/>
                <w:lang w:eastAsia="zh-CN"/>
              </w:rPr>
              <w:t>要求</w:t>
            </w:r>
            <w:r>
              <w:rPr>
                <w:rFonts w:hint="eastAsia"/>
                <w:sz w:val="21"/>
                <w:szCs w:val="21"/>
              </w:rPr>
              <w:t>的环保设施</w:t>
            </w:r>
            <w:r>
              <w:rPr>
                <w:sz w:val="21"/>
                <w:szCs w:val="21"/>
              </w:rPr>
              <w:t>，</w:t>
            </w:r>
            <w:r>
              <w:rPr>
                <w:rFonts w:hint="eastAsia"/>
                <w:sz w:val="21"/>
                <w:szCs w:val="21"/>
                <w:lang w:eastAsia="zh-CN"/>
              </w:rPr>
              <w:t>可</w:t>
            </w:r>
            <w:r>
              <w:rPr>
                <w:sz w:val="21"/>
                <w:szCs w:val="21"/>
              </w:rPr>
              <w:t>确保</w:t>
            </w:r>
            <w:r>
              <w:rPr>
                <w:rFonts w:hint="eastAsia"/>
                <w:sz w:val="21"/>
                <w:szCs w:val="21"/>
              </w:rPr>
              <w:t>污染物稳定</w:t>
            </w:r>
            <w:r>
              <w:rPr>
                <w:sz w:val="21"/>
                <w:szCs w:val="21"/>
              </w:rPr>
              <w:t>达标排放</w:t>
            </w:r>
          </w:p>
        </w:tc>
        <w:tc>
          <w:tcPr>
            <w:tcW w:w="717" w:type="dxa"/>
            <w:noWrap w:val="0"/>
            <w:vAlign w:val="center"/>
          </w:tcPr>
          <w:p>
            <w:pPr>
              <w:pStyle w:val="199"/>
              <w:keepNext w:val="0"/>
              <w:keepLines w:val="0"/>
              <w:pageBreakBefore w:val="0"/>
              <w:widowControl/>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sz w:val="21"/>
                <w:szCs w:val="21"/>
              </w:rPr>
            </w:pPr>
            <w:r>
              <w:rPr>
                <w:sz w:val="21"/>
                <w:szCs w:val="21"/>
              </w:rPr>
              <w:t>符合</w:t>
            </w:r>
          </w:p>
        </w:tc>
      </w:tr>
    </w:tbl>
    <w:p>
      <w:pPr>
        <w:rPr>
          <w:rFonts w:hint="eastAsia"/>
        </w:rPr>
      </w:pPr>
      <w:r>
        <w:rPr>
          <w:rFonts w:hint="eastAsia"/>
          <w:lang w:eastAsia="zh-CN"/>
        </w:rPr>
        <w:t>根据分析，本项目符合</w:t>
      </w:r>
      <w:r>
        <w:rPr>
          <w:rFonts w:hint="eastAsia"/>
        </w:rPr>
        <w:t>《国务院关于印发大气污染防治行动计划的通知》（国发[</w:t>
      </w:r>
      <w:r>
        <w:rPr>
          <w:rFonts w:hint="eastAsia" w:ascii="Times New Roman" w:hAnsi="Times New Roman"/>
        </w:rPr>
        <w:t>2013</w:t>
      </w:r>
      <w:r>
        <w:rPr>
          <w:rFonts w:hint="eastAsia"/>
        </w:rPr>
        <w:t>]</w:t>
      </w:r>
      <w:r>
        <w:rPr>
          <w:rFonts w:hint="eastAsia" w:ascii="Times New Roman" w:hAnsi="Times New Roman"/>
        </w:rPr>
        <w:t>37</w:t>
      </w:r>
      <w:r>
        <w:rPr>
          <w:rFonts w:hint="eastAsia"/>
        </w:rPr>
        <w:t>号</w:t>
      </w:r>
      <w:r>
        <w:t>）</w:t>
      </w:r>
      <w:r>
        <w:rPr>
          <w:rFonts w:hint="eastAsia"/>
          <w:lang w:eastAsia="zh-CN"/>
        </w:rPr>
        <w:t>要求。</w:t>
      </w:r>
    </w:p>
    <w:p>
      <w:pPr>
        <w:rPr>
          <w:rFonts w:hint="eastAsia"/>
        </w:rPr>
      </w:pPr>
      <w:r>
        <w:rPr>
          <w:rFonts w:hint="eastAsia"/>
          <w:lang w:eastAsia="zh-CN"/>
        </w:rPr>
        <w:t>（</w:t>
      </w:r>
      <w:r>
        <w:rPr>
          <w:rFonts w:hint="eastAsia" w:ascii="Times New Roman" w:hAnsi="Times New Roman"/>
          <w:lang w:val="en-US" w:eastAsia="zh-CN"/>
        </w:rPr>
        <w:t>2</w:t>
      </w:r>
      <w:r>
        <w:rPr>
          <w:rFonts w:hint="eastAsia"/>
          <w:lang w:eastAsia="zh-CN"/>
        </w:rPr>
        <w:t>）</w:t>
      </w:r>
      <w:r>
        <w:t>与</w:t>
      </w:r>
      <w:r>
        <w:rPr>
          <w:rFonts w:hint="eastAsia"/>
        </w:rPr>
        <w:t>国发[</w:t>
      </w:r>
      <w:r>
        <w:rPr>
          <w:rFonts w:hint="eastAsia" w:ascii="Times New Roman" w:hAnsi="Times New Roman"/>
        </w:rPr>
        <w:t>2015</w:t>
      </w:r>
      <w:r>
        <w:rPr>
          <w:rFonts w:hint="eastAsia"/>
        </w:rPr>
        <w:t>]</w:t>
      </w:r>
      <w:r>
        <w:rPr>
          <w:rFonts w:hint="eastAsia" w:ascii="Times New Roman" w:hAnsi="Times New Roman"/>
        </w:rPr>
        <w:t>17</w:t>
      </w:r>
      <w:r>
        <w:rPr>
          <w:rFonts w:hint="eastAsia"/>
        </w:rPr>
        <w:t>号</w:t>
      </w:r>
      <w:r>
        <w:t>文</w:t>
      </w:r>
      <w:r>
        <w:rPr>
          <w:rFonts w:hint="eastAsia"/>
          <w:lang w:eastAsia="zh-CN"/>
        </w:rPr>
        <w:t>和</w:t>
      </w:r>
      <w:r>
        <w:rPr>
          <w:rFonts w:hint="default" w:ascii="Times New Roman" w:hAnsi="Times New Roman" w:eastAsia="宋体" w:cs="Times New Roman"/>
        </w:rPr>
        <w:t>新政发[</w:t>
      </w:r>
      <w:r>
        <w:rPr>
          <w:rFonts w:hint="default" w:ascii="Times New Roman" w:hAnsi="Times New Roman" w:eastAsia="宋体" w:cs="Times New Roman"/>
        </w:rPr>
        <w:t>2016</w:t>
      </w:r>
      <w:r>
        <w:rPr>
          <w:rFonts w:hint="default" w:ascii="Times New Roman" w:hAnsi="Times New Roman" w:eastAsia="宋体" w:cs="Times New Roman"/>
        </w:rPr>
        <w:t>]</w:t>
      </w:r>
      <w:r>
        <w:rPr>
          <w:rFonts w:hint="default" w:ascii="Times New Roman" w:hAnsi="Times New Roman" w:eastAsia="宋体" w:cs="Times New Roman"/>
        </w:rPr>
        <w:t>21</w:t>
      </w:r>
      <w:r>
        <w:rPr>
          <w:rFonts w:hint="default" w:ascii="Times New Roman" w:hAnsi="Times New Roman" w:eastAsia="宋体" w:cs="Times New Roman"/>
        </w:rPr>
        <w:t>号</w:t>
      </w:r>
      <w:r>
        <w:t>的符合性</w:t>
      </w:r>
    </w:p>
    <w:p>
      <w:pPr>
        <w:rPr>
          <w:rFonts w:hint="eastAsia" w:eastAsia="宋体"/>
          <w:lang w:eastAsia="zh-CN"/>
        </w:rPr>
      </w:pPr>
      <w:r>
        <w:t>根据</w:t>
      </w:r>
      <w:r>
        <w:rPr>
          <w:rFonts w:hint="eastAsia"/>
        </w:rPr>
        <w:t>《国务院关于印发水污染防治行动计划的通知》（国发[</w:t>
      </w:r>
      <w:r>
        <w:rPr>
          <w:rFonts w:hint="eastAsia" w:ascii="Times New Roman" w:hAnsi="Times New Roman"/>
        </w:rPr>
        <w:t>2015</w:t>
      </w:r>
      <w:r>
        <w:rPr>
          <w:rFonts w:hint="eastAsia"/>
        </w:rPr>
        <w:t>]</w:t>
      </w:r>
      <w:r>
        <w:rPr>
          <w:rFonts w:hint="eastAsia" w:ascii="Times New Roman" w:hAnsi="Times New Roman"/>
        </w:rPr>
        <w:t>17</w:t>
      </w:r>
      <w:r>
        <w:rPr>
          <w:rFonts w:hint="eastAsia"/>
        </w:rPr>
        <w:t>号）</w:t>
      </w:r>
      <w:r>
        <w:rPr>
          <w:rFonts w:hint="eastAsia"/>
          <w:lang w:eastAsia="zh-CN"/>
        </w:rPr>
        <w:t>和</w:t>
      </w:r>
      <w:r>
        <w:rPr>
          <w:rFonts w:hint="default" w:ascii="Times New Roman" w:hAnsi="Times New Roman" w:eastAsia="宋体" w:cs="Times New Roman"/>
        </w:rPr>
        <w:t>《关于印发新疆维吾尔自治区水污染防治工作方案的通知》（新政发[</w:t>
      </w:r>
      <w:r>
        <w:rPr>
          <w:rFonts w:hint="default" w:ascii="Times New Roman" w:hAnsi="Times New Roman" w:eastAsia="宋体" w:cs="Times New Roman"/>
        </w:rPr>
        <w:t>2016</w:t>
      </w:r>
      <w:r>
        <w:rPr>
          <w:rFonts w:hint="default" w:ascii="Times New Roman" w:hAnsi="Times New Roman" w:eastAsia="宋体" w:cs="Times New Roman"/>
        </w:rPr>
        <w:t>]</w:t>
      </w:r>
      <w:r>
        <w:rPr>
          <w:rFonts w:hint="default" w:ascii="Times New Roman" w:hAnsi="Times New Roman" w:eastAsia="宋体" w:cs="Times New Roman"/>
        </w:rPr>
        <w:t>21</w:t>
      </w:r>
      <w:r>
        <w:rPr>
          <w:rFonts w:hint="default" w:ascii="Times New Roman" w:hAnsi="Times New Roman" w:eastAsia="宋体" w:cs="Times New Roman"/>
        </w:rPr>
        <w:t>号）</w:t>
      </w:r>
      <w:r>
        <w:t>，</w:t>
      </w:r>
      <w:r>
        <w:rPr>
          <w:rFonts w:hint="eastAsia"/>
          <w:lang w:eastAsia="zh-CN"/>
        </w:rPr>
        <w:t>厂内现有工程按照“清污分流、分质处理、梯级利用”原则，生产废水主要包括糖化浓缩工段废水、精馏工段废水、聚合工段废水、管道冲洗废水等，与厂内生活污水一并排入厂内污水处理站处理，主要污染物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eastAsia="zh-CN"/>
        </w:rPr>
        <w:t>）表</w:t>
      </w:r>
      <w:r>
        <w:rPr>
          <w:rFonts w:hint="eastAsia" w:ascii="Times New Roman" w:hAnsi="Times New Roman"/>
          <w:lang w:val="en-US" w:eastAsia="zh-CN"/>
        </w:rPr>
        <w:t>1</w:t>
      </w:r>
      <w:r>
        <w:rPr>
          <w:rFonts w:hint="eastAsia"/>
          <w:lang w:val="en-US" w:eastAsia="zh-CN"/>
        </w:rPr>
        <w:t>新建企业水污染物间接排放标准，未规定限值的污染物须符合乌苏工业园区污水处理厂设计进水水质标准要求（《污水排入城镇下水道水质标准》（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1</w:t>
      </w:r>
      <w:r>
        <w:rPr>
          <w:rFonts w:hint="eastAsia"/>
          <w:lang w:val="en-US" w:eastAsia="zh-CN"/>
        </w:rPr>
        <w:t>间接标准），排入园区管网；清净下水包括动力站锅炉排水、脱盐水站排水和循环水场排水等，直接排入园区管网。本项目新增少量员工生活污水和装置地面冲洗废水，依托现有污水处理站处理</w:t>
      </w:r>
      <w:r>
        <w:rPr>
          <w:rFonts w:hint="eastAsia"/>
          <w:lang w:eastAsia="zh-CN"/>
        </w:rPr>
        <w:t>，符合</w:t>
      </w:r>
      <w:r>
        <w:rPr>
          <w:rFonts w:hint="default" w:ascii="Times New Roman" w:hAnsi="Times New Roman" w:eastAsia="宋体" w:cs="Times New Roman"/>
        </w:rPr>
        <w:t>水污染防治</w:t>
      </w:r>
      <w:r>
        <w:rPr>
          <w:rFonts w:hint="eastAsia" w:ascii="Times New Roman" w:hAnsi="Times New Roman" w:cs="Times New Roman"/>
          <w:lang w:eastAsia="zh-CN"/>
        </w:rPr>
        <w:t>相关</w:t>
      </w:r>
      <w:r>
        <w:rPr>
          <w:rFonts w:hint="eastAsia" w:ascii="Times New Roman" w:eastAsia="宋体" w:cs="Times New Roman"/>
          <w:lang w:eastAsia="zh-CN"/>
        </w:rPr>
        <w:t>要求</w:t>
      </w:r>
      <w:r>
        <w:rPr>
          <w:rFonts w:hint="eastAsia"/>
          <w:lang w:eastAsia="zh-CN"/>
        </w:rPr>
        <w:t>。</w:t>
      </w:r>
    </w:p>
    <w:p>
      <w:pPr>
        <w:rPr>
          <w:rFonts w:hint="eastAsia"/>
        </w:rPr>
      </w:pPr>
      <w:r>
        <w:rPr>
          <w:rFonts w:hint="eastAsia"/>
        </w:rPr>
        <w:t>（</w:t>
      </w:r>
      <w:r>
        <w:rPr>
          <w:rFonts w:hint="eastAsia" w:ascii="Times New Roman" w:hAnsi="Times New Roman"/>
          <w:lang w:val="en-US" w:eastAsia="zh-CN"/>
        </w:rPr>
        <w:t>3</w:t>
      </w:r>
      <w:r>
        <w:rPr>
          <w:rFonts w:hint="eastAsia"/>
        </w:rPr>
        <w:t>）</w:t>
      </w:r>
      <w:r>
        <w:t>与</w:t>
      </w:r>
      <w:r>
        <w:rPr>
          <w:rFonts w:hint="eastAsia"/>
        </w:rPr>
        <w:t>国发[</w:t>
      </w:r>
      <w:r>
        <w:rPr>
          <w:rFonts w:hint="eastAsia" w:ascii="Times New Roman" w:hAnsi="Times New Roman"/>
        </w:rPr>
        <w:t>2016</w:t>
      </w:r>
      <w:r>
        <w:rPr>
          <w:rFonts w:hint="eastAsia"/>
        </w:rPr>
        <w:t>]</w:t>
      </w:r>
      <w:r>
        <w:rPr>
          <w:rFonts w:hint="eastAsia" w:ascii="Times New Roman" w:hAnsi="Times New Roman"/>
        </w:rPr>
        <w:t>31</w:t>
      </w:r>
      <w:r>
        <w:rPr>
          <w:rFonts w:hint="eastAsia"/>
        </w:rPr>
        <w:t>号</w:t>
      </w:r>
      <w:r>
        <w:t>文</w:t>
      </w:r>
      <w:r>
        <w:rPr>
          <w:rFonts w:hint="eastAsia"/>
        </w:rPr>
        <w:t>与新政发[</w:t>
      </w:r>
      <w:r>
        <w:rPr>
          <w:rFonts w:hint="eastAsia" w:ascii="Times New Roman" w:hAnsi="Times New Roman"/>
        </w:rPr>
        <w:t>2017</w:t>
      </w:r>
      <w:r>
        <w:rPr>
          <w:rFonts w:hint="eastAsia"/>
        </w:rPr>
        <w:t>]</w:t>
      </w:r>
      <w:r>
        <w:rPr>
          <w:rFonts w:hint="eastAsia" w:ascii="Times New Roman" w:hAnsi="Times New Roman"/>
        </w:rPr>
        <w:t>25</w:t>
      </w:r>
      <w:r>
        <w:rPr>
          <w:rFonts w:hint="eastAsia"/>
        </w:rPr>
        <w:t>号文</w:t>
      </w:r>
      <w:r>
        <w:t>的符合性</w:t>
      </w:r>
    </w:p>
    <w:p>
      <w:pPr>
        <w:rPr>
          <w:rFonts w:hint="eastAsia"/>
        </w:rPr>
      </w:pPr>
      <w:r>
        <w:t>根据</w:t>
      </w:r>
      <w:r>
        <w:rPr>
          <w:rFonts w:hint="eastAsia"/>
        </w:rPr>
        <w:t>《国务院关于印发土壤污染防治行动计划的通知》（国发[</w:t>
      </w:r>
      <w:r>
        <w:rPr>
          <w:rFonts w:hint="eastAsia" w:ascii="Times New Roman" w:hAnsi="Times New Roman"/>
        </w:rPr>
        <w:t>2016</w:t>
      </w:r>
      <w:r>
        <w:rPr>
          <w:rFonts w:hint="eastAsia"/>
        </w:rPr>
        <w:t>]</w:t>
      </w:r>
      <w:r>
        <w:rPr>
          <w:rFonts w:hint="eastAsia" w:ascii="Times New Roman" w:hAnsi="Times New Roman"/>
        </w:rPr>
        <w:t>31</w:t>
      </w:r>
      <w:r>
        <w:rPr>
          <w:rFonts w:hint="eastAsia"/>
        </w:rPr>
        <w:t>号）</w:t>
      </w:r>
      <w:r>
        <w:rPr>
          <w:rFonts w:hint="eastAsia"/>
          <w:lang w:eastAsia="zh-CN"/>
        </w:rPr>
        <w:t>和</w:t>
      </w:r>
      <w:r>
        <w:t>《关于印发新疆维吾尔自治区土壤污染防治工作方案的通知》（</w:t>
      </w:r>
      <w:r>
        <w:rPr>
          <w:rFonts w:hint="eastAsia"/>
        </w:rPr>
        <w:t>新政</w:t>
      </w:r>
      <w:r>
        <w:t>发[</w:t>
      </w:r>
      <w:r>
        <w:rPr>
          <w:rFonts w:ascii="Times New Roman" w:hAnsi="Times New Roman"/>
        </w:rPr>
        <w:t>20</w:t>
      </w:r>
      <w:r>
        <w:rPr>
          <w:rFonts w:hint="eastAsia" w:ascii="Times New Roman" w:hAnsi="Times New Roman"/>
        </w:rPr>
        <w:t>17</w:t>
      </w:r>
      <w:r>
        <w:t>]</w:t>
      </w:r>
      <w:r>
        <w:rPr>
          <w:rFonts w:hint="eastAsia" w:ascii="Times New Roman" w:hAnsi="Times New Roman"/>
        </w:rPr>
        <w:t>25</w:t>
      </w:r>
      <w:r>
        <w:t>号），分析</w:t>
      </w:r>
      <w:r>
        <w:rPr>
          <w:rFonts w:hint="eastAsia"/>
          <w:lang w:eastAsia="zh-CN"/>
        </w:rPr>
        <w:t>本项目</w:t>
      </w:r>
      <w:r>
        <w:t>的符合性见</w:t>
      </w:r>
      <w:r>
        <w:rPr>
          <w:rFonts w:hint="eastAsia"/>
        </w:rPr>
        <w:t>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5</w:t>
      </w:r>
      <w:r>
        <w:t>。</w:t>
      </w:r>
    </w:p>
    <w:p>
      <w:pPr>
        <w:pStyle w:val="20"/>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rPr>
      </w:pPr>
      <w:r>
        <w:rPr>
          <w:rFonts w:hint="eastAsia"/>
        </w:rPr>
        <w:t>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5</w:t>
      </w:r>
      <w:r>
        <w:rPr>
          <w:rFonts w:hint="eastAsia"/>
        </w:rPr>
        <w:t xml:space="preserve">   </w:t>
      </w:r>
      <w:r>
        <w:rPr>
          <w:rFonts w:hint="eastAsia"/>
          <w:lang w:eastAsia="zh-CN"/>
        </w:rPr>
        <w:t>项目</w:t>
      </w:r>
      <w:r>
        <w:rPr>
          <w:rFonts w:hint="eastAsia"/>
        </w:rPr>
        <w:t>与国发[</w:t>
      </w:r>
      <w:r>
        <w:rPr>
          <w:rFonts w:hint="eastAsia" w:ascii="Times New Roman" w:hAnsi="Times New Roman"/>
        </w:rPr>
        <w:t>2016</w:t>
      </w:r>
      <w:r>
        <w:rPr>
          <w:rFonts w:hint="eastAsia"/>
        </w:rPr>
        <w:t>]</w:t>
      </w:r>
      <w:r>
        <w:rPr>
          <w:rFonts w:hint="eastAsia" w:ascii="Times New Roman" w:hAnsi="Times New Roman"/>
        </w:rPr>
        <w:t>31</w:t>
      </w:r>
      <w:r>
        <w:rPr>
          <w:rFonts w:hint="eastAsia"/>
        </w:rPr>
        <w:t>号</w:t>
      </w:r>
      <w:r>
        <w:rPr>
          <w:rFonts w:hint="eastAsia"/>
          <w:lang w:eastAsia="zh-CN"/>
        </w:rPr>
        <w:t>和新政发</w:t>
      </w:r>
      <w:r>
        <w:rPr>
          <w:rFonts w:hint="eastAsia"/>
          <w:lang w:val="en-US" w:eastAsia="zh-CN"/>
        </w:rPr>
        <w:t>[</w:t>
      </w:r>
      <w:r>
        <w:rPr>
          <w:rFonts w:hint="eastAsia" w:ascii="Times New Roman" w:hAnsi="Times New Roman"/>
          <w:lang w:val="en-US" w:eastAsia="zh-CN"/>
        </w:rPr>
        <w:t>2017</w:t>
      </w:r>
      <w:r>
        <w:rPr>
          <w:rFonts w:hint="eastAsia"/>
          <w:lang w:val="en-US" w:eastAsia="zh-CN"/>
        </w:rPr>
        <w:t>]</w:t>
      </w:r>
      <w:r>
        <w:rPr>
          <w:rFonts w:hint="eastAsia" w:ascii="Times New Roman" w:hAnsi="Times New Roman"/>
          <w:lang w:val="en-US" w:eastAsia="zh-CN"/>
        </w:rPr>
        <w:t>25</w:t>
      </w:r>
      <w:r>
        <w:rPr>
          <w:rFonts w:hint="eastAsia"/>
          <w:lang w:val="en-US" w:eastAsia="zh-CN"/>
        </w:rPr>
        <w:t>号</w:t>
      </w:r>
      <w:r>
        <w:rPr>
          <w:rFonts w:hint="eastAsia"/>
        </w:rPr>
        <w:t>符合性分析一览表</w:t>
      </w:r>
    </w:p>
    <w:tbl>
      <w:tblPr>
        <w:tblStyle w:val="80"/>
        <w:tblW w:w="92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491"/>
        <w:gridCol w:w="2574"/>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65" w:type="dxa"/>
            <w:noWrap w:val="0"/>
            <w:vAlign w:val="center"/>
          </w:tcPr>
          <w:p>
            <w:pPr>
              <w:pStyle w:val="199"/>
              <w:spacing w:line="240" w:lineRule="auto"/>
              <w:ind w:firstLine="0"/>
              <w:rPr>
                <w:sz w:val="20"/>
                <w:szCs w:val="20"/>
              </w:rPr>
            </w:pPr>
            <w:r>
              <w:rPr>
                <w:sz w:val="20"/>
                <w:szCs w:val="20"/>
              </w:rPr>
              <w:t>序号</w:t>
            </w:r>
          </w:p>
        </w:tc>
        <w:tc>
          <w:tcPr>
            <w:tcW w:w="5491" w:type="dxa"/>
            <w:noWrap w:val="0"/>
            <w:vAlign w:val="center"/>
          </w:tcPr>
          <w:p>
            <w:pPr>
              <w:pStyle w:val="199"/>
              <w:spacing w:line="240" w:lineRule="auto"/>
              <w:ind w:firstLine="0"/>
              <w:rPr>
                <w:sz w:val="20"/>
                <w:szCs w:val="20"/>
              </w:rPr>
            </w:pPr>
            <w:r>
              <w:rPr>
                <w:sz w:val="20"/>
                <w:szCs w:val="20"/>
              </w:rPr>
              <w:t>文件要求</w:t>
            </w:r>
          </w:p>
        </w:tc>
        <w:tc>
          <w:tcPr>
            <w:tcW w:w="2574" w:type="dxa"/>
            <w:noWrap w:val="0"/>
            <w:vAlign w:val="center"/>
          </w:tcPr>
          <w:p>
            <w:pPr>
              <w:pStyle w:val="199"/>
              <w:spacing w:line="240" w:lineRule="auto"/>
              <w:ind w:firstLine="0"/>
              <w:rPr>
                <w:sz w:val="20"/>
                <w:szCs w:val="20"/>
              </w:rPr>
            </w:pPr>
            <w:r>
              <w:rPr>
                <w:sz w:val="20"/>
                <w:szCs w:val="20"/>
              </w:rPr>
              <w:t>项目情况</w:t>
            </w:r>
          </w:p>
        </w:tc>
        <w:tc>
          <w:tcPr>
            <w:tcW w:w="708" w:type="dxa"/>
            <w:noWrap w:val="0"/>
            <w:vAlign w:val="center"/>
          </w:tcPr>
          <w:p>
            <w:pPr>
              <w:pStyle w:val="199"/>
              <w:spacing w:line="240" w:lineRule="auto"/>
              <w:ind w:firstLine="0"/>
              <w:rPr>
                <w:sz w:val="20"/>
                <w:szCs w:val="20"/>
              </w:rPr>
            </w:pPr>
            <w:r>
              <w:rPr>
                <w:sz w:val="20"/>
                <w:szCs w:val="20"/>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238" w:type="dxa"/>
            <w:gridSpan w:val="4"/>
            <w:noWrap w:val="0"/>
            <w:vAlign w:val="center"/>
          </w:tcPr>
          <w:p>
            <w:pPr>
              <w:pStyle w:val="199"/>
              <w:spacing w:line="240" w:lineRule="auto"/>
              <w:ind w:firstLine="0"/>
              <w:rPr>
                <w:sz w:val="20"/>
                <w:szCs w:val="20"/>
              </w:rPr>
            </w:pPr>
            <w:r>
              <w:rPr>
                <w:rFonts w:hint="eastAsia"/>
                <w:sz w:val="20"/>
                <w:szCs w:val="20"/>
              </w:rPr>
              <w:t>国发[</w:t>
            </w:r>
            <w:r>
              <w:rPr>
                <w:rFonts w:hint="eastAsia" w:ascii="Times New Roman" w:hAnsi="Times New Roman" w:cs="Times New Roman"/>
                <w:sz w:val="20"/>
                <w:szCs w:val="20"/>
              </w:rPr>
              <w:t>2016</w:t>
            </w:r>
            <w:r>
              <w:rPr>
                <w:rFonts w:hint="eastAsia"/>
                <w:sz w:val="20"/>
                <w:szCs w:val="20"/>
              </w:rPr>
              <w:t>]</w:t>
            </w:r>
            <w:r>
              <w:rPr>
                <w:rFonts w:hint="eastAsia" w:ascii="Times New Roman" w:hAnsi="Times New Roman" w:cs="Times New Roman"/>
                <w:sz w:val="20"/>
                <w:szCs w:val="20"/>
              </w:rPr>
              <w:t>31</w:t>
            </w:r>
            <w:r>
              <w:rPr>
                <w:rFonts w:hint="eastAsia"/>
                <w:sz w:val="20"/>
                <w:szCs w:val="20"/>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465" w:type="dxa"/>
            <w:noWrap w:val="0"/>
            <w:vAlign w:val="center"/>
          </w:tcPr>
          <w:p>
            <w:pPr>
              <w:pStyle w:val="199"/>
              <w:spacing w:line="240" w:lineRule="auto"/>
              <w:ind w:firstLine="0"/>
              <w:rPr>
                <w:sz w:val="20"/>
                <w:szCs w:val="20"/>
              </w:rPr>
            </w:pPr>
            <w:r>
              <w:rPr>
                <w:rFonts w:ascii="Times New Roman" w:hAnsi="Times New Roman" w:cs="Times New Roman"/>
                <w:sz w:val="20"/>
                <w:szCs w:val="20"/>
              </w:rPr>
              <w:t>1</w:t>
            </w:r>
          </w:p>
        </w:tc>
        <w:tc>
          <w:tcPr>
            <w:tcW w:w="5491" w:type="dxa"/>
            <w:noWrap w:val="0"/>
            <w:vAlign w:val="center"/>
          </w:tcPr>
          <w:p>
            <w:pPr>
              <w:pStyle w:val="199"/>
              <w:spacing w:line="240" w:lineRule="exact"/>
              <w:ind w:firstLine="0"/>
              <w:rPr>
                <w:sz w:val="20"/>
                <w:szCs w:val="20"/>
              </w:rPr>
            </w:pPr>
            <w:r>
              <w:rPr>
                <w:rFonts w:hint="eastAsia"/>
                <w:sz w:val="20"/>
                <w:szCs w:val="20"/>
              </w:rPr>
              <w:t>防控企业污染。严格控制在优先保护类耕地集中区域新建有色金属冶炼、石油加工、化工、焦化、电镀、制革等行业企业，现有相关行业企业要采用新技术、新工艺，加快提标升级改造步伐</w:t>
            </w:r>
          </w:p>
        </w:tc>
        <w:tc>
          <w:tcPr>
            <w:tcW w:w="2574" w:type="dxa"/>
            <w:noWrap w:val="0"/>
            <w:vAlign w:val="center"/>
          </w:tcPr>
          <w:p>
            <w:pPr>
              <w:pStyle w:val="199"/>
              <w:spacing w:line="240" w:lineRule="exact"/>
              <w:ind w:firstLine="0"/>
              <w:rPr>
                <w:sz w:val="20"/>
                <w:szCs w:val="20"/>
              </w:rPr>
            </w:pPr>
            <w:r>
              <w:rPr>
                <w:rFonts w:hint="eastAsia"/>
                <w:sz w:val="20"/>
                <w:szCs w:val="20"/>
                <w:lang w:eastAsia="zh-CN"/>
              </w:rPr>
              <w:t>项目</w:t>
            </w:r>
            <w:r>
              <w:rPr>
                <w:rFonts w:hint="eastAsia"/>
                <w:sz w:val="20"/>
                <w:szCs w:val="20"/>
              </w:rPr>
              <w:t>位于</w:t>
            </w:r>
            <w:r>
              <w:rPr>
                <w:rFonts w:hint="eastAsia"/>
                <w:sz w:val="20"/>
                <w:szCs w:val="20"/>
                <w:lang w:eastAsia="zh-CN"/>
              </w:rPr>
              <w:t>工业</w:t>
            </w:r>
            <w:r>
              <w:rPr>
                <w:rFonts w:hint="eastAsia"/>
                <w:sz w:val="20"/>
                <w:szCs w:val="20"/>
              </w:rPr>
              <w:t>园区，</w:t>
            </w:r>
            <w:r>
              <w:rPr>
                <w:rFonts w:hint="eastAsia"/>
                <w:sz w:val="20"/>
                <w:szCs w:val="20"/>
                <w:lang w:eastAsia="zh-CN"/>
              </w:rPr>
              <w:t>不涉及耕地集中区域</w:t>
            </w:r>
          </w:p>
        </w:tc>
        <w:tc>
          <w:tcPr>
            <w:tcW w:w="708" w:type="dxa"/>
            <w:noWrap w:val="0"/>
            <w:vAlign w:val="center"/>
          </w:tcPr>
          <w:p>
            <w:pPr>
              <w:pStyle w:val="199"/>
              <w:spacing w:line="240" w:lineRule="auto"/>
              <w:ind w:firstLine="0"/>
              <w:rPr>
                <w:sz w:val="20"/>
                <w:szCs w:val="20"/>
              </w:rPr>
            </w:pPr>
            <w:r>
              <w:rPr>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465" w:type="dxa"/>
            <w:noWrap w:val="0"/>
            <w:vAlign w:val="center"/>
          </w:tcPr>
          <w:p>
            <w:pPr>
              <w:pStyle w:val="199"/>
              <w:spacing w:line="240" w:lineRule="auto"/>
              <w:ind w:firstLine="0"/>
              <w:rPr>
                <w:sz w:val="20"/>
                <w:szCs w:val="20"/>
              </w:rPr>
            </w:pPr>
            <w:r>
              <w:rPr>
                <w:rFonts w:ascii="Times New Roman" w:hAnsi="Times New Roman" w:cs="Times New Roman"/>
                <w:sz w:val="20"/>
                <w:szCs w:val="20"/>
              </w:rPr>
              <w:t>2</w:t>
            </w:r>
          </w:p>
        </w:tc>
        <w:tc>
          <w:tcPr>
            <w:tcW w:w="5491" w:type="dxa"/>
            <w:noWrap w:val="0"/>
            <w:vAlign w:val="center"/>
          </w:tcPr>
          <w:p>
            <w:pPr>
              <w:pStyle w:val="199"/>
              <w:spacing w:line="240" w:lineRule="exact"/>
              <w:ind w:firstLine="0"/>
              <w:rPr>
                <w:sz w:val="20"/>
                <w:szCs w:val="20"/>
              </w:rPr>
            </w:pPr>
            <w:r>
              <w:rPr>
                <w:rFonts w:hint="eastAsia"/>
                <w:sz w:val="20"/>
                <w:szCs w:val="20"/>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574" w:type="dxa"/>
            <w:noWrap w:val="0"/>
            <w:vAlign w:val="center"/>
          </w:tcPr>
          <w:p>
            <w:pPr>
              <w:pStyle w:val="199"/>
              <w:spacing w:line="240" w:lineRule="exact"/>
              <w:ind w:firstLine="0"/>
              <w:rPr>
                <w:sz w:val="20"/>
                <w:szCs w:val="20"/>
              </w:rPr>
            </w:pPr>
            <w:r>
              <w:rPr>
                <w:rFonts w:hint="eastAsia"/>
                <w:sz w:val="20"/>
                <w:szCs w:val="20"/>
              </w:rPr>
              <w:t>本次环评包含对土壤环境影响评价，同步落实土壤污染防治措施</w:t>
            </w:r>
          </w:p>
        </w:tc>
        <w:tc>
          <w:tcPr>
            <w:tcW w:w="708" w:type="dxa"/>
            <w:noWrap w:val="0"/>
            <w:vAlign w:val="center"/>
          </w:tcPr>
          <w:p>
            <w:pPr>
              <w:pStyle w:val="199"/>
              <w:spacing w:line="240" w:lineRule="auto"/>
              <w:ind w:firstLine="0"/>
              <w:rPr>
                <w:sz w:val="20"/>
                <w:szCs w:val="20"/>
              </w:rPr>
            </w:pPr>
            <w:r>
              <w:rPr>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65" w:type="dxa"/>
            <w:noWrap w:val="0"/>
            <w:vAlign w:val="center"/>
          </w:tcPr>
          <w:p>
            <w:pPr>
              <w:pStyle w:val="199"/>
              <w:spacing w:line="240" w:lineRule="auto"/>
              <w:ind w:firstLine="0"/>
              <w:rPr>
                <w:sz w:val="20"/>
                <w:szCs w:val="20"/>
              </w:rPr>
            </w:pPr>
            <w:r>
              <w:rPr>
                <w:rFonts w:ascii="Times New Roman" w:hAnsi="Times New Roman" w:cs="Times New Roman"/>
                <w:sz w:val="20"/>
                <w:szCs w:val="20"/>
              </w:rPr>
              <w:t>3</w:t>
            </w:r>
          </w:p>
        </w:tc>
        <w:tc>
          <w:tcPr>
            <w:tcW w:w="5491" w:type="dxa"/>
            <w:noWrap w:val="0"/>
            <w:vAlign w:val="center"/>
          </w:tcPr>
          <w:p>
            <w:pPr>
              <w:pStyle w:val="199"/>
              <w:spacing w:line="240" w:lineRule="exact"/>
              <w:ind w:firstLine="0"/>
              <w:rPr>
                <w:sz w:val="20"/>
                <w:szCs w:val="20"/>
              </w:rPr>
            </w:pPr>
            <w:r>
              <w:rPr>
                <w:rFonts w:hint="eastAsia"/>
                <w:sz w:val="20"/>
                <w:szCs w:val="20"/>
              </w:rPr>
              <w:t>强化空间布局管控。严格执行相关行业企业布局选址要求，禁止在居民区、学校、医疗和养老机构等周边新建有色金属冶炼、焦化等行业企业</w:t>
            </w:r>
          </w:p>
        </w:tc>
        <w:tc>
          <w:tcPr>
            <w:tcW w:w="2574" w:type="dxa"/>
            <w:noWrap w:val="0"/>
            <w:vAlign w:val="center"/>
          </w:tcPr>
          <w:p>
            <w:pPr>
              <w:pStyle w:val="199"/>
              <w:spacing w:line="240" w:lineRule="exact"/>
              <w:ind w:firstLine="0"/>
              <w:rPr>
                <w:sz w:val="20"/>
                <w:szCs w:val="20"/>
              </w:rPr>
            </w:pPr>
            <w:r>
              <w:rPr>
                <w:rFonts w:hint="eastAsia"/>
                <w:sz w:val="20"/>
                <w:szCs w:val="20"/>
                <w:lang w:eastAsia="zh-CN"/>
              </w:rPr>
              <w:t>本项目</w:t>
            </w:r>
            <w:r>
              <w:rPr>
                <w:rFonts w:hint="eastAsia"/>
                <w:sz w:val="20"/>
                <w:szCs w:val="20"/>
              </w:rPr>
              <w:t>位于工业</w:t>
            </w:r>
            <w:r>
              <w:rPr>
                <w:rFonts w:hint="eastAsia"/>
                <w:sz w:val="20"/>
                <w:szCs w:val="20"/>
                <w:lang w:eastAsia="zh-CN"/>
              </w:rPr>
              <w:t>园区</w:t>
            </w:r>
            <w:r>
              <w:rPr>
                <w:rFonts w:hint="eastAsia"/>
                <w:sz w:val="20"/>
                <w:szCs w:val="20"/>
              </w:rPr>
              <w:t>，</w:t>
            </w:r>
            <w:r>
              <w:rPr>
                <w:rFonts w:hint="eastAsia"/>
                <w:sz w:val="20"/>
                <w:szCs w:val="20"/>
                <w:lang w:eastAsia="zh-CN"/>
              </w:rPr>
              <w:t>不涉及环境</w:t>
            </w:r>
            <w:r>
              <w:rPr>
                <w:rFonts w:hint="eastAsia"/>
                <w:sz w:val="20"/>
                <w:szCs w:val="20"/>
              </w:rPr>
              <w:t>敏感目标</w:t>
            </w:r>
          </w:p>
        </w:tc>
        <w:tc>
          <w:tcPr>
            <w:tcW w:w="708" w:type="dxa"/>
            <w:noWrap w:val="0"/>
            <w:vAlign w:val="center"/>
          </w:tcPr>
          <w:p>
            <w:pPr>
              <w:pStyle w:val="199"/>
              <w:spacing w:line="240" w:lineRule="auto"/>
              <w:ind w:firstLine="0"/>
              <w:rPr>
                <w:sz w:val="20"/>
                <w:szCs w:val="20"/>
              </w:rPr>
            </w:pPr>
            <w:r>
              <w:rPr>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465" w:type="dxa"/>
            <w:noWrap w:val="0"/>
            <w:vAlign w:val="center"/>
          </w:tcPr>
          <w:p>
            <w:pPr>
              <w:pStyle w:val="199"/>
              <w:spacing w:line="240" w:lineRule="auto"/>
              <w:ind w:firstLine="0"/>
              <w:rPr>
                <w:sz w:val="20"/>
                <w:szCs w:val="20"/>
              </w:rPr>
            </w:pPr>
            <w:r>
              <w:rPr>
                <w:rFonts w:ascii="Times New Roman" w:hAnsi="Times New Roman" w:cs="Times New Roman"/>
                <w:sz w:val="20"/>
                <w:szCs w:val="20"/>
              </w:rPr>
              <w:t>4</w:t>
            </w:r>
          </w:p>
        </w:tc>
        <w:tc>
          <w:tcPr>
            <w:tcW w:w="5491" w:type="dxa"/>
            <w:noWrap w:val="0"/>
            <w:vAlign w:val="center"/>
          </w:tcPr>
          <w:p>
            <w:pPr>
              <w:pStyle w:val="199"/>
              <w:spacing w:line="240" w:lineRule="exact"/>
              <w:ind w:firstLine="0"/>
              <w:rPr>
                <w:sz w:val="20"/>
                <w:szCs w:val="20"/>
              </w:rPr>
            </w:pPr>
            <w:r>
              <w:rPr>
                <w:rFonts w:hint="eastAsia"/>
                <w:sz w:val="20"/>
                <w:szCs w:val="20"/>
              </w:rPr>
              <w:t>加强工业废物处理处置。全面整治产生固体废物的堆存场所，完善防扬散、防流失、防渗漏等设施，制定整治方案并有序实施</w:t>
            </w:r>
          </w:p>
        </w:tc>
        <w:tc>
          <w:tcPr>
            <w:tcW w:w="2574" w:type="dxa"/>
            <w:noWrap w:val="0"/>
            <w:vAlign w:val="center"/>
          </w:tcPr>
          <w:p>
            <w:pPr>
              <w:pStyle w:val="199"/>
              <w:spacing w:line="240" w:lineRule="exact"/>
              <w:ind w:firstLine="0"/>
              <w:jc w:val="both"/>
              <w:rPr>
                <w:rFonts w:hint="eastAsia" w:eastAsia="宋体"/>
                <w:sz w:val="20"/>
                <w:szCs w:val="20"/>
                <w:lang w:eastAsia="zh-CN"/>
              </w:rPr>
            </w:pPr>
            <w:r>
              <w:rPr>
                <w:rFonts w:hint="eastAsia"/>
                <w:sz w:val="20"/>
                <w:szCs w:val="20"/>
                <w:lang w:eastAsia="zh-CN"/>
              </w:rPr>
              <w:t>本项目固体废物纳入厂内固体废物管理，固体废物堆存场所具备防扬散、防流失、防渗漏的基本功能</w:t>
            </w:r>
          </w:p>
        </w:tc>
        <w:tc>
          <w:tcPr>
            <w:tcW w:w="708" w:type="dxa"/>
            <w:noWrap w:val="0"/>
            <w:vAlign w:val="center"/>
          </w:tcPr>
          <w:p>
            <w:pPr>
              <w:pStyle w:val="199"/>
              <w:spacing w:line="240" w:lineRule="auto"/>
              <w:ind w:firstLine="0"/>
              <w:rPr>
                <w:sz w:val="20"/>
                <w:szCs w:val="20"/>
              </w:rPr>
            </w:pPr>
            <w:r>
              <w:rPr>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38" w:type="dxa"/>
            <w:gridSpan w:val="4"/>
            <w:noWrap w:val="0"/>
            <w:vAlign w:val="center"/>
          </w:tcPr>
          <w:p>
            <w:pPr>
              <w:pStyle w:val="199"/>
              <w:spacing w:line="240" w:lineRule="auto"/>
              <w:ind w:firstLine="0"/>
              <w:rPr>
                <w:sz w:val="20"/>
                <w:szCs w:val="20"/>
              </w:rPr>
            </w:pPr>
            <w:r>
              <w:rPr>
                <w:rFonts w:hint="eastAsia"/>
                <w:sz w:val="20"/>
                <w:szCs w:val="20"/>
              </w:rPr>
              <w:t>新政</w:t>
            </w:r>
            <w:r>
              <w:rPr>
                <w:sz w:val="20"/>
                <w:szCs w:val="20"/>
              </w:rPr>
              <w:t>发[</w:t>
            </w:r>
            <w:r>
              <w:rPr>
                <w:rFonts w:ascii="Times New Roman" w:hAnsi="Times New Roman" w:cs="Times New Roman"/>
                <w:sz w:val="20"/>
                <w:szCs w:val="20"/>
              </w:rPr>
              <w:t>20</w:t>
            </w:r>
            <w:r>
              <w:rPr>
                <w:rFonts w:hint="eastAsia" w:ascii="Times New Roman" w:hAnsi="Times New Roman" w:cs="Times New Roman"/>
                <w:sz w:val="20"/>
                <w:szCs w:val="20"/>
              </w:rPr>
              <w:t>17</w:t>
            </w:r>
            <w:r>
              <w:rPr>
                <w:sz w:val="20"/>
                <w:szCs w:val="20"/>
              </w:rPr>
              <w:t>]</w:t>
            </w:r>
            <w:r>
              <w:rPr>
                <w:rFonts w:hint="eastAsia" w:ascii="Times New Roman" w:hAnsi="Times New Roman" w:cs="Times New Roman"/>
                <w:sz w:val="20"/>
                <w:szCs w:val="20"/>
              </w:rPr>
              <w:t>25</w:t>
            </w:r>
            <w:r>
              <w:rPr>
                <w:sz w:val="20"/>
                <w:szCs w:val="20"/>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465" w:type="dxa"/>
            <w:noWrap w:val="0"/>
            <w:vAlign w:val="center"/>
          </w:tcPr>
          <w:p>
            <w:pPr>
              <w:pStyle w:val="199"/>
              <w:spacing w:line="240" w:lineRule="auto"/>
              <w:ind w:firstLine="0"/>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5491" w:type="dxa"/>
            <w:noWrap w:val="0"/>
            <w:vAlign w:val="center"/>
          </w:tcPr>
          <w:p>
            <w:pPr>
              <w:pStyle w:val="199"/>
              <w:spacing w:line="240" w:lineRule="auto"/>
              <w:ind w:firstLine="0" w:firstLineChars="0"/>
              <w:rPr>
                <w:rFonts w:hint="eastAsia" w:ascii="宋体" w:hAnsi="宋体" w:eastAsia="宋体" w:cs="宋体"/>
                <w:kern w:val="0"/>
                <w:sz w:val="20"/>
                <w:szCs w:val="20"/>
                <w:lang w:val="en-US" w:eastAsia="zh-CN" w:bidi="ar-SA"/>
              </w:rPr>
            </w:pPr>
            <w:r>
              <w:rPr>
                <w:rFonts w:hint="eastAsia"/>
                <w:sz w:val="20"/>
                <w:szCs w:val="20"/>
              </w:rPr>
              <w:t>（十四）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574" w:type="dxa"/>
            <w:noWrap w:val="0"/>
            <w:vAlign w:val="center"/>
          </w:tcPr>
          <w:p>
            <w:pPr>
              <w:pStyle w:val="199"/>
              <w:spacing w:line="240" w:lineRule="auto"/>
              <w:ind w:firstLine="0" w:firstLineChars="0"/>
              <w:rPr>
                <w:rFonts w:hint="eastAsia" w:ascii="宋体" w:hAnsi="宋体" w:eastAsia="宋体" w:cs="宋体"/>
                <w:kern w:val="0"/>
                <w:sz w:val="20"/>
                <w:szCs w:val="20"/>
                <w:lang w:val="en-US" w:eastAsia="zh-CN" w:bidi="ar-SA"/>
              </w:rPr>
            </w:pPr>
            <w:r>
              <w:rPr>
                <w:rFonts w:hint="eastAsia"/>
                <w:color w:val="auto"/>
                <w:sz w:val="20"/>
                <w:szCs w:val="20"/>
                <w:lang w:eastAsia="zh-CN"/>
              </w:rPr>
              <w:t>本项目包括土壤环境影响评价内容</w:t>
            </w:r>
          </w:p>
        </w:tc>
        <w:tc>
          <w:tcPr>
            <w:tcW w:w="708" w:type="dxa"/>
            <w:noWrap w:val="0"/>
            <w:vAlign w:val="center"/>
          </w:tcPr>
          <w:p>
            <w:pPr>
              <w:pStyle w:val="199"/>
              <w:spacing w:line="240" w:lineRule="auto"/>
              <w:ind w:firstLine="0" w:firstLineChars="0"/>
              <w:rPr>
                <w:rFonts w:ascii="宋体" w:hAnsi="宋体" w:eastAsia="宋体" w:cs="宋体"/>
                <w:kern w:val="0"/>
                <w:sz w:val="20"/>
                <w:szCs w:val="20"/>
                <w:lang w:val="en-US" w:eastAsia="zh-CN" w:bidi="ar-SA"/>
              </w:rPr>
            </w:pPr>
            <w:r>
              <w:rPr>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465" w:type="dxa"/>
            <w:noWrap w:val="0"/>
            <w:vAlign w:val="center"/>
          </w:tcPr>
          <w:p>
            <w:pPr>
              <w:pStyle w:val="199"/>
              <w:spacing w:line="240" w:lineRule="auto"/>
              <w:ind w:firstLine="0"/>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2</w:t>
            </w:r>
          </w:p>
        </w:tc>
        <w:tc>
          <w:tcPr>
            <w:tcW w:w="5491" w:type="dxa"/>
            <w:noWrap w:val="0"/>
            <w:vAlign w:val="center"/>
          </w:tcPr>
          <w:p>
            <w:pPr>
              <w:pStyle w:val="199"/>
              <w:spacing w:line="240" w:lineRule="auto"/>
              <w:ind w:firstLine="0" w:firstLineChars="0"/>
              <w:rPr>
                <w:rFonts w:hint="eastAsia" w:ascii="宋体" w:hAnsi="宋体" w:eastAsia="宋体" w:cs="宋体"/>
                <w:kern w:val="0"/>
                <w:sz w:val="20"/>
                <w:szCs w:val="20"/>
                <w:lang w:val="en-US" w:eastAsia="zh-CN" w:bidi="ar-SA"/>
              </w:rPr>
            </w:pPr>
            <w:r>
              <w:rPr>
                <w:rFonts w:hint="eastAsia"/>
                <w:sz w:val="20"/>
                <w:szCs w:val="20"/>
              </w:rPr>
              <w:t>（十五）强化空间布局管控。严格执行相关行业企业布局选址要求，禁止在居民区、学校、医疗和养老机构等周边新建土壤环境重点监管行业企业</w:t>
            </w:r>
          </w:p>
        </w:tc>
        <w:tc>
          <w:tcPr>
            <w:tcW w:w="2574" w:type="dxa"/>
            <w:noWrap w:val="0"/>
            <w:vAlign w:val="center"/>
          </w:tcPr>
          <w:p>
            <w:pPr>
              <w:pStyle w:val="199"/>
              <w:spacing w:line="240" w:lineRule="auto"/>
              <w:ind w:firstLine="0" w:firstLineChars="0"/>
              <w:rPr>
                <w:rFonts w:hint="eastAsia" w:ascii="宋体" w:hAnsi="宋体" w:eastAsia="宋体" w:cs="宋体"/>
                <w:kern w:val="0"/>
                <w:sz w:val="20"/>
                <w:szCs w:val="20"/>
                <w:lang w:val="en-US" w:eastAsia="zh-CN" w:bidi="ar-SA"/>
              </w:rPr>
            </w:pPr>
            <w:r>
              <w:rPr>
                <w:rFonts w:hint="eastAsia"/>
                <w:sz w:val="20"/>
                <w:szCs w:val="20"/>
                <w:lang w:eastAsia="zh-CN"/>
              </w:rPr>
              <w:t>本项目周边不涉及居民区、学校、医疗和养老机构等环境敏感目标</w:t>
            </w:r>
          </w:p>
        </w:tc>
        <w:tc>
          <w:tcPr>
            <w:tcW w:w="708" w:type="dxa"/>
            <w:noWrap w:val="0"/>
            <w:vAlign w:val="center"/>
          </w:tcPr>
          <w:p>
            <w:pPr>
              <w:pStyle w:val="199"/>
              <w:spacing w:line="240" w:lineRule="auto"/>
              <w:ind w:firstLine="0" w:firstLineChars="0"/>
              <w:rPr>
                <w:rFonts w:ascii="宋体" w:hAnsi="宋体" w:eastAsia="宋体" w:cs="宋体"/>
                <w:kern w:val="0"/>
                <w:sz w:val="20"/>
                <w:szCs w:val="20"/>
                <w:lang w:val="en-US" w:eastAsia="zh-CN" w:bidi="ar-SA"/>
              </w:rPr>
            </w:pPr>
            <w:r>
              <w:rPr>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465" w:type="dxa"/>
            <w:noWrap w:val="0"/>
            <w:vAlign w:val="center"/>
          </w:tcPr>
          <w:p>
            <w:pPr>
              <w:pStyle w:val="199"/>
              <w:spacing w:line="240" w:lineRule="auto"/>
              <w:ind w:firstLine="0"/>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3</w:t>
            </w:r>
          </w:p>
        </w:tc>
        <w:tc>
          <w:tcPr>
            <w:tcW w:w="5491" w:type="dxa"/>
            <w:noWrap w:val="0"/>
            <w:vAlign w:val="center"/>
          </w:tcPr>
          <w:p>
            <w:pPr>
              <w:pStyle w:val="199"/>
              <w:spacing w:line="240" w:lineRule="auto"/>
              <w:ind w:firstLine="0" w:firstLineChars="0"/>
              <w:rPr>
                <w:rFonts w:hint="eastAsia" w:ascii="宋体" w:hAnsi="宋体" w:eastAsia="宋体" w:cs="宋体"/>
                <w:kern w:val="0"/>
                <w:sz w:val="20"/>
                <w:szCs w:val="20"/>
                <w:lang w:val="en-US" w:eastAsia="zh-CN" w:bidi="ar-SA"/>
              </w:rPr>
            </w:pPr>
            <w:r>
              <w:rPr>
                <w:rFonts w:hint="eastAsia"/>
                <w:sz w:val="20"/>
                <w:szCs w:val="20"/>
              </w:rPr>
              <w:t>（十六）严控工矿业污染源。</w:t>
            </w:r>
            <w:r>
              <w:rPr>
                <w:rFonts w:ascii="Times New Roman" w:hAnsi="Times New Roman" w:cs="Times New Roman"/>
                <w:sz w:val="20"/>
                <w:szCs w:val="20"/>
              </w:rPr>
              <w:t>6</w:t>
            </w:r>
            <w:r>
              <w:rPr>
                <w:sz w:val="20"/>
                <w:szCs w:val="20"/>
              </w:rPr>
              <w:t>．加强工业废物处理处置。</w:t>
            </w:r>
            <w:r>
              <w:rPr>
                <w:rFonts w:hint="eastAsia"/>
                <w:sz w:val="20"/>
                <w:szCs w:val="20"/>
              </w:rPr>
              <w:t>完善防扬散、防流失、防渗漏等设施，制定整治方案并有序实施</w:t>
            </w:r>
          </w:p>
        </w:tc>
        <w:tc>
          <w:tcPr>
            <w:tcW w:w="2574" w:type="dxa"/>
            <w:noWrap w:val="0"/>
            <w:vAlign w:val="center"/>
          </w:tcPr>
          <w:p>
            <w:pPr>
              <w:pStyle w:val="199"/>
              <w:spacing w:line="240" w:lineRule="auto"/>
              <w:ind w:firstLine="0" w:firstLineChars="0"/>
              <w:rPr>
                <w:rFonts w:hint="eastAsia" w:ascii="宋体" w:hAnsi="宋体" w:eastAsia="宋体" w:cs="宋体"/>
                <w:kern w:val="0"/>
                <w:sz w:val="20"/>
                <w:szCs w:val="20"/>
                <w:lang w:val="en-US" w:eastAsia="zh-CN" w:bidi="ar-SA"/>
              </w:rPr>
            </w:pPr>
            <w:r>
              <w:rPr>
                <w:rFonts w:hint="eastAsia"/>
                <w:sz w:val="20"/>
                <w:szCs w:val="20"/>
                <w:lang w:eastAsia="zh-CN"/>
              </w:rPr>
              <w:t>本项目现有工程具备完善的一般工业</w:t>
            </w:r>
            <w:r>
              <w:rPr>
                <w:rFonts w:hint="eastAsia"/>
                <w:sz w:val="20"/>
                <w:szCs w:val="20"/>
                <w:lang w:val="en-US" w:eastAsia="zh-CN"/>
              </w:rPr>
              <w:t>固废和危险废物收集，处理方案，可确保规范收集和处理，去向明确</w:t>
            </w:r>
          </w:p>
        </w:tc>
        <w:tc>
          <w:tcPr>
            <w:tcW w:w="708" w:type="dxa"/>
            <w:noWrap w:val="0"/>
            <w:vAlign w:val="center"/>
          </w:tcPr>
          <w:p>
            <w:pPr>
              <w:pStyle w:val="199"/>
              <w:spacing w:line="240" w:lineRule="auto"/>
              <w:ind w:firstLine="0" w:firstLineChars="0"/>
              <w:rPr>
                <w:rFonts w:ascii="宋体" w:hAnsi="宋体" w:eastAsia="宋体" w:cs="宋体"/>
                <w:kern w:val="0"/>
                <w:sz w:val="20"/>
                <w:szCs w:val="20"/>
                <w:lang w:val="en-US" w:eastAsia="zh-CN" w:bidi="ar-SA"/>
              </w:rPr>
            </w:pPr>
            <w:r>
              <w:rPr>
                <w:sz w:val="20"/>
                <w:szCs w:val="20"/>
              </w:rPr>
              <w:t>符合</w:t>
            </w:r>
          </w:p>
        </w:tc>
      </w:tr>
    </w:tbl>
    <w:p>
      <w:pPr>
        <w:bidi w:val="0"/>
        <w:rPr>
          <w:rFonts w:hint="eastAsia" w:ascii="Times New Roman"/>
          <w:lang w:eastAsia="zh-CN"/>
        </w:rPr>
      </w:pPr>
      <w:r>
        <w:rPr>
          <w:rFonts w:hint="eastAsia" w:ascii="Times New Roman"/>
          <w:lang w:eastAsia="zh-CN"/>
        </w:rPr>
        <w:t>本项目采取的土壤环境保护措施符合</w:t>
      </w:r>
      <w:r>
        <w:rPr>
          <w:rFonts w:ascii="Times New Roman"/>
        </w:rPr>
        <w:t>《国务院关于印发土壤污染防治行动计划的通知》（国发[</w:t>
      </w:r>
      <w:r>
        <w:rPr>
          <w:rFonts w:ascii="Times New Roman" w:hAnsi="Times New Roman"/>
        </w:rPr>
        <w:t>2016</w:t>
      </w:r>
      <w:r>
        <w:rPr>
          <w:rFonts w:ascii="Times New Roman"/>
        </w:rPr>
        <w:t>]</w:t>
      </w:r>
      <w:r>
        <w:rPr>
          <w:rFonts w:ascii="Times New Roman" w:hAnsi="Times New Roman"/>
        </w:rPr>
        <w:t>31</w:t>
      </w:r>
      <w:r>
        <w:rPr>
          <w:rFonts w:ascii="Times New Roman"/>
        </w:rPr>
        <w:t>号）和《关于印发新疆维吾尔自治区土壤污染防治工作方案的通知》（新政发[</w:t>
      </w:r>
      <w:r>
        <w:rPr>
          <w:rFonts w:ascii="Times New Roman" w:hAnsi="Times New Roman"/>
        </w:rPr>
        <w:t>2017</w:t>
      </w:r>
      <w:r>
        <w:rPr>
          <w:rFonts w:ascii="Times New Roman"/>
        </w:rPr>
        <w:t>]</w:t>
      </w:r>
      <w:r>
        <w:rPr>
          <w:rFonts w:ascii="Times New Roman" w:hAnsi="Times New Roman"/>
        </w:rPr>
        <w:t>25</w:t>
      </w:r>
      <w:r>
        <w:rPr>
          <w:rFonts w:ascii="Times New Roman"/>
        </w:rPr>
        <w:t>号）</w:t>
      </w:r>
      <w:r>
        <w:rPr>
          <w:rFonts w:hint="eastAsia" w:ascii="Times New Roman"/>
          <w:lang w:eastAsia="zh-CN"/>
        </w:rPr>
        <w:t>相关要求。</w:t>
      </w:r>
    </w:p>
    <w:p>
      <w:pPr>
        <w:bidi w:val="0"/>
        <w:rPr>
          <w:rFonts w:hint="eastAsia"/>
          <w:lang w:eastAsia="zh-CN"/>
        </w:rPr>
      </w:pPr>
      <w:r>
        <w:rPr>
          <w:rFonts w:hint="eastAsia"/>
          <w:lang w:eastAsia="zh-CN"/>
        </w:rPr>
        <w:t>（</w:t>
      </w:r>
      <w:r>
        <w:rPr>
          <w:rFonts w:hint="eastAsia" w:ascii="Times New Roman" w:hAnsi="Times New Roman"/>
          <w:lang w:val="en-US" w:eastAsia="zh-CN"/>
        </w:rPr>
        <w:t>4</w:t>
      </w:r>
      <w:r>
        <w:rPr>
          <w:rFonts w:hint="eastAsia"/>
          <w:lang w:eastAsia="zh-CN"/>
        </w:rPr>
        <w:t>）与《新疆维吾尔自治区新建化工项目准入条件（试行）》符合性分析</w:t>
      </w:r>
    </w:p>
    <w:p>
      <w:pPr>
        <w:bidi w:val="0"/>
        <w:rPr>
          <w:rFonts w:hint="eastAsia"/>
          <w:lang w:val="en-US" w:eastAsia="zh-CN"/>
        </w:rPr>
      </w:pPr>
      <w:r>
        <w:rPr>
          <w:rFonts w:hint="eastAsia"/>
          <w:lang w:eastAsia="zh-CN"/>
        </w:rPr>
        <w:t>根据《关于印发</w:t>
      </w:r>
      <w:r>
        <w:rPr>
          <w:rFonts w:hint="eastAsia"/>
          <w:lang w:val="en-US" w:eastAsia="zh-CN"/>
        </w:rPr>
        <w:t>&lt;</w:t>
      </w:r>
      <w:r>
        <w:rPr>
          <w:rFonts w:hint="eastAsia"/>
          <w:lang w:eastAsia="zh-CN"/>
        </w:rPr>
        <w:t>新疆维吾尔自治区新建化工项目准入条件（试行）</w:t>
      </w:r>
      <w:r>
        <w:rPr>
          <w:rFonts w:hint="eastAsia"/>
          <w:lang w:val="en-US" w:eastAsia="zh-CN"/>
        </w:rPr>
        <w:t>&gt;的通知</w:t>
      </w:r>
      <w:r>
        <w:rPr>
          <w:rFonts w:hint="eastAsia"/>
          <w:lang w:eastAsia="zh-CN"/>
        </w:rPr>
        <w:t>》，新工信石化</w:t>
      </w:r>
      <w:r>
        <w:rPr>
          <w:rFonts w:hint="eastAsia"/>
          <w:lang w:val="en-US" w:eastAsia="zh-CN"/>
        </w:rPr>
        <w:t>[</w:t>
      </w:r>
      <w:r>
        <w:rPr>
          <w:rFonts w:hint="eastAsia" w:ascii="Times New Roman" w:hAnsi="Times New Roman"/>
          <w:lang w:val="en-US" w:eastAsia="zh-CN"/>
        </w:rPr>
        <w:t>2021</w:t>
      </w:r>
      <w:r>
        <w:rPr>
          <w:rFonts w:hint="eastAsia"/>
          <w:lang w:val="en-US" w:eastAsia="zh-CN"/>
        </w:rPr>
        <w:t>]</w:t>
      </w:r>
      <w:r>
        <w:rPr>
          <w:rFonts w:hint="eastAsia" w:ascii="Times New Roman" w:hAnsi="Times New Roman"/>
          <w:lang w:val="en-US" w:eastAsia="zh-CN"/>
        </w:rPr>
        <w:t>1</w:t>
      </w:r>
      <w:r>
        <w:rPr>
          <w:rFonts w:hint="eastAsia"/>
          <w:lang w:val="en-US" w:eastAsia="zh-CN"/>
        </w:rPr>
        <w:t>号</w:t>
      </w:r>
      <w:r>
        <w:rPr>
          <w:rFonts w:hint="eastAsia"/>
          <w:lang w:eastAsia="zh-CN"/>
        </w:rPr>
        <w:t>，文件从项目源头准入，规划空间布局准入，安全环保准入，和事后事中监管，严格建立退出机制五个方面对新建化工项目进行了要求。本项目符合《产业结构调整指导目录（</w:t>
      </w:r>
      <w:r>
        <w:rPr>
          <w:rFonts w:hint="eastAsia" w:ascii="Times New Roman" w:hAnsi="Times New Roman"/>
          <w:lang w:val="en-US" w:eastAsia="zh-CN"/>
        </w:rPr>
        <w:t>2019</w:t>
      </w:r>
      <w:r>
        <w:rPr>
          <w:rFonts w:hint="eastAsia"/>
          <w:lang w:val="en-US" w:eastAsia="zh-CN"/>
        </w:rPr>
        <w:t>年本</w:t>
      </w:r>
      <w:r>
        <w:rPr>
          <w:rFonts w:hint="eastAsia"/>
          <w:lang w:eastAsia="zh-CN"/>
        </w:rPr>
        <w:t>）》，项目已在乌苏市发展和改革委员会备案，备案号：</w:t>
      </w:r>
      <w:r>
        <w:rPr>
          <w:rFonts w:hint="eastAsia" w:ascii="Times New Roman" w:hAnsi="Times New Roman"/>
          <w:lang w:val="en-US" w:eastAsia="zh-CN"/>
        </w:rPr>
        <w:t>202349</w:t>
      </w:r>
      <w:r>
        <w:rPr>
          <w:rFonts w:hint="eastAsia"/>
          <w:lang w:val="en-US" w:eastAsia="zh-CN"/>
        </w:rPr>
        <w:t>，根据《环境保护综合名录（</w:t>
      </w:r>
      <w:r>
        <w:rPr>
          <w:rFonts w:hint="eastAsia" w:ascii="Times New Roman" w:hAnsi="Times New Roman"/>
          <w:lang w:val="en-US" w:eastAsia="zh-CN"/>
        </w:rPr>
        <w:t>2021</w:t>
      </w:r>
      <w:r>
        <w:rPr>
          <w:rFonts w:hint="eastAsia"/>
          <w:lang w:val="en-US" w:eastAsia="zh-CN"/>
        </w:rPr>
        <w:t>年版）》，本项目涉及的</w:t>
      </w:r>
      <w:r>
        <w:rPr>
          <w:rFonts w:hint="eastAsia" w:ascii="Times New Roman" w:hAnsi="Times New Roman"/>
          <w:lang w:val="en-US" w:eastAsia="zh-CN"/>
        </w:rPr>
        <w:t>DN</w:t>
      </w:r>
      <w:r>
        <w:rPr>
          <w:rFonts w:hint="eastAsia"/>
          <w:lang w:val="en-US" w:eastAsia="zh-CN"/>
        </w:rPr>
        <w:t>溶液和</w:t>
      </w:r>
      <w:r>
        <w:rPr>
          <w:rFonts w:hint="eastAsia" w:ascii="Times New Roman" w:hAnsi="Times New Roman"/>
          <w:lang w:val="en-US" w:eastAsia="zh-CN"/>
        </w:rPr>
        <w:t>PD</w:t>
      </w:r>
      <w:r>
        <w:rPr>
          <w:rFonts w:hint="eastAsia"/>
          <w:lang w:val="en-US" w:eastAsia="zh-CN"/>
        </w:rPr>
        <w:t>产品不属于高环境风险产品，符合乌苏工业园区投资准入门槛。从空间布局上，本项目位于现有企业内部预留地，不新增占用园区用地，符合</w:t>
      </w:r>
      <w:r>
        <w:rPr>
          <w:rFonts w:hint="eastAsia"/>
          <w:lang w:eastAsia="zh-CN"/>
        </w:rPr>
        <w:t>《塔城地区“三线一单”生态环境分区管控方案》要求。本项目将严格《危险化学品建设项目安全监督管理办法》要求，履行建设项目安全审查，严格履行“三同时”要求。因此，本项目符合《新疆维吾尔自治区新建化工项目准入条件（试行）》。</w:t>
      </w:r>
    </w:p>
    <w:p>
      <w:pPr>
        <w:bidi w:val="0"/>
        <w:rPr>
          <w:rFonts w:hint="eastAsia"/>
          <w:color w:val="auto"/>
          <w:lang w:eastAsia="zh-CN"/>
        </w:rPr>
      </w:pPr>
      <w:r>
        <w:rPr>
          <w:rFonts w:hint="eastAsia"/>
          <w:lang w:eastAsia="zh-CN"/>
        </w:rPr>
        <w:t>（</w:t>
      </w:r>
      <w:r>
        <w:rPr>
          <w:rFonts w:hint="eastAsia" w:ascii="Times New Roman" w:hAnsi="Times New Roman"/>
          <w:lang w:val="en-US" w:eastAsia="zh-CN"/>
        </w:rPr>
        <w:t>5</w:t>
      </w:r>
      <w:r>
        <w:rPr>
          <w:rFonts w:hint="eastAsia"/>
          <w:lang w:eastAsia="zh-CN"/>
        </w:rPr>
        <w:t>）与</w:t>
      </w:r>
      <w:r>
        <w:rPr>
          <w:rFonts w:hint="eastAsia"/>
          <w:color w:val="auto"/>
          <w:lang w:eastAsia="zh-CN"/>
        </w:rPr>
        <w:t>《乌苏工业园区总体规划修编（</w:t>
      </w:r>
      <w:r>
        <w:rPr>
          <w:rFonts w:hint="eastAsia" w:ascii="Times New Roman" w:hAnsi="Times New Roman"/>
          <w:color w:val="auto"/>
          <w:lang w:val="en-US" w:eastAsia="zh-CN"/>
        </w:rPr>
        <w:t>2018</w:t>
      </w:r>
      <w:r>
        <w:rPr>
          <w:rFonts w:hint="eastAsia"/>
          <w:color w:val="auto"/>
          <w:lang w:val="en-US" w:eastAsia="zh-CN"/>
        </w:rPr>
        <w:t>-</w:t>
      </w:r>
      <w:r>
        <w:rPr>
          <w:rFonts w:hint="eastAsia" w:ascii="Times New Roman" w:hAnsi="Times New Roman"/>
          <w:color w:val="auto"/>
          <w:lang w:val="en-US" w:eastAsia="zh-CN"/>
        </w:rPr>
        <w:t>2035</w:t>
      </w:r>
      <w:r>
        <w:rPr>
          <w:rFonts w:hint="eastAsia"/>
          <w:color w:val="auto"/>
          <w:lang w:eastAsia="zh-CN"/>
        </w:rPr>
        <w:t>）环境影响报告书》入区企业环境准入符合性分析</w:t>
      </w:r>
    </w:p>
    <w:p>
      <w:pPr>
        <w:bidi w:val="0"/>
        <w:rPr>
          <w:rFonts w:hint="default"/>
          <w:color w:val="auto"/>
          <w:lang w:val="en-US" w:eastAsia="zh-CN"/>
        </w:rPr>
      </w:pPr>
      <w:r>
        <w:rPr>
          <w:rFonts w:hint="eastAsia"/>
          <w:color w:val="auto"/>
          <w:lang w:eastAsia="zh-CN"/>
        </w:rPr>
        <w:t>根据规划环评要求，本项目与入区企业环境准入的符合性见表</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p>
    <w:p>
      <w:pPr>
        <w:pStyle w:val="20"/>
        <w:spacing w:before="156"/>
        <w:rPr>
          <w:rFonts w:hint="eastAsia"/>
        </w:rPr>
      </w:pPr>
      <w:r>
        <w:rPr>
          <w:rFonts w:hint="eastAsia"/>
        </w:rPr>
        <w:t>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6</w:t>
      </w:r>
      <w:r>
        <w:rPr>
          <w:rFonts w:hint="eastAsia"/>
        </w:rPr>
        <w:t xml:space="preserve">  与规划环评入园企业环境准入的符合性</w:t>
      </w:r>
    </w:p>
    <w:tbl>
      <w:tblPr>
        <w:tblStyle w:val="80"/>
        <w:tblW w:w="92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4815"/>
        <w:gridCol w:w="2814"/>
        <w:gridCol w:w="8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22" w:type="dxa"/>
            <w:noWrap w:val="0"/>
            <w:vAlign w:val="center"/>
          </w:tcPr>
          <w:p>
            <w:pPr>
              <w:pStyle w:val="199"/>
              <w:spacing w:line="240" w:lineRule="auto"/>
              <w:ind w:firstLine="0"/>
              <w:rPr>
                <w:sz w:val="21"/>
                <w:szCs w:val="21"/>
              </w:rPr>
            </w:pPr>
            <w:r>
              <w:rPr>
                <w:rFonts w:hint="eastAsia"/>
                <w:sz w:val="21"/>
                <w:szCs w:val="21"/>
              </w:rPr>
              <w:t>序号</w:t>
            </w:r>
          </w:p>
        </w:tc>
        <w:tc>
          <w:tcPr>
            <w:tcW w:w="4815" w:type="dxa"/>
            <w:noWrap w:val="0"/>
            <w:vAlign w:val="center"/>
          </w:tcPr>
          <w:p>
            <w:pPr>
              <w:pStyle w:val="199"/>
              <w:spacing w:line="240" w:lineRule="auto"/>
              <w:ind w:firstLine="0"/>
              <w:rPr>
                <w:sz w:val="21"/>
                <w:szCs w:val="21"/>
              </w:rPr>
            </w:pPr>
            <w:r>
              <w:rPr>
                <w:rFonts w:hint="eastAsia"/>
                <w:sz w:val="21"/>
                <w:szCs w:val="21"/>
              </w:rPr>
              <w:t>原则要求</w:t>
            </w:r>
          </w:p>
        </w:tc>
        <w:tc>
          <w:tcPr>
            <w:tcW w:w="2814" w:type="dxa"/>
            <w:noWrap w:val="0"/>
            <w:vAlign w:val="center"/>
          </w:tcPr>
          <w:p>
            <w:pPr>
              <w:pStyle w:val="199"/>
              <w:spacing w:line="240" w:lineRule="auto"/>
              <w:ind w:firstLine="0"/>
              <w:rPr>
                <w:sz w:val="21"/>
                <w:szCs w:val="21"/>
              </w:rPr>
            </w:pPr>
            <w:r>
              <w:rPr>
                <w:rFonts w:hint="eastAsia"/>
                <w:sz w:val="21"/>
                <w:szCs w:val="21"/>
              </w:rPr>
              <w:t>项目情况</w:t>
            </w:r>
          </w:p>
        </w:tc>
        <w:tc>
          <w:tcPr>
            <w:tcW w:w="889" w:type="dxa"/>
            <w:noWrap w:val="0"/>
            <w:vAlign w:val="center"/>
          </w:tcPr>
          <w:p>
            <w:pPr>
              <w:pStyle w:val="199"/>
              <w:spacing w:line="240" w:lineRule="auto"/>
              <w:ind w:firstLine="0"/>
              <w:rPr>
                <w:sz w:val="21"/>
                <w:szCs w:val="21"/>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2" w:type="dxa"/>
            <w:noWrap w:val="0"/>
            <w:vAlign w:val="center"/>
          </w:tcPr>
          <w:p>
            <w:pPr>
              <w:pStyle w:val="199"/>
              <w:spacing w:line="240" w:lineRule="auto"/>
              <w:ind w:firstLine="0"/>
              <w:rPr>
                <w:sz w:val="21"/>
                <w:szCs w:val="21"/>
              </w:rPr>
            </w:pPr>
            <w:r>
              <w:rPr>
                <w:rFonts w:hint="eastAsia" w:ascii="Times New Roman" w:hAnsi="Times New Roman" w:cs="Times New Roman"/>
                <w:sz w:val="21"/>
                <w:szCs w:val="21"/>
              </w:rPr>
              <w:t>1</w:t>
            </w:r>
          </w:p>
        </w:tc>
        <w:tc>
          <w:tcPr>
            <w:tcW w:w="4815" w:type="dxa"/>
            <w:noWrap w:val="0"/>
            <w:vAlign w:val="center"/>
          </w:tcPr>
          <w:p>
            <w:pPr>
              <w:pStyle w:val="199"/>
              <w:spacing w:line="240" w:lineRule="exact"/>
              <w:ind w:firstLine="0"/>
              <w:rPr>
                <w:sz w:val="21"/>
                <w:szCs w:val="21"/>
              </w:rPr>
            </w:pPr>
            <w:r>
              <w:rPr>
                <w:rFonts w:hint="eastAsia"/>
                <w:sz w:val="21"/>
                <w:szCs w:val="21"/>
              </w:rPr>
              <w:t>禁止在“奎-独-乌”区域内新建不符合国家产业政策和采用落后生产工艺技术的大气重污染项目，严格限制新建和扩建高污染、高能耗、高排放的石化、火电、钢铁、水泥、化工等项目</w:t>
            </w:r>
          </w:p>
        </w:tc>
        <w:tc>
          <w:tcPr>
            <w:tcW w:w="2814" w:type="dxa"/>
            <w:noWrap w:val="0"/>
            <w:vAlign w:val="center"/>
          </w:tcPr>
          <w:p>
            <w:pPr>
              <w:pStyle w:val="199"/>
              <w:spacing w:line="240" w:lineRule="auto"/>
              <w:ind w:firstLine="0"/>
              <w:rPr>
                <w:rFonts w:hint="eastAsia"/>
                <w:sz w:val="21"/>
                <w:szCs w:val="21"/>
              </w:rPr>
            </w:pPr>
            <w:r>
              <w:rPr>
                <w:rFonts w:hint="eastAsia"/>
                <w:sz w:val="21"/>
                <w:szCs w:val="21"/>
              </w:rPr>
              <w:t>本项目符合国家产业政策，</w:t>
            </w:r>
            <w:r>
              <w:rPr>
                <w:rFonts w:hint="eastAsia"/>
                <w:sz w:val="21"/>
                <w:szCs w:val="21"/>
                <w:lang w:eastAsia="zh-CN"/>
              </w:rPr>
              <w:t>不属于高污染、高能耗项目，</w:t>
            </w:r>
            <w:r>
              <w:rPr>
                <w:rFonts w:hint="eastAsia"/>
                <w:sz w:val="21"/>
                <w:szCs w:val="21"/>
              </w:rPr>
              <w:t>采用的工艺不属于落后工艺</w:t>
            </w:r>
          </w:p>
        </w:tc>
        <w:tc>
          <w:tcPr>
            <w:tcW w:w="889"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22" w:type="dxa"/>
            <w:noWrap w:val="0"/>
            <w:vAlign w:val="center"/>
          </w:tcPr>
          <w:p>
            <w:pPr>
              <w:pStyle w:val="199"/>
              <w:spacing w:line="240" w:lineRule="auto"/>
              <w:ind w:firstLine="0"/>
              <w:rPr>
                <w:rFonts w:hint="eastAsia"/>
                <w:sz w:val="21"/>
                <w:szCs w:val="21"/>
              </w:rPr>
            </w:pPr>
            <w:r>
              <w:rPr>
                <w:rFonts w:hint="eastAsia" w:ascii="Times New Roman" w:hAnsi="Times New Roman" w:cs="Times New Roman"/>
                <w:sz w:val="21"/>
                <w:szCs w:val="21"/>
              </w:rPr>
              <w:t>2</w:t>
            </w:r>
          </w:p>
        </w:tc>
        <w:tc>
          <w:tcPr>
            <w:tcW w:w="4815" w:type="dxa"/>
            <w:noWrap w:val="0"/>
            <w:vAlign w:val="center"/>
          </w:tcPr>
          <w:p>
            <w:pPr>
              <w:pStyle w:val="199"/>
              <w:spacing w:line="240" w:lineRule="exact"/>
              <w:ind w:firstLine="0"/>
              <w:rPr>
                <w:rFonts w:hint="eastAsia"/>
                <w:sz w:val="21"/>
                <w:szCs w:val="21"/>
              </w:rPr>
            </w:pPr>
            <w:r>
              <w:rPr>
                <w:rFonts w:hint="eastAsia"/>
                <w:sz w:val="21"/>
                <w:szCs w:val="21"/>
              </w:rPr>
              <w:t>重点控制区内工业企业大气污染物排放浓度应低于国家重点控制区或地方排放标准限值；有相应行业特别排放限值的，执行特别排放限值</w:t>
            </w:r>
          </w:p>
        </w:tc>
        <w:tc>
          <w:tcPr>
            <w:tcW w:w="2814" w:type="dxa"/>
            <w:noWrap w:val="0"/>
            <w:vAlign w:val="center"/>
          </w:tcPr>
          <w:p>
            <w:pPr>
              <w:pStyle w:val="199"/>
              <w:spacing w:line="240" w:lineRule="auto"/>
              <w:ind w:firstLine="0"/>
              <w:rPr>
                <w:rFonts w:hint="eastAsia"/>
                <w:sz w:val="21"/>
                <w:szCs w:val="21"/>
              </w:rPr>
            </w:pPr>
            <w:r>
              <w:rPr>
                <w:rFonts w:hint="eastAsia"/>
                <w:sz w:val="21"/>
                <w:szCs w:val="21"/>
              </w:rPr>
              <w:t>本项目</w:t>
            </w:r>
            <w:r>
              <w:rPr>
                <w:rFonts w:hint="eastAsia"/>
                <w:sz w:val="21"/>
                <w:szCs w:val="21"/>
                <w:lang w:eastAsia="zh-CN"/>
              </w:rPr>
              <w:t>按要求严格执行相关</w:t>
            </w:r>
            <w:r>
              <w:rPr>
                <w:rFonts w:hint="eastAsia"/>
                <w:sz w:val="21"/>
                <w:szCs w:val="21"/>
              </w:rPr>
              <w:t>排放限值</w:t>
            </w:r>
          </w:p>
        </w:tc>
        <w:tc>
          <w:tcPr>
            <w:tcW w:w="889" w:type="dxa"/>
            <w:noWrap w:val="0"/>
            <w:vAlign w:val="center"/>
          </w:tcPr>
          <w:p>
            <w:pPr>
              <w:pStyle w:val="199"/>
              <w:spacing w:line="240" w:lineRule="auto"/>
              <w:ind w:firstLine="0"/>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722" w:type="dxa"/>
            <w:noWrap w:val="0"/>
            <w:vAlign w:val="center"/>
          </w:tcPr>
          <w:p>
            <w:pPr>
              <w:pStyle w:val="199"/>
              <w:spacing w:line="240" w:lineRule="auto"/>
              <w:ind w:firstLine="0"/>
              <w:rPr>
                <w:rFonts w:hint="eastAsia" w:ascii="Times New Roman" w:hAnsi="Times New Roman"/>
                <w:sz w:val="21"/>
                <w:szCs w:val="21"/>
              </w:rPr>
            </w:pPr>
            <w:r>
              <w:rPr>
                <w:rFonts w:hint="eastAsia" w:ascii="Times New Roman" w:hAnsi="Times New Roman" w:cs="Times New Roman"/>
                <w:sz w:val="21"/>
                <w:szCs w:val="21"/>
              </w:rPr>
              <w:t>3</w:t>
            </w:r>
          </w:p>
        </w:tc>
        <w:tc>
          <w:tcPr>
            <w:tcW w:w="4815" w:type="dxa"/>
            <w:noWrap w:val="0"/>
            <w:vAlign w:val="center"/>
          </w:tcPr>
          <w:p>
            <w:pPr>
              <w:pStyle w:val="199"/>
              <w:spacing w:line="240" w:lineRule="exact"/>
              <w:ind w:firstLine="0"/>
              <w:rPr>
                <w:rFonts w:hint="eastAsia"/>
                <w:sz w:val="21"/>
                <w:szCs w:val="21"/>
              </w:rPr>
            </w:pPr>
            <w:r>
              <w:rPr>
                <w:rFonts w:hint="eastAsia"/>
                <w:sz w:val="21"/>
                <w:szCs w:val="21"/>
              </w:rPr>
              <w:t>新建大气污染物排放项目应采取国内外先进的除尘、脱硫、脱销等技术，严格控制污染物新增量，重点控制区新增排放量原则上实行区域内现役源两倍削减量替代。</w:t>
            </w:r>
          </w:p>
        </w:tc>
        <w:tc>
          <w:tcPr>
            <w:tcW w:w="2814" w:type="dxa"/>
            <w:noWrap w:val="0"/>
            <w:vAlign w:val="center"/>
          </w:tcPr>
          <w:p>
            <w:pPr>
              <w:pStyle w:val="199"/>
              <w:spacing w:line="240" w:lineRule="auto"/>
              <w:ind w:firstLine="0"/>
              <w:rPr>
                <w:rFonts w:hint="eastAsia"/>
                <w:sz w:val="21"/>
                <w:szCs w:val="21"/>
              </w:rPr>
            </w:pPr>
            <w:r>
              <w:rPr>
                <w:rFonts w:hint="eastAsia"/>
                <w:sz w:val="21"/>
                <w:szCs w:val="21"/>
              </w:rPr>
              <w:t>本项目位于重点控制区，项目新增</w:t>
            </w:r>
            <w:r>
              <w:rPr>
                <w:rFonts w:hint="eastAsia"/>
                <w:sz w:val="21"/>
                <w:szCs w:val="21"/>
                <w:lang w:eastAsia="zh-CN"/>
              </w:rPr>
              <w:t>主要污染物</w:t>
            </w:r>
            <w:r>
              <w:rPr>
                <w:rFonts w:hint="eastAsia"/>
                <w:sz w:val="21"/>
                <w:szCs w:val="21"/>
              </w:rPr>
              <w:t>排放</w:t>
            </w:r>
            <w:r>
              <w:rPr>
                <w:rFonts w:hint="eastAsia"/>
                <w:sz w:val="21"/>
                <w:szCs w:val="21"/>
                <w:lang w:eastAsia="zh-CN"/>
              </w:rPr>
              <w:t>总</w:t>
            </w:r>
            <w:r>
              <w:rPr>
                <w:rFonts w:hint="eastAsia"/>
                <w:sz w:val="21"/>
                <w:szCs w:val="21"/>
              </w:rPr>
              <w:t>量实行区域倍量替代</w:t>
            </w:r>
          </w:p>
        </w:tc>
        <w:tc>
          <w:tcPr>
            <w:tcW w:w="889"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22" w:type="dxa"/>
            <w:noWrap w:val="0"/>
            <w:vAlign w:val="center"/>
          </w:tcPr>
          <w:p>
            <w:pPr>
              <w:pStyle w:val="199"/>
              <w:spacing w:line="240" w:lineRule="auto"/>
              <w:ind w:firstLine="0"/>
              <w:rPr>
                <w:rFonts w:hint="eastAsia" w:ascii="Times New Roman" w:hAnsi="Times New Roman"/>
                <w:sz w:val="21"/>
                <w:szCs w:val="21"/>
              </w:rPr>
            </w:pPr>
            <w:r>
              <w:rPr>
                <w:rFonts w:hint="eastAsia" w:ascii="Times New Roman" w:hAnsi="Times New Roman" w:cs="Times New Roman"/>
                <w:sz w:val="21"/>
                <w:szCs w:val="21"/>
              </w:rPr>
              <w:t>5</w:t>
            </w:r>
          </w:p>
        </w:tc>
        <w:tc>
          <w:tcPr>
            <w:tcW w:w="4815" w:type="dxa"/>
            <w:noWrap w:val="0"/>
            <w:vAlign w:val="center"/>
          </w:tcPr>
          <w:p>
            <w:pPr>
              <w:pStyle w:val="199"/>
              <w:spacing w:line="240" w:lineRule="exact"/>
              <w:ind w:firstLine="0"/>
              <w:rPr>
                <w:sz w:val="21"/>
                <w:szCs w:val="21"/>
              </w:rPr>
            </w:pPr>
            <w:r>
              <w:rPr>
                <w:rFonts w:hint="eastAsia"/>
                <w:sz w:val="21"/>
                <w:szCs w:val="21"/>
              </w:rPr>
              <w:t>改善能源结构，按照“优先发展城市燃气，积极调整工业燃料结构”的原则优化配置使用天然气。</w:t>
            </w:r>
          </w:p>
        </w:tc>
        <w:tc>
          <w:tcPr>
            <w:tcW w:w="2814" w:type="dxa"/>
            <w:noWrap w:val="0"/>
            <w:vAlign w:val="center"/>
          </w:tcPr>
          <w:p>
            <w:pPr>
              <w:pStyle w:val="199"/>
              <w:spacing w:line="240" w:lineRule="auto"/>
              <w:ind w:firstLine="0"/>
              <w:rPr>
                <w:rFonts w:hint="eastAsia"/>
                <w:sz w:val="21"/>
                <w:szCs w:val="21"/>
              </w:rPr>
            </w:pPr>
            <w:r>
              <w:rPr>
                <w:rFonts w:hint="eastAsia"/>
                <w:sz w:val="21"/>
                <w:szCs w:val="21"/>
              </w:rPr>
              <w:t>本项目</w:t>
            </w:r>
            <w:r>
              <w:rPr>
                <w:rFonts w:hint="eastAsia"/>
                <w:sz w:val="21"/>
                <w:szCs w:val="21"/>
                <w:lang w:eastAsia="zh-CN"/>
              </w:rPr>
              <w:t>不涉及化石燃料</w:t>
            </w:r>
          </w:p>
        </w:tc>
        <w:tc>
          <w:tcPr>
            <w:tcW w:w="889"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22" w:type="dxa"/>
            <w:noWrap w:val="0"/>
            <w:vAlign w:val="center"/>
          </w:tcPr>
          <w:p>
            <w:pPr>
              <w:pStyle w:val="199"/>
              <w:spacing w:line="240" w:lineRule="auto"/>
              <w:ind w:firstLine="0"/>
              <w:rPr>
                <w:rFonts w:hint="eastAsia" w:ascii="Times New Roman" w:hAnsi="Times New Roman" w:cs="Times New Roman"/>
                <w:sz w:val="21"/>
                <w:szCs w:val="21"/>
              </w:rPr>
            </w:pPr>
            <w:r>
              <w:rPr>
                <w:rFonts w:hint="eastAsia" w:ascii="Times New Roman" w:hAnsi="Times New Roman" w:cs="Times New Roman"/>
                <w:sz w:val="21"/>
                <w:szCs w:val="21"/>
              </w:rPr>
              <w:t>6</w:t>
            </w:r>
          </w:p>
        </w:tc>
        <w:tc>
          <w:tcPr>
            <w:tcW w:w="4815" w:type="dxa"/>
            <w:noWrap w:val="0"/>
            <w:vAlign w:val="center"/>
          </w:tcPr>
          <w:p>
            <w:pPr>
              <w:pStyle w:val="199"/>
              <w:spacing w:line="240" w:lineRule="exact"/>
              <w:ind w:firstLine="0"/>
              <w:rPr>
                <w:rFonts w:hint="eastAsia"/>
                <w:sz w:val="21"/>
                <w:szCs w:val="21"/>
              </w:rPr>
            </w:pPr>
            <w:r>
              <w:rPr>
                <w:rFonts w:hint="eastAsia"/>
                <w:sz w:val="21"/>
                <w:szCs w:val="21"/>
              </w:rPr>
              <w:t>全面开展挥发性有机物排放摸底调查工作，建立石化、有机化工、合成材料、塑料产品制品、化学药品原药制造、包装印刷等重点行业挥发性有机物重点监管企业名录，推进重点行业挥发性有机物控制</w:t>
            </w:r>
          </w:p>
        </w:tc>
        <w:tc>
          <w:tcPr>
            <w:tcW w:w="2814" w:type="dxa"/>
            <w:noWrap w:val="0"/>
            <w:vAlign w:val="center"/>
          </w:tcPr>
          <w:p>
            <w:pPr>
              <w:pStyle w:val="199"/>
              <w:spacing w:line="240" w:lineRule="auto"/>
              <w:ind w:firstLine="0"/>
              <w:rPr>
                <w:rFonts w:hint="eastAsia" w:eastAsia="宋体"/>
                <w:sz w:val="21"/>
                <w:szCs w:val="21"/>
                <w:lang w:eastAsia="zh-CN"/>
              </w:rPr>
            </w:pPr>
            <w:r>
              <w:rPr>
                <w:rFonts w:hint="eastAsia"/>
                <w:sz w:val="21"/>
                <w:szCs w:val="21"/>
              </w:rPr>
              <w:t>本项目</w:t>
            </w:r>
            <w:r>
              <w:rPr>
                <w:rFonts w:hint="eastAsia"/>
                <w:sz w:val="21"/>
                <w:szCs w:val="21"/>
                <w:lang w:eastAsia="zh-CN"/>
              </w:rPr>
              <w:t>不属于高挥发性有机物排放的相关行业</w:t>
            </w:r>
          </w:p>
        </w:tc>
        <w:tc>
          <w:tcPr>
            <w:tcW w:w="889" w:type="dxa"/>
            <w:noWrap w:val="0"/>
            <w:vAlign w:val="center"/>
          </w:tcPr>
          <w:p>
            <w:pPr>
              <w:pStyle w:val="199"/>
              <w:spacing w:line="240" w:lineRule="auto"/>
              <w:ind w:firstLine="0"/>
              <w:rPr>
                <w:rFonts w:hint="eastAsia"/>
                <w:sz w:val="21"/>
                <w:szCs w:val="21"/>
              </w:rPr>
            </w:pPr>
            <w:r>
              <w:rPr>
                <w:rFonts w:hint="eastAsia"/>
                <w:sz w:val="21"/>
                <w:szCs w:val="21"/>
              </w:rPr>
              <w:t>符合</w:t>
            </w:r>
          </w:p>
        </w:tc>
      </w:tr>
    </w:tbl>
    <w:p>
      <w:pPr>
        <w:bidi w:val="0"/>
        <w:rPr>
          <w:rFonts w:hint="eastAsia"/>
          <w:color w:val="auto"/>
          <w:lang w:eastAsia="zh-CN"/>
        </w:rPr>
      </w:pPr>
      <w:r>
        <w:rPr>
          <w:rFonts w:hint="eastAsia"/>
          <w:lang w:eastAsia="zh-CN"/>
        </w:rPr>
        <w:t>根据以上分析，本项目符合</w:t>
      </w:r>
      <w:r>
        <w:rPr>
          <w:rFonts w:hint="eastAsia"/>
          <w:color w:val="auto"/>
          <w:lang w:eastAsia="zh-CN"/>
        </w:rPr>
        <w:t>《乌苏工业园区总体规划修编（</w:t>
      </w:r>
      <w:r>
        <w:rPr>
          <w:rFonts w:hint="eastAsia" w:ascii="Times New Roman" w:hAnsi="Times New Roman"/>
          <w:color w:val="auto"/>
          <w:lang w:val="en-US" w:eastAsia="zh-CN"/>
        </w:rPr>
        <w:t>2018</w:t>
      </w:r>
      <w:r>
        <w:rPr>
          <w:rFonts w:hint="eastAsia"/>
          <w:color w:val="auto"/>
          <w:lang w:val="en-US" w:eastAsia="zh-CN"/>
        </w:rPr>
        <w:t>-</w:t>
      </w:r>
      <w:r>
        <w:rPr>
          <w:rFonts w:hint="eastAsia" w:ascii="Times New Roman" w:hAnsi="Times New Roman"/>
          <w:color w:val="auto"/>
          <w:lang w:val="en-US" w:eastAsia="zh-CN"/>
        </w:rPr>
        <w:t>2035</w:t>
      </w:r>
      <w:r>
        <w:rPr>
          <w:rFonts w:hint="eastAsia"/>
          <w:color w:val="auto"/>
          <w:lang w:eastAsia="zh-CN"/>
        </w:rPr>
        <w:t>）环境影响报告书》入区企业环境准入的相关要求。</w:t>
      </w:r>
    </w:p>
    <w:p>
      <w:pPr>
        <w:bidi w:val="0"/>
        <w:rPr>
          <w:rFonts w:hint="eastAsia"/>
          <w:color w:val="auto"/>
          <w:lang w:eastAsia="zh-CN"/>
        </w:rPr>
      </w:pPr>
      <w:r>
        <w:rPr>
          <w:rFonts w:hint="eastAsia"/>
          <w:lang w:eastAsia="zh-CN"/>
        </w:rPr>
        <w:t>（</w:t>
      </w:r>
      <w:r>
        <w:rPr>
          <w:rFonts w:hint="eastAsia" w:ascii="Times New Roman" w:hAnsi="Times New Roman"/>
          <w:lang w:val="en-US" w:eastAsia="zh-CN"/>
        </w:rPr>
        <w:t>6</w:t>
      </w:r>
      <w:r>
        <w:rPr>
          <w:rFonts w:hint="eastAsia"/>
          <w:lang w:eastAsia="zh-CN"/>
        </w:rPr>
        <w:t>）</w:t>
      </w:r>
      <w:bookmarkStart w:id="35" w:name="OLE_LINK8"/>
      <w:r>
        <w:rPr>
          <w:rFonts w:hint="eastAsia"/>
          <w:lang w:eastAsia="zh-CN"/>
        </w:rPr>
        <w:t>与</w:t>
      </w:r>
      <w:r>
        <w:rPr>
          <w:rFonts w:hint="eastAsia"/>
          <w:color w:val="auto"/>
          <w:lang w:eastAsia="zh-CN"/>
        </w:rPr>
        <w:t>《挥发性有机物无组织排放控制标准》符合性分析</w:t>
      </w:r>
      <w:bookmarkEnd w:id="35"/>
    </w:p>
    <w:p>
      <w:r>
        <w:rPr>
          <w:rFonts w:hint="eastAsia"/>
          <w:lang w:val="en-US" w:eastAsia="zh-CN"/>
        </w:rPr>
        <w:t>本项目产品</w:t>
      </w:r>
      <w:r>
        <w:rPr>
          <w:rFonts w:hint="eastAsia" w:ascii="Times New Roman" w:hAnsi="Times New Roman"/>
          <w:lang w:val="en-US" w:eastAsia="zh-CN"/>
        </w:rPr>
        <w:t>PD</w:t>
      </w:r>
      <w:r>
        <w:rPr>
          <w:rFonts w:hint="eastAsia"/>
          <w:lang w:val="en-US" w:eastAsia="zh-CN"/>
        </w:rPr>
        <w:t>属于挥发性有机液体，暂存于</w:t>
      </w:r>
      <w:r>
        <w:rPr>
          <w:rFonts w:hint="eastAsia" w:ascii="Times New Roman" w:hAnsi="Times New Roman"/>
          <w:lang w:val="en-US" w:eastAsia="zh-CN"/>
        </w:rPr>
        <w:t>831m</w:t>
      </w:r>
      <w:r>
        <w:rPr>
          <w:rFonts w:hint="eastAsia"/>
          <w:lang w:val="en-US" w:eastAsia="zh-CN"/>
        </w:rPr>
        <w:t>³固定顶储罐。</w:t>
      </w:r>
      <w:r>
        <w:rPr>
          <w:rFonts w:hint="eastAsia"/>
          <w:lang w:eastAsia="zh-CN"/>
        </w:rPr>
        <w:t>本项目与</w:t>
      </w:r>
      <w:r>
        <w:rPr>
          <w:rFonts w:hint="eastAsia"/>
          <w:color w:val="auto"/>
          <w:lang w:eastAsia="zh-CN"/>
        </w:rPr>
        <w:t>《挥发性有机物无组织排放控制标准》符合性分析</w:t>
      </w:r>
      <w:r>
        <w:rPr>
          <w:rFonts w:hint="eastAsia"/>
        </w:rPr>
        <w:t>见表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7</w:t>
      </w:r>
      <w:r>
        <w:rPr>
          <w:rFonts w:hint="eastAsia"/>
        </w:rPr>
        <w:t>。</w:t>
      </w:r>
    </w:p>
    <w:p>
      <w:pPr>
        <w:pStyle w:val="20"/>
        <w:spacing w:before="156"/>
      </w:pPr>
      <w:r>
        <w:rPr>
          <w:rFonts w:hint="eastAsia"/>
        </w:rPr>
        <w:t>表</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7</w:t>
      </w:r>
      <w:r>
        <w:rPr>
          <w:rFonts w:hint="eastAsia"/>
        </w:rPr>
        <w:t xml:space="preserve">  本项目与</w:t>
      </w:r>
      <w:r>
        <w:rPr>
          <w:rFonts w:hint="eastAsia" w:ascii="Times New Roman" w:hAnsi="Times New Roman"/>
        </w:rPr>
        <w:t>GB37822</w:t>
      </w:r>
      <w:r>
        <w:rPr>
          <w:rFonts w:hint="eastAsia"/>
        </w:rPr>
        <w:t>-</w:t>
      </w:r>
      <w:r>
        <w:rPr>
          <w:rFonts w:hint="eastAsia" w:ascii="Times New Roman" w:hAnsi="Times New Roman"/>
        </w:rPr>
        <w:t>2019</w:t>
      </w:r>
      <w:r>
        <w:rPr>
          <w:rFonts w:hint="eastAsia"/>
        </w:rPr>
        <w:t>符合性分析一览表</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2"/>
        <w:gridCol w:w="4670"/>
        <w:gridCol w:w="3058"/>
        <w:gridCol w:w="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vAlign w:val="center"/>
          </w:tcPr>
          <w:p>
            <w:pPr>
              <w:pStyle w:val="199"/>
              <w:spacing w:line="240" w:lineRule="auto"/>
              <w:ind w:firstLine="0"/>
              <w:rPr>
                <w:sz w:val="21"/>
                <w:szCs w:val="21"/>
              </w:rPr>
            </w:pPr>
            <w:r>
              <w:rPr>
                <w:rFonts w:hint="eastAsia"/>
                <w:sz w:val="21"/>
                <w:szCs w:val="21"/>
              </w:rPr>
              <w:t>序号</w:t>
            </w:r>
          </w:p>
        </w:tc>
        <w:tc>
          <w:tcPr>
            <w:tcW w:w="4670" w:type="dxa"/>
            <w:noWrap w:val="0"/>
            <w:vAlign w:val="center"/>
          </w:tcPr>
          <w:p>
            <w:pPr>
              <w:pStyle w:val="199"/>
              <w:spacing w:line="240" w:lineRule="auto"/>
              <w:ind w:firstLine="0"/>
              <w:rPr>
                <w:sz w:val="21"/>
                <w:szCs w:val="21"/>
              </w:rPr>
            </w:pPr>
            <w:r>
              <w:rPr>
                <w:rFonts w:hint="eastAsia"/>
                <w:sz w:val="21"/>
                <w:szCs w:val="21"/>
              </w:rPr>
              <w:t>要求</w:t>
            </w:r>
          </w:p>
        </w:tc>
        <w:tc>
          <w:tcPr>
            <w:tcW w:w="3058" w:type="dxa"/>
            <w:noWrap w:val="0"/>
            <w:vAlign w:val="center"/>
          </w:tcPr>
          <w:p>
            <w:pPr>
              <w:pStyle w:val="199"/>
              <w:spacing w:line="240" w:lineRule="auto"/>
              <w:ind w:firstLine="0"/>
              <w:rPr>
                <w:sz w:val="21"/>
                <w:szCs w:val="21"/>
              </w:rPr>
            </w:pPr>
            <w:r>
              <w:rPr>
                <w:rFonts w:hint="eastAsia"/>
                <w:sz w:val="21"/>
                <w:szCs w:val="21"/>
              </w:rPr>
              <w:t>项目情况</w:t>
            </w:r>
          </w:p>
        </w:tc>
        <w:tc>
          <w:tcPr>
            <w:tcW w:w="934" w:type="dxa"/>
            <w:noWrap w:val="0"/>
            <w:vAlign w:val="center"/>
          </w:tcPr>
          <w:p>
            <w:pPr>
              <w:pStyle w:val="199"/>
              <w:spacing w:line="240" w:lineRule="auto"/>
              <w:ind w:firstLine="0"/>
              <w:rPr>
                <w:sz w:val="21"/>
                <w:szCs w:val="21"/>
              </w:rPr>
            </w:pPr>
            <w:r>
              <w:rPr>
                <w:rFonts w:hint="eastAsia"/>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vAlign w:val="center"/>
          </w:tcPr>
          <w:p>
            <w:pPr>
              <w:pStyle w:val="199"/>
              <w:spacing w:line="240" w:lineRule="auto"/>
              <w:ind w:firstLine="0"/>
              <w:rPr>
                <w:sz w:val="21"/>
                <w:szCs w:val="21"/>
              </w:rPr>
            </w:pPr>
            <w:r>
              <w:rPr>
                <w:rFonts w:hint="eastAsia" w:ascii="Times New Roman" w:hAnsi="Times New Roman" w:cs="Times New Roman"/>
                <w:sz w:val="21"/>
                <w:szCs w:val="21"/>
              </w:rPr>
              <w:t>1</w:t>
            </w:r>
          </w:p>
        </w:tc>
        <w:tc>
          <w:tcPr>
            <w:tcW w:w="4670" w:type="dxa"/>
            <w:noWrap w:val="0"/>
            <w:vAlign w:val="center"/>
          </w:tcPr>
          <w:p>
            <w:pPr>
              <w:pStyle w:val="199"/>
              <w:spacing w:line="240" w:lineRule="exact"/>
              <w:ind w:firstLine="0"/>
              <w:rPr>
                <w:sz w:val="21"/>
                <w:szCs w:val="21"/>
              </w:rPr>
            </w:pPr>
            <w:r>
              <w:rPr>
                <w:rFonts w:hint="eastAsia" w:ascii="Times New Roman" w:hAnsi="Times New Roman"/>
                <w:sz w:val="21"/>
                <w:szCs w:val="21"/>
              </w:rPr>
              <w:t>VOCs</w:t>
            </w:r>
            <w:r>
              <w:rPr>
                <w:rFonts w:hint="eastAsia"/>
                <w:sz w:val="21"/>
                <w:szCs w:val="21"/>
              </w:rPr>
              <w:t>物料应储存于密闭的容器、包装袋、储罐、储库、料仓中</w:t>
            </w:r>
          </w:p>
        </w:tc>
        <w:tc>
          <w:tcPr>
            <w:tcW w:w="3058" w:type="dxa"/>
            <w:noWrap w:val="0"/>
            <w:vAlign w:val="center"/>
          </w:tcPr>
          <w:p>
            <w:pPr>
              <w:pStyle w:val="199"/>
              <w:spacing w:line="240" w:lineRule="auto"/>
              <w:ind w:firstLine="0"/>
              <w:rPr>
                <w:rFonts w:hint="eastAsia"/>
                <w:sz w:val="21"/>
                <w:szCs w:val="21"/>
              </w:rPr>
            </w:pPr>
            <w:r>
              <w:rPr>
                <w:rFonts w:hint="eastAsia"/>
                <w:sz w:val="21"/>
                <w:szCs w:val="21"/>
                <w:lang w:eastAsia="zh-CN"/>
              </w:rPr>
              <w:t>本</w:t>
            </w:r>
            <w:r>
              <w:rPr>
                <w:rFonts w:hint="eastAsia"/>
                <w:sz w:val="21"/>
                <w:szCs w:val="21"/>
              </w:rPr>
              <w:t>项目</w:t>
            </w:r>
            <w:r>
              <w:rPr>
                <w:rFonts w:hint="eastAsia"/>
                <w:sz w:val="21"/>
                <w:szCs w:val="21"/>
                <w:lang w:eastAsia="zh-CN"/>
              </w:rPr>
              <w:t>涉及的挥发性有机液体</w:t>
            </w:r>
            <w:r>
              <w:rPr>
                <w:rFonts w:hint="eastAsia"/>
                <w:sz w:val="21"/>
                <w:szCs w:val="21"/>
                <w:lang w:val="en-US" w:eastAsia="zh-CN"/>
              </w:rPr>
              <w:t>主要为产品</w:t>
            </w:r>
            <w:r>
              <w:rPr>
                <w:rFonts w:hint="eastAsia" w:ascii="Times New Roman" w:hAnsi="Times New Roman"/>
                <w:sz w:val="21"/>
                <w:szCs w:val="21"/>
                <w:lang w:val="en-US" w:eastAsia="zh-CN"/>
              </w:rPr>
              <w:t>PD</w:t>
            </w:r>
            <w:r>
              <w:rPr>
                <w:rFonts w:hint="eastAsia"/>
                <w:sz w:val="21"/>
                <w:szCs w:val="21"/>
                <w:lang w:val="en-US" w:eastAsia="zh-CN"/>
              </w:rPr>
              <w:t>。</w:t>
            </w:r>
            <w:r>
              <w:rPr>
                <w:rFonts w:hint="eastAsia"/>
                <w:sz w:val="21"/>
                <w:szCs w:val="21"/>
              </w:rPr>
              <w:t>产品储存于密闭储罐中，不存在敞开储存</w:t>
            </w:r>
          </w:p>
        </w:tc>
        <w:tc>
          <w:tcPr>
            <w:tcW w:w="934"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12" w:type="dxa"/>
            <w:noWrap w:val="0"/>
            <w:vAlign w:val="center"/>
          </w:tcPr>
          <w:p>
            <w:pPr>
              <w:pStyle w:val="199"/>
              <w:spacing w:line="240" w:lineRule="auto"/>
              <w:ind w:firstLine="0"/>
              <w:rPr>
                <w:rFonts w:hint="eastAsia"/>
                <w:sz w:val="21"/>
                <w:szCs w:val="21"/>
              </w:rPr>
            </w:pPr>
            <w:r>
              <w:rPr>
                <w:rFonts w:hint="eastAsia" w:ascii="Times New Roman" w:hAnsi="Times New Roman" w:cs="Times New Roman"/>
                <w:sz w:val="21"/>
                <w:szCs w:val="21"/>
              </w:rPr>
              <w:t>2</w:t>
            </w:r>
          </w:p>
        </w:tc>
        <w:tc>
          <w:tcPr>
            <w:tcW w:w="4670" w:type="dxa"/>
            <w:noWrap w:val="0"/>
            <w:vAlign w:val="center"/>
          </w:tcPr>
          <w:p>
            <w:pPr>
              <w:pStyle w:val="199"/>
              <w:spacing w:line="240" w:lineRule="exact"/>
              <w:ind w:firstLine="0"/>
              <w:rPr>
                <w:sz w:val="21"/>
                <w:szCs w:val="21"/>
              </w:rPr>
            </w:pPr>
            <w:r>
              <w:rPr>
                <w:rFonts w:hint="eastAsia"/>
                <w:sz w:val="21"/>
                <w:szCs w:val="21"/>
              </w:rPr>
              <w:t>盛装</w:t>
            </w:r>
            <w:r>
              <w:rPr>
                <w:rFonts w:hint="eastAsia" w:ascii="Times New Roman" w:hAnsi="Times New Roman"/>
                <w:sz w:val="21"/>
                <w:szCs w:val="21"/>
              </w:rPr>
              <w:t>VOCs</w:t>
            </w:r>
            <w:r>
              <w:rPr>
                <w:rFonts w:hint="eastAsia"/>
                <w:sz w:val="21"/>
                <w:szCs w:val="21"/>
              </w:rPr>
              <w:t>物料的容器或包装袋应存放于室内，或存放于设置有雨棚、遮阳和防渗设施的专用场地。容器或包装袋在非取用状态时应加盖、封口，保持密闭。</w:t>
            </w:r>
          </w:p>
        </w:tc>
        <w:tc>
          <w:tcPr>
            <w:tcW w:w="3058" w:type="dxa"/>
            <w:noWrap w:val="0"/>
            <w:vAlign w:val="center"/>
          </w:tcPr>
          <w:p>
            <w:pPr>
              <w:pStyle w:val="199"/>
              <w:spacing w:line="240" w:lineRule="auto"/>
              <w:ind w:firstLine="0"/>
              <w:rPr>
                <w:rFonts w:hint="default" w:eastAsia="宋体"/>
                <w:sz w:val="21"/>
                <w:szCs w:val="21"/>
                <w:lang w:val="en-US" w:eastAsia="zh-CN"/>
              </w:rPr>
            </w:pPr>
            <w:r>
              <w:rPr>
                <w:rFonts w:hint="eastAsia"/>
                <w:sz w:val="21"/>
                <w:szCs w:val="21"/>
                <w:lang w:eastAsia="zh-CN"/>
              </w:rPr>
              <w:t>本项目产品</w:t>
            </w:r>
            <w:r>
              <w:rPr>
                <w:rFonts w:hint="eastAsia" w:ascii="Times New Roman" w:hAnsi="Times New Roman"/>
                <w:sz w:val="21"/>
                <w:szCs w:val="21"/>
                <w:lang w:val="en-US" w:eastAsia="zh-CN"/>
              </w:rPr>
              <w:t>PD</w:t>
            </w:r>
            <w:r>
              <w:rPr>
                <w:rFonts w:hint="eastAsia"/>
                <w:sz w:val="21"/>
                <w:szCs w:val="21"/>
                <w:lang w:val="en-US" w:eastAsia="zh-CN"/>
              </w:rPr>
              <w:t>采用固定顶储罐存储，保持密闭</w:t>
            </w:r>
          </w:p>
        </w:tc>
        <w:tc>
          <w:tcPr>
            <w:tcW w:w="934" w:type="dxa"/>
            <w:noWrap w:val="0"/>
            <w:vAlign w:val="center"/>
          </w:tcPr>
          <w:p>
            <w:pPr>
              <w:pStyle w:val="199"/>
              <w:spacing w:line="240" w:lineRule="auto"/>
              <w:ind w:firstLine="0"/>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12" w:type="dxa"/>
            <w:noWrap w:val="0"/>
            <w:vAlign w:val="center"/>
          </w:tcPr>
          <w:p>
            <w:pPr>
              <w:pStyle w:val="199"/>
              <w:spacing w:line="240" w:lineRule="auto"/>
              <w:ind w:firstLine="0"/>
              <w:rPr>
                <w:rFonts w:hint="eastAsia" w:ascii="Times New Roman" w:hAnsi="Times New Roman" w:cs="Times New Roman"/>
                <w:sz w:val="21"/>
                <w:szCs w:val="21"/>
              </w:rPr>
            </w:pPr>
          </w:p>
        </w:tc>
        <w:tc>
          <w:tcPr>
            <w:tcW w:w="4670" w:type="dxa"/>
            <w:noWrap w:val="0"/>
            <w:vAlign w:val="center"/>
          </w:tcPr>
          <w:p>
            <w:pPr>
              <w:pStyle w:val="199"/>
              <w:spacing w:line="240" w:lineRule="exact"/>
              <w:ind w:firstLine="0"/>
              <w:rPr>
                <w:rFonts w:hint="default" w:eastAsia="宋体"/>
                <w:sz w:val="21"/>
                <w:szCs w:val="21"/>
                <w:lang w:val="en-US" w:eastAsia="zh-CN"/>
              </w:rPr>
            </w:pPr>
            <w:r>
              <w:rPr>
                <w:rFonts w:hint="eastAsia"/>
                <w:sz w:val="21"/>
                <w:szCs w:val="21"/>
                <w:lang w:eastAsia="zh-CN"/>
              </w:rPr>
              <w:t>储存真实蒸气压≥</w:t>
            </w:r>
            <w:r>
              <w:rPr>
                <w:rFonts w:hint="eastAsia" w:ascii="Times New Roman" w:hAnsi="Times New Roman"/>
                <w:sz w:val="21"/>
                <w:szCs w:val="21"/>
                <w:lang w:val="en-US" w:eastAsia="zh-CN"/>
              </w:rPr>
              <w:t>76</w:t>
            </w:r>
            <w:r>
              <w:rPr>
                <w:rFonts w:hint="eastAsia"/>
                <w:sz w:val="21"/>
                <w:szCs w:val="21"/>
                <w:lang w:val="en-US" w:eastAsia="zh-CN"/>
              </w:rPr>
              <w:t>.</w:t>
            </w:r>
            <w:r>
              <w:rPr>
                <w:rFonts w:hint="eastAsia" w:ascii="Times New Roman" w:hAnsi="Times New Roman"/>
                <w:sz w:val="21"/>
                <w:szCs w:val="21"/>
                <w:lang w:val="en-US" w:eastAsia="zh-CN"/>
              </w:rPr>
              <w:t>6kPa</w:t>
            </w:r>
            <w:r>
              <w:rPr>
                <w:rFonts w:hint="eastAsia"/>
                <w:sz w:val="21"/>
                <w:szCs w:val="21"/>
                <w:lang w:val="en-US" w:eastAsia="zh-CN"/>
              </w:rPr>
              <w:t>且储罐容积≥</w:t>
            </w:r>
            <w:r>
              <w:rPr>
                <w:rFonts w:hint="eastAsia" w:ascii="Times New Roman" w:hAnsi="Times New Roman"/>
                <w:sz w:val="21"/>
                <w:szCs w:val="21"/>
                <w:lang w:val="en-US" w:eastAsia="zh-CN"/>
              </w:rPr>
              <w:t>75m</w:t>
            </w:r>
            <w:r>
              <w:rPr>
                <w:rFonts w:hint="eastAsia"/>
                <w:sz w:val="21"/>
                <w:szCs w:val="21"/>
                <w:lang w:val="en-US" w:eastAsia="zh-CN"/>
              </w:rPr>
              <w:t>³的挥发性有机液体储罐，应采用低压罐、压力罐或其他等效措施</w:t>
            </w:r>
          </w:p>
        </w:tc>
        <w:tc>
          <w:tcPr>
            <w:tcW w:w="3058" w:type="dxa"/>
            <w:noWrap w:val="0"/>
            <w:vAlign w:val="center"/>
          </w:tcPr>
          <w:p>
            <w:pPr>
              <w:pStyle w:val="199"/>
              <w:spacing w:line="240" w:lineRule="auto"/>
              <w:ind w:firstLine="0"/>
              <w:rPr>
                <w:rFonts w:hint="eastAsia"/>
                <w:sz w:val="21"/>
                <w:szCs w:val="21"/>
                <w:lang w:eastAsia="zh-CN"/>
              </w:rPr>
            </w:pPr>
            <w:r>
              <w:rPr>
                <w:rFonts w:hint="eastAsia"/>
                <w:sz w:val="21"/>
                <w:szCs w:val="21"/>
                <w:lang w:eastAsia="zh-CN"/>
              </w:rPr>
              <w:t>不涉及</w:t>
            </w:r>
          </w:p>
        </w:tc>
        <w:tc>
          <w:tcPr>
            <w:tcW w:w="934" w:type="dxa"/>
            <w:noWrap w:val="0"/>
            <w:vAlign w:val="center"/>
          </w:tcPr>
          <w:p>
            <w:pPr>
              <w:pStyle w:val="199"/>
              <w:spacing w:line="240" w:lineRule="auto"/>
              <w:ind w:firstLine="0"/>
              <w:rPr>
                <w:rFonts w:hint="eastAsia" w:eastAsia="宋体"/>
                <w:sz w:val="21"/>
                <w:szCs w:val="21"/>
                <w:lang w:eastAsia="zh-CN"/>
              </w:rPr>
            </w:pPr>
            <w:r>
              <w:rPr>
                <w:rFonts w:hint="eastAsia"/>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12" w:type="dxa"/>
            <w:noWrap w:val="0"/>
            <w:vAlign w:val="center"/>
          </w:tcPr>
          <w:p>
            <w:pPr>
              <w:pStyle w:val="199"/>
              <w:spacing w:line="240" w:lineRule="auto"/>
              <w:ind w:firstLine="0"/>
              <w:rPr>
                <w:rFonts w:hint="eastAsia" w:ascii="Times New Roman" w:hAnsi="Times New Roman"/>
                <w:sz w:val="21"/>
                <w:szCs w:val="21"/>
              </w:rPr>
            </w:pPr>
            <w:r>
              <w:rPr>
                <w:rFonts w:hint="eastAsia" w:ascii="Times New Roman" w:hAnsi="Times New Roman" w:cs="Times New Roman"/>
                <w:sz w:val="21"/>
                <w:szCs w:val="21"/>
              </w:rPr>
              <w:t>3</w:t>
            </w:r>
          </w:p>
        </w:tc>
        <w:tc>
          <w:tcPr>
            <w:tcW w:w="4670" w:type="dxa"/>
            <w:noWrap w:val="0"/>
            <w:vAlign w:val="center"/>
          </w:tcPr>
          <w:p>
            <w:pPr>
              <w:pStyle w:val="199"/>
              <w:spacing w:line="240" w:lineRule="exact"/>
              <w:ind w:firstLine="0"/>
              <w:rPr>
                <w:rFonts w:hint="default" w:eastAsia="宋体"/>
                <w:sz w:val="21"/>
                <w:szCs w:val="21"/>
                <w:lang w:val="en-US" w:eastAsia="zh-CN"/>
              </w:rPr>
            </w:pPr>
            <w:r>
              <w:rPr>
                <w:rFonts w:hint="eastAsia"/>
                <w:sz w:val="21"/>
                <w:szCs w:val="21"/>
              </w:rPr>
              <w:t>储存真实蒸气压≥</w:t>
            </w:r>
            <w:r>
              <w:rPr>
                <w:rFonts w:hint="eastAsia" w:ascii="Times New Roman" w:hAnsi="Times New Roman"/>
                <w:sz w:val="21"/>
                <w:szCs w:val="21"/>
              </w:rPr>
              <w:t>27</w:t>
            </w:r>
            <w:r>
              <w:rPr>
                <w:rFonts w:hint="eastAsia"/>
                <w:sz w:val="21"/>
                <w:szCs w:val="21"/>
              </w:rPr>
              <w:t>.</w:t>
            </w:r>
            <w:r>
              <w:rPr>
                <w:rFonts w:hint="eastAsia" w:ascii="Times New Roman" w:hAnsi="Times New Roman"/>
                <w:sz w:val="21"/>
                <w:szCs w:val="21"/>
              </w:rPr>
              <w:t>6kPa</w:t>
            </w:r>
            <w:r>
              <w:rPr>
                <w:rFonts w:hint="eastAsia"/>
                <w:sz w:val="21"/>
                <w:szCs w:val="21"/>
              </w:rPr>
              <w:t>但＜</w:t>
            </w:r>
            <w:r>
              <w:rPr>
                <w:rFonts w:hint="eastAsia" w:ascii="Times New Roman" w:hAnsi="Times New Roman"/>
                <w:sz w:val="21"/>
                <w:szCs w:val="21"/>
              </w:rPr>
              <w:t>76</w:t>
            </w:r>
            <w:r>
              <w:rPr>
                <w:rFonts w:hint="eastAsia"/>
                <w:sz w:val="21"/>
                <w:szCs w:val="21"/>
              </w:rPr>
              <w:t>.</w:t>
            </w:r>
            <w:r>
              <w:rPr>
                <w:rFonts w:hint="eastAsia" w:ascii="Times New Roman" w:hAnsi="Times New Roman"/>
                <w:sz w:val="21"/>
                <w:szCs w:val="21"/>
              </w:rPr>
              <w:t>6kPa</w:t>
            </w:r>
            <w:r>
              <w:rPr>
                <w:rFonts w:hint="eastAsia"/>
                <w:sz w:val="21"/>
                <w:szCs w:val="21"/>
              </w:rPr>
              <w:t>且储罐容积≥</w:t>
            </w:r>
            <w:r>
              <w:rPr>
                <w:rFonts w:hint="eastAsia" w:ascii="Times New Roman" w:hAnsi="Times New Roman"/>
                <w:sz w:val="21"/>
                <w:szCs w:val="21"/>
              </w:rPr>
              <w:t>75m</w:t>
            </w:r>
            <w:r>
              <w:rPr>
                <w:rFonts w:hint="eastAsia"/>
                <w:sz w:val="21"/>
                <w:szCs w:val="21"/>
              </w:rPr>
              <w:t>³的挥发性有机液体储罐，对于</w:t>
            </w:r>
            <w:r>
              <w:rPr>
                <w:rFonts w:hint="eastAsia"/>
                <w:sz w:val="21"/>
                <w:szCs w:val="21"/>
                <w:lang w:eastAsia="zh-CN"/>
              </w:rPr>
              <w:t>固定顶罐，排放的废气应收集处理并满足相关行业排放标准的要求（无行业排放标准的应满足</w:t>
            </w:r>
            <w:r>
              <w:rPr>
                <w:rFonts w:hint="eastAsia" w:ascii="Times New Roman" w:hAnsi="Times New Roman"/>
                <w:sz w:val="21"/>
                <w:szCs w:val="21"/>
                <w:lang w:val="en-US" w:eastAsia="zh-CN"/>
              </w:rPr>
              <w:t>GB16297</w:t>
            </w:r>
            <w:r>
              <w:rPr>
                <w:rFonts w:hint="eastAsia"/>
                <w:sz w:val="21"/>
                <w:szCs w:val="21"/>
                <w:lang w:val="en-US" w:eastAsia="zh-CN"/>
              </w:rPr>
              <w:t>的要求</w:t>
            </w:r>
            <w:r>
              <w:rPr>
                <w:rFonts w:hint="eastAsia"/>
                <w:sz w:val="21"/>
                <w:szCs w:val="21"/>
                <w:lang w:eastAsia="zh-CN"/>
              </w:rPr>
              <w:t>），或者处理效率不低于</w:t>
            </w:r>
            <w:r>
              <w:rPr>
                <w:rFonts w:hint="eastAsia" w:ascii="Times New Roman" w:hAnsi="Times New Roman"/>
                <w:sz w:val="21"/>
                <w:szCs w:val="21"/>
                <w:lang w:val="en-US" w:eastAsia="zh-CN"/>
              </w:rPr>
              <w:t>80</w:t>
            </w:r>
            <w:r>
              <w:rPr>
                <w:rFonts w:hint="eastAsia"/>
                <w:sz w:val="21"/>
                <w:szCs w:val="21"/>
                <w:lang w:val="en-US" w:eastAsia="zh-CN"/>
              </w:rPr>
              <w:t>%</w:t>
            </w:r>
          </w:p>
        </w:tc>
        <w:tc>
          <w:tcPr>
            <w:tcW w:w="3058" w:type="dxa"/>
            <w:noWrap w:val="0"/>
            <w:vAlign w:val="center"/>
          </w:tcPr>
          <w:p>
            <w:pPr>
              <w:pStyle w:val="199"/>
              <w:spacing w:line="240" w:lineRule="auto"/>
              <w:ind w:firstLine="0"/>
              <w:rPr>
                <w:rFonts w:hint="eastAsia" w:eastAsia="宋体"/>
                <w:sz w:val="21"/>
                <w:szCs w:val="21"/>
                <w:lang w:eastAsia="zh-CN"/>
              </w:rPr>
            </w:pPr>
            <w:r>
              <w:rPr>
                <w:rFonts w:hint="eastAsia"/>
                <w:sz w:val="21"/>
                <w:szCs w:val="21"/>
                <w:lang w:eastAsia="zh-CN"/>
              </w:rPr>
              <w:t>不涉及</w:t>
            </w:r>
          </w:p>
        </w:tc>
        <w:tc>
          <w:tcPr>
            <w:tcW w:w="934"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12" w:type="dxa"/>
            <w:noWrap w:val="0"/>
            <w:vAlign w:val="center"/>
          </w:tcPr>
          <w:p>
            <w:pPr>
              <w:pStyle w:val="199"/>
              <w:spacing w:line="240" w:lineRule="auto"/>
              <w:ind w:firstLine="0"/>
              <w:rPr>
                <w:rFonts w:hint="eastAsia" w:ascii="Times New Roman" w:hAnsi="Times New Roman"/>
                <w:sz w:val="21"/>
                <w:szCs w:val="21"/>
              </w:rPr>
            </w:pPr>
            <w:r>
              <w:rPr>
                <w:rFonts w:hint="eastAsia" w:ascii="Times New Roman" w:hAnsi="Times New Roman" w:cs="Times New Roman"/>
                <w:sz w:val="21"/>
                <w:szCs w:val="21"/>
              </w:rPr>
              <w:t>4</w:t>
            </w:r>
          </w:p>
        </w:tc>
        <w:tc>
          <w:tcPr>
            <w:tcW w:w="4670" w:type="dxa"/>
            <w:noWrap w:val="0"/>
            <w:vAlign w:val="center"/>
          </w:tcPr>
          <w:p>
            <w:pPr>
              <w:pStyle w:val="199"/>
              <w:spacing w:line="240" w:lineRule="exact"/>
              <w:ind w:firstLine="0"/>
              <w:rPr>
                <w:rFonts w:hint="eastAsia"/>
                <w:sz w:val="21"/>
                <w:szCs w:val="21"/>
                <w:lang w:eastAsia="zh-CN"/>
              </w:rPr>
            </w:pPr>
            <w:r>
              <w:rPr>
                <w:rFonts w:hint="eastAsia"/>
                <w:sz w:val="21"/>
                <w:szCs w:val="21"/>
              </w:rPr>
              <w:t>储罐特别控制要求：储存真实蒸气压≥</w:t>
            </w:r>
            <w:r>
              <w:rPr>
                <w:rFonts w:hint="eastAsia" w:ascii="Times New Roman" w:hAnsi="Times New Roman"/>
                <w:sz w:val="21"/>
                <w:szCs w:val="21"/>
                <w:lang w:val="en-US" w:eastAsia="zh-CN"/>
              </w:rPr>
              <w:t>5</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2</w:t>
            </w:r>
            <w:r>
              <w:rPr>
                <w:rFonts w:hint="eastAsia" w:ascii="Times New Roman" w:hAnsi="Times New Roman"/>
                <w:sz w:val="21"/>
                <w:szCs w:val="21"/>
              </w:rPr>
              <w:t>kPa</w:t>
            </w:r>
            <w:r>
              <w:rPr>
                <w:rFonts w:hint="eastAsia"/>
                <w:sz w:val="21"/>
                <w:szCs w:val="21"/>
              </w:rPr>
              <w:t>但＜</w:t>
            </w:r>
            <w:r>
              <w:rPr>
                <w:rFonts w:hint="eastAsia" w:ascii="Times New Roman" w:hAnsi="Times New Roman"/>
                <w:sz w:val="21"/>
                <w:szCs w:val="21"/>
                <w:lang w:val="en-US" w:eastAsia="zh-CN"/>
              </w:rPr>
              <w:t>27</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6</w:t>
            </w:r>
            <w:r>
              <w:rPr>
                <w:rFonts w:hint="eastAsia" w:ascii="Times New Roman" w:hAnsi="Times New Roman"/>
                <w:sz w:val="21"/>
                <w:szCs w:val="21"/>
              </w:rPr>
              <w:t>kPa</w:t>
            </w:r>
            <w:r>
              <w:rPr>
                <w:rFonts w:hint="eastAsia"/>
                <w:sz w:val="21"/>
                <w:szCs w:val="21"/>
              </w:rPr>
              <w:t>且储罐容积≥</w:t>
            </w:r>
            <w:r>
              <w:rPr>
                <w:rFonts w:hint="eastAsia" w:ascii="Times New Roman" w:hAnsi="Times New Roman"/>
                <w:sz w:val="21"/>
                <w:szCs w:val="21"/>
                <w:lang w:val="en-US" w:eastAsia="zh-CN"/>
              </w:rPr>
              <w:t>1</w:t>
            </w:r>
            <w:r>
              <w:rPr>
                <w:rFonts w:hint="eastAsia" w:ascii="Times New Roman" w:hAnsi="Times New Roman"/>
                <w:sz w:val="21"/>
                <w:szCs w:val="21"/>
              </w:rPr>
              <w:t>5</w:t>
            </w:r>
            <w:r>
              <w:rPr>
                <w:rFonts w:hint="eastAsia" w:ascii="Times New Roman" w:hAnsi="Times New Roman"/>
                <w:sz w:val="21"/>
                <w:szCs w:val="21"/>
                <w:lang w:val="en-US" w:eastAsia="zh-CN"/>
              </w:rPr>
              <w:t>0</w:t>
            </w:r>
            <w:r>
              <w:rPr>
                <w:rFonts w:hint="eastAsia" w:ascii="Times New Roman" w:hAnsi="Times New Roman"/>
                <w:sz w:val="21"/>
                <w:szCs w:val="21"/>
              </w:rPr>
              <w:t>m</w:t>
            </w:r>
            <w:r>
              <w:rPr>
                <w:rFonts w:hint="eastAsia"/>
                <w:sz w:val="21"/>
                <w:szCs w:val="21"/>
              </w:rPr>
              <w:t>³的挥发性有机液体储罐，</w:t>
            </w:r>
            <w:r>
              <w:rPr>
                <w:rFonts w:hint="eastAsia"/>
                <w:sz w:val="21"/>
                <w:szCs w:val="21"/>
                <w:lang w:eastAsia="zh-CN"/>
              </w:rPr>
              <w:t>应符合下列规定之一：</w:t>
            </w:r>
          </w:p>
          <w:p>
            <w:pPr>
              <w:pStyle w:val="199"/>
              <w:spacing w:line="240" w:lineRule="exact"/>
              <w:ind w:firstLine="0"/>
              <w:rPr>
                <w:rFonts w:hint="eastAsia" w:eastAsia="宋体"/>
                <w:sz w:val="21"/>
                <w:szCs w:val="21"/>
                <w:lang w:val="en-US" w:eastAsia="zh-CN"/>
              </w:rPr>
            </w:pPr>
            <w:r>
              <w:rPr>
                <w:rFonts w:hint="eastAsia"/>
                <w:sz w:val="21"/>
                <w:szCs w:val="21"/>
                <w:lang w:eastAsia="zh-CN"/>
              </w:rPr>
              <w:t>①</w:t>
            </w:r>
            <w:r>
              <w:rPr>
                <w:rFonts w:hint="eastAsia"/>
                <w:sz w:val="21"/>
                <w:szCs w:val="21"/>
              </w:rPr>
              <w:t>对于固定顶罐，排放</w:t>
            </w:r>
            <w:r>
              <w:rPr>
                <w:rFonts w:hint="eastAsia"/>
                <w:sz w:val="21"/>
                <w:szCs w:val="21"/>
                <w:lang w:eastAsia="zh-CN"/>
              </w:rPr>
              <w:t>的</w:t>
            </w:r>
            <w:r>
              <w:rPr>
                <w:rFonts w:hint="eastAsia"/>
                <w:sz w:val="21"/>
                <w:szCs w:val="21"/>
              </w:rPr>
              <w:t>废气应收集处理并满足行业排放标准要求，或处理效率不低于</w:t>
            </w:r>
            <w:r>
              <w:rPr>
                <w:rFonts w:hint="eastAsia" w:ascii="Times New Roman" w:hAnsi="Times New Roman"/>
                <w:sz w:val="21"/>
                <w:szCs w:val="21"/>
              </w:rPr>
              <w:t>90</w:t>
            </w:r>
            <w:r>
              <w:rPr>
                <w:rFonts w:hint="eastAsia"/>
                <w:sz w:val="21"/>
                <w:szCs w:val="21"/>
              </w:rPr>
              <w:t>%</w:t>
            </w:r>
            <w:r>
              <w:rPr>
                <w:rFonts w:hint="eastAsia"/>
                <w:sz w:val="21"/>
                <w:szCs w:val="21"/>
                <w:lang w:val="en-US" w:eastAsia="zh-CN"/>
              </w:rPr>
              <w:t>；②采用气相平衡系统；③采取其他等效措施</w:t>
            </w:r>
          </w:p>
        </w:tc>
        <w:tc>
          <w:tcPr>
            <w:tcW w:w="3058" w:type="dxa"/>
            <w:noWrap w:val="0"/>
            <w:vAlign w:val="center"/>
          </w:tcPr>
          <w:p>
            <w:pPr>
              <w:pStyle w:val="199"/>
              <w:spacing w:line="240" w:lineRule="auto"/>
              <w:ind w:firstLine="0"/>
              <w:rPr>
                <w:rFonts w:hint="eastAsia" w:eastAsia="宋体"/>
                <w:sz w:val="21"/>
                <w:szCs w:val="21"/>
                <w:lang w:eastAsia="zh-CN"/>
              </w:rPr>
            </w:pPr>
            <w:r>
              <w:rPr>
                <w:rFonts w:hint="eastAsia"/>
                <w:sz w:val="21"/>
                <w:szCs w:val="21"/>
                <w:lang w:eastAsia="zh-CN"/>
              </w:rPr>
              <w:t>本项目</w:t>
            </w:r>
            <w:r>
              <w:rPr>
                <w:rFonts w:hint="eastAsia" w:ascii="Times New Roman" w:hAnsi="Times New Roman"/>
                <w:sz w:val="21"/>
                <w:szCs w:val="21"/>
                <w:lang w:eastAsia="zh-CN"/>
              </w:rPr>
              <w:t>PD</w:t>
            </w:r>
            <w:r>
              <w:rPr>
                <w:rFonts w:hint="eastAsia"/>
                <w:sz w:val="21"/>
                <w:szCs w:val="21"/>
                <w:lang w:eastAsia="zh-CN"/>
              </w:rPr>
              <w:t>装车过程采用双鹤管装卸，维持气相平衡，最大限度减少产品损失</w:t>
            </w:r>
          </w:p>
        </w:tc>
        <w:tc>
          <w:tcPr>
            <w:tcW w:w="934"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vAlign w:val="center"/>
          </w:tcPr>
          <w:p>
            <w:pPr>
              <w:pStyle w:val="199"/>
              <w:spacing w:line="240" w:lineRule="auto"/>
              <w:ind w:firstLine="0"/>
              <w:rPr>
                <w:rFonts w:hint="eastAsia" w:ascii="Times New Roman" w:hAnsi="Times New Roman"/>
                <w:sz w:val="21"/>
                <w:szCs w:val="21"/>
              </w:rPr>
            </w:pPr>
            <w:r>
              <w:rPr>
                <w:rFonts w:hint="eastAsia" w:ascii="Times New Roman" w:hAnsi="Times New Roman" w:cs="Times New Roman"/>
                <w:sz w:val="21"/>
                <w:szCs w:val="21"/>
              </w:rPr>
              <w:t>5</w:t>
            </w:r>
          </w:p>
        </w:tc>
        <w:tc>
          <w:tcPr>
            <w:tcW w:w="4670" w:type="dxa"/>
            <w:noWrap w:val="0"/>
            <w:vAlign w:val="center"/>
          </w:tcPr>
          <w:p>
            <w:pPr>
              <w:pStyle w:val="199"/>
              <w:spacing w:line="240" w:lineRule="exact"/>
              <w:ind w:firstLine="0"/>
              <w:rPr>
                <w:sz w:val="21"/>
                <w:szCs w:val="21"/>
              </w:rPr>
            </w:pPr>
            <w:r>
              <w:rPr>
                <w:rFonts w:hint="eastAsia"/>
                <w:sz w:val="21"/>
                <w:szCs w:val="21"/>
              </w:rPr>
              <w:t>液态</w:t>
            </w:r>
            <w:r>
              <w:rPr>
                <w:rFonts w:hint="eastAsia" w:ascii="Times New Roman" w:hAnsi="Times New Roman"/>
                <w:sz w:val="21"/>
                <w:szCs w:val="21"/>
              </w:rPr>
              <w:t>VOCs</w:t>
            </w:r>
            <w:r>
              <w:rPr>
                <w:rFonts w:hint="eastAsia"/>
                <w:sz w:val="21"/>
                <w:szCs w:val="21"/>
              </w:rPr>
              <w:t>物料应采用密闭管道输送。采用非管道输送方式转移液态</w:t>
            </w:r>
            <w:r>
              <w:rPr>
                <w:rFonts w:hint="eastAsia" w:ascii="Times New Roman" w:hAnsi="Times New Roman"/>
                <w:sz w:val="21"/>
                <w:szCs w:val="21"/>
              </w:rPr>
              <w:t>VOCs</w:t>
            </w:r>
            <w:r>
              <w:rPr>
                <w:rFonts w:hint="eastAsia"/>
                <w:sz w:val="21"/>
                <w:szCs w:val="21"/>
              </w:rPr>
              <w:t>物料时，应采用密闭容器、罐车</w:t>
            </w:r>
          </w:p>
        </w:tc>
        <w:tc>
          <w:tcPr>
            <w:tcW w:w="3058" w:type="dxa"/>
            <w:noWrap w:val="0"/>
            <w:vAlign w:val="center"/>
          </w:tcPr>
          <w:p>
            <w:pPr>
              <w:pStyle w:val="199"/>
              <w:spacing w:line="240" w:lineRule="auto"/>
              <w:ind w:firstLine="0"/>
              <w:rPr>
                <w:rFonts w:hint="eastAsia"/>
                <w:sz w:val="21"/>
                <w:szCs w:val="21"/>
              </w:rPr>
            </w:pPr>
            <w:r>
              <w:rPr>
                <w:rFonts w:hint="eastAsia" w:ascii="Times New Roman" w:hAnsi="Times New Roman"/>
                <w:sz w:val="21"/>
                <w:szCs w:val="21"/>
                <w:lang w:eastAsia="zh-CN"/>
              </w:rPr>
              <w:t>本项目产品</w:t>
            </w:r>
            <w:r>
              <w:rPr>
                <w:rFonts w:hint="eastAsia" w:ascii="Times New Roman" w:hAnsi="Times New Roman"/>
                <w:sz w:val="21"/>
                <w:szCs w:val="21"/>
                <w:lang w:val="en-US" w:eastAsia="zh-CN"/>
              </w:rPr>
              <w:t>PD</w:t>
            </w:r>
            <w:r>
              <w:rPr>
                <w:rFonts w:hint="eastAsia" w:ascii="Times New Roman" w:hAnsi="Times New Roman"/>
                <w:sz w:val="21"/>
                <w:szCs w:val="21"/>
                <w:lang w:val="en-US" w:eastAsia="zh-CN"/>
              </w:rPr>
              <w:t>生产后进入产品储罐</w:t>
            </w:r>
            <w:r>
              <w:rPr>
                <w:rFonts w:hint="eastAsia"/>
                <w:sz w:val="21"/>
                <w:szCs w:val="21"/>
              </w:rPr>
              <w:t>，</w:t>
            </w:r>
            <w:r>
              <w:rPr>
                <w:rFonts w:hint="eastAsia"/>
                <w:sz w:val="21"/>
                <w:szCs w:val="21"/>
                <w:lang w:eastAsia="zh-CN"/>
              </w:rPr>
              <w:t>过程密闭，</w:t>
            </w:r>
            <w:r>
              <w:rPr>
                <w:rFonts w:hint="eastAsia"/>
                <w:sz w:val="21"/>
                <w:szCs w:val="21"/>
              </w:rPr>
              <w:t>装</w:t>
            </w:r>
            <w:r>
              <w:rPr>
                <w:rFonts w:hint="eastAsia"/>
                <w:sz w:val="21"/>
                <w:szCs w:val="21"/>
                <w:lang w:eastAsia="zh-CN"/>
              </w:rPr>
              <w:t>车和</w:t>
            </w:r>
            <w:r>
              <w:rPr>
                <w:rFonts w:hint="eastAsia"/>
                <w:sz w:val="21"/>
                <w:szCs w:val="21"/>
              </w:rPr>
              <w:t>拉运采用密闭罐车进行</w:t>
            </w:r>
          </w:p>
        </w:tc>
        <w:tc>
          <w:tcPr>
            <w:tcW w:w="934"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vAlign w:val="center"/>
          </w:tcPr>
          <w:p>
            <w:pPr>
              <w:pStyle w:val="199"/>
              <w:spacing w:line="240" w:lineRule="auto"/>
              <w:ind w:firstLine="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6</w:t>
            </w:r>
          </w:p>
        </w:tc>
        <w:tc>
          <w:tcPr>
            <w:tcW w:w="4670" w:type="dxa"/>
            <w:noWrap w:val="0"/>
            <w:vAlign w:val="center"/>
          </w:tcPr>
          <w:p>
            <w:pPr>
              <w:pStyle w:val="199"/>
              <w:spacing w:line="240" w:lineRule="exact"/>
              <w:ind w:firstLine="0"/>
              <w:rPr>
                <w:sz w:val="21"/>
                <w:szCs w:val="21"/>
              </w:rPr>
            </w:pPr>
            <w:r>
              <w:rPr>
                <w:rFonts w:hint="eastAsia"/>
                <w:sz w:val="21"/>
                <w:szCs w:val="21"/>
              </w:rPr>
              <w:t>物料投加和卸放过程，采用密闭加料的方式，反应设备置换废气、挥发排气、反应尾气等应排至</w:t>
            </w:r>
            <w:r>
              <w:rPr>
                <w:rFonts w:hint="eastAsia" w:ascii="Times New Roman" w:hAnsi="Times New Roman"/>
                <w:sz w:val="21"/>
                <w:szCs w:val="21"/>
              </w:rPr>
              <w:t>VOCs</w:t>
            </w:r>
            <w:r>
              <w:rPr>
                <w:rFonts w:hint="eastAsia"/>
                <w:sz w:val="21"/>
                <w:szCs w:val="21"/>
              </w:rPr>
              <w:t>废气收集处理系统</w:t>
            </w:r>
          </w:p>
        </w:tc>
        <w:tc>
          <w:tcPr>
            <w:tcW w:w="3058" w:type="dxa"/>
            <w:noWrap w:val="0"/>
            <w:vAlign w:val="center"/>
          </w:tcPr>
          <w:p>
            <w:pPr>
              <w:pStyle w:val="199"/>
              <w:spacing w:line="240" w:lineRule="auto"/>
              <w:ind w:firstLine="0"/>
              <w:rPr>
                <w:rFonts w:hint="eastAsia" w:eastAsia="宋体"/>
                <w:sz w:val="21"/>
                <w:szCs w:val="21"/>
                <w:lang w:eastAsia="zh-CN"/>
              </w:rPr>
            </w:pPr>
            <w:r>
              <w:rPr>
                <w:rFonts w:hint="eastAsia"/>
                <w:sz w:val="21"/>
                <w:szCs w:val="21"/>
              </w:rPr>
              <w:t>项目工艺整体密闭，不存在敞开式加料过程，</w:t>
            </w:r>
            <w:r>
              <w:rPr>
                <w:rFonts w:hint="eastAsia"/>
                <w:sz w:val="21"/>
                <w:szCs w:val="21"/>
                <w:lang w:eastAsia="zh-CN"/>
              </w:rPr>
              <w:t>反应尾气经冷凝处理后排入尾气吸收塔处理</w:t>
            </w:r>
          </w:p>
        </w:tc>
        <w:tc>
          <w:tcPr>
            <w:tcW w:w="934" w:type="dxa"/>
            <w:noWrap w:val="0"/>
            <w:vAlign w:val="center"/>
          </w:tcPr>
          <w:p>
            <w:pPr>
              <w:pStyle w:val="199"/>
              <w:spacing w:line="240" w:lineRule="auto"/>
              <w:ind w:firstLine="0"/>
              <w:rPr>
                <w:rFonts w:hint="eastAsia"/>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dxa"/>
            <w:noWrap w:val="0"/>
            <w:vAlign w:val="center"/>
          </w:tcPr>
          <w:p>
            <w:pPr>
              <w:pStyle w:val="199"/>
              <w:spacing w:line="240" w:lineRule="auto"/>
              <w:ind w:firstLine="0"/>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7</w:t>
            </w:r>
          </w:p>
        </w:tc>
        <w:tc>
          <w:tcPr>
            <w:tcW w:w="4670" w:type="dxa"/>
            <w:noWrap w:val="0"/>
            <w:vAlign w:val="center"/>
          </w:tcPr>
          <w:p>
            <w:pPr>
              <w:pStyle w:val="199"/>
              <w:spacing w:line="240" w:lineRule="exact"/>
              <w:ind w:firstLine="0"/>
              <w:rPr>
                <w:sz w:val="21"/>
                <w:szCs w:val="21"/>
              </w:rPr>
            </w:pPr>
            <w:r>
              <w:rPr>
                <w:rFonts w:hint="eastAsia"/>
                <w:sz w:val="21"/>
                <w:szCs w:val="21"/>
              </w:rPr>
              <w:t>企业中载有气态</w:t>
            </w:r>
            <w:r>
              <w:rPr>
                <w:rFonts w:hint="eastAsia" w:ascii="Times New Roman" w:hAnsi="Times New Roman"/>
                <w:sz w:val="21"/>
                <w:szCs w:val="21"/>
              </w:rPr>
              <w:t>VOCs</w:t>
            </w:r>
            <w:r>
              <w:rPr>
                <w:rFonts w:hint="eastAsia"/>
                <w:sz w:val="21"/>
                <w:szCs w:val="21"/>
              </w:rPr>
              <w:t>物料、液态</w:t>
            </w:r>
            <w:r>
              <w:rPr>
                <w:rFonts w:hint="eastAsia" w:ascii="Times New Roman" w:hAnsi="Times New Roman"/>
                <w:sz w:val="21"/>
                <w:szCs w:val="21"/>
              </w:rPr>
              <w:t>VOCs</w:t>
            </w:r>
            <w:r>
              <w:rPr>
                <w:rFonts w:hint="eastAsia"/>
                <w:sz w:val="21"/>
                <w:szCs w:val="21"/>
              </w:rPr>
              <w:t>物料的设备与管线组件的密封点≥</w:t>
            </w:r>
            <w:r>
              <w:rPr>
                <w:rFonts w:hint="eastAsia" w:ascii="Times New Roman" w:hAnsi="Times New Roman"/>
                <w:sz w:val="21"/>
                <w:szCs w:val="21"/>
              </w:rPr>
              <w:t>2000</w:t>
            </w:r>
            <w:r>
              <w:rPr>
                <w:rFonts w:hint="eastAsia"/>
                <w:sz w:val="21"/>
                <w:szCs w:val="21"/>
              </w:rPr>
              <w:t>个，应开展</w:t>
            </w:r>
            <w:r>
              <w:rPr>
                <w:rFonts w:hint="eastAsia"/>
                <w:sz w:val="21"/>
                <w:szCs w:val="21"/>
                <w:lang w:eastAsia="zh-CN"/>
              </w:rPr>
              <w:t>泄漏</w:t>
            </w:r>
            <w:r>
              <w:rPr>
                <w:rFonts w:hint="eastAsia"/>
                <w:sz w:val="21"/>
                <w:szCs w:val="21"/>
              </w:rPr>
              <w:t>检测与修复工作。</w:t>
            </w:r>
          </w:p>
        </w:tc>
        <w:tc>
          <w:tcPr>
            <w:tcW w:w="3058" w:type="dxa"/>
            <w:noWrap w:val="0"/>
            <w:vAlign w:val="center"/>
          </w:tcPr>
          <w:p>
            <w:pPr>
              <w:pStyle w:val="199"/>
              <w:spacing w:line="240" w:lineRule="auto"/>
              <w:ind w:firstLine="0"/>
              <w:rPr>
                <w:sz w:val="21"/>
                <w:szCs w:val="21"/>
              </w:rPr>
            </w:pPr>
            <w:r>
              <w:rPr>
                <w:rFonts w:hint="eastAsia"/>
                <w:sz w:val="21"/>
                <w:szCs w:val="21"/>
                <w:lang w:eastAsia="zh-CN"/>
              </w:rPr>
              <w:t>本</w:t>
            </w:r>
            <w:r>
              <w:rPr>
                <w:rFonts w:hint="eastAsia"/>
                <w:sz w:val="21"/>
                <w:szCs w:val="21"/>
              </w:rPr>
              <w:t>项目</w:t>
            </w:r>
            <w:r>
              <w:rPr>
                <w:rFonts w:hint="eastAsia"/>
                <w:sz w:val="21"/>
                <w:szCs w:val="21"/>
                <w:lang w:eastAsia="zh-CN"/>
              </w:rPr>
              <w:t>不需要</w:t>
            </w:r>
            <w:r>
              <w:rPr>
                <w:rFonts w:hint="eastAsia"/>
                <w:sz w:val="21"/>
                <w:szCs w:val="21"/>
              </w:rPr>
              <w:t>开展</w:t>
            </w:r>
            <w:r>
              <w:rPr>
                <w:rFonts w:hint="eastAsia" w:ascii="Times New Roman" w:hAnsi="Times New Roman"/>
                <w:sz w:val="21"/>
                <w:szCs w:val="21"/>
              </w:rPr>
              <w:t>LDAR</w:t>
            </w:r>
          </w:p>
        </w:tc>
        <w:tc>
          <w:tcPr>
            <w:tcW w:w="934" w:type="dxa"/>
            <w:noWrap w:val="0"/>
            <w:vAlign w:val="center"/>
          </w:tcPr>
          <w:p>
            <w:pPr>
              <w:pStyle w:val="199"/>
              <w:spacing w:line="240" w:lineRule="auto"/>
              <w:ind w:firstLine="0"/>
              <w:rPr>
                <w:rFonts w:hint="eastAsia"/>
                <w:sz w:val="21"/>
                <w:szCs w:val="21"/>
              </w:rPr>
            </w:pPr>
            <w:r>
              <w:rPr>
                <w:rFonts w:hint="eastAsia"/>
                <w:sz w:val="21"/>
                <w:szCs w:val="21"/>
              </w:rPr>
              <w:t>符合</w:t>
            </w:r>
          </w:p>
        </w:tc>
      </w:tr>
    </w:tbl>
    <w:p>
      <w:pPr>
        <w:bidi w:val="0"/>
        <w:rPr>
          <w:rFonts w:hint="eastAsia"/>
          <w:lang w:eastAsia="zh-CN"/>
        </w:rPr>
      </w:pPr>
      <w:r>
        <w:rPr>
          <w:rFonts w:hint="eastAsia"/>
          <w:lang w:eastAsia="zh-CN"/>
        </w:rPr>
        <w:t>根据分析，本项目生产过程整体密闭，反应尾气经冷凝处理后，不凝气排入尾气吸收塔进一步处理</w:t>
      </w:r>
      <w:r>
        <w:rPr>
          <w:rFonts w:hint="eastAsia"/>
          <w:lang w:val="en-US" w:eastAsia="zh-CN"/>
        </w:rPr>
        <w:t>。</w:t>
      </w:r>
      <w:r>
        <w:rPr>
          <w:rFonts w:hint="eastAsia"/>
          <w:lang w:eastAsia="zh-CN"/>
        </w:rPr>
        <w:t>产品装车过程采用双鹤管维持气相平衡。措施</w:t>
      </w:r>
      <w:r>
        <w:rPr>
          <w:rFonts w:hint="eastAsia"/>
          <w:lang w:val="en-US" w:eastAsia="zh-CN"/>
        </w:rPr>
        <w:t>符合《挥发性有机物无组织排放控制标准》（</w:t>
      </w:r>
      <w:r>
        <w:rPr>
          <w:rFonts w:hint="eastAsia" w:ascii="Times New Roman" w:hAnsi="Times New Roman"/>
          <w:lang w:val="en-US" w:eastAsia="zh-CN"/>
        </w:rPr>
        <w:t>GB37822</w:t>
      </w:r>
      <w:r>
        <w:rPr>
          <w:rFonts w:hint="eastAsia"/>
          <w:lang w:val="en-US" w:eastAsia="zh-CN"/>
        </w:rPr>
        <w:t>-</w:t>
      </w:r>
      <w:r>
        <w:rPr>
          <w:rFonts w:hint="eastAsia" w:ascii="Times New Roman" w:hAnsi="Times New Roman"/>
          <w:lang w:val="en-US" w:eastAsia="zh-CN"/>
        </w:rPr>
        <w:t>2019</w:t>
      </w:r>
      <w:r>
        <w:rPr>
          <w:rFonts w:hint="eastAsia"/>
          <w:lang w:val="en-US" w:eastAsia="zh-CN"/>
        </w:rPr>
        <w:t>）相关要求。</w:t>
      </w:r>
    </w:p>
    <w:p>
      <w:pPr>
        <w:rPr>
          <w:rFonts w:hint="eastAsia"/>
          <w:color w:val="auto"/>
          <w:lang w:val="en-US" w:eastAsia="zh-CN"/>
        </w:rPr>
      </w:pPr>
      <w:r>
        <w:rPr>
          <w:rFonts w:hint="eastAsia"/>
          <w:color w:val="auto"/>
          <w:lang w:eastAsia="zh-CN"/>
        </w:rPr>
        <w:t>（</w:t>
      </w:r>
      <w:r>
        <w:rPr>
          <w:rFonts w:hint="eastAsia" w:ascii="Times New Roman" w:hAnsi="Times New Roman" w:cs="Times New Roman"/>
          <w:color w:val="auto"/>
          <w:lang w:val="en-US" w:eastAsia="zh-CN"/>
        </w:rPr>
        <w:t>7</w:t>
      </w:r>
      <w:r>
        <w:rPr>
          <w:rFonts w:hint="eastAsia"/>
          <w:color w:val="auto"/>
          <w:lang w:eastAsia="zh-CN"/>
        </w:rPr>
        <w:t>）</w:t>
      </w:r>
      <w:r>
        <w:rPr>
          <w:rFonts w:hint="eastAsia"/>
          <w:color w:val="auto"/>
          <w:lang w:val="en-US" w:eastAsia="zh-CN"/>
        </w:rPr>
        <w:t>与《自治区严禁“三高”项目进新疆推动经济高质量发展实施方案》符合性分析</w:t>
      </w:r>
    </w:p>
    <w:p>
      <w:pPr>
        <w:rPr>
          <w:color w:val="auto"/>
        </w:rPr>
      </w:pPr>
      <w:r>
        <w:rPr>
          <w:rFonts w:hint="eastAsia"/>
          <w:color w:val="auto"/>
          <w:lang w:eastAsia="zh-CN"/>
        </w:rPr>
        <w:t>《</w:t>
      </w:r>
      <w:r>
        <w:rPr>
          <w:color w:val="auto"/>
        </w:rPr>
        <w:t>方案</w:t>
      </w:r>
      <w:r>
        <w:rPr>
          <w:rFonts w:hint="eastAsia"/>
          <w:color w:val="auto"/>
          <w:lang w:eastAsia="zh-CN"/>
        </w:rPr>
        <w:t>》</w:t>
      </w:r>
      <w:r>
        <w:rPr>
          <w:color w:val="auto"/>
        </w:rPr>
        <w:t>提出，严格落实国家相关产业政策，加快淘汰落后产业，积极化解五大行业产能过剩；凡属于</w:t>
      </w:r>
      <w:r>
        <w:rPr>
          <w:rFonts w:hint="eastAsia"/>
        </w:rPr>
        <w:t>《产业结构调整指导目录（</w:t>
      </w:r>
      <w:r>
        <w:rPr>
          <w:rFonts w:hint="eastAsia" w:ascii="Times New Roman" w:hAnsi="Times New Roman"/>
        </w:rPr>
        <w:t>201</w:t>
      </w:r>
      <w:r>
        <w:rPr>
          <w:rFonts w:hint="eastAsia" w:ascii="Times New Roman" w:hAnsi="Times New Roman"/>
          <w:lang w:val="en-US" w:eastAsia="zh-CN"/>
        </w:rPr>
        <w:t>9</w:t>
      </w:r>
      <w:r>
        <w:rPr>
          <w:rFonts w:hint="eastAsia"/>
        </w:rPr>
        <w:t>年本）》</w:t>
      </w:r>
      <w:r>
        <w:rPr>
          <w:color w:val="auto"/>
        </w:rPr>
        <w:t>中的限制和淘汰类项目、市场准入负面清单中的项目、不符合相应行业准入条件的项目、自治区相关产业政策禁止建设的项目，禁止新（扩）建。</w:t>
      </w:r>
    </w:p>
    <w:p>
      <w:pPr>
        <w:rPr>
          <w:color w:val="auto"/>
        </w:rPr>
      </w:pPr>
      <w:r>
        <w:rPr>
          <w:color w:val="auto"/>
        </w:rPr>
        <w:t>乌鲁木齐-昌吉-石河子区域、奎屯-独山子-乌苏区域、克拉玛依市、库尔勒市等自治区大气污染联防联控区域，禁止新（改、扩）建未落实二氧化硫、氮氧化物、挥发性有机物等主要大气污染物倍量替代的项目，国家相关政策及规划有特殊要求的，执行国家相关政策及规划。</w:t>
      </w:r>
    </w:p>
    <w:p>
      <w:pPr>
        <w:bidi w:val="0"/>
        <w:rPr>
          <w:rFonts w:hint="eastAsia"/>
          <w:lang w:val="en-US" w:eastAsia="zh-CN"/>
        </w:rPr>
      </w:pPr>
      <w:r>
        <w:rPr>
          <w:color w:val="auto"/>
        </w:rPr>
        <w:t>本项目</w:t>
      </w:r>
      <w:r>
        <w:rPr>
          <w:rFonts w:hint="eastAsia"/>
          <w:color w:val="auto"/>
          <w:lang w:eastAsia="zh-CN"/>
        </w:rPr>
        <w:t>属于生物化工产业下游延伸的化工产业，不属于</w:t>
      </w:r>
      <w:r>
        <w:rPr>
          <w:color w:val="auto"/>
        </w:rPr>
        <w:t>《方案》</w:t>
      </w:r>
      <w:r>
        <w:rPr>
          <w:rFonts w:hint="eastAsia"/>
          <w:color w:val="auto"/>
          <w:lang w:eastAsia="zh-CN"/>
        </w:rPr>
        <w:t>中列出禁止新建或扩建的产业类别，本</w:t>
      </w:r>
      <w:r>
        <w:rPr>
          <w:rFonts w:hint="eastAsia"/>
          <w:color w:val="auto"/>
          <w:lang w:val="en-US" w:eastAsia="zh-CN"/>
        </w:rPr>
        <w:t>项目</w:t>
      </w:r>
      <w:r>
        <w:rPr>
          <w:rFonts w:hint="eastAsia"/>
          <w:color w:val="auto"/>
          <w:lang w:eastAsia="zh-CN"/>
        </w:rPr>
        <w:t>新增</w:t>
      </w:r>
      <w:r>
        <w:rPr>
          <w:rFonts w:hint="eastAsia" w:ascii="Times New Roman" w:hAnsi="Times New Roman" w:cs="Times New Roman"/>
          <w:color w:val="auto"/>
          <w:lang w:val="en-US" w:eastAsia="zh-CN"/>
        </w:rPr>
        <w:t>VOCs</w:t>
      </w:r>
      <w:r>
        <w:rPr>
          <w:rFonts w:hint="eastAsia" w:ascii="Times New Roman" w:hAnsi="Times New Roman" w:cs="Times New Roman"/>
          <w:color w:val="auto"/>
          <w:lang w:val="en-US" w:eastAsia="zh-CN"/>
        </w:rPr>
        <w:t>排放</w:t>
      </w:r>
      <w:r>
        <w:rPr>
          <w:rFonts w:hint="eastAsia"/>
          <w:color w:val="auto"/>
          <w:lang w:eastAsia="zh-CN"/>
        </w:rPr>
        <w:t>实行</w:t>
      </w:r>
      <w:r>
        <w:rPr>
          <w:color w:val="auto"/>
        </w:rPr>
        <w:t>倍量替代</w:t>
      </w:r>
      <w:r>
        <w:rPr>
          <w:rFonts w:hint="eastAsia"/>
          <w:color w:val="auto"/>
          <w:lang w:eastAsia="zh-CN"/>
        </w:rPr>
        <w:t>。</w:t>
      </w:r>
      <w:r>
        <w:rPr>
          <w:rFonts w:hint="eastAsia"/>
          <w:color w:val="auto"/>
          <w:lang w:val="en-US" w:eastAsia="zh-CN"/>
        </w:rPr>
        <w:t>因此，项目</w:t>
      </w:r>
      <w:r>
        <w:rPr>
          <w:color w:val="auto"/>
        </w:rPr>
        <w:t>符合《自治区严禁</w:t>
      </w:r>
      <w:r>
        <w:rPr>
          <w:rFonts w:hint="eastAsia"/>
          <w:color w:val="auto"/>
        </w:rPr>
        <w:t>“</w:t>
      </w:r>
      <w:r>
        <w:rPr>
          <w:color w:val="auto"/>
        </w:rPr>
        <w:t>三高</w:t>
      </w:r>
      <w:r>
        <w:rPr>
          <w:rFonts w:hint="eastAsia"/>
          <w:color w:val="auto"/>
        </w:rPr>
        <w:t>”</w:t>
      </w:r>
      <w:r>
        <w:rPr>
          <w:color w:val="auto"/>
        </w:rPr>
        <w:t>项目进新疆推动经济高质量发展实施方案》相关要求。</w:t>
      </w:r>
    </w:p>
    <w:p>
      <w:pPr>
        <w:rPr>
          <w:rFonts w:hint="eastAsia"/>
          <w:color w:val="auto"/>
          <w:lang w:eastAsia="zh-CN"/>
        </w:rPr>
      </w:pPr>
      <w:r>
        <w:rPr>
          <w:rFonts w:hint="eastAsia"/>
          <w:color w:val="auto"/>
          <w:lang w:eastAsia="zh-CN"/>
        </w:rPr>
        <w:t>（</w:t>
      </w:r>
      <w:r>
        <w:rPr>
          <w:rFonts w:hint="eastAsia" w:ascii="Times New Roman" w:hAnsi="Times New Roman" w:cs="Times New Roman"/>
          <w:color w:val="auto"/>
          <w:lang w:val="en-US" w:eastAsia="zh-CN"/>
        </w:rPr>
        <w:t>8</w:t>
      </w:r>
      <w:r>
        <w:rPr>
          <w:rFonts w:hint="eastAsia"/>
          <w:color w:val="auto"/>
          <w:lang w:eastAsia="zh-CN"/>
        </w:rPr>
        <w:t>）与《关于加快解决当前挥发性有机物治理突出问题的通知》符合性分析</w:t>
      </w:r>
    </w:p>
    <w:p>
      <w:pPr>
        <w:rPr>
          <w:rFonts w:hint="default"/>
          <w:color w:val="auto"/>
          <w:lang w:val="en-US" w:eastAsia="zh-CN"/>
        </w:rPr>
      </w:pPr>
      <w:r>
        <w:rPr>
          <w:rFonts w:hint="eastAsia"/>
          <w:color w:val="auto"/>
          <w:lang w:eastAsia="zh-CN"/>
        </w:rPr>
        <w:t>根据生态环境部《关于加快解决当前挥发性有机物治理突出问题的通知》（环大气</w:t>
      </w:r>
      <w:r>
        <w:rPr>
          <w:rFonts w:hint="eastAsia"/>
          <w:color w:val="auto"/>
          <w:lang w:val="en-US" w:eastAsia="zh-CN"/>
        </w:rPr>
        <w:t>[</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65</w:t>
      </w:r>
      <w:r>
        <w:rPr>
          <w:rFonts w:hint="eastAsia"/>
          <w:color w:val="auto"/>
          <w:lang w:val="en-US" w:eastAsia="zh-CN"/>
        </w:rPr>
        <w:t>号</w:t>
      </w:r>
      <w:r>
        <w:rPr>
          <w:rFonts w:hint="eastAsia"/>
          <w:color w:val="auto"/>
          <w:lang w:eastAsia="zh-CN"/>
        </w:rPr>
        <w:t>），</w:t>
      </w:r>
      <w:r>
        <w:rPr>
          <w:rFonts w:hint="eastAsia" w:cs="Times New Roman"/>
          <w:color w:val="auto"/>
          <w:lang w:eastAsia="zh-CN"/>
        </w:rPr>
        <w:t>各地要以石油炼制、石油化工、合成树脂等石化行业，有机化工、煤化工、焦化（含兰炭）、制药、农药、涂料、油墨、胶粘剂等化工行业，涉及工业涂装的汽车、家具、零部件、钢结构、彩涂板等行业，包装印刷行业以及油品储运销为重点，并结合本地特色产业，组织企业针对挥发性有机液体储罐、装卸、敞开液面、泄漏检测与修复（</w:t>
      </w:r>
      <w:r>
        <w:rPr>
          <w:rFonts w:hint="eastAsia" w:ascii="Times New Roman" w:hAnsi="Times New Roman" w:cs="Times New Roman"/>
          <w:color w:val="auto"/>
          <w:lang w:val="en-US" w:eastAsia="zh-CN"/>
        </w:rPr>
        <w:t>LDAR</w:t>
      </w:r>
      <w:r>
        <w:rPr>
          <w:rFonts w:hint="eastAsia" w:cs="Times New Roman"/>
          <w:color w:val="auto"/>
          <w:lang w:eastAsia="zh-CN"/>
        </w:rPr>
        <w:t>）、废气收集、废气旁路、治理设施、加油站、非正常工况、产品</w:t>
      </w:r>
      <w:r>
        <w:rPr>
          <w:rFonts w:hint="eastAsia" w:ascii="Times New Roman" w:hAnsi="Times New Roman" w:cs="Times New Roman"/>
          <w:color w:val="auto"/>
          <w:lang w:val="en-US" w:eastAsia="zh-CN"/>
        </w:rPr>
        <w:t>VOCs</w:t>
      </w:r>
      <w:r>
        <w:rPr>
          <w:rFonts w:hint="eastAsia" w:cs="Times New Roman"/>
          <w:color w:val="auto"/>
          <w:lang w:val="en-US" w:eastAsia="zh-CN"/>
        </w:rPr>
        <w:t>含量等</w:t>
      </w:r>
      <w:r>
        <w:rPr>
          <w:rFonts w:hint="eastAsia" w:ascii="Times New Roman" w:hAnsi="Times New Roman" w:cs="Times New Roman"/>
          <w:color w:val="auto"/>
          <w:lang w:val="en-US" w:eastAsia="zh-CN"/>
        </w:rPr>
        <w:t>10</w:t>
      </w:r>
      <w:r>
        <w:rPr>
          <w:rFonts w:hint="eastAsia" w:cs="Times New Roman"/>
          <w:color w:val="auto"/>
          <w:lang w:val="en-US" w:eastAsia="zh-CN"/>
        </w:rPr>
        <w:t>个关键环节，认真对照大气污染防治法、排污许可证、相关排放标准和产品</w:t>
      </w:r>
      <w:r>
        <w:rPr>
          <w:rFonts w:hint="eastAsia" w:ascii="Times New Roman" w:hAnsi="Times New Roman" w:cs="Times New Roman"/>
          <w:color w:val="auto"/>
          <w:lang w:val="en-US" w:eastAsia="zh-CN"/>
        </w:rPr>
        <w:t>VOCs</w:t>
      </w:r>
      <w:r>
        <w:rPr>
          <w:rFonts w:hint="eastAsia" w:cs="Times New Roman"/>
          <w:color w:val="auto"/>
          <w:lang w:val="en-US" w:eastAsia="zh-CN"/>
        </w:rPr>
        <w:t>含量限值标准等开展排查整治。</w:t>
      </w:r>
      <w:r>
        <w:rPr>
          <w:rFonts w:hint="eastAsia" w:cs="Times New Roman"/>
          <w:color w:val="auto"/>
          <w:lang w:eastAsia="zh-CN"/>
        </w:rPr>
        <w:t>分析</w:t>
      </w:r>
      <w:r>
        <w:rPr>
          <w:rFonts w:hint="eastAsia" w:cs="Times New Roman"/>
          <w:color w:val="auto"/>
          <w:lang w:val="en-US" w:eastAsia="zh-CN"/>
        </w:rPr>
        <w:t>本项目</w:t>
      </w:r>
      <w:r>
        <w:rPr>
          <w:rFonts w:hint="eastAsia" w:cs="Times New Roman"/>
          <w:color w:val="auto"/>
          <w:lang w:eastAsia="zh-CN"/>
        </w:rPr>
        <w:t>相关</w:t>
      </w:r>
      <w:r>
        <w:rPr>
          <w:rFonts w:hint="eastAsia"/>
          <w:color w:val="auto"/>
          <w:lang w:eastAsia="zh-CN"/>
        </w:rPr>
        <w:t>符合性见表</w:t>
      </w: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4</w:t>
      </w:r>
      <w:r>
        <w:rPr>
          <w:rFonts w:hint="eastAsia"/>
          <w:color w:val="auto"/>
          <w:lang w:val="en-US" w:eastAsia="zh-CN"/>
        </w:rPr>
        <w:t>-</w:t>
      </w:r>
      <w:r>
        <w:rPr>
          <w:rFonts w:hint="eastAsia" w:ascii="Times New Roman" w:hAnsi="Times New Roman" w:cs="Times New Roman"/>
          <w:color w:val="auto"/>
          <w:lang w:val="en-US" w:eastAsia="zh-CN"/>
        </w:rPr>
        <w:t>8</w:t>
      </w:r>
      <w:r>
        <w:rPr>
          <w:rFonts w:hint="eastAsia"/>
          <w:color w:val="auto"/>
          <w:lang w:val="en-US" w:eastAsia="zh-CN"/>
        </w:rPr>
        <w:t>。</w:t>
      </w:r>
    </w:p>
    <w:p>
      <w:pPr>
        <w:pStyle w:val="20"/>
        <w:rPr>
          <w:rFonts w:hint="default"/>
          <w:color w:val="auto"/>
          <w:sz w:val="20"/>
          <w:szCs w:val="18"/>
          <w:lang w:val="en-US" w:eastAsia="zh-CN"/>
        </w:rPr>
      </w:pPr>
      <w:r>
        <w:rPr>
          <w:rFonts w:hint="eastAsia"/>
          <w:color w:val="auto"/>
          <w:sz w:val="20"/>
          <w:szCs w:val="18"/>
          <w:lang w:eastAsia="zh-CN"/>
        </w:rPr>
        <w:t>表</w:t>
      </w:r>
      <w:r>
        <w:rPr>
          <w:rFonts w:hint="eastAsia" w:ascii="Times New Roman" w:hAnsi="Times New Roman" w:cs="Times New Roman"/>
          <w:color w:val="auto"/>
          <w:sz w:val="20"/>
          <w:szCs w:val="18"/>
          <w:lang w:val="en-US" w:eastAsia="zh-CN"/>
        </w:rPr>
        <w:t>1</w:t>
      </w:r>
      <w:r>
        <w:rPr>
          <w:rFonts w:hint="eastAsia"/>
          <w:color w:val="auto"/>
          <w:sz w:val="20"/>
          <w:szCs w:val="18"/>
          <w:lang w:val="en-US" w:eastAsia="zh-CN"/>
        </w:rPr>
        <w:t>.</w:t>
      </w:r>
      <w:r>
        <w:rPr>
          <w:rFonts w:hint="eastAsia" w:ascii="Times New Roman" w:hAnsi="Times New Roman" w:cs="Times New Roman"/>
          <w:color w:val="auto"/>
          <w:sz w:val="20"/>
          <w:szCs w:val="18"/>
          <w:lang w:val="en-US" w:eastAsia="zh-CN"/>
        </w:rPr>
        <w:t>4</w:t>
      </w:r>
      <w:r>
        <w:rPr>
          <w:rFonts w:hint="eastAsia"/>
          <w:color w:val="auto"/>
          <w:sz w:val="20"/>
          <w:szCs w:val="18"/>
          <w:lang w:val="en-US" w:eastAsia="zh-CN"/>
        </w:rPr>
        <w:t>-</w:t>
      </w:r>
      <w:r>
        <w:rPr>
          <w:rFonts w:hint="eastAsia" w:ascii="Times New Roman" w:hAnsi="Times New Roman" w:cs="Times New Roman"/>
          <w:color w:val="auto"/>
          <w:sz w:val="20"/>
          <w:szCs w:val="18"/>
          <w:lang w:val="en-US" w:eastAsia="zh-CN"/>
        </w:rPr>
        <w:t>8</w:t>
      </w:r>
      <w:r>
        <w:rPr>
          <w:rFonts w:hint="eastAsia"/>
          <w:color w:val="auto"/>
          <w:sz w:val="20"/>
          <w:szCs w:val="18"/>
          <w:lang w:val="en-US" w:eastAsia="zh-CN"/>
        </w:rPr>
        <w:t xml:space="preserve">  项目与</w:t>
      </w:r>
      <w:r>
        <w:rPr>
          <w:rFonts w:hint="eastAsia"/>
          <w:color w:val="auto"/>
          <w:lang w:eastAsia="zh-CN"/>
        </w:rPr>
        <w:t>《关于加快解决当前挥发性有机物治理突出问题的通知》</w:t>
      </w:r>
      <w:r>
        <w:rPr>
          <w:rFonts w:hint="eastAsia"/>
          <w:color w:val="auto"/>
          <w:sz w:val="20"/>
          <w:szCs w:val="18"/>
          <w:lang w:val="en-US" w:eastAsia="zh-CN"/>
        </w:rPr>
        <w:t>符合性分析表</w:t>
      </w:r>
    </w:p>
    <w:tbl>
      <w:tblPr>
        <w:tblStyle w:val="80"/>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0"/>
        <w:gridCol w:w="5619"/>
        <w:gridCol w:w="2579"/>
        <w:gridCol w:w="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60" w:type="dxa"/>
            <w:vAlign w:val="center"/>
          </w:tcPr>
          <w:p>
            <w:pPr>
              <w:widowControl w:val="0"/>
              <w:wordWrap/>
              <w:adjustRightInd/>
              <w:snapToGrid/>
              <w:spacing w:line="240" w:lineRule="auto"/>
              <w:ind w:firstLine="0"/>
              <w:jc w:val="center"/>
              <w:textAlignment w:val="auto"/>
              <w:rPr>
                <w:color w:val="auto"/>
                <w:sz w:val="21"/>
                <w:szCs w:val="16"/>
              </w:rPr>
            </w:pPr>
            <w:r>
              <w:rPr>
                <w:color w:val="auto"/>
                <w:sz w:val="21"/>
                <w:szCs w:val="16"/>
              </w:rPr>
              <w:t>序号</w:t>
            </w:r>
          </w:p>
        </w:tc>
        <w:tc>
          <w:tcPr>
            <w:tcW w:w="5619" w:type="dxa"/>
            <w:vAlign w:val="center"/>
          </w:tcPr>
          <w:p>
            <w:pPr>
              <w:widowControl w:val="0"/>
              <w:wordWrap/>
              <w:adjustRightInd/>
              <w:snapToGrid/>
              <w:spacing w:line="240" w:lineRule="auto"/>
              <w:ind w:firstLine="0"/>
              <w:jc w:val="center"/>
              <w:textAlignment w:val="auto"/>
              <w:rPr>
                <w:color w:val="auto"/>
                <w:sz w:val="21"/>
                <w:szCs w:val="16"/>
              </w:rPr>
            </w:pPr>
            <w:r>
              <w:rPr>
                <w:rFonts w:hint="eastAsia"/>
                <w:color w:val="auto"/>
                <w:sz w:val="21"/>
                <w:szCs w:val="16"/>
                <w:lang w:eastAsia="zh-CN"/>
              </w:rPr>
              <w:t>存在问题及排查重点</w:t>
            </w:r>
          </w:p>
        </w:tc>
        <w:tc>
          <w:tcPr>
            <w:tcW w:w="2579" w:type="dxa"/>
            <w:vAlign w:val="center"/>
          </w:tcPr>
          <w:p>
            <w:pPr>
              <w:widowControl w:val="0"/>
              <w:wordWrap/>
              <w:adjustRightInd/>
              <w:snapToGrid/>
              <w:spacing w:line="240" w:lineRule="auto"/>
              <w:ind w:firstLine="0"/>
              <w:jc w:val="center"/>
              <w:textAlignment w:val="auto"/>
              <w:rPr>
                <w:color w:val="auto"/>
                <w:sz w:val="21"/>
                <w:szCs w:val="16"/>
              </w:rPr>
            </w:pPr>
            <w:r>
              <w:rPr>
                <w:color w:val="auto"/>
                <w:sz w:val="21"/>
                <w:szCs w:val="16"/>
              </w:rPr>
              <w:t>项目情况</w:t>
            </w:r>
          </w:p>
        </w:tc>
        <w:tc>
          <w:tcPr>
            <w:tcW w:w="516" w:type="dxa"/>
            <w:vAlign w:val="center"/>
          </w:tcPr>
          <w:p>
            <w:pPr>
              <w:widowControl w:val="0"/>
              <w:wordWrap/>
              <w:adjustRightInd/>
              <w:snapToGrid/>
              <w:spacing w:line="240" w:lineRule="auto"/>
              <w:ind w:firstLine="0"/>
              <w:jc w:val="center"/>
              <w:textAlignment w:val="auto"/>
              <w:rPr>
                <w:color w:val="auto"/>
                <w:sz w:val="21"/>
                <w:szCs w:val="16"/>
              </w:rPr>
            </w:pPr>
            <w:r>
              <w:rPr>
                <w:color w:val="auto"/>
                <w:sz w:val="21"/>
                <w:szCs w:val="16"/>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60" w:type="dxa"/>
            <w:vAlign w:val="center"/>
          </w:tcPr>
          <w:p>
            <w:pPr>
              <w:widowControl w:val="0"/>
              <w:wordWrap/>
              <w:adjustRightInd/>
              <w:snapToGrid/>
              <w:spacing w:line="240" w:lineRule="auto"/>
              <w:ind w:firstLine="0"/>
              <w:jc w:val="center"/>
              <w:textAlignment w:val="auto"/>
              <w:rPr>
                <w:rFonts w:hint="eastAsia" w:eastAsia="宋体"/>
                <w:color w:val="auto"/>
                <w:sz w:val="21"/>
                <w:szCs w:val="16"/>
                <w:lang w:val="en-US" w:eastAsia="zh-CN"/>
              </w:rPr>
            </w:pPr>
            <w:r>
              <w:rPr>
                <w:rFonts w:hint="eastAsia" w:ascii="Times New Roman" w:hAnsi="Times New Roman" w:cs="Times New Roman"/>
                <w:color w:val="auto"/>
                <w:sz w:val="21"/>
                <w:szCs w:val="16"/>
                <w:lang w:val="en-US" w:eastAsia="zh-CN"/>
              </w:rPr>
              <w:t>1</w:t>
            </w:r>
          </w:p>
        </w:tc>
        <w:tc>
          <w:tcPr>
            <w:tcW w:w="5619"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挥发性有机液体储罐：储罐和浮盘边缘密封选型不符合标准要求，呼吸阀泄漏排放突出，采样口和人孔等储罐附件、泡沫发生器、浮盘边缘密封及浮盘附件开口（孔）管理不到位，储罐呼吸气收集效率低下</w:t>
            </w:r>
          </w:p>
        </w:tc>
        <w:tc>
          <w:tcPr>
            <w:tcW w:w="2579"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本项目</w:t>
            </w:r>
            <w:r>
              <w:rPr>
                <w:rFonts w:hint="eastAsia"/>
                <w:color w:val="auto"/>
                <w:sz w:val="21"/>
                <w:szCs w:val="16"/>
                <w:lang w:val="en-US" w:eastAsia="zh-CN"/>
              </w:rPr>
              <w:t>各类</w:t>
            </w:r>
            <w:r>
              <w:rPr>
                <w:rFonts w:hint="eastAsia"/>
                <w:color w:val="auto"/>
                <w:sz w:val="21"/>
                <w:szCs w:val="16"/>
                <w:lang w:eastAsia="zh-CN"/>
              </w:rPr>
              <w:t>储罐选择符合标准要求的密封附件并加强管理</w:t>
            </w:r>
          </w:p>
        </w:tc>
        <w:tc>
          <w:tcPr>
            <w:tcW w:w="516"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60" w:type="dxa"/>
            <w:vAlign w:val="center"/>
          </w:tcPr>
          <w:p>
            <w:pPr>
              <w:widowControl w:val="0"/>
              <w:wordWrap/>
              <w:adjustRightInd/>
              <w:snapToGrid/>
              <w:spacing w:line="240" w:lineRule="auto"/>
              <w:ind w:firstLine="0"/>
              <w:jc w:val="center"/>
              <w:textAlignment w:val="auto"/>
              <w:rPr>
                <w:rFonts w:hint="eastAsia" w:eastAsia="宋体"/>
                <w:color w:val="auto"/>
                <w:sz w:val="21"/>
                <w:szCs w:val="16"/>
                <w:lang w:val="en-US" w:eastAsia="zh-CN"/>
              </w:rPr>
            </w:pPr>
            <w:r>
              <w:rPr>
                <w:rFonts w:hint="eastAsia" w:ascii="Times New Roman" w:hAnsi="Times New Roman" w:cs="Times New Roman"/>
                <w:color w:val="auto"/>
                <w:sz w:val="21"/>
                <w:szCs w:val="16"/>
                <w:lang w:val="en-US" w:eastAsia="zh-CN"/>
              </w:rPr>
              <w:t>2</w:t>
            </w:r>
          </w:p>
        </w:tc>
        <w:tc>
          <w:tcPr>
            <w:tcW w:w="5619" w:type="dxa"/>
            <w:vAlign w:val="center"/>
          </w:tcPr>
          <w:p>
            <w:pPr>
              <w:widowControl w:val="0"/>
              <w:wordWrap/>
              <w:adjustRightInd/>
              <w:snapToGrid/>
              <w:spacing w:line="240" w:lineRule="auto"/>
              <w:ind w:firstLine="0"/>
              <w:jc w:val="center"/>
              <w:textAlignment w:val="auto"/>
              <w:rPr>
                <w:rFonts w:hint="eastAsia"/>
                <w:color w:val="auto"/>
                <w:sz w:val="21"/>
                <w:szCs w:val="16"/>
                <w:lang w:eastAsia="zh-CN"/>
              </w:rPr>
            </w:pPr>
            <w:r>
              <w:rPr>
                <w:rFonts w:hint="eastAsia"/>
                <w:color w:val="auto"/>
                <w:sz w:val="21"/>
                <w:szCs w:val="16"/>
                <w:lang w:eastAsia="zh-CN"/>
              </w:rPr>
              <w:t>挥发性有机液体装卸：上装式装车废气收集效率低；装车废气多采用“冷凝</w:t>
            </w:r>
            <w:r>
              <w:rPr>
                <w:rFonts w:hint="eastAsia"/>
                <w:color w:val="auto"/>
                <w:sz w:val="21"/>
                <w:szCs w:val="16"/>
                <w:lang w:val="en-US" w:eastAsia="zh-CN"/>
              </w:rPr>
              <w:t>+吸附</w:t>
            </w:r>
            <w:r>
              <w:rPr>
                <w:rFonts w:hint="eastAsia"/>
                <w:color w:val="auto"/>
                <w:sz w:val="21"/>
                <w:szCs w:val="16"/>
                <w:lang w:eastAsia="zh-CN"/>
              </w:rPr>
              <w:t>”工艺处理，由于运行维护不到位，难以稳定达标排放；罐车、装车有机废气回收管线接口泄漏严重</w:t>
            </w:r>
          </w:p>
        </w:tc>
        <w:tc>
          <w:tcPr>
            <w:tcW w:w="2579"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val="en-US" w:eastAsia="zh-CN"/>
              </w:rPr>
              <w:t>本项目产品产量较小，不采用废气收集处理工艺，装载过程严加密闭并采用双鹤管维持气相平衡，减少废气排放</w:t>
            </w:r>
          </w:p>
        </w:tc>
        <w:tc>
          <w:tcPr>
            <w:tcW w:w="516"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60"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3</w:t>
            </w:r>
          </w:p>
        </w:tc>
        <w:tc>
          <w:tcPr>
            <w:tcW w:w="5619"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eastAsia="zh-CN"/>
              </w:rPr>
              <w:t>敞开液面逸散：含</w:t>
            </w:r>
            <w:r>
              <w:rPr>
                <w:rFonts w:hint="eastAsia" w:ascii="Times New Roman" w:hAnsi="Times New Roman" w:cs="Times New Roman"/>
                <w:color w:val="auto"/>
                <w:sz w:val="21"/>
                <w:szCs w:val="16"/>
                <w:lang w:val="en-US" w:eastAsia="zh-CN"/>
              </w:rPr>
              <w:t>VOCs</w:t>
            </w:r>
            <w:r>
              <w:rPr>
                <w:rFonts w:hint="eastAsia"/>
                <w:color w:val="auto"/>
                <w:sz w:val="21"/>
                <w:szCs w:val="16"/>
                <w:lang w:val="en-US" w:eastAsia="zh-CN"/>
              </w:rPr>
              <w:t>废水集输、储存和处理过程未按标准要求密闭或密闭不严，敞开液面逸散</w:t>
            </w:r>
            <w:r>
              <w:rPr>
                <w:rFonts w:hint="eastAsia" w:ascii="Times New Roman" w:hAnsi="Times New Roman" w:cs="Times New Roman"/>
                <w:color w:val="auto"/>
                <w:sz w:val="21"/>
                <w:szCs w:val="16"/>
                <w:lang w:val="en-US" w:eastAsia="zh-CN"/>
              </w:rPr>
              <w:t>VOCs</w:t>
            </w:r>
            <w:r>
              <w:rPr>
                <w:rFonts w:hint="eastAsia"/>
                <w:color w:val="auto"/>
                <w:sz w:val="21"/>
                <w:szCs w:val="16"/>
                <w:lang w:val="en-US" w:eastAsia="zh-CN"/>
              </w:rPr>
              <w:t>排放未得到有效收集；高、低浓度</w:t>
            </w:r>
            <w:r>
              <w:rPr>
                <w:rFonts w:hint="eastAsia" w:ascii="Times New Roman" w:hAnsi="Times New Roman" w:cs="Times New Roman"/>
                <w:color w:val="auto"/>
                <w:sz w:val="21"/>
                <w:szCs w:val="16"/>
                <w:lang w:val="en-US" w:eastAsia="zh-CN"/>
              </w:rPr>
              <w:t>VOCs</w:t>
            </w:r>
            <w:r>
              <w:rPr>
                <w:rFonts w:hint="eastAsia"/>
                <w:color w:val="auto"/>
                <w:sz w:val="21"/>
                <w:szCs w:val="16"/>
                <w:lang w:val="en-US" w:eastAsia="zh-CN"/>
              </w:rPr>
              <w:t>废气未分质收集；治理设施简易低效，无法实现稳定达标</w:t>
            </w:r>
          </w:p>
        </w:tc>
        <w:tc>
          <w:tcPr>
            <w:tcW w:w="2579" w:type="dxa"/>
            <w:vAlign w:val="center"/>
          </w:tcPr>
          <w:p>
            <w:pPr>
              <w:widowControl w:val="0"/>
              <w:wordWrap/>
              <w:adjustRightInd/>
              <w:snapToGrid/>
              <w:spacing w:line="240" w:lineRule="auto"/>
              <w:ind w:firstLine="0"/>
              <w:jc w:val="center"/>
              <w:textAlignment w:val="auto"/>
              <w:rPr>
                <w:rFonts w:hint="default" w:eastAsia="宋体"/>
                <w:color w:val="auto"/>
                <w:sz w:val="21"/>
                <w:szCs w:val="16"/>
                <w:lang w:val="en-US" w:eastAsia="zh-CN"/>
              </w:rPr>
            </w:pPr>
            <w:r>
              <w:rPr>
                <w:rFonts w:hint="eastAsia"/>
                <w:color w:val="auto"/>
                <w:sz w:val="21"/>
                <w:szCs w:val="16"/>
                <w:lang w:val="en-US" w:eastAsia="zh-CN"/>
              </w:rPr>
              <w:t>本项目生产工艺装置整体密闭，</w:t>
            </w:r>
            <w:r>
              <w:rPr>
                <w:rFonts w:hint="eastAsia" w:cs="Times New Roman"/>
                <w:color w:val="auto"/>
                <w:sz w:val="21"/>
                <w:szCs w:val="16"/>
                <w:lang w:val="en-US" w:eastAsia="zh-CN"/>
              </w:rPr>
              <w:t>少量不凝气采用冷凝+水吸收+酸吸收处理，可实现稳定达标排放</w:t>
            </w:r>
          </w:p>
        </w:tc>
        <w:tc>
          <w:tcPr>
            <w:tcW w:w="516"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60"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4</w:t>
            </w:r>
          </w:p>
        </w:tc>
        <w:tc>
          <w:tcPr>
            <w:tcW w:w="5619"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eastAsia="zh-CN"/>
              </w:rPr>
              <w:t>废气收集设施：敞开式生产未配备收集设施，未对</w:t>
            </w:r>
            <w:r>
              <w:rPr>
                <w:rFonts w:hint="eastAsia" w:ascii="Times New Roman" w:hAnsi="Times New Roman" w:cs="Times New Roman"/>
                <w:color w:val="auto"/>
                <w:sz w:val="21"/>
                <w:szCs w:val="16"/>
                <w:lang w:val="en-US" w:eastAsia="zh-CN"/>
              </w:rPr>
              <w:t>VOCs</w:t>
            </w:r>
            <w:r>
              <w:rPr>
                <w:rFonts w:hint="eastAsia"/>
                <w:color w:val="auto"/>
                <w:sz w:val="21"/>
                <w:szCs w:val="16"/>
                <w:lang w:val="en-US" w:eastAsia="zh-CN"/>
              </w:rPr>
              <w:t>废气进行分质收集，废气收集系统排风罩（集气罩）控制风速达不到标准要求，废气收集系统输送管道破损、泄漏严重，生产设备密闭不严等</w:t>
            </w:r>
          </w:p>
        </w:tc>
        <w:tc>
          <w:tcPr>
            <w:tcW w:w="2579" w:type="dxa"/>
            <w:vAlign w:val="center"/>
          </w:tcPr>
          <w:p>
            <w:pPr>
              <w:widowControl w:val="0"/>
              <w:wordWrap/>
              <w:adjustRightInd/>
              <w:snapToGrid/>
              <w:spacing w:line="240" w:lineRule="auto"/>
              <w:ind w:firstLine="0"/>
              <w:jc w:val="center"/>
              <w:textAlignment w:val="auto"/>
              <w:rPr>
                <w:rFonts w:hint="default" w:eastAsia="宋体"/>
                <w:color w:val="auto"/>
                <w:sz w:val="21"/>
                <w:szCs w:val="16"/>
                <w:lang w:val="en-US" w:eastAsia="zh-CN"/>
              </w:rPr>
            </w:pPr>
            <w:r>
              <w:rPr>
                <w:rFonts w:hint="eastAsia"/>
                <w:color w:val="auto"/>
                <w:sz w:val="21"/>
                <w:szCs w:val="16"/>
                <w:lang w:val="en-US" w:eastAsia="zh-CN"/>
              </w:rPr>
              <w:t>本项目装置整体密闭，设置废气收集系统并将加强维护</w:t>
            </w:r>
          </w:p>
        </w:tc>
        <w:tc>
          <w:tcPr>
            <w:tcW w:w="516"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60"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5</w:t>
            </w:r>
          </w:p>
        </w:tc>
        <w:tc>
          <w:tcPr>
            <w:tcW w:w="5619" w:type="dxa"/>
            <w:vAlign w:val="center"/>
          </w:tcPr>
          <w:p>
            <w:pPr>
              <w:widowControl w:val="0"/>
              <w:wordWrap/>
              <w:adjustRightInd/>
              <w:snapToGrid/>
              <w:spacing w:line="240" w:lineRule="auto"/>
              <w:ind w:firstLine="0"/>
              <w:jc w:val="center"/>
              <w:textAlignment w:val="auto"/>
              <w:rPr>
                <w:rFonts w:hint="eastAsia"/>
                <w:color w:val="auto"/>
                <w:sz w:val="21"/>
                <w:szCs w:val="16"/>
                <w:lang w:eastAsia="zh-CN"/>
              </w:rPr>
            </w:pPr>
            <w:r>
              <w:rPr>
                <w:rFonts w:hint="eastAsia"/>
                <w:color w:val="auto"/>
                <w:sz w:val="21"/>
                <w:szCs w:val="16"/>
                <w:lang w:eastAsia="zh-CN"/>
              </w:rPr>
              <w:t>有机废气治理设施：治理设施设计不规范、与生产系统不匹配；光催化、光氧化、低温等离子等低效技术使用占比大、治理效果差；治理设施建设质量良莠不齐，应付治理、无效治理现象突出；治理设施运行不规范，定期维护不到位</w:t>
            </w:r>
          </w:p>
        </w:tc>
        <w:tc>
          <w:tcPr>
            <w:tcW w:w="2579"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本项目有组织废气采用酸吸收</w:t>
            </w:r>
            <w:r>
              <w:rPr>
                <w:rFonts w:hint="eastAsia"/>
                <w:color w:val="auto"/>
                <w:sz w:val="21"/>
                <w:szCs w:val="16"/>
                <w:lang w:val="en-US" w:eastAsia="zh-CN"/>
              </w:rPr>
              <w:t>+水吸收处理工艺，属于高效的处理工艺</w:t>
            </w:r>
          </w:p>
        </w:tc>
        <w:tc>
          <w:tcPr>
            <w:tcW w:w="516"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60"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6</w:t>
            </w:r>
          </w:p>
        </w:tc>
        <w:tc>
          <w:tcPr>
            <w:tcW w:w="5619"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eastAsia="zh-CN"/>
              </w:rPr>
              <w:t>非正常工况：开停工、检维修、设备调试、生产异常等非正常工况</w:t>
            </w:r>
            <w:r>
              <w:rPr>
                <w:rFonts w:hint="eastAsia" w:ascii="Times New Roman" w:hAnsi="Times New Roman" w:cs="Times New Roman"/>
                <w:color w:val="auto"/>
                <w:sz w:val="21"/>
                <w:szCs w:val="16"/>
                <w:lang w:val="en-US" w:eastAsia="zh-CN"/>
              </w:rPr>
              <w:t>VOCs</w:t>
            </w:r>
            <w:r>
              <w:rPr>
                <w:rFonts w:hint="eastAsia"/>
                <w:color w:val="auto"/>
                <w:sz w:val="21"/>
                <w:szCs w:val="16"/>
                <w:lang w:val="en-US" w:eastAsia="zh-CN"/>
              </w:rPr>
              <w:t>管控不到位；部分企业清洗、退料、吹扫、放空、晾干等环节敞开式作用，</w:t>
            </w:r>
            <w:r>
              <w:rPr>
                <w:rFonts w:hint="eastAsia" w:ascii="Times New Roman" w:hAnsi="Times New Roman" w:cs="Times New Roman"/>
                <w:color w:val="auto"/>
                <w:sz w:val="21"/>
                <w:szCs w:val="16"/>
                <w:lang w:val="en-US" w:eastAsia="zh-CN"/>
              </w:rPr>
              <w:t>VOCs</w:t>
            </w:r>
            <w:r>
              <w:rPr>
                <w:rFonts w:hint="eastAsia"/>
                <w:color w:val="auto"/>
                <w:sz w:val="21"/>
                <w:szCs w:val="16"/>
                <w:lang w:val="en-US" w:eastAsia="zh-CN"/>
              </w:rPr>
              <w:t>直排</w:t>
            </w:r>
          </w:p>
        </w:tc>
        <w:tc>
          <w:tcPr>
            <w:tcW w:w="2579" w:type="dxa"/>
            <w:vAlign w:val="center"/>
          </w:tcPr>
          <w:p>
            <w:pPr>
              <w:widowControl w:val="0"/>
              <w:wordWrap/>
              <w:adjustRightInd/>
              <w:snapToGrid/>
              <w:spacing w:line="240" w:lineRule="auto"/>
              <w:ind w:firstLine="0"/>
              <w:jc w:val="center"/>
              <w:textAlignment w:val="auto"/>
              <w:rPr>
                <w:rFonts w:hint="default" w:eastAsia="宋体"/>
                <w:color w:val="auto"/>
                <w:sz w:val="21"/>
                <w:szCs w:val="16"/>
                <w:lang w:val="en-US" w:eastAsia="zh-CN"/>
              </w:rPr>
            </w:pPr>
            <w:r>
              <w:rPr>
                <w:rFonts w:hint="eastAsia"/>
                <w:color w:val="auto"/>
                <w:sz w:val="21"/>
                <w:szCs w:val="16"/>
                <w:lang w:eastAsia="zh-CN"/>
              </w:rPr>
              <w:t>严格按照停工检修规程进行操作，不涉及</w:t>
            </w:r>
            <w:r>
              <w:rPr>
                <w:rFonts w:hint="eastAsia" w:ascii="Times New Roman" w:hAnsi="Times New Roman"/>
                <w:color w:val="auto"/>
                <w:sz w:val="21"/>
                <w:szCs w:val="16"/>
                <w:lang w:val="en-US" w:eastAsia="zh-CN"/>
              </w:rPr>
              <w:t>VOCs</w:t>
            </w:r>
            <w:r>
              <w:rPr>
                <w:rFonts w:hint="eastAsia"/>
                <w:color w:val="auto"/>
                <w:sz w:val="21"/>
                <w:szCs w:val="16"/>
                <w:lang w:val="en-US" w:eastAsia="zh-CN"/>
              </w:rPr>
              <w:t>直排</w:t>
            </w:r>
          </w:p>
        </w:tc>
        <w:tc>
          <w:tcPr>
            <w:tcW w:w="516" w:type="dxa"/>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符合</w:t>
            </w:r>
          </w:p>
        </w:tc>
      </w:tr>
    </w:tbl>
    <w:p>
      <w:pPr>
        <w:bidi w:val="0"/>
        <w:rPr>
          <w:rFonts w:hint="eastAsia"/>
          <w:lang w:val="en-US" w:eastAsia="zh-CN"/>
        </w:rPr>
      </w:pPr>
      <w:r>
        <w:rPr>
          <w:rFonts w:hint="eastAsia" w:cs="Times New Roman"/>
          <w:color w:val="auto"/>
          <w:lang w:val="en-US" w:eastAsia="zh-CN"/>
        </w:rPr>
        <w:t>本项目生产装置整体密闭，</w:t>
      </w:r>
      <w:r>
        <w:rPr>
          <w:rFonts w:hint="eastAsia"/>
          <w:color w:val="auto"/>
          <w:lang w:val="en-US" w:eastAsia="zh-CN"/>
        </w:rPr>
        <w:t>生产过程采用加强维护管理，不凝尾气采用尾气吸收塔进行处理后达标排放。对产品储罐采用双鹤管维持装车时的气相平衡。以上措施均属于成熟有效的治理措施，可有效减少</w:t>
      </w:r>
      <w:r>
        <w:rPr>
          <w:rFonts w:hint="eastAsia" w:ascii="Times New Roman" w:hAnsi="Times New Roman"/>
          <w:color w:val="auto"/>
          <w:lang w:val="en-US" w:eastAsia="zh-CN"/>
        </w:rPr>
        <w:t>VOCs</w:t>
      </w:r>
      <w:r>
        <w:rPr>
          <w:rFonts w:hint="eastAsia"/>
          <w:color w:val="auto"/>
          <w:lang w:val="en-US" w:eastAsia="zh-CN"/>
        </w:rPr>
        <w:t>排放，符合《</w:t>
      </w:r>
      <w:r>
        <w:rPr>
          <w:rFonts w:hint="eastAsia"/>
          <w:color w:val="auto"/>
          <w:lang w:eastAsia="zh-CN"/>
        </w:rPr>
        <w:t>关于加快解决当前挥发性有机物治理突出问题的通知</w:t>
      </w:r>
      <w:r>
        <w:rPr>
          <w:rFonts w:hint="eastAsia"/>
          <w:color w:val="auto"/>
          <w:lang w:val="en-US" w:eastAsia="zh-CN"/>
        </w:rPr>
        <w:t>》相关要求。</w:t>
      </w:r>
    </w:p>
    <w:p>
      <w:pPr>
        <w:rPr>
          <w:rFonts w:hint="eastAsia"/>
          <w:color w:val="auto"/>
          <w:lang w:val="en-US" w:eastAsia="zh-CN"/>
        </w:rPr>
      </w:pPr>
      <w:r>
        <w:rPr>
          <w:rFonts w:hint="eastAsia"/>
          <w:color w:val="auto"/>
          <w:lang w:val="en-US" w:eastAsia="zh-CN"/>
        </w:rPr>
        <w:t>（</w:t>
      </w:r>
      <w:r>
        <w:rPr>
          <w:rFonts w:hint="eastAsia" w:ascii="Times New Roman" w:hAnsi="Times New Roman" w:cs="Times New Roman"/>
          <w:color w:val="auto"/>
          <w:lang w:val="en-US" w:eastAsia="zh-CN"/>
        </w:rPr>
        <w:t>9</w:t>
      </w:r>
      <w:r>
        <w:rPr>
          <w:rFonts w:hint="eastAsia"/>
          <w:color w:val="auto"/>
          <w:lang w:val="en-US" w:eastAsia="zh-CN"/>
        </w:rPr>
        <w:t>）与《石化建设项目环境影响评价文件审批原则》符合性</w:t>
      </w:r>
    </w:p>
    <w:p>
      <w:pPr>
        <w:rPr>
          <w:rFonts w:hint="eastAsia"/>
          <w:color w:val="auto"/>
        </w:rPr>
      </w:pPr>
      <w:r>
        <w:rPr>
          <w:rFonts w:hint="eastAsia" w:ascii="Times New Roman" w:hAnsi="Times New Roman"/>
          <w:color w:val="auto"/>
          <w:lang w:val="en-US" w:eastAsia="zh-CN"/>
        </w:rPr>
        <w:t>本项目与</w:t>
      </w:r>
      <w:r>
        <w:rPr>
          <w:rFonts w:hint="eastAsia"/>
          <w:color w:val="auto"/>
          <w:lang w:val="en-US" w:eastAsia="zh-CN"/>
        </w:rPr>
        <w:t>《石化建设项目环境影响评价审批原则》</w:t>
      </w:r>
      <w:r>
        <w:rPr>
          <w:rFonts w:hint="eastAsia"/>
          <w:color w:val="auto"/>
          <w:lang w:eastAsia="zh-CN"/>
        </w:rPr>
        <w:t>的</w:t>
      </w:r>
      <w:r>
        <w:rPr>
          <w:rFonts w:hint="eastAsia"/>
          <w:color w:val="auto"/>
        </w:rPr>
        <w:t>符合性分析见表</w:t>
      </w:r>
      <w:r>
        <w:rPr>
          <w:rFonts w:hint="eastAsia" w:ascii="Times New Roman" w:hAnsi="Times New Roman" w:cs="Times New Roman"/>
          <w:color w:val="auto"/>
        </w:rPr>
        <w:t>1</w:t>
      </w:r>
      <w:r>
        <w:rPr>
          <w:rFonts w:hint="eastAsia"/>
          <w:color w:val="auto"/>
        </w:rPr>
        <w:t>.</w:t>
      </w:r>
      <w:r>
        <w:rPr>
          <w:rFonts w:hint="eastAsia" w:ascii="Times New Roman" w:hAnsi="Times New Roman" w:cs="Times New Roman"/>
          <w:color w:val="auto"/>
          <w:lang w:val="en-US" w:eastAsia="zh-CN"/>
        </w:rPr>
        <w:t>4</w:t>
      </w:r>
      <w:r>
        <w:rPr>
          <w:rFonts w:hint="eastAsia"/>
          <w:color w:val="auto"/>
        </w:rPr>
        <w:t>-</w:t>
      </w:r>
      <w:r>
        <w:rPr>
          <w:rFonts w:hint="eastAsia" w:ascii="Times New Roman" w:hAnsi="Times New Roman" w:cs="Times New Roman"/>
          <w:color w:val="auto"/>
          <w:lang w:val="en-US" w:eastAsia="zh-CN"/>
        </w:rPr>
        <w:t>9</w:t>
      </w:r>
      <w:r>
        <w:rPr>
          <w:rFonts w:hint="eastAsia"/>
          <w:color w:val="auto"/>
        </w:rPr>
        <w:t>。</w:t>
      </w:r>
    </w:p>
    <w:p>
      <w:pPr>
        <w:pStyle w:val="20"/>
        <w:rPr>
          <w:rFonts w:hint="eastAsia"/>
          <w:color w:val="auto"/>
          <w:lang w:eastAsia="zh-CN"/>
        </w:rPr>
      </w:pPr>
      <w:r>
        <w:rPr>
          <w:rFonts w:hint="eastAsia"/>
          <w:color w:val="auto"/>
        </w:rPr>
        <w:t>表</w:t>
      </w:r>
      <w:r>
        <w:rPr>
          <w:rFonts w:hint="eastAsia" w:ascii="Times New Roman" w:hAnsi="Times New Roman" w:cs="Times New Roman"/>
          <w:color w:val="auto"/>
        </w:rPr>
        <w:t>1</w:t>
      </w:r>
      <w:r>
        <w:rPr>
          <w:rFonts w:hint="eastAsia"/>
          <w:color w:val="auto"/>
        </w:rPr>
        <w:t>.</w:t>
      </w:r>
      <w:r>
        <w:rPr>
          <w:rFonts w:hint="eastAsia" w:ascii="Times New Roman" w:hAnsi="Times New Roman" w:cs="Times New Roman"/>
          <w:color w:val="auto"/>
          <w:lang w:val="en-US" w:eastAsia="zh-CN"/>
        </w:rPr>
        <w:t>4</w:t>
      </w:r>
      <w:r>
        <w:rPr>
          <w:rFonts w:hint="eastAsia"/>
          <w:color w:val="auto"/>
        </w:rPr>
        <w:t>-</w:t>
      </w:r>
      <w:r>
        <w:rPr>
          <w:rFonts w:hint="eastAsia" w:ascii="Times New Roman" w:hAnsi="Times New Roman" w:cs="Times New Roman"/>
          <w:color w:val="auto"/>
          <w:lang w:val="en-US" w:eastAsia="zh-CN"/>
        </w:rPr>
        <w:t>9</w:t>
      </w:r>
      <w:r>
        <w:rPr>
          <w:rFonts w:hint="eastAsia"/>
          <w:color w:val="auto"/>
          <w:lang w:val="en-US" w:eastAsia="zh-CN"/>
        </w:rPr>
        <w:t xml:space="preserve">  本项目与</w:t>
      </w:r>
      <w:r>
        <w:rPr>
          <w:rFonts w:hint="eastAsia"/>
          <w:color w:val="auto"/>
          <w:lang w:eastAsia="zh-CN"/>
        </w:rPr>
        <w:t>《石化建设项目环境影响评价文件审批原则》</w:t>
      </w:r>
      <w:r>
        <w:rPr>
          <w:rFonts w:hint="eastAsia"/>
          <w:color w:val="auto"/>
        </w:rPr>
        <w:t>相符性分析</w:t>
      </w:r>
      <w:r>
        <w:rPr>
          <w:rFonts w:hint="eastAsia"/>
          <w:color w:val="auto"/>
          <w:lang w:eastAsia="zh-CN"/>
        </w:rPr>
        <w:t>一览表</w:t>
      </w:r>
    </w:p>
    <w:tbl>
      <w:tblPr>
        <w:tblStyle w:val="80"/>
        <w:tblW w:w="9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2"/>
        <w:gridCol w:w="6179"/>
        <w:gridCol w:w="1683"/>
        <w:gridCol w:w="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widowControl w:val="0"/>
              <w:wordWrap/>
              <w:adjustRightInd/>
              <w:snapToGrid/>
              <w:spacing w:line="240" w:lineRule="auto"/>
              <w:ind w:left="-120" w:leftChars="-50" w:right="-120" w:rightChars="-50" w:firstLine="0"/>
              <w:jc w:val="center"/>
              <w:textAlignment w:val="auto"/>
              <w:rPr>
                <w:color w:val="auto"/>
                <w:spacing w:val="-11"/>
                <w:sz w:val="21"/>
                <w:szCs w:val="21"/>
              </w:rPr>
            </w:pPr>
            <w:r>
              <w:rPr>
                <w:rFonts w:hAnsi="宋体"/>
                <w:color w:val="auto"/>
                <w:spacing w:val="-11"/>
                <w:sz w:val="21"/>
                <w:szCs w:val="21"/>
              </w:rPr>
              <w:t>序号</w:t>
            </w:r>
          </w:p>
        </w:tc>
        <w:tc>
          <w:tcPr>
            <w:tcW w:w="6179" w:type="dxa"/>
            <w:vAlign w:val="center"/>
          </w:tcPr>
          <w:p>
            <w:pPr>
              <w:widowControl w:val="0"/>
              <w:wordWrap/>
              <w:adjustRightInd/>
              <w:snapToGrid/>
              <w:spacing w:line="240" w:lineRule="auto"/>
              <w:ind w:left="-120" w:leftChars="-50" w:right="-120" w:rightChars="-50" w:firstLine="0"/>
              <w:jc w:val="center"/>
              <w:textAlignment w:val="auto"/>
              <w:rPr>
                <w:color w:val="auto"/>
                <w:spacing w:val="-11"/>
                <w:sz w:val="21"/>
                <w:szCs w:val="21"/>
              </w:rPr>
            </w:pPr>
            <w:r>
              <w:rPr>
                <w:rFonts w:hAnsi="宋体"/>
                <w:color w:val="auto"/>
                <w:spacing w:val="-11"/>
                <w:sz w:val="21"/>
                <w:szCs w:val="21"/>
              </w:rPr>
              <w:t>环境管理政策有关要求</w:t>
            </w:r>
          </w:p>
        </w:tc>
        <w:tc>
          <w:tcPr>
            <w:tcW w:w="1683" w:type="dxa"/>
            <w:vAlign w:val="center"/>
          </w:tcPr>
          <w:p>
            <w:pPr>
              <w:widowControl w:val="0"/>
              <w:wordWrap/>
              <w:adjustRightInd/>
              <w:snapToGrid/>
              <w:spacing w:line="240" w:lineRule="auto"/>
              <w:ind w:left="-120" w:leftChars="-50" w:right="-120" w:rightChars="-50" w:firstLine="0"/>
              <w:jc w:val="center"/>
              <w:textAlignment w:val="auto"/>
              <w:rPr>
                <w:color w:val="auto"/>
                <w:spacing w:val="-11"/>
                <w:sz w:val="21"/>
                <w:szCs w:val="21"/>
              </w:rPr>
            </w:pPr>
            <w:r>
              <w:rPr>
                <w:rFonts w:hAnsi="宋体"/>
                <w:color w:val="auto"/>
                <w:spacing w:val="-11"/>
                <w:sz w:val="21"/>
                <w:szCs w:val="21"/>
              </w:rPr>
              <w:t>本项目情况</w:t>
            </w:r>
          </w:p>
        </w:tc>
        <w:tc>
          <w:tcPr>
            <w:tcW w:w="800" w:type="dxa"/>
            <w:vAlign w:val="center"/>
          </w:tcPr>
          <w:p>
            <w:pPr>
              <w:widowControl w:val="0"/>
              <w:wordWrap/>
              <w:adjustRightInd/>
              <w:snapToGrid/>
              <w:spacing w:line="240" w:lineRule="auto"/>
              <w:ind w:left="-120" w:leftChars="-50" w:right="-120" w:rightChars="-50" w:firstLine="0"/>
              <w:jc w:val="center"/>
              <w:textAlignment w:val="auto"/>
              <w:rPr>
                <w:color w:val="auto"/>
                <w:spacing w:val="-11"/>
                <w:sz w:val="21"/>
                <w:szCs w:val="21"/>
              </w:rPr>
            </w:pPr>
            <w:r>
              <w:rPr>
                <w:rFonts w:hAnsi="宋体"/>
                <w:color w:val="auto"/>
                <w:spacing w:val="-11"/>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eastAsia="宋体"/>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1</w:t>
            </w:r>
          </w:p>
        </w:tc>
        <w:tc>
          <w:tcPr>
            <w:tcW w:w="6179" w:type="dxa"/>
            <w:vAlign w:val="center"/>
          </w:tcPr>
          <w:p>
            <w:pPr>
              <w:spacing w:line="240" w:lineRule="auto"/>
              <w:ind w:firstLine="0"/>
              <w:jc w:val="center"/>
              <w:rPr>
                <w:rFonts w:hint="default" w:eastAsia="宋体"/>
                <w:color w:val="auto"/>
                <w:spacing w:val="-11"/>
                <w:sz w:val="21"/>
                <w:szCs w:val="21"/>
                <w:lang w:val="en-US" w:eastAsia="zh-CN"/>
              </w:rPr>
            </w:pPr>
            <w:r>
              <w:rPr>
                <w:rFonts w:hint="eastAsia"/>
                <w:color w:val="auto"/>
                <w:spacing w:val="-11"/>
                <w:sz w:val="21"/>
                <w:szCs w:val="21"/>
                <w:lang w:val="en-US" w:eastAsia="zh-CN"/>
              </w:rPr>
              <w:t>项目应符合生态环境保护相关法律法规、法定规划以及相关产业结构调整、区域及行业碳达峰中和目标、煤炭消费总量控制、重点污染物排放总量控制等政策要求</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符合产业政策，按照相关要求进行</w:t>
            </w:r>
          </w:p>
        </w:tc>
        <w:tc>
          <w:tcPr>
            <w:tcW w:w="800" w:type="dxa"/>
            <w:vAlign w:val="center"/>
          </w:tcPr>
          <w:p>
            <w:pPr>
              <w:spacing w:line="240" w:lineRule="auto"/>
              <w:ind w:firstLine="0"/>
              <w:jc w:val="center"/>
              <w:rPr>
                <w:color w:val="auto"/>
                <w:spacing w:val="-11"/>
                <w:sz w:val="21"/>
                <w:szCs w:val="21"/>
              </w:rPr>
            </w:pPr>
            <w:r>
              <w:rPr>
                <w:rFonts w:hAnsi="宋体"/>
                <w:color w:val="auto"/>
                <w:spacing w:val="-11"/>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2</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项目选址应符合生态环境分区管控要求。新建、扩建建设项目应布设在依法合规设立的产业园区，并符合园区规划及规划环境影响评价要求</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符合生态环境分区管控要求并位于园区</w:t>
            </w:r>
          </w:p>
        </w:tc>
        <w:tc>
          <w:tcPr>
            <w:tcW w:w="800" w:type="dxa"/>
            <w:vAlign w:val="center"/>
          </w:tcPr>
          <w:p>
            <w:pPr>
              <w:spacing w:line="240" w:lineRule="auto"/>
              <w:ind w:firstLine="0"/>
              <w:jc w:val="center"/>
              <w:rPr>
                <w:rFonts w:hint="eastAsia" w:hAnsi="宋体" w:eastAsia="宋体"/>
                <w:color w:val="auto"/>
                <w:spacing w:val="-11"/>
                <w:sz w:val="21"/>
                <w:szCs w:val="21"/>
                <w:lang w:eastAsia="zh-CN"/>
              </w:rPr>
            </w:pPr>
            <w:r>
              <w:rPr>
                <w:rFonts w:hint="eastAsia"/>
                <w:color w:val="auto"/>
                <w:spacing w:val="-11"/>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3</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新建、扩建项目应采用先进适用的工艺技术和装备，单位产品物耗、能耗、水耗、污染物排放量和资源综合利用等应达到行业先进水平。鼓励适用绿色原料、工艺及产品，适用清洁燃料、绿电、绿氢。鼓励实施循环经济，统筹利用园区内上下游资源。强化节水措施，减少新鲜水用量</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本项目单位物耗、能耗、水耗均可达到行业先进水平</w:t>
            </w:r>
          </w:p>
        </w:tc>
        <w:tc>
          <w:tcPr>
            <w:tcW w:w="800" w:type="dxa"/>
            <w:vAlign w:val="center"/>
          </w:tcPr>
          <w:p>
            <w:pPr>
              <w:spacing w:line="240" w:lineRule="auto"/>
              <w:ind w:firstLine="0" w:firstLineChars="0"/>
              <w:jc w:val="center"/>
              <w:rPr>
                <w:rFonts w:ascii="宋体" w:hAnsi="宋体" w:eastAsia="宋体" w:cs="Times New Roman"/>
                <w:color w:val="auto"/>
                <w:spacing w:val="-11"/>
                <w:sz w:val="21"/>
                <w:szCs w:val="21"/>
                <w:lang w:val="en-US" w:eastAsia="zh-CN" w:bidi="ar-SA"/>
              </w:rPr>
            </w:pPr>
            <w:r>
              <w:rPr>
                <w:rFonts w:hAnsi="宋体"/>
                <w:color w:val="auto"/>
                <w:spacing w:val="-11"/>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4</w:t>
            </w:r>
          </w:p>
        </w:tc>
        <w:tc>
          <w:tcPr>
            <w:tcW w:w="6179" w:type="dxa"/>
            <w:vAlign w:val="center"/>
          </w:tcPr>
          <w:p>
            <w:pPr>
              <w:spacing w:line="240" w:lineRule="auto"/>
              <w:ind w:firstLine="0"/>
              <w:jc w:val="center"/>
              <w:rPr>
                <w:rFonts w:hint="default"/>
                <w:color w:val="auto"/>
                <w:spacing w:val="-11"/>
                <w:sz w:val="21"/>
                <w:szCs w:val="21"/>
                <w:lang w:val="en-US" w:eastAsia="zh-CN"/>
              </w:rPr>
            </w:pPr>
            <w:r>
              <w:rPr>
                <w:rFonts w:hint="eastAsia"/>
                <w:color w:val="auto"/>
                <w:spacing w:val="-11"/>
                <w:sz w:val="21"/>
                <w:szCs w:val="21"/>
                <w:lang w:val="en-US" w:eastAsia="zh-CN"/>
              </w:rPr>
              <w:t>项目优先采用园区集中供热供汽，鼓励适用可再生能源，原则上不得配备燃煤自备电厂，不设或少设自备锅炉。有组织工艺废气应采取有效治理措施，减少污染物排放；原则上不得设置废气旁路，确需保留的应急类旁路，应安装流量计等自动监测设备.上下游装置间宜通过管道直接输送，减少中间储罐；通过优化设备、储罐选型，加强源头、过程、末端全流程管控，减少污染物无组织排放；挥发性有机液体装载优先采用底部装载，采用顶部浸没式装载的应采取高效密封方式；废水预处理、污泥储存处置等环节密闭化；有机废气应收尽收，鼓励污水均质罐、污油罐、浮渣罐及酸性水罐有机废气收集处理；依据废气特征、挥发性有机物组分及浓度、生产工况等合理选择治理技术，高、低浓度有机废气分质收集处理，高浓度有机废气宜单独收集治理，优先回收利用，无法回收利用的采用预处理+催化氧化、焚烧等高效处理工艺，除单一恶臭异味治理外，一般不单独使用低温等离子、光催化、光氧化等技术；明确设备泄漏检测与修复（</w:t>
            </w:r>
            <w:r>
              <w:rPr>
                <w:rFonts w:hint="eastAsia" w:ascii="Times New Roman" w:hAnsi="Times New Roman" w:cs="Times New Roman"/>
                <w:color w:val="auto"/>
                <w:spacing w:val="-11"/>
                <w:sz w:val="21"/>
                <w:szCs w:val="21"/>
                <w:lang w:val="en-US" w:eastAsia="zh-CN"/>
              </w:rPr>
              <w:t>LDAR</w:t>
            </w:r>
            <w:r>
              <w:rPr>
                <w:rFonts w:hint="eastAsia"/>
                <w:color w:val="auto"/>
                <w:spacing w:val="-11"/>
                <w:sz w:val="21"/>
                <w:szCs w:val="21"/>
                <w:lang w:val="en-US" w:eastAsia="zh-CN"/>
              </w:rPr>
              <w:t>）制度。非正常工况排气应收集处理，优先回收利用。其他污染物排放及控制应符合《石油化学工业污染物排放标准》（</w:t>
            </w:r>
            <w:r>
              <w:rPr>
                <w:rFonts w:hint="eastAsia" w:ascii="Times New Roman" w:hAnsi="Times New Roman" w:cs="Times New Roman"/>
                <w:color w:val="auto"/>
                <w:spacing w:val="-11"/>
                <w:sz w:val="21"/>
                <w:szCs w:val="21"/>
                <w:lang w:val="en-US" w:eastAsia="zh-CN"/>
              </w:rPr>
              <w:t>GB31571</w:t>
            </w:r>
            <w:r>
              <w:rPr>
                <w:rFonts w:hint="eastAsia"/>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2015</w:t>
            </w:r>
            <w:r>
              <w:rPr>
                <w:rFonts w:hint="eastAsia"/>
                <w:color w:val="auto"/>
                <w:spacing w:val="-11"/>
                <w:sz w:val="21"/>
                <w:szCs w:val="21"/>
                <w:lang w:val="en-US" w:eastAsia="zh-CN"/>
              </w:rPr>
              <w:t>）、《合成树脂工业污染物排放标准》（</w:t>
            </w:r>
            <w:r>
              <w:rPr>
                <w:rFonts w:hint="eastAsia" w:ascii="Times New Roman" w:hAnsi="Times New Roman" w:cs="Times New Roman"/>
                <w:color w:val="auto"/>
                <w:spacing w:val="-11"/>
                <w:sz w:val="21"/>
                <w:szCs w:val="21"/>
                <w:lang w:val="en-US" w:eastAsia="zh-CN"/>
              </w:rPr>
              <w:t>GB31572</w:t>
            </w:r>
            <w:r>
              <w:rPr>
                <w:rFonts w:hint="eastAsia"/>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2015</w:t>
            </w:r>
            <w:r>
              <w:rPr>
                <w:rFonts w:hint="eastAsia"/>
                <w:color w:val="auto"/>
                <w:spacing w:val="-11"/>
                <w:sz w:val="21"/>
                <w:szCs w:val="21"/>
                <w:lang w:val="en-US" w:eastAsia="zh-CN"/>
              </w:rPr>
              <w:t>）等要求</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项目使用管网供热供汽，生产装置整体密闭，开展</w:t>
            </w:r>
            <w:r>
              <w:rPr>
                <w:rFonts w:hint="eastAsia" w:ascii="Times New Roman" w:hAnsi="Times New Roman"/>
                <w:color w:val="auto"/>
                <w:spacing w:val="-11"/>
                <w:sz w:val="21"/>
                <w:szCs w:val="21"/>
                <w:lang w:val="en-US" w:eastAsia="zh-CN"/>
              </w:rPr>
              <w:t>VOCs</w:t>
            </w:r>
            <w:r>
              <w:rPr>
                <w:rFonts w:hint="eastAsia"/>
                <w:color w:val="auto"/>
                <w:spacing w:val="-11"/>
                <w:sz w:val="21"/>
                <w:szCs w:val="21"/>
                <w:lang w:val="en-US" w:eastAsia="zh-CN"/>
              </w:rPr>
              <w:t>全过程管控，工艺</w:t>
            </w:r>
            <w:r>
              <w:rPr>
                <w:rFonts w:hint="eastAsia"/>
                <w:color w:val="auto"/>
                <w:spacing w:val="-11"/>
                <w:sz w:val="21"/>
                <w:szCs w:val="21"/>
                <w:lang w:eastAsia="zh-CN"/>
              </w:rPr>
              <w:t>废气集中收集通过冷凝</w:t>
            </w:r>
            <w:r>
              <w:rPr>
                <w:rFonts w:hint="eastAsia"/>
                <w:color w:val="auto"/>
                <w:spacing w:val="-11"/>
                <w:sz w:val="21"/>
                <w:szCs w:val="21"/>
                <w:lang w:val="en-US" w:eastAsia="zh-CN"/>
              </w:rPr>
              <w:t>+水吸收+酸吸收的</w:t>
            </w:r>
            <w:r>
              <w:rPr>
                <w:rFonts w:hint="eastAsia"/>
                <w:color w:val="auto"/>
                <w:spacing w:val="-11"/>
                <w:sz w:val="21"/>
                <w:szCs w:val="21"/>
                <w:lang w:eastAsia="zh-CN"/>
              </w:rPr>
              <w:t>高效方式处理，满足达标排放</w:t>
            </w:r>
          </w:p>
        </w:tc>
        <w:tc>
          <w:tcPr>
            <w:tcW w:w="800" w:type="dxa"/>
            <w:vAlign w:val="center"/>
          </w:tcPr>
          <w:p>
            <w:pPr>
              <w:spacing w:line="240" w:lineRule="auto"/>
              <w:ind w:firstLine="0" w:firstLineChars="0"/>
              <w:jc w:val="center"/>
              <w:rPr>
                <w:rFonts w:hint="eastAsia" w:ascii="宋体" w:hAnsi="宋体" w:eastAsia="宋体" w:cs="Times New Roman"/>
                <w:color w:val="auto"/>
                <w:spacing w:val="-11"/>
                <w:sz w:val="21"/>
                <w:szCs w:val="21"/>
                <w:lang w:val="en-US" w:eastAsia="zh-CN" w:bidi="ar-SA"/>
              </w:rPr>
            </w:pPr>
            <w:r>
              <w:rPr>
                <w:rFonts w:hint="eastAsia"/>
                <w:color w:val="auto"/>
                <w:spacing w:val="-11"/>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5</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将温室气体排放纳入建设项目环境影响评价，核算建设项目温室气体排放量，推进减污降碳协同增效，推动减碳技术创新示范应用。</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本项目按相关要求进行</w:t>
            </w:r>
          </w:p>
        </w:tc>
        <w:tc>
          <w:tcPr>
            <w:tcW w:w="800" w:type="dxa"/>
            <w:vAlign w:val="center"/>
          </w:tcPr>
          <w:p>
            <w:pPr>
              <w:spacing w:line="240" w:lineRule="auto"/>
              <w:ind w:firstLine="0" w:firstLineChars="0"/>
              <w:jc w:val="center"/>
              <w:rPr>
                <w:rFonts w:ascii="宋体" w:hAnsi="宋体" w:eastAsia="宋体" w:cs="Times New Roman"/>
                <w:color w:val="auto"/>
                <w:spacing w:val="-11"/>
                <w:sz w:val="21"/>
                <w:szCs w:val="21"/>
                <w:lang w:val="en-US" w:eastAsia="zh-CN" w:bidi="ar-SA"/>
              </w:rPr>
            </w:pPr>
            <w:r>
              <w:rPr>
                <w:rFonts w:hAnsi="宋体"/>
                <w:color w:val="auto"/>
                <w:spacing w:val="-11"/>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6</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做好雨污分流、清污分流、污污分流。废水分类收集、分质处理、优先回用，含油废水、含硫废水经处理后最大限度回用，含盐废水进行适当深度处理，污染雨水收集处理。严禁生产废水未经处理或未有效处理直接排入城镇污水处理系统</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本项目废水纳入厂内废水管理，装置地面冲洗废水和生活污水经污水站处理后排园区管网</w:t>
            </w:r>
          </w:p>
        </w:tc>
        <w:tc>
          <w:tcPr>
            <w:tcW w:w="800" w:type="dxa"/>
            <w:vAlign w:val="center"/>
          </w:tcPr>
          <w:p>
            <w:pPr>
              <w:spacing w:line="240" w:lineRule="auto"/>
              <w:ind w:firstLine="0" w:firstLineChars="0"/>
              <w:jc w:val="center"/>
              <w:rPr>
                <w:rFonts w:hint="eastAsia" w:ascii="宋体" w:hAnsi="宋体" w:eastAsia="宋体" w:cs="Times New Roman"/>
                <w:color w:val="auto"/>
                <w:spacing w:val="-11"/>
                <w:sz w:val="21"/>
                <w:szCs w:val="21"/>
                <w:lang w:val="en-US" w:eastAsia="zh-CN" w:bidi="ar-SA"/>
              </w:rPr>
            </w:pPr>
            <w:r>
              <w:rPr>
                <w:rFonts w:hint="eastAsia"/>
                <w:color w:val="auto"/>
                <w:spacing w:val="-11"/>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7</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土壤和地下水污染防治应坚持源头控制、分区防控、跟踪监测和应急响应的防控原则。对涉及有毒有害物质的生产装置、设备设施及场所，需提出防腐蚀、防渗透、防扬散等土壤污染防治具体措施，并根据环境保护目标的敏感程度、项目平面布局、水文地质条件等采取防渗措施，提出有效的土壤、地下水监控和应急方案，符合《石油化工工程防渗技术规范》（</w:t>
            </w:r>
            <w:r>
              <w:rPr>
                <w:rFonts w:hint="eastAsia" w:ascii="Times New Roman" w:hAnsi="Times New Roman" w:cs="Times New Roman"/>
                <w:color w:val="auto"/>
                <w:spacing w:val="-11"/>
                <w:sz w:val="21"/>
                <w:szCs w:val="21"/>
                <w:lang w:val="en-US" w:eastAsia="zh-CN"/>
              </w:rPr>
              <w:t>GB</w:t>
            </w:r>
            <w:r>
              <w:rPr>
                <w:rFonts w:hint="eastAsia"/>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T50934</w:t>
            </w:r>
            <w:r>
              <w:rPr>
                <w:rFonts w:hint="eastAsia"/>
                <w:color w:val="auto"/>
                <w:spacing w:val="-11"/>
                <w:sz w:val="21"/>
                <w:szCs w:val="21"/>
                <w:lang w:val="en-US" w:eastAsia="zh-CN"/>
              </w:rPr>
              <w:t>）等相关要求。对于可能受影响的地下水环境敏感目标，应提出保护措施，涉及饮用水功能的，强化地下水环境保护措施，确保饮用水安全</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本项目按相关要求进行分区防渗，土壤和地下水跟踪监测纳入厂内的监测计划</w:t>
            </w:r>
          </w:p>
        </w:tc>
        <w:tc>
          <w:tcPr>
            <w:tcW w:w="800" w:type="dxa"/>
            <w:vAlign w:val="center"/>
          </w:tcPr>
          <w:p>
            <w:pPr>
              <w:spacing w:line="240" w:lineRule="auto"/>
              <w:ind w:firstLine="0" w:firstLineChars="0"/>
              <w:jc w:val="center"/>
              <w:rPr>
                <w:rFonts w:ascii="宋体" w:hAnsi="宋体" w:eastAsia="宋体" w:cs="Times New Roman"/>
                <w:color w:val="auto"/>
                <w:spacing w:val="-11"/>
                <w:sz w:val="21"/>
                <w:szCs w:val="21"/>
                <w:lang w:val="en-US" w:eastAsia="zh-CN" w:bidi="ar-SA"/>
              </w:rPr>
            </w:pPr>
            <w:r>
              <w:rPr>
                <w:rFonts w:hAnsi="宋体"/>
                <w:color w:val="auto"/>
                <w:spacing w:val="-11"/>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8</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按照减量化、资源化、无害化的原则，妥善处理处置固体废物。一般工业固体废物应通过项目自身或委托其他企业综合利用，无法综合利用的就近妥善处置，需要在厂内贮存的应按规定建设贮存设施、场所。大型炼化一体化等产生危险废物量较大的石化项目宜立足于自身或依托园区危险废物集中设施处置。危险废物和一般工业固体废物贮存和处置应符合《危险废物贮存污染控制标准》（</w:t>
            </w:r>
            <w:r>
              <w:rPr>
                <w:rFonts w:hint="eastAsia" w:ascii="Times New Roman" w:hAnsi="Times New Roman" w:cs="Times New Roman"/>
                <w:color w:val="auto"/>
                <w:spacing w:val="-11"/>
                <w:sz w:val="21"/>
                <w:szCs w:val="21"/>
                <w:lang w:val="en-US" w:eastAsia="zh-CN"/>
              </w:rPr>
              <w:t>GB18597</w:t>
            </w:r>
            <w:r>
              <w:rPr>
                <w:rFonts w:hint="eastAsia"/>
                <w:color w:val="auto"/>
                <w:spacing w:val="-11"/>
                <w:sz w:val="21"/>
                <w:szCs w:val="21"/>
                <w:lang w:val="en-US" w:eastAsia="zh-CN"/>
              </w:rPr>
              <w:t>）、《危险废物填埋污染控制标准》（</w:t>
            </w:r>
            <w:r>
              <w:rPr>
                <w:rFonts w:hint="eastAsia" w:ascii="Times New Roman" w:hAnsi="Times New Roman" w:cs="Times New Roman"/>
                <w:color w:val="auto"/>
                <w:spacing w:val="-11"/>
                <w:sz w:val="21"/>
                <w:szCs w:val="21"/>
                <w:lang w:val="en-US" w:eastAsia="zh-CN"/>
              </w:rPr>
              <w:t>GB18598</w:t>
            </w:r>
            <w:r>
              <w:rPr>
                <w:rFonts w:hint="eastAsia"/>
                <w:color w:val="auto"/>
                <w:spacing w:val="-11"/>
                <w:sz w:val="21"/>
                <w:szCs w:val="21"/>
                <w:lang w:val="en-US" w:eastAsia="zh-CN"/>
              </w:rPr>
              <w:t>）、《一般工业固体废物贮存和填埋污染控制标准》（</w:t>
            </w:r>
            <w:r>
              <w:rPr>
                <w:rFonts w:hint="eastAsia" w:ascii="Times New Roman" w:hAnsi="Times New Roman" w:cs="Times New Roman"/>
                <w:color w:val="auto"/>
                <w:spacing w:val="-11"/>
                <w:sz w:val="21"/>
                <w:szCs w:val="21"/>
                <w:lang w:val="en-US" w:eastAsia="zh-CN"/>
              </w:rPr>
              <w:t>GB18599</w:t>
            </w:r>
            <w:r>
              <w:rPr>
                <w:rFonts w:hint="eastAsia"/>
                <w:color w:val="auto"/>
                <w:spacing w:val="-11"/>
                <w:sz w:val="21"/>
                <w:szCs w:val="21"/>
                <w:lang w:val="en-US" w:eastAsia="zh-CN"/>
              </w:rPr>
              <w:t>）、《危险废物焚烧污染控制标准》（</w:t>
            </w:r>
            <w:r>
              <w:rPr>
                <w:rFonts w:hint="eastAsia" w:ascii="Times New Roman" w:hAnsi="Times New Roman" w:cs="Times New Roman"/>
                <w:color w:val="auto"/>
                <w:spacing w:val="-11"/>
                <w:sz w:val="21"/>
                <w:szCs w:val="21"/>
                <w:lang w:val="en-US" w:eastAsia="zh-CN"/>
              </w:rPr>
              <w:t>GB18484</w:t>
            </w:r>
            <w:r>
              <w:rPr>
                <w:rFonts w:hint="eastAsia"/>
                <w:color w:val="auto"/>
                <w:spacing w:val="-11"/>
                <w:sz w:val="21"/>
                <w:szCs w:val="21"/>
                <w:lang w:val="en-US" w:eastAsia="zh-CN"/>
              </w:rPr>
              <w:t>）等相关要求</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本项目按相关规范收集和处理一般工业固废和危险废物</w:t>
            </w:r>
          </w:p>
        </w:tc>
        <w:tc>
          <w:tcPr>
            <w:tcW w:w="800" w:type="dxa"/>
            <w:vAlign w:val="center"/>
          </w:tcPr>
          <w:p>
            <w:pPr>
              <w:spacing w:line="240" w:lineRule="auto"/>
              <w:ind w:firstLine="0" w:firstLineChars="0"/>
              <w:jc w:val="center"/>
              <w:rPr>
                <w:rFonts w:hint="eastAsia" w:ascii="宋体" w:hAnsi="宋体" w:eastAsia="宋体" w:cs="Times New Roman"/>
                <w:color w:val="auto"/>
                <w:spacing w:val="-11"/>
                <w:sz w:val="21"/>
                <w:szCs w:val="21"/>
                <w:lang w:val="en-US" w:eastAsia="zh-CN" w:bidi="ar-SA"/>
              </w:rPr>
            </w:pPr>
            <w:r>
              <w:rPr>
                <w:rFonts w:hint="eastAsia"/>
                <w:color w:val="auto"/>
                <w:spacing w:val="-11"/>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9</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优化厂区平面布置，优先选用低噪声设备和工艺，采取减振、隔声、消声等措施有效控制噪声污染，厂界噪声满足《工业企业厂界环境噪声排放标准》（</w:t>
            </w:r>
            <w:r>
              <w:rPr>
                <w:rFonts w:hint="eastAsia" w:ascii="Times New Roman" w:hAnsi="Times New Roman" w:cs="Times New Roman"/>
                <w:color w:val="auto"/>
                <w:spacing w:val="-11"/>
                <w:sz w:val="21"/>
                <w:szCs w:val="21"/>
                <w:lang w:val="en-US" w:eastAsia="zh-CN"/>
              </w:rPr>
              <w:t>GB12348</w:t>
            </w:r>
            <w:r>
              <w:rPr>
                <w:rFonts w:hint="eastAsia"/>
                <w:color w:val="auto"/>
                <w:spacing w:val="-11"/>
                <w:sz w:val="21"/>
                <w:szCs w:val="21"/>
                <w:lang w:val="en-US" w:eastAsia="zh-CN"/>
              </w:rPr>
              <w:t>）要求</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满足相关要求</w:t>
            </w:r>
          </w:p>
        </w:tc>
        <w:tc>
          <w:tcPr>
            <w:tcW w:w="800" w:type="dxa"/>
            <w:vAlign w:val="center"/>
          </w:tcPr>
          <w:p>
            <w:pPr>
              <w:spacing w:line="240" w:lineRule="auto"/>
              <w:ind w:firstLine="0" w:firstLineChars="0"/>
              <w:jc w:val="center"/>
              <w:rPr>
                <w:rFonts w:ascii="宋体" w:hAnsi="宋体" w:eastAsia="宋体" w:cs="Times New Roman"/>
                <w:color w:val="auto"/>
                <w:spacing w:val="-11"/>
                <w:sz w:val="21"/>
                <w:szCs w:val="21"/>
                <w:lang w:val="en-US" w:eastAsia="zh-CN" w:bidi="ar-SA"/>
              </w:rPr>
            </w:pPr>
            <w:r>
              <w:rPr>
                <w:rFonts w:hAnsi="宋体"/>
                <w:color w:val="auto"/>
                <w:spacing w:val="-11"/>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10</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严密防控项目环境风险，建立完善的环境风险防控体系，提升环境风险防控能力。环境风险防范和应急措施合理、有效。确保具备事故废水有效收集和妥善处理的能力。针对项目可能产生的突发环境事件制定有效的风险防范和应急措施，建立项目及园区、园区环境风险防范与应急管理体系，提出运行期突发环境事件应急预案编制要求。</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本项目事故废水依托现有事故池收集，纳入现有应急管理体系和应急预案</w:t>
            </w:r>
          </w:p>
        </w:tc>
        <w:tc>
          <w:tcPr>
            <w:tcW w:w="800" w:type="dxa"/>
            <w:vAlign w:val="center"/>
          </w:tcPr>
          <w:p>
            <w:pPr>
              <w:spacing w:line="240" w:lineRule="auto"/>
              <w:ind w:firstLine="0" w:firstLineChars="0"/>
              <w:jc w:val="center"/>
              <w:rPr>
                <w:rFonts w:hint="eastAsia" w:ascii="宋体" w:hAnsi="宋体" w:eastAsia="宋体" w:cs="Times New Roman"/>
                <w:color w:val="auto"/>
                <w:spacing w:val="-11"/>
                <w:sz w:val="21"/>
                <w:szCs w:val="21"/>
                <w:lang w:val="en-US" w:eastAsia="zh-CN" w:bidi="ar-SA"/>
              </w:rPr>
            </w:pPr>
            <w:r>
              <w:rPr>
                <w:rFonts w:hint="eastAsia"/>
                <w:color w:val="auto"/>
                <w:spacing w:val="-11"/>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11</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新增主要污染物排放量的建设项目应执行《关于加强重点行业建设项目区域削减措施监督管理的通知》（环办环评[</w:t>
            </w:r>
            <w:r>
              <w:rPr>
                <w:rFonts w:hint="eastAsia" w:ascii="Times New Roman" w:hAnsi="Times New Roman" w:cs="Times New Roman"/>
                <w:color w:val="auto"/>
                <w:spacing w:val="-11"/>
                <w:sz w:val="21"/>
                <w:szCs w:val="21"/>
                <w:lang w:val="en-US" w:eastAsia="zh-CN"/>
              </w:rPr>
              <w:t>2020</w:t>
            </w:r>
            <w:r>
              <w:rPr>
                <w:rFonts w:hint="eastAsia"/>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36</w:t>
            </w:r>
            <w:r>
              <w:rPr>
                <w:rFonts w:hint="eastAsia"/>
                <w:color w:val="auto"/>
                <w:spacing w:val="-11"/>
                <w:sz w:val="21"/>
                <w:szCs w:val="21"/>
                <w:lang w:val="en-US" w:eastAsia="zh-CN"/>
              </w:rPr>
              <w:t>号），项目所在区域、流域控制单元环境质量达到国家或者地方环境质量标准的因子，原则上其对应的国家实施排放总量管控的重点污染物实行区域等量削减。项目所在区域、流域控制单元环境质量未达到国家或者地方环境质量标准的因子，其对应的主要污染物须进行区域倍量削减。二氧化氮超标的，对应削减氮氧化物；细颗粒物超标的，对应削减二氧化硫、氮氧化物、颗粒物和挥发性有机物；臭氧超标的，对应削减氮氧化物、挥发性有机物。配套区域削减措施应为评价基准年后拟采取的措施，且纳入区域重点减排工程的措施不能作为区域削减措施</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本项目所在区域为环境空气质量达标区，不涉及二氧化硫、氮氧化物、细颗粒物、臭氧等相关污染物超标</w:t>
            </w:r>
          </w:p>
        </w:tc>
        <w:tc>
          <w:tcPr>
            <w:tcW w:w="800" w:type="dxa"/>
            <w:vAlign w:val="center"/>
          </w:tcPr>
          <w:p>
            <w:pPr>
              <w:spacing w:line="240" w:lineRule="auto"/>
              <w:ind w:firstLine="0" w:firstLineChars="0"/>
              <w:jc w:val="center"/>
              <w:rPr>
                <w:rFonts w:ascii="宋体" w:hAnsi="宋体" w:eastAsia="宋体" w:cs="Times New Roman"/>
                <w:color w:val="auto"/>
                <w:spacing w:val="-11"/>
                <w:sz w:val="21"/>
                <w:szCs w:val="21"/>
                <w:lang w:val="en-US" w:eastAsia="zh-CN" w:bidi="ar-SA"/>
              </w:rPr>
            </w:pPr>
            <w:r>
              <w:rPr>
                <w:rFonts w:hAnsi="宋体"/>
                <w:color w:val="auto"/>
                <w:spacing w:val="-11"/>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2" w:type="dxa"/>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12</w:t>
            </w:r>
          </w:p>
        </w:tc>
        <w:tc>
          <w:tcPr>
            <w:tcW w:w="6179" w:type="dxa"/>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明确项目实施后的环境管理要求和环境监测计划。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监测计划</w:t>
            </w:r>
          </w:p>
        </w:tc>
        <w:tc>
          <w:tcPr>
            <w:tcW w:w="1683" w:type="dxa"/>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本项目将制定污染物监测计划并定期开展监测</w:t>
            </w:r>
          </w:p>
        </w:tc>
        <w:tc>
          <w:tcPr>
            <w:tcW w:w="800" w:type="dxa"/>
            <w:vAlign w:val="center"/>
          </w:tcPr>
          <w:p>
            <w:pPr>
              <w:spacing w:line="240" w:lineRule="auto"/>
              <w:ind w:firstLine="0" w:firstLineChars="0"/>
              <w:jc w:val="center"/>
              <w:rPr>
                <w:rFonts w:hint="eastAsia" w:ascii="宋体" w:hAnsi="宋体" w:eastAsia="宋体" w:cs="Times New Roman"/>
                <w:color w:val="auto"/>
                <w:spacing w:val="-11"/>
                <w:sz w:val="21"/>
                <w:szCs w:val="21"/>
                <w:lang w:val="en-US" w:eastAsia="zh-CN" w:bidi="ar-SA"/>
              </w:rPr>
            </w:pPr>
            <w:r>
              <w:rPr>
                <w:rFonts w:hint="eastAsia"/>
                <w:color w:val="auto"/>
                <w:spacing w:val="-11"/>
                <w:sz w:val="21"/>
                <w:szCs w:val="21"/>
                <w:lang w:eastAsia="zh-CN"/>
              </w:rPr>
              <w:t>符合</w:t>
            </w:r>
          </w:p>
        </w:tc>
      </w:tr>
    </w:tbl>
    <w:p>
      <w:pPr>
        <w:bidi w:val="0"/>
        <w:rPr>
          <w:rFonts w:hint="eastAsia"/>
          <w:lang w:val="en-US" w:eastAsia="zh-CN"/>
        </w:rPr>
      </w:pPr>
      <w:r>
        <w:rPr>
          <w:rFonts w:hint="eastAsia"/>
          <w:color w:val="auto"/>
          <w:lang w:val="en-US" w:eastAsia="zh-CN"/>
        </w:rPr>
        <w:t>经分析，本项目的建设符合《石化建设项目环境影响评价审批原则》的相关要求。</w:t>
      </w:r>
    </w:p>
    <w:p>
      <w:pPr>
        <w:pStyle w:val="5"/>
        <w:bidi w:val="0"/>
        <w:rPr>
          <w:rFonts w:hint="default"/>
          <w:lang w:val="en-US" w:eastAsia="zh-CN"/>
        </w:rPr>
      </w:pP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5</w:t>
      </w:r>
      <w:r>
        <w:rPr>
          <w:rFonts w:hint="eastAsia"/>
          <w:lang w:val="en-US" w:eastAsia="zh-CN"/>
        </w:rPr>
        <w:t>“三线一单”符合性分析</w:t>
      </w:r>
    </w:p>
    <w:p>
      <w:pPr>
        <w:bidi w:val="0"/>
        <w:rPr>
          <w:rFonts w:hint="eastAsia" w:eastAsia="宋体"/>
          <w:lang w:eastAsia="zh-CN"/>
        </w:rPr>
      </w:pPr>
      <w:r>
        <w:rPr>
          <w:rFonts w:hint="eastAsia"/>
          <w:lang w:eastAsia="zh-CN"/>
        </w:rPr>
        <w:t>（</w:t>
      </w:r>
      <w:r>
        <w:rPr>
          <w:rFonts w:hint="eastAsia" w:ascii="Times New Roman" w:hAnsi="Times New Roman"/>
          <w:lang w:val="en-US" w:eastAsia="zh-CN"/>
        </w:rPr>
        <w:t>1</w:t>
      </w:r>
      <w:r>
        <w:rPr>
          <w:rFonts w:hint="eastAsia"/>
          <w:lang w:eastAsia="zh-CN"/>
        </w:rPr>
        <w:t>）与《新疆维吾尔自治区“三线一单”生态环境分区管控方案》和《新疆维吾尔自治区七大片区“三线一单”生态环境分区管控要求》符合性</w:t>
      </w:r>
    </w:p>
    <w:p>
      <w:pPr>
        <w:bidi w:val="0"/>
        <w:rPr>
          <w:rFonts w:hint="eastAsia" w:eastAsia="宋体"/>
          <w:color w:val="auto"/>
          <w:lang w:eastAsia="zh-CN"/>
        </w:rPr>
      </w:pPr>
      <w:r>
        <w:rPr>
          <w:rFonts w:hint="eastAsia"/>
          <w:lang w:eastAsia="zh-CN"/>
        </w:rPr>
        <w:t>根据</w:t>
      </w:r>
      <w:r>
        <w:rPr>
          <w:rFonts w:hint="eastAsia"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关于印发&lt;</w:t>
      </w:r>
      <w:r>
        <w:rPr>
          <w:rFonts w:hint="eastAsia" w:ascii="Times New Roman" w:hAnsi="Times New Roman" w:eastAsia="宋体" w:cs="Times New Roman"/>
          <w:color w:val="auto"/>
          <w:lang w:val="en-US" w:eastAsia="zh-CN"/>
        </w:rPr>
        <w:t>新疆维吾尔自治区“三线一单”生态环境分区管控方案</w:t>
      </w:r>
      <w:r>
        <w:rPr>
          <w:rFonts w:hint="eastAsia" w:ascii="Times New Roman" w:hAnsi="Times New Roman" w:cs="Times New Roman"/>
          <w:color w:val="auto"/>
          <w:lang w:val="en-US" w:eastAsia="zh-CN"/>
        </w:rPr>
        <w:t>&gt;的通知</w:t>
      </w:r>
      <w:r>
        <w:rPr>
          <w:rFonts w:hint="eastAsia" w:ascii="Times New Roman" w:hAnsi="Times New Roman" w:eastAsia="宋体" w:cs="Times New Roman"/>
          <w:color w:val="auto"/>
          <w:lang w:val="en-US" w:eastAsia="zh-CN"/>
        </w:rPr>
        <w:t>》（新政发[</w:t>
      </w:r>
      <w:r>
        <w:rPr>
          <w:rFonts w:hint="eastAsia" w:ascii="Times New Roman" w:hAnsi="Times New Roman" w:eastAsia="宋体" w:cs="Times New Roman"/>
          <w:color w:val="auto"/>
          <w:lang w:val="en-US" w:eastAsia="zh-CN"/>
        </w:rPr>
        <w:t>2021</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18</w:t>
      </w:r>
      <w:r>
        <w:rPr>
          <w:rFonts w:hint="eastAsia" w:ascii="Times New Roman" w:hAnsi="Times New Roman" w:eastAsia="宋体" w:cs="Times New Roman"/>
          <w:color w:val="auto"/>
          <w:lang w:val="en-US" w:eastAsia="zh-CN"/>
        </w:rPr>
        <w:t>号），新疆维吾尔自治区按照优先保护单元、重点控制单元和一般管控单元，实施分类管控。根据</w:t>
      </w:r>
      <w:r>
        <w:rPr>
          <w:rFonts w:hint="eastAsia" w:ascii="Times New Roman" w:eastAsia="宋体" w:cs="Times New Roman"/>
          <w:color w:val="auto"/>
          <w:lang w:val="en-US" w:eastAsia="zh-CN"/>
        </w:rPr>
        <w:t>新疆维吾尔自治区环境管控</w:t>
      </w:r>
      <w:r>
        <w:rPr>
          <w:rFonts w:hint="eastAsia" w:ascii="Times New Roman" w:cs="Times New Roman"/>
          <w:color w:val="auto"/>
          <w:lang w:val="en-US" w:eastAsia="zh-CN"/>
        </w:rPr>
        <w:t>要求</w:t>
      </w:r>
      <w:r>
        <w:rPr>
          <w:rFonts w:hint="eastAsia" w:ascii="Times New Roman" w:eastAsia="宋体" w:cs="Times New Roman"/>
          <w:color w:val="auto"/>
          <w:lang w:val="en-US" w:eastAsia="zh-CN"/>
        </w:rPr>
        <w:t>，奎屯</w:t>
      </w:r>
      <w:r>
        <w:rPr>
          <w:rFonts w:hint="eastAsia" w:ascii="Times New Roman" w:cs="Times New Roman"/>
          <w:color w:val="auto"/>
          <w:lang w:val="en-US" w:eastAsia="zh-CN"/>
        </w:rPr>
        <w:t>-独山子</w:t>
      </w:r>
      <w:r>
        <w:rPr>
          <w:rFonts w:hint="eastAsia" w:ascii="Times New Roman" w:eastAsia="宋体" w:cs="Times New Roman"/>
          <w:color w:val="auto"/>
          <w:lang w:val="en-US" w:eastAsia="zh-CN"/>
        </w:rPr>
        <w:t>经济技术开发区属于重点管控单元，</w:t>
      </w:r>
      <w:r>
        <w:rPr>
          <w:rFonts w:hint="eastAsia" w:ascii="Times New Roman" w:hAnsi="Times New Roman" w:eastAsia="宋体" w:cs="Times New Roman"/>
          <w:color w:val="auto"/>
          <w:lang w:val="en-US" w:eastAsia="zh-CN"/>
        </w:rPr>
        <w:t>该单元着力优化空间布局，不断提升资源利用效率，有针对性地加强污染物排放管控和环境风险防控，解决生态环境质量不达标、生态环境风险高等问题。</w:t>
      </w:r>
    </w:p>
    <w:p>
      <w:pPr>
        <w:bidi w:val="0"/>
      </w:pPr>
      <w:r>
        <w:rPr>
          <w:rFonts w:hint="eastAsia"/>
          <w:lang w:eastAsia="zh-CN"/>
        </w:rPr>
        <w:t>根据《新疆维吾尔自治区七大片区“三线一单”生态环境分区管控要求（</w:t>
      </w:r>
      <w:r>
        <w:rPr>
          <w:rFonts w:hint="eastAsia" w:ascii="Times New Roman" w:hAnsi="Times New Roman"/>
          <w:lang w:val="en-US" w:eastAsia="zh-CN"/>
        </w:rPr>
        <w:t>2021</w:t>
      </w:r>
      <w:r>
        <w:rPr>
          <w:rFonts w:hint="eastAsia"/>
          <w:lang w:val="en-US" w:eastAsia="zh-CN"/>
        </w:rPr>
        <w:t>年版</w:t>
      </w:r>
      <w:r>
        <w:rPr>
          <w:rFonts w:hint="eastAsia"/>
          <w:lang w:eastAsia="zh-CN"/>
        </w:rPr>
        <w:t>）》中，克奎乌</w:t>
      </w:r>
      <w:r>
        <w:rPr>
          <w:rFonts w:hint="eastAsia"/>
          <w:lang w:val="en-US" w:eastAsia="zh-CN"/>
        </w:rPr>
        <w:t>-博州片区</w:t>
      </w:r>
      <w:r>
        <w:rPr>
          <w:rFonts w:hint="eastAsia"/>
          <w:lang w:eastAsia="zh-CN"/>
        </w:rPr>
        <w:t>管控要求，</w:t>
      </w:r>
      <w:r>
        <w:rPr>
          <w:rFonts w:hint="eastAsia"/>
        </w:rPr>
        <w:t>严格落实“奎</w:t>
      </w:r>
      <w:r>
        <w:t>-</w:t>
      </w:r>
      <w:r>
        <w:rPr>
          <w:rFonts w:hint="eastAsia"/>
        </w:rPr>
        <w:t>独</w:t>
      </w:r>
      <w:r>
        <w:t>-</w:t>
      </w:r>
      <w:r>
        <w:rPr>
          <w:rFonts w:hint="eastAsia"/>
        </w:rPr>
        <w:t>乌”联防联控区内有关法规政策要求。“奎</w:t>
      </w:r>
      <w:r>
        <w:t>-</w:t>
      </w:r>
      <w:r>
        <w:rPr>
          <w:rFonts w:hint="eastAsia"/>
        </w:rPr>
        <w:t>独</w:t>
      </w:r>
      <w:r>
        <w:t>-</w:t>
      </w:r>
      <w:r>
        <w:rPr>
          <w:rFonts w:hint="eastAsia"/>
        </w:rPr>
        <w:t>乌”联防联控区和克拉玛依市所有新建、改建、扩建工业项目执行最严格的大气污染物排放标准。强化与生产建设兵团第七师的联防联控，确保区域环境空气质量持续改善。</w:t>
      </w:r>
    </w:p>
    <w:p>
      <w:pPr>
        <w:bidi w:val="0"/>
        <w:rPr>
          <w:rFonts w:hint="eastAsia"/>
        </w:rPr>
      </w:pPr>
      <w:r>
        <w:rPr>
          <w:rFonts w:hint="eastAsia"/>
        </w:rPr>
        <w:t>加强艾比湖、赛里木湖周边地区、博尔塔拉河流域生态防护林地保护</w:t>
      </w:r>
      <w:r>
        <w:t>,</w:t>
      </w:r>
      <w:r>
        <w:rPr>
          <w:rFonts w:hint="eastAsia"/>
        </w:rPr>
        <w:t>维护区域生物多样性功能。开展奎屯河流域地下水超采治理，逐步压减地下水超采量，实现地下水采补平衡。</w:t>
      </w:r>
    </w:p>
    <w:p>
      <w:pPr>
        <w:bidi w:val="0"/>
        <w:rPr>
          <w:rFonts w:hint="eastAsia"/>
          <w:lang w:eastAsia="zh-CN"/>
        </w:rPr>
      </w:pPr>
      <w:r>
        <w:rPr>
          <w:rFonts w:hint="eastAsia"/>
          <w:lang w:eastAsia="zh-CN"/>
        </w:rPr>
        <w:t>从污染物排放管控上，执行最严格的大气污染物排放标准；本项目不取用地下水，依托现有工程供水系统，本项目废水集中收集并纳入现有污水处理系统，经处理达标后排入园区管网。</w:t>
      </w:r>
    </w:p>
    <w:p>
      <w:pPr>
        <w:bidi w:val="0"/>
        <w:rPr>
          <w:rFonts w:hint="eastAsia"/>
        </w:rPr>
      </w:pPr>
      <w:r>
        <w:rPr>
          <w:rFonts w:hint="eastAsia"/>
          <w:lang w:eastAsia="zh-CN"/>
        </w:rPr>
        <w:t>综上所述，项目的建设符合《新疆维吾尔自治区“三线一单”分区管控方案》。</w:t>
      </w:r>
    </w:p>
    <w:p>
      <w:pPr>
        <w:bidi w:val="0"/>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）项目与《塔城地区“三线一单”生态环境分区管控方案》符合性</w:t>
      </w:r>
    </w:p>
    <w:p>
      <w:pPr>
        <w:bidi w:val="0"/>
        <w:rPr>
          <w:rFonts w:hint="default" w:eastAsia="宋体"/>
          <w:lang w:val="en-US" w:eastAsia="zh-CN"/>
        </w:rPr>
      </w:pPr>
      <w:r>
        <w:rPr>
          <w:rFonts w:hint="eastAsia"/>
          <w:lang w:eastAsia="zh-CN"/>
        </w:rPr>
        <w:t>根据《塔城地区“三线一单”生态环境分区管控方案》，</w:t>
      </w:r>
      <w:r>
        <w:rPr>
          <w:rFonts w:hint="default"/>
        </w:rPr>
        <w:t>本项目位于</w:t>
      </w:r>
      <w:r>
        <w:rPr>
          <w:rFonts w:hint="eastAsia"/>
          <w:lang w:eastAsia="zh-CN"/>
        </w:rPr>
        <w:t>乌苏工业园区西区</w:t>
      </w:r>
      <w:r>
        <w:rPr>
          <w:rFonts w:hint="default"/>
          <w:lang w:eastAsia="zh-CN"/>
        </w:rPr>
        <w:t>，</w:t>
      </w:r>
      <w:r>
        <w:rPr>
          <w:rFonts w:hint="eastAsia"/>
          <w:lang w:val="en-US" w:eastAsia="zh-CN"/>
        </w:rPr>
        <w:t>项目所在地环境管控单元编码：</w:t>
      </w:r>
      <w:r>
        <w:rPr>
          <w:rFonts w:hint="eastAsia" w:ascii="Times New Roman" w:hAnsi="Times New Roman"/>
          <w:lang w:val="en-US" w:eastAsia="zh-CN"/>
        </w:rPr>
        <w:t>ZH65420220007</w:t>
      </w:r>
      <w:r>
        <w:rPr>
          <w:rFonts w:hint="eastAsia"/>
          <w:lang w:val="en-US" w:eastAsia="zh-CN"/>
        </w:rPr>
        <w:t>，名称：乌苏市环境管控单元</w:t>
      </w:r>
      <w:r>
        <w:rPr>
          <w:rFonts w:hint="eastAsia" w:ascii="Times New Roman" w:hAnsi="Times New Roman"/>
          <w:lang w:val="en-US" w:eastAsia="zh-CN"/>
        </w:rPr>
        <w:t>07</w:t>
      </w:r>
      <w:r>
        <w:rPr>
          <w:rFonts w:hint="eastAsia"/>
          <w:lang w:val="en-US" w:eastAsia="zh-CN"/>
        </w:rPr>
        <w:t>，属于重点管控单元，特点是位于四棵树矿区。要素属性：位于煤炭、大气环境高排放区。</w:t>
      </w:r>
      <w:r>
        <w:rPr>
          <w:rFonts w:hint="eastAsia"/>
          <w:lang w:eastAsia="zh-CN"/>
        </w:rPr>
        <w:t>相关符合性分析见表</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10</w:t>
      </w:r>
      <w:r>
        <w:rPr>
          <w:rFonts w:hint="eastAsia"/>
          <w:lang w:val="en-US" w:eastAsia="zh-CN"/>
        </w:rPr>
        <w:t>。</w:t>
      </w:r>
    </w:p>
    <w:p>
      <w:pPr>
        <w:pStyle w:val="20"/>
        <w:spacing w:before="156" w:line="240" w:lineRule="auto"/>
        <w:rPr>
          <w:rFonts w:hint="eastAsia" w:ascii="Times New Roman" w:hAnsi="Times New Roman"/>
          <w:lang w:eastAsia="zh-CN"/>
        </w:rPr>
      </w:pPr>
      <w:r>
        <w:rPr>
          <w:rFonts w:ascii="Times New Roman" w:hAnsi="Times New Roman"/>
        </w:rPr>
        <w:t>表</w:t>
      </w:r>
      <w:r>
        <w:rPr>
          <w:rFonts w:ascii="Times New Roman" w:hAnsi="Times New Roman"/>
        </w:rPr>
        <w:t>1</w:t>
      </w:r>
      <w:r>
        <w:rPr>
          <w:rFonts w:ascii="Times New Roman" w:hAnsi="Times New Roma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10</w:t>
      </w:r>
      <w:r>
        <w:rPr>
          <w:rFonts w:ascii="Times New Roman" w:hAnsi="Times New Roman"/>
        </w:rPr>
        <w:t xml:space="preserve">  </w:t>
      </w:r>
      <w:r>
        <w:rPr>
          <w:rFonts w:hint="eastAsia" w:ascii="Times New Roman" w:hAnsi="Times New Roman"/>
          <w:lang w:eastAsia="zh-CN"/>
        </w:rPr>
        <w:t>项目与</w:t>
      </w:r>
      <w:r>
        <w:rPr>
          <w:rFonts w:ascii="Times New Roman" w:hAnsi="Times New Roman"/>
        </w:rPr>
        <w:t>《</w:t>
      </w:r>
      <w:r>
        <w:rPr>
          <w:rFonts w:hint="eastAsia" w:ascii="Times New Roman" w:hAnsi="Times New Roman"/>
          <w:lang w:eastAsia="zh-CN"/>
        </w:rPr>
        <w:t>塔城地区“三线一单”生态环境分区管控方案</w:t>
      </w:r>
      <w:r>
        <w:rPr>
          <w:rFonts w:ascii="Times New Roman" w:hAnsi="Times New Roman"/>
        </w:rPr>
        <w:t>》</w:t>
      </w:r>
      <w:r>
        <w:rPr>
          <w:rFonts w:hint="eastAsia" w:ascii="Times New Roman" w:hAnsi="Times New Roman"/>
          <w:lang w:eastAsia="zh-CN"/>
        </w:rPr>
        <w:t>相关符合性分析</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083"/>
        <w:gridCol w:w="13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eastAsia" w:ascii="Times New Roman" w:eastAsia="宋体"/>
                <w:spacing w:val="-6"/>
                <w:w w:val="100"/>
                <w:sz w:val="21"/>
                <w:szCs w:val="21"/>
                <w:lang w:eastAsia="zh-CN"/>
              </w:rPr>
            </w:pPr>
            <w:r>
              <w:rPr>
                <w:rFonts w:hint="eastAsia" w:ascii="Times New Roman"/>
                <w:spacing w:val="-6"/>
                <w:w w:val="100"/>
                <w:sz w:val="21"/>
                <w:szCs w:val="21"/>
                <w:lang w:eastAsia="zh-CN"/>
              </w:rPr>
              <w:t>序号</w:t>
            </w:r>
          </w:p>
        </w:tc>
        <w:tc>
          <w:tcPr>
            <w:tcW w:w="7137" w:type="dxa"/>
            <w:noWrap w:val="0"/>
            <w:vAlign w:val="center"/>
          </w:tcPr>
          <w:p>
            <w:pPr>
              <w:spacing w:line="240" w:lineRule="auto"/>
              <w:ind w:firstLine="0"/>
              <w:jc w:val="center"/>
              <w:rPr>
                <w:rFonts w:hint="eastAsia" w:ascii="Times New Roman"/>
                <w:spacing w:val="-6"/>
                <w:w w:val="100"/>
                <w:sz w:val="21"/>
                <w:szCs w:val="21"/>
                <w:lang w:eastAsia="zh-CN"/>
              </w:rPr>
            </w:pPr>
            <w:r>
              <w:rPr>
                <w:rFonts w:hint="eastAsia" w:ascii="Times New Roman"/>
                <w:spacing w:val="-6"/>
                <w:w w:val="100"/>
                <w:sz w:val="21"/>
                <w:szCs w:val="21"/>
                <w:lang w:eastAsia="zh-CN"/>
              </w:rPr>
              <w:t>方案要求</w:t>
            </w:r>
          </w:p>
        </w:tc>
        <w:tc>
          <w:tcPr>
            <w:tcW w:w="1326" w:type="dxa"/>
            <w:noWrap w:val="0"/>
            <w:vAlign w:val="center"/>
          </w:tcPr>
          <w:p>
            <w:pPr>
              <w:spacing w:line="240" w:lineRule="auto"/>
              <w:ind w:firstLine="0"/>
              <w:jc w:val="center"/>
              <w:rPr>
                <w:rFonts w:hint="eastAsia" w:ascii="Times New Roman"/>
                <w:spacing w:val="-6"/>
                <w:w w:val="100"/>
                <w:sz w:val="21"/>
                <w:szCs w:val="21"/>
                <w:lang w:eastAsia="zh-CN"/>
              </w:rPr>
            </w:pPr>
            <w:r>
              <w:rPr>
                <w:rFonts w:hint="eastAsia" w:ascii="Times New Roman"/>
                <w:spacing w:val="-6"/>
                <w:w w:val="100"/>
                <w:sz w:val="21"/>
                <w:szCs w:val="21"/>
                <w:lang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noWrap w:val="0"/>
            <w:vAlign w:val="center"/>
          </w:tcPr>
          <w:p>
            <w:pPr>
              <w:spacing w:line="240" w:lineRule="auto"/>
              <w:ind w:firstLine="0"/>
              <w:jc w:val="center"/>
              <w:rPr>
                <w:rFonts w:hint="eastAsia" w:ascii="Times New Roman"/>
                <w:spacing w:val="-6"/>
                <w:w w:val="100"/>
                <w:sz w:val="21"/>
                <w:szCs w:val="21"/>
                <w:lang w:eastAsia="zh-CN"/>
              </w:rPr>
            </w:pPr>
            <w:r>
              <w:rPr>
                <w:rFonts w:hint="eastAsia" w:ascii="Times New Roman"/>
                <w:spacing w:val="-6"/>
                <w:w w:val="100"/>
                <w:sz w:val="21"/>
                <w:szCs w:val="21"/>
                <w:lang w:eastAsia="zh-CN"/>
              </w:rPr>
              <w:t>自治区总体准入要求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eastAsia" w:ascii="Times New Roman" w:eastAsia="宋体"/>
                <w:spacing w:val="-6"/>
                <w:w w:val="100"/>
                <w:sz w:val="21"/>
                <w:szCs w:val="21"/>
                <w:lang w:val="en-US" w:eastAsia="zh-CN" w:bidi="ar-SA"/>
              </w:rPr>
            </w:pPr>
            <w:r>
              <w:rPr>
                <w:rFonts w:hint="eastAsia" w:ascii="Times New Roman" w:hAnsi="Times New Roman" w:eastAsia="宋体"/>
                <w:spacing w:val="-6"/>
                <w:w w:val="100"/>
                <w:sz w:val="21"/>
                <w:szCs w:val="21"/>
                <w:lang w:val="en-US" w:eastAsia="zh-CN"/>
              </w:rPr>
              <w:t>A1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2</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严格执行国家产业、环境准入和去产能政策，防止过剩或落后产能跨地区转移。符合国家煤电产业政策的新建煤电、热电联产项目烟气排放执行超低排放标准。国家和自治区大气污染联防联控区域重点区域内不再布局建设煤化工、电解铝、燃煤纯凝发电机组、金属硅、碳化硅、聚氯乙烯(电石法)、焦炭(含半焦)等行业的新增产能项目，具备风光电清洁供暖建设条件的区域原则上不新批热电联产项目。重点控制区主要大气污染物排放须进行“倍量替代”，执行大气污染物特别排放限值，新增大气污染物排放量须在项目所在区域内实施总量替代，不得接受其他区域主要大气污染物可替代总量指标;一般控制区域内主要大气污染物排放须进行“等量替代”，执行大气污染物特别排放限值。严格执行钢铁、水泥、平板玻璃等行业产能置换实施办法</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cs="Times New Roman"/>
                <w:spacing w:val="-6"/>
                <w:w w:val="100"/>
                <w:sz w:val="21"/>
                <w:szCs w:val="21"/>
                <w:lang w:eastAsia="zh-CN"/>
              </w:rPr>
              <w:t>本</w:t>
            </w:r>
            <w:r>
              <w:rPr>
                <w:rFonts w:hint="eastAsia" w:ascii="Times New Roman" w:hAnsi="Times New Roman" w:eastAsia="宋体" w:cs="Times New Roman"/>
                <w:spacing w:val="-6"/>
                <w:w w:val="100"/>
                <w:sz w:val="21"/>
                <w:szCs w:val="21"/>
                <w:lang w:eastAsia="zh-CN"/>
              </w:rPr>
              <w:t>项目不涉及</w:t>
            </w:r>
            <w:r>
              <w:rPr>
                <w:rFonts w:hint="eastAsia" w:eastAsia="宋体" w:cs="Times New Roman"/>
                <w:spacing w:val="-6"/>
                <w:w w:val="100"/>
                <w:sz w:val="21"/>
                <w:szCs w:val="21"/>
                <w:lang w:eastAsia="zh-CN"/>
              </w:rPr>
              <w:t>相关高污染</w:t>
            </w:r>
            <w:r>
              <w:rPr>
                <w:rFonts w:hint="eastAsia" w:ascii="Times New Roman" w:hAnsi="Times New Roman" w:eastAsia="宋体" w:cs="Times New Roman"/>
                <w:spacing w:val="-6"/>
                <w:w w:val="100"/>
                <w:sz w:val="21"/>
                <w:szCs w:val="21"/>
                <w:lang w:eastAsia="zh-CN"/>
              </w:rPr>
              <w:t>行业，废气排放执行特别排放限值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eastAsia" w:ascii="Times New Roman" w:eastAsia="宋体"/>
                <w:spacing w:val="-6"/>
                <w:w w:val="100"/>
                <w:sz w:val="21"/>
                <w:szCs w:val="21"/>
                <w:lang w:val="en-US" w:eastAsia="zh-CN" w:bidi="ar-SA"/>
              </w:rPr>
            </w:pPr>
            <w:r>
              <w:rPr>
                <w:rFonts w:hint="eastAsia" w:ascii="Times New Roman" w:hAnsi="Times New Roman" w:eastAsia="宋体"/>
                <w:spacing w:val="-6"/>
                <w:w w:val="100"/>
                <w:sz w:val="21"/>
                <w:szCs w:val="21"/>
                <w:lang w:val="en-US" w:eastAsia="zh-CN"/>
              </w:rPr>
              <w:t>A1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3</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列入《产业结构调整指导目录》淘汰类的现状企业，制定调整计划。针对环保治理措施不符合现行环保要求、资源能源消耗高、涉及大量排放区域超标污染物、或持续发生环保投诉的现有企业，制定整治计划。在调整过渡期内，应严格控制其生产规模，禁止新增产生环境污染的产能和产品</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eastAsia" w:ascii="Times New Roman" w:eastAsia="宋体"/>
                <w:spacing w:val="-6"/>
                <w:w w:val="100"/>
                <w:sz w:val="21"/>
                <w:szCs w:val="21"/>
                <w:lang w:val="en-US" w:eastAsia="zh-CN" w:bidi="ar-SA"/>
              </w:rPr>
            </w:pPr>
            <w:r>
              <w:rPr>
                <w:rFonts w:hint="eastAsia" w:ascii="Times New Roman" w:hAnsi="Times New Roman" w:eastAsia="宋体"/>
                <w:spacing w:val="-6"/>
                <w:w w:val="100"/>
                <w:sz w:val="21"/>
                <w:szCs w:val="21"/>
                <w:lang w:val="en-US" w:eastAsia="zh-CN"/>
              </w:rPr>
              <w:t>A1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4</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一切开发建设活动应符合国家、自治区主体功能区规划、自治区和各地颁布实施的生态环境功能区划、国民经济发展规划、产业发展规划、城乡总体规划、土地利用规划等相关规划及重点生态功能区负面清单要求，符合区域或产业规划环评要求</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cs="Times New Roman"/>
                <w:spacing w:val="-6"/>
                <w:w w:val="100"/>
                <w:sz w:val="21"/>
                <w:szCs w:val="21"/>
                <w:lang w:eastAsia="zh-CN"/>
              </w:rPr>
              <w:t>本项目符合相关要求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eastAsia" w:ascii="Times New Roman" w:eastAsia="宋体"/>
                <w:spacing w:val="-6"/>
                <w:w w:val="100"/>
                <w:sz w:val="21"/>
                <w:szCs w:val="21"/>
                <w:lang w:val="en-US" w:eastAsia="zh-CN" w:bidi="ar-SA"/>
              </w:rPr>
            </w:pPr>
            <w:r>
              <w:rPr>
                <w:rFonts w:hint="eastAsia" w:ascii="Times New Roman" w:hAnsi="Times New Roman" w:eastAsia="宋体"/>
                <w:spacing w:val="-6"/>
                <w:w w:val="100"/>
                <w:sz w:val="21"/>
                <w:szCs w:val="21"/>
                <w:lang w:val="en-US" w:eastAsia="zh-CN"/>
              </w:rPr>
              <w:t>A1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4</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3</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石化、化工、煤化工、制药、农药等挥发性有机物排放重点行业建设项目，以及工业涂装、包装印刷、油品储运销等涉</w:t>
            </w:r>
            <w:r>
              <w:rPr>
                <w:rFonts w:hint="eastAsia" w:ascii="Times New Roman" w:hAnsi="Times New Roman" w:eastAsia="宋体" w:cs="Times New Roman"/>
                <w:spacing w:val="-6"/>
                <w:w w:val="100"/>
                <w:sz w:val="21"/>
                <w:szCs w:val="21"/>
                <w:lang w:eastAsia="zh-CN"/>
              </w:rPr>
              <w:t>VOCs</w:t>
            </w:r>
            <w:r>
              <w:rPr>
                <w:rFonts w:hint="eastAsia" w:ascii="Times New Roman" w:hAnsi="Times New Roman" w:eastAsia="宋体" w:cs="Times New Roman"/>
                <w:spacing w:val="-6"/>
                <w:w w:val="100"/>
                <w:sz w:val="21"/>
                <w:szCs w:val="21"/>
                <w:lang w:eastAsia="zh-CN"/>
              </w:rPr>
              <w:t>排放的项目，在符合国家产业政策和清洁生产水平要求、满足污染物排放标准以及污染物排放总量控制指标的前提下，必须在依法设立、环境保护基础设施齐全并经规划环评的产业园区内布设。推进工业园区和企业集群建设涉</w:t>
            </w:r>
            <w:r>
              <w:rPr>
                <w:rFonts w:hint="eastAsia" w:ascii="Times New Roman" w:hAnsi="Times New Roman" w:eastAsia="宋体" w:cs="Times New Roman"/>
                <w:spacing w:val="-6"/>
                <w:w w:val="100"/>
                <w:sz w:val="21"/>
                <w:szCs w:val="21"/>
                <w:lang w:eastAsia="zh-CN"/>
              </w:rPr>
              <w:t>VOCs</w:t>
            </w:r>
            <w:r>
              <w:rPr>
                <w:rFonts w:hint="eastAsia" w:ascii="Times New Roman" w:hAnsi="Times New Roman" w:eastAsia="宋体" w:cs="Times New Roman"/>
                <w:spacing w:val="-6"/>
                <w:w w:val="100"/>
                <w:sz w:val="21"/>
                <w:szCs w:val="21"/>
                <w:lang w:eastAsia="zh-CN"/>
              </w:rPr>
              <w:t>“绿岛”项目，统筹规划建设一批集中涂装中心、活性炭集中处理中心、溶剂回收中心等，实现</w:t>
            </w:r>
            <w:r>
              <w:rPr>
                <w:rFonts w:hint="eastAsia" w:ascii="Times New Roman" w:hAnsi="Times New Roman" w:eastAsia="宋体" w:cs="Times New Roman"/>
                <w:spacing w:val="-6"/>
                <w:w w:val="100"/>
                <w:sz w:val="21"/>
                <w:szCs w:val="21"/>
                <w:lang w:eastAsia="zh-CN"/>
              </w:rPr>
              <w:t>VOCs</w:t>
            </w:r>
            <w:r>
              <w:rPr>
                <w:rFonts w:hint="eastAsia" w:ascii="Times New Roman" w:hAnsi="Times New Roman" w:eastAsia="宋体" w:cs="Times New Roman"/>
                <w:spacing w:val="-6"/>
                <w:w w:val="100"/>
                <w:sz w:val="21"/>
                <w:szCs w:val="21"/>
                <w:lang w:eastAsia="zh-CN"/>
              </w:rPr>
              <w:t>集中高效处理</w:t>
            </w:r>
          </w:p>
        </w:tc>
        <w:tc>
          <w:tcPr>
            <w:tcW w:w="1326" w:type="dxa"/>
            <w:noWrap w:val="0"/>
            <w:vAlign w:val="center"/>
          </w:tcPr>
          <w:p>
            <w:pPr>
              <w:spacing w:line="240" w:lineRule="auto"/>
              <w:ind w:firstLine="0"/>
              <w:jc w:val="center"/>
              <w:rPr>
                <w:rFonts w:hint="default" w:ascii="Times New Roman" w:hAnsi="Times New Roman" w:eastAsia="宋体" w:cs="Times New Roman"/>
                <w:spacing w:val="-6"/>
                <w:w w:val="100"/>
                <w:sz w:val="21"/>
                <w:szCs w:val="21"/>
                <w:lang w:val="en-US" w:eastAsia="zh-CN"/>
              </w:rPr>
            </w:pPr>
            <w:r>
              <w:rPr>
                <w:rFonts w:hint="eastAsia" w:ascii="Times New Roman" w:hAnsi="Times New Roman" w:cs="Times New Roman"/>
                <w:spacing w:val="-6"/>
                <w:w w:val="100"/>
                <w:sz w:val="21"/>
                <w:szCs w:val="21"/>
                <w:lang w:eastAsia="zh-CN"/>
              </w:rPr>
              <w:t>本项目不属于</w:t>
            </w:r>
            <w:r>
              <w:rPr>
                <w:rFonts w:hint="eastAsia" w:ascii="Times New Roman" w:hAnsi="Times New Roman" w:cs="Times New Roman"/>
                <w:spacing w:val="-6"/>
                <w:w w:val="100"/>
                <w:sz w:val="21"/>
                <w:szCs w:val="21"/>
                <w:lang w:val="en-US" w:eastAsia="zh-CN"/>
              </w:rPr>
              <w:t>VOCs</w:t>
            </w:r>
            <w:r>
              <w:rPr>
                <w:rFonts w:hint="eastAsia" w:ascii="Times New Roman" w:hAnsi="Times New Roman" w:cs="Times New Roman"/>
                <w:spacing w:val="-6"/>
                <w:w w:val="100"/>
                <w:sz w:val="21"/>
                <w:szCs w:val="21"/>
                <w:lang w:val="en-US" w:eastAsia="zh-CN"/>
              </w:rPr>
              <w:t>排放重点行业建设项目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default" w:ascii="Times New Roman" w:hAnsi="Times New Roman" w:eastAsia="宋体"/>
                <w:spacing w:val="-6"/>
                <w:w w:val="100"/>
                <w:sz w:val="21"/>
                <w:szCs w:val="21"/>
                <w:lang w:val="en-US" w:eastAsia="zh-CN"/>
              </w:rPr>
            </w:pPr>
            <w:r>
              <w:rPr>
                <w:rFonts w:hint="eastAsia" w:ascii="Times New Roman" w:hAnsi="Times New Roman"/>
                <w:spacing w:val="-6"/>
                <w:w w:val="100"/>
                <w:sz w:val="21"/>
                <w:szCs w:val="21"/>
                <w:lang w:val="en-US" w:eastAsia="zh-CN"/>
              </w:rPr>
              <w:t>A3</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1</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禁止在化工园区外新建、扩建危险化学品生产项目。严格危险化学品废弃处置。对城镇人口密集区现有不符合安全和卫生防护距离要求的危险化学品生产企业，进行定量风险评估，就地改造达标、搬迁进入规范化工园区或关闭退出</w:t>
            </w:r>
          </w:p>
        </w:tc>
        <w:tc>
          <w:tcPr>
            <w:tcW w:w="1326" w:type="dxa"/>
            <w:noWrap w:val="0"/>
            <w:vAlign w:val="center"/>
          </w:tcPr>
          <w:p>
            <w:pPr>
              <w:spacing w:line="240" w:lineRule="auto"/>
              <w:ind w:firstLine="0"/>
              <w:jc w:val="center"/>
              <w:rPr>
                <w:rFonts w:hint="eastAsia" w:ascii="Times New Roman" w:hAnsi="Times New Roman" w:cs="Times New Roman"/>
                <w:spacing w:val="-6"/>
                <w:w w:val="100"/>
                <w:sz w:val="21"/>
                <w:szCs w:val="21"/>
                <w:lang w:eastAsia="zh-CN"/>
              </w:rPr>
            </w:pPr>
            <w:r>
              <w:rPr>
                <w:rFonts w:hint="eastAsia" w:ascii="Times New Roman" w:hAnsi="Times New Roman" w:cs="Times New Roman"/>
                <w:spacing w:val="-6"/>
                <w:w w:val="100"/>
                <w:sz w:val="21"/>
                <w:szCs w:val="21"/>
                <w:lang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default" w:ascii="Times New Roman" w:hAnsi="Times New Roman" w:eastAsia="宋体"/>
                <w:spacing w:val="-6"/>
                <w:w w:val="100"/>
                <w:sz w:val="21"/>
                <w:szCs w:val="21"/>
                <w:lang w:val="en-US" w:eastAsia="zh-CN"/>
              </w:rPr>
            </w:pPr>
            <w:r>
              <w:rPr>
                <w:rFonts w:hint="eastAsia" w:ascii="Times New Roman" w:hAnsi="Times New Roman"/>
                <w:spacing w:val="-6"/>
                <w:w w:val="100"/>
                <w:sz w:val="21"/>
                <w:szCs w:val="21"/>
                <w:lang w:val="en-US" w:eastAsia="zh-CN"/>
              </w:rPr>
              <w:t>A4</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5</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2</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到</w:t>
            </w:r>
            <w:r>
              <w:rPr>
                <w:rFonts w:hint="eastAsia" w:ascii="Times New Roman" w:hAnsi="Times New Roman" w:eastAsia="宋体" w:cs="Times New Roman"/>
                <w:spacing w:val="-6"/>
                <w:w w:val="100"/>
                <w:sz w:val="21"/>
                <w:szCs w:val="21"/>
                <w:lang w:eastAsia="zh-CN"/>
              </w:rPr>
              <w:t>2020</w:t>
            </w:r>
            <w:r>
              <w:rPr>
                <w:rFonts w:hint="eastAsia" w:ascii="Times New Roman" w:hAnsi="Times New Roman" w:eastAsia="宋体" w:cs="Times New Roman"/>
                <w:spacing w:val="-6"/>
                <w:w w:val="100"/>
                <w:sz w:val="21"/>
                <w:szCs w:val="21"/>
                <w:lang w:eastAsia="zh-CN"/>
              </w:rPr>
              <w:t>年，工业固体废物综合利用率持续提高</w:t>
            </w:r>
          </w:p>
        </w:tc>
        <w:tc>
          <w:tcPr>
            <w:tcW w:w="1326" w:type="dxa"/>
            <w:noWrap w:val="0"/>
            <w:vAlign w:val="center"/>
          </w:tcPr>
          <w:p>
            <w:pPr>
              <w:spacing w:line="240" w:lineRule="auto"/>
              <w:ind w:firstLine="0"/>
              <w:jc w:val="center"/>
              <w:rPr>
                <w:rFonts w:hint="eastAsia" w:ascii="Times New Roman" w:hAnsi="Times New Roman" w:cs="Times New Roman"/>
                <w:spacing w:val="-6"/>
                <w:w w:val="100"/>
                <w:sz w:val="21"/>
                <w:szCs w:val="21"/>
                <w:lang w:eastAsia="zh-CN"/>
              </w:rPr>
            </w:pPr>
            <w:r>
              <w:rPr>
                <w:rFonts w:hint="eastAsia" w:ascii="Times New Roman" w:hAnsi="Times New Roman" w:cs="Times New Roman"/>
                <w:spacing w:val="-6"/>
                <w:w w:val="100"/>
                <w:sz w:val="21"/>
                <w:szCs w:val="21"/>
                <w:lang w:eastAsia="zh-CN"/>
              </w:rPr>
              <w:t>本项目按要求规范处理固体废物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74" w:type="dxa"/>
            <w:gridSpan w:val="3"/>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自治区管控单元分区管控要求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eastAsia="宋体"/>
                <w:spacing w:val="-6"/>
                <w:w w:val="100"/>
                <w:sz w:val="21"/>
                <w:szCs w:val="21"/>
                <w:lang w:val="en-US" w:eastAsia="zh-CN"/>
              </w:rPr>
            </w:pPr>
            <w:r>
              <w:rPr>
                <w:rFonts w:hint="eastAsia" w:ascii="Times New Roman" w:hAnsi="Times New Roman" w:eastAsia="宋体"/>
                <w:spacing w:val="-6"/>
                <w:w w:val="100"/>
                <w:sz w:val="21"/>
                <w:szCs w:val="21"/>
                <w:lang w:val="en-US" w:eastAsia="zh-CN"/>
              </w:rPr>
              <w:t>A6</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eastAsia="宋体"/>
                <w:spacing w:val="-6"/>
                <w:w w:val="100"/>
                <w:sz w:val="21"/>
                <w:szCs w:val="21"/>
                <w:lang w:val="en-US" w:eastAsia="zh-CN"/>
              </w:rPr>
            </w:pPr>
            <w:r>
              <w:rPr>
                <w:rFonts w:hint="eastAsia" w:ascii="Times New Roman" w:hAnsi="Times New Roman" w:eastAsia="宋体"/>
                <w:spacing w:val="-6"/>
                <w:w w:val="100"/>
                <w:sz w:val="21"/>
                <w:szCs w:val="21"/>
                <w:lang w:val="en-US" w:eastAsia="zh-CN"/>
              </w:rPr>
              <w:t>A6</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2</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val="en-US" w:eastAsia="zh-CN"/>
              </w:rPr>
              <w:t>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val="en-US" w:eastAsia="zh-CN"/>
              </w:rPr>
            </w:pPr>
            <w:r>
              <w:rPr>
                <w:rFonts w:hint="eastAsia" w:ascii="Times New Roman" w:hAnsi="Times New Roman" w:eastAsia="宋体" w:cs="Times New Roman"/>
                <w:spacing w:val="-6"/>
                <w:w w:val="100"/>
                <w:sz w:val="21"/>
                <w:szCs w:val="21"/>
                <w:lang w:val="en-US" w:eastAsia="zh-CN"/>
              </w:rPr>
              <w:t>不涉及淘汰工艺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default" w:ascii="Times New Roman" w:hAnsi="Times New Roman" w:eastAsia="宋体"/>
                <w:spacing w:val="-6"/>
                <w:w w:val="100"/>
                <w:sz w:val="21"/>
                <w:szCs w:val="21"/>
                <w:lang w:val="en-US" w:eastAsia="zh-CN" w:bidi="ar-SA"/>
              </w:rPr>
            </w:pPr>
            <w:r>
              <w:rPr>
                <w:rFonts w:hint="eastAsia" w:ascii="Times New Roman" w:hAnsi="Times New Roman" w:eastAsia="宋体"/>
                <w:spacing w:val="-6"/>
                <w:w w:val="100"/>
                <w:sz w:val="21"/>
                <w:szCs w:val="21"/>
                <w:lang w:val="en-US" w:eastAsia="zh-CN"/>
              </w:rPr>
              <w:t>A6</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2</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val="en-US" w:eastAsia="zh-CN"/>
              </w:rPr>
            </w:pPr>
            <w:r>
              <w:rPr>
                <w:rFonts w:hint="eastAsia" w:ascii="Times New Roman" w:hAnsi="Times New Roman" w:eastAsia="宋体" w:cs="Times New Roman"/>
                <w:spacing w:val="-6"/>
                <w:w w:val="100"/>
                <w:sz w:val="21"/>
                <w:szCs w:val="21"/>
                <w:lang w:val="en-US" w:eastAsia="zh-CN"/>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val="en-US" w:eastAsia="zh-CN"/>
              </w:rPr>
            </w:pPr>
            <w:r>
              <w:rPr>
                <w:rFonts w:hint="eastAsia" w:ascii="Times New Roman" w:hAnsi="Times New Roman" w:eastAsia="宋体" w:cs="Times New Roman"/>
                <w:spacing w:val="-6"/>
                <w:w w:val="100"/>
                <w:sz w:val="21"/>
                <w:szCs w:val="21"/>
                <w:lang w:val="en-US" w:eastAsia="zh-CN"/>
              </w:rPr>
              <w:t>废水</w:t>
            </w:r>
            <w:r>
              <w:rPr>
                <w:rFonts w:hint="eastAsia" w:ascii="Times New Roman" w:hAnsi="Times New Roman" w:cs="Times New Roman"/>
                <w:spacing w:val="-6"/>
                <w:w w:val="100"/>
                <w:sz w:val="21"/>
                <w:szCs w:val="21"/>
                <w:lang w:val="en-US" w:eastAsia="zh-CN"/>
              </w:rPr>
              <w:t>经处理后</w:t>
            </w:r>
            <w:r>
              <w:rPr>
                <w:rFonts w:hint="eastAsia" w:eastAsia="宋体" w:cs="Times New Roman"/>
                <w:spacing w:val="-6"/>
                <w:w w:val="100"/>
                <w:sz w:val="21"/>
                <w:szCs w:val="21"/>
                <w:lang w:val="en-US" w:eastAsia="zh-CN"/>
              </w:rPr>
              <w:t>可达标</w:t>
            </w:r>
            <w:r>
              <w:rPr>
                <w:rFonts w:hint="eastAsia" w:ascii="Times New Roman" w:hAnsi="Times New Roman" w:eastAsia="宋体" w:cs="Times New Roman"/>
                <w:spacing w:val="-6"/>
                <w:w w:val="100"/>
                <w:sz w:val="21"/>
                <w:szCs w:val="21"/>
                <w:lang w:val="en-US" w:eastAsia="zh-CN"/>
              </w:rPr>
              <w:t>排放，</w:t>
            </w:r>
            <w:r>
              <w:rPr>
                <w:rFonts w:hint="eastAsia" w:eastAsia="宋体" w:cs="Times New Roman"/>
                <w:spacing w:val="-6"/>
                <w:w w:val="100"/>
                <w:sz w:val="21"/>
                <w:szCs w:val="21"/>
                <w:lang w:val="en-US" w:eastAsia="zh-CN"/>
              </w:rPr>
              <w:t>将</w:t>
            </w:r>
            <w:r>
              <w:rPr>
                <w:rFonts w:hint="eastAsia" w:ascii="Times New Roman" w:hAnsi="Times New Roman" w:eastAsia="宋体" w:cs="Times New Roman"/>
                <w:spacing w:val="-6"/>
                <w:w w:val="100"/>
                <w:sz w:val="21"/>
                <w:szCs w:val="21"/>
                <w:lang w:val="en-US" w:eastAsia="zh-CN"/>
              </w:rPr>
              <w:t>加强土壤和地下水</w:t>
            </w:r>
            <w:r>
              <w:rPr>
                <w:rFonts w:hint="eastAsia" w:eastAsia="宋体" w:cs="Times New Roman"/>
                <w:spacing w:val="-6"/>
                <w:w w:val="100"/>
                <w:sz w:val="21"/>
                <w:szCs w:val="21"/>
                <w:lang w:val="en-US" w:eastAsia="zh-CN"/>
              </w:rPr>
              <w:t>和土壤</w:t>
            </w:r>
            <w:r>
              <w:rPr>
                <w:rFonts w:hint="eastAsia" w:ascii="Times New Roman" w:hAnsi="Times New Roman" w:eastAsia="宋体" w:cs="Times New Roman"/>
                <w:spacing w:val="-6"/>
                <w:w w:val="100"/>
                <w:sz w:val="21"/>
                <w:szCs w:val="21"/>
                <w:lang w:val="en-US" w:eastAsia="zh-CN"/>
              </w:rPr>
              <w:t>防控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default" w:ascii="Times New Roman" w:hAnsi="Times New Roman" w:eastAsia="宋体"/>
                <w:spacing w:val="-6"/>
                <w:w w:val="100"/>
                <w:sz w:val="21"/>
                <w:szCs w:val="21"/>
                <w:lang w:val="en-US" w:eastAsia="zh-CN"/>
              </w:rPr>
            </w:pPr>
            <w:r>
              <w:rPr>
                <w:rFonts w:hint="eastAsia" w:ascii="Times New Roman" w:hAnsi="Times New Roman"/>
                <w:spacing w:val="-6"/>
                <w:w w:val="100"/>
                <w:sz w:val="21"/>
                <w:szCs w:val="21"/>
                <w:lang w:val="en-US" w:eastAsia="zh-CN"/>
              </w:rPr>
              <w:t>A6</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3</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val="en-US" w:eastAsia="zh-CN"/>
              </w:rPr>
            </w:pPr>
            <w:r>
              <w:rPr>
                <w:rFonts w:hint="eastAsia" w:ascii="Times New Roman" w:hAnsi="Times New Roman" w:eastAsia="宋体" w:cs="Times New Roman"/>
                <w:spacing w:val="-6"/>
                <w:w w:val="100"/>
                <w:sz w:val="21"/>
                <w:szCs w:val="21"/>
                <w:lang w:val="en-US" w:eastAsia="zh-CN"/>
              </w:rPr>
              <w:t>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val="en-US" w:eastAsia="zh-CN"/>
              </w:rPr>
            </w:pPr>
            <w:r>
              <w:rPr>
                <w:rFonts w:hint="eastAsia" w:ascii="Times New Roman" w:hAnsi="Times New Roman" w:cs="Times New Roman"/>
                <w:spacing w:val="-6"/>
                <w:w w:val="100"/>
                <w:sz w:val="21"/>
                <w:szCs w:val="21"/>
                <w:lang w:val="en-US" w:eastAsia="zh-CN"/>
              </w:rPr>
              <w:t>本项目按要求执行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firstLineChars="0"/>
              <w:jc w:val="center"/>
              <w:rPr>
                <w:rFonts w:hint="default" w:ascii="Times New Roman" w:hAnsi="Times New Roman"/>
                <w:spacing w:val="-6"/>
                <w:w w:val="100"/>
                <w:sz w:val="21"/>
                <w:szCs w:val="21"/>
                <w:lang w:val="en-US" w:eastAsia="zh-CN"/>
              </w:rPr>
            </w:pPr>
            <w:r>
              <w:rPr>
                <w:rFonts w:hint="eastAsia" w:ascii="Times New Roman" w:hAnsi="Times New Roman"/>
                <w:spacing w:val="-6"/>
                <w:w w:val="100"/>
                <w:sz w:val="21"/>
                <w:szCs w:val="21"/>
                <w:lang w:val="en-US" w:eastAsia="zh-CN"/>
              </w:rPr>
              <w:t>A6</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4</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1</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val="en-US" w:eastAsia="zh-CN"/>
              </w:rPr>
            </w:pPr>
            <w:r>
              <w:rPr>
                <w:rFonts w:hint="eastAsia" w:ascii="Times New Roman" w:hAnsi="Times New Roman" w:eastAsia="宋体" w:cs="Times New Roman"/>
                <w:spacing w:val="-6"/>
                <w:w w:val="100"/>
                <w:sz w:val="21"/>
                <w:szCs w:val="21"/>
                <w:lang w:val="en-US" w:eastAsia="zh-CN"/>
              </w:rPr>
              <w:t>推进工业集聚区生态化改造，强化企业清洁生产改造，推进节水型企业、节水型工业园区建设，提高资源能源利用效率</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val="en-US" w:eastAsia="zh-CN"/>
              </w:rPr>
            </w:pPr>
            <w:r>
              <w:rPr>
                <w:rFonts w:hint="eastAsia" w:ascii="Times New Roman" w:hAnsi="Times New Roman" w:cs="Times New Roman"/>
                <w:spacing w:val="-6"/>
                <w:w w:val="100"/>
                <w:sz w:val="21"/>
                <w:szCs w:val="21"/>
                <w:lang w:val="en-US" w:eastAsia="zh-CN"/>
              </w:rPr>
              <w:t>本项目按要求执行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174" w:type="dxa"/>
            <w:gridSpan w:val="3"/>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塔城地区管控单元分区管控要求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eastAsia="宋体"/>
                <w:spacing w:val="-6"/>
                <w:w w:val="100"/>
                <w:sz w:val="21"/>
                <w:szCs w:val="21"/>
                <w:lang w:val="en-US" w:eastAsia="zh-CN"/>
              </w:rPr>
            </w:pPr>
            <w:r>
              <w:rPr>
                <w:rFonts w:hint="eastAsia" w:ascii="Times New Roman" w:hAnsi="Times New Roman" w:eastAsia="宋体"/>
                <w:spacing w:val="-6"/>
                <w:w w:val="100"/>
                <w:sz w:val="21"/>
                <w:szCs w:val="21"/>
                <w:lang w:val="en-US" w:eastAsia="zh-CN"/>
              </w:rPr>
              <w:t>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5</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加快城市建城区重污染企业搬迁改造或关闭退出，推动实施一批水泥、平板玻璃、焦化、化工等重污染企业搬迁工程。退城搬迁的企业重点向地区级以上有该产业布局规划的园区集聚</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eastAsia="宋体"/>
                <w:spacing w:val="-6"/>
                <w:w w:val="100"/>
                <w:sz w:val="21"/>
                <w:szCs w:val="21"/>
                <w:lang w:val="en-US" w:eastAsia="zh-CN"/>
              </w:rPr>
            </w:pPr>
            <w:r>
              <w:rPr>
                <w:rFonts w:hint="eastAsia" w:ascii="Times New Roman" w:hAnsi="Times New Roman" w:eastAsia="宋体"/>
                <w:spacing w:val="-6"/>
                <w:w w:val="100"/>
                <w:sz w:val="21"/>
                <w:szCs w:val="21"/>
                <w:lang w:val="en-US" w:eastAsia="zh-CN"/>
              </w:rPr>
              <w:t>1</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6</w:t>
            </w:r>
          </w:p>
        </w:tc>
        <w:tc>
          <w:tcPr>
            <w:tcW w:w="7137"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严禁“三高”项目进塔城，对石化、有色、钢铁、建材、火电、煤炭、装备、纺织服装、轻工、电子产品制造十大产业类型，做好禁止类项目管控工作</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eastAsia="宋体"/>
                <w:spacing w:val="-6"/>
                <w:w w:val="100"/>
                <w:sz w:val="21"/>
                <w:szCs w:val="21"/>
                <w:lang w:val="en-US" w:eastAsia="zh-CN"/>
              </w:rPr>
            </w:pPr>
            <w:r>
              <w:rPr>
                <w:rFonts w:hint="eastAsia" w:ascii="Times New Roman" w:hAnsi="Times New Roman" w:eastAsia="宋体"/>
                <w:spacing w:val="-6"/>
                <w:w w:val="100"/>
                <w:sz w:val="21"/>
                <w:szCs w:val="21"/>
                <w:lang w:val="en-US" w:eastAsia="zh-CN"/>
              </w:rPr>
              <w:t>2</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1</w:t>
            </w:r>
          </w:p>
        </w:tc>
        <w:tc>
          <w:tcPr>
            <w:tcW w:w="7137" w:type="dxa"/>
            <w:noWrap w:val="0"/>
            <w:vAlign w:val="center"/>
          </w:tcPr>
          <w:p>
            <w:pPr>
              <w:pStyle w:val="72"/>
              <w:keepNext w:val="0"/>
              <w:keepLines w:val="0"/>
              <w:widowControl/>
              <w:suppressLineNumbers w:val="0"/>
              <w:ind w:left="0" w:leftChars="0" w:firstLine="0" w:firstLineChars="0"/>
              <w:jc w:val="left"/>
              <w:rPr>
                <w:rFonts w:hint="eastAsia" w:ascii="Times New Roman" w:hAnsi="Times New Roman" w:eastAsia="宋体" w:cs="Times New Roman"/>
                <w:spacing w:val="-6"/>
                <w:w w:val="100"/>
                <w:kern w:val="0"/>
                <w:sz w:val="21"/>
                <w:szCs w:val="21"/>
                <w:lang w:val="en-US" w:eastAsia="zh-CN" w:bidi="ar-SA"/>
              </w:rPr>
            </w:pPr>
            <w:r>
              <w:rPr>
                <w:rFonts w:hint="eastAsia" w:ascii="Times New Roman" w:hAnsi="Times New Roman" w:eastAsia="宋体" w:cs="Times New Roman"/>
                <w:spacing w:val="-6"/>
                <w:w w:val="100"/>
                <w:kern w:val="0"/>
                <w:sz w:val="21"/>
                <w:szCs w:val="21"/>
                <w:lang w:val="en-US" w:eastAsia="zh-CN" w:bidi="ar-SA"/>
              </w:rPr>
              <w:t>持续推进涉气工业污染源全面达标排放，将烟气在线监测数据作为执法依据，加大超标处罚和联合惩戒力度，未达标的企业一律依法停产整治，积极推进控制污染物排放许可制</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严格管理确保废气达标排放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eastAsia="宋体"/>
                <w:spacing w:val="-6"/>
                <w:w w:val="100"/>
                <w:sz w:val="21"/>
                <w:szCs w:val="21"/>
                <w:lang w:val="en-US" w:eastAsia="zh-CN"/>
              </w:rPr>
            </w:pPr>
            <w:r>
              <w:rPr>
                <w:rFonts w:hint="eastAsia" w:ascii="Times New Roman" w:hAnsi="Times New Roman" w:eastAsia="宋体"/>
                <w:spacing w:val="-6"/>
                <w:w w:val="100"/>
                <w:sz w:val="21"/>
                <w:szCs w:val="21"/>
                <w:lang w:val="en-US" w:eastAsia="zh-CN"/>
              </w:rPr>
              <w:t>2</w:t>
            </w:r>
            <w:r>
              <w:rPr>
                <w:rFonts w:hint="eastAsia" w:ascii="Times New Roman" w:eastAsia="宋体"/>
                <w:spacing w:val="-6"/>
                <w:w w:val="100"/>
                <w:sz w:val="21"/>
                <w:szCs w:val="21"/>
                <w:lang w:val="en-US" w:eastAsia="zh-CN"/>
              </w:rPr>
              <w:t>.</w:t>
            </w:r>
            <w:r>
              <w:rPr>
                <w:rFonts w:hint="eastAsia" w:ascii="Times New Roman" w:hAnsi="Times New Roman" w:eastAsia="宋体"/>
                <w:spacing w:val="-6"/>
                <w:w w:val="100"/>
                <w:sz w:val="21"/>
                <w:szCs w:val="21"/>
                <w:lang w:val="en-US" w:eastAsia="zh-CN"/>
              </w:rPr>
              <w:t>2</w:t>
            </w:r>
          </w:p>
        </w:tc>
        <w:tc>
          <w:tcPr>
            <w:tcW w:w="7137" w:type="dxa"/>
            <w:noWrap w:val="0"/>
            <w:vAlign w:val="center"/>
          </w:tcPr>
          <w:p>
            <w:pPr>
              <w:pStyle w:val="72"/>
              <w:keepNext w:val="0"/>
              <w:keepLines w:val="0"/>
              <w:widowControl/>
              <w:suppressLineNumbers w:val="0"/>
              <w:ind w:left="0" w:leftChars="0" w:firstLine="0" w:firstLineChars="0"/>
              <w:jc w:val="left"/>
              <w:rPr>
                <w:rFonts w:hint="eastAsia" w:ascii="Times New Roman" w:hAnsi="Times New Roman" w:eastAsia="宋体" w:cs="Times New Roman"/>
                <w:spacing w:val="-6"/>
                <w:w w:val="100"/>
                <w:kern w:val="0"/>
                <w:sz w:val="21"/>
                <w:szCs w:val="21"/>
                <w:lang w:val="en-US" w:eastAsia="zh-CN" w:bidi="ar-SA"/>
              </w:rPr>
            </w:pPr>
            <w:r>
              <w:rPr>
                <w:rFonts w:hint="eastAsia" w:ascii="Times New Roman" w:hAnsi="Times New Roman" w:eastAsia="宋体" w:cs="Times New Roman"/>
                <w:spacing w:val="-6"/>
                <w:w w:val="100"/>
                <w:kern w:val="0"/>
                <w:sz w:val="21"/>
                <w:szCs w:val="21"/>
                <w:lang w:val="en-US" w:eastAsia="zh-CN" w:bidi="ar-SA"/>
              </w:rPr>
              <w:t>对未完成上一年度主要污染物总量减排目标的地区（企业） 或未完成大气环境质量目标的地区，暂停该地区（企业）新增相关污染物排放建设项目的环评审批</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hAnsi="Times New Roman" w:eastAsia="宋体"/>
                <w:spacing w:val="-6"/>
                <w:w w:val="100"/>
                <w:sz w:val="21"/>
                <w:szCs w:val="21"/>
                <w:lang w:val="en-US" w:eastAsia="zh-CN"/>
              </w:rPr>
            </w:pPr>
            <w:r>
              <w:rPr>
                <w:rFonts w:hint="eastAsia" w:ascii="Times New Roman" w:hAnsi="Times New Roman"/>
                <w:spacing w:val="-6"/>
                <w:w w:val="100"/>
                <w:sz w:val="21"/>
                <w:szCs w:val="21"/>
                <w:lang w:val="en-US" w:eastAsia="zh-CN"/>
              </w:rPr>
              <w:t>3</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1</w:t>
            </w:r>
          </w:p>
        </w:tc>
        <w:tc>
          <w:tcPr>
            <w:tcW w:w="7137" w:type="dxa"/>
            <w:noWrap w:val="0"/>
            <w:vAlign w:val="center"/>
          </w:tcPr>
          <w:p>
            <w:pPr>
              <w:pStyle w:val="72"/>
              <w:keepNext w:val="0"/>
              <w:keepLines w:val="0"/>
              <w:widowControl/>
              <w:suppressLineNumbers w:val="0"/>
              <w:ind w:left="0" w:leftChars="0" w:firstLine="0" w:firstLineChars="0"/>
              <w:jc w:val="left"/>
              <w:rPr>
                <w:rFonts w:hint="eastAsia" w:ascii="Times New Roman" w:hAnsi="Times New Roman" w:eastAsia="宋体" w:cs="Times New Roman"/>
                <w:spacing w:val="-6"/>
                <w:w w:val="100"/>
                <w:kern w:val="0"/>
                <w:sz w:val="21"/>
                <w:szCs w:val="21"/>
                <w:lang w:val="en-US" w:eastAsia="zh-CN" w:bidi="ar-SA"/>
              </w:rPr>
            </w:pPr>
            <w:r>
              <w:rPr>
                <w:rFonts w:hint="eastAsia" w:ascii="Times New Roman" w:hAnsi="Times New Roman" w:eastAsia="宋体" w:cs="Times New Roman"/>
                <w:spacing w:val="-6"/>
                <w:w w:val="100"/>
                <w:kern w:val="0"/>
                <w:sz w:val="21"/>
                <w:szCs w:val="21"/>
                <w:lang w:val="en-US" w:eastAsia="zh-CN" w:bidi="ar-SA"/>
              </w:rPr>
              <w:t>完善环境突发事故应急预案，加强环境风险防控体系建设。大气污染联防联控区域制定环境风险应急预案，成立应急组织机构，定期开展应急风险排查工作。园区应建立危险源数据库，并动态更新。建立园区、企业、装置三级应急联动方案，强化区域环境风险应急防范能力</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cs="Times New Roman"/>
                <w:spacing w:val="-6"/>
                <w:w w:val="100"/>
                <w:sz w:val="21"/>
                <w:szCs w:val="21"/>
                <w:lang w:eastAsia="zh-CN"/>
              </w:rPr>
              <w:t>本项目实施后，按要求修编应急预案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hAnsi="Times New Roman" w:eastAsia="宋体"/>
                <w:spacing w:val="-6"/>
                <w:w w:val="100"/>
                <w:sz w:val="21"/>
                <w:szCs w:val="21"/>
                <w:lang w:val="en-US" w:eastAsia="zh-CN"/>
              </w:rPr>
            </w:pPr>
            <w:r>
              <w:rPr>
                <w:rFonts w:hint="eastAsia" w:ascii="Times New Roman" w:hAnsi="Times New Roman"/>
                <w:spacing w:val="-6"/>
                <w:w w:val="100"/>
                <w:sz w:val="21"/>
                <w:szCs w:val="21"/>
                <w:lang w:val="en-US" w:eastAsia="zh-CN"/>
              </w:rPr>
              <w:t>3</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2</w:t>
            </w:r>
          </w:p>
        </w:tc>
        <w:tc>
          <w:tcPr>
            <w:tcW w:w="7137" w:type="dxa"/>
            <w:noWrap w:val="0"/>
            <w:vAlign w:val="center"/>
          </w:tcPr>
          <w:p>
            <w:pPr>
              <w:pStyle w:val="72"/>
              <w:keepNext w:val="0"/>
              <w:keepLines w:val="0"/>
              <w:widowControl/>
              <w:suppressLineNumbers w:val="0"/>
              <w:ind w:left="0" w:leftChars="0" w:firstLine="0" w:firstLineChars="0"/>
              <w:jc w:val="left"/>
              <w:rPr>
                <w:rFonts w:hint="default" w:ascii="Times New Roman" w:hAnsi="Times New Roman" w:eastAsia="宋体" w:cs="Times New Roman"/>
                <w:spacing w:val="-6"/>
                <w:w w:val="100"/>
                <w:kern w:val="0"/>
                <w:sz w:val="21"/>
                <w:szCs w:val="21"/>
                <w:lang w:val="en-US" w:eastAsia="zh-CN" w:bidi="ar-SA"/>
              </w:rPr>
            </w:pPr>
            <w:r>
              <w:rPr>
                <w:rFonts w:hint="eastAsia" w:ascii="Times New Roman" w:hAnsi="Times New Roman" w:cs="Times New Roman"/>
                <w:spacing w:val="-6"/>
                <w:w w:val="100"/>
                <w:kern w:val="0"/>
                <w:sz w:val="21"/>
                <w:szCs w:val="21"/>
                <w:lang w:val="en-US" w:eastAsia="zh-CN" w:bidi="ar-SA"/>
              </w:rPr>
              <w:t>县级以上城市建城区原则上不再新建每小时</w:t>
            </w:r>
            <w:r>
              <w:rPr>
                <w:rFonts w:hint="eastAsia" w:ascii="Times New Roman" w:hAnsi="Times New Roman" w:cs="Times New Roman"/>
                <w:spacing w:val="-6"/>
                <w:w w:val="100"/>
                <w:kern w:val="0"/>
                <w:sz w:val="21"/>
                <w:szCs w:val="21"/>
                <w:lang w:val="en-US" w:eastAsia="zh-CN" w:bidi="ar-SA"/>
              </w:rPr>
              <w:t>35</w:t>
            </w:r>
            <w:r>
              <w:rPr>
                <w:rFonts w:hint="eastAsia" w:ascii="Times New Roman" w:hAnsi="Times New Roman" w:cs="Times New Roman"/>
                <w:spacing w:val="-6"/>
                <w:w w:val="100"/>
                <w:kern w:val="0"/>
                <w:sz w:val="21"/>
                <w:szCs w:val="21"/>
                <w:lang w:val="en-US" w:eastAsia="zh-CN" w:bidi="ar-SA"/>
              </w:rPr>
              <w:t>蒸吨以下的燃煤锅炉，其他地区原则上不再新建每小时</w:t>
            </w:r>
            <w:r>
              <w:rPr>
                <w:rFonts w:hint="eastAsia" w:ascii="Times New Roman" w:hAnsi="Times New Roman" w:cs="Times New Roman"/>
                <w:spacing w:val="-6"/>
                <w:w w:val="100"/>
                <w:kern w:val="0"/>
                <w:sz w:val="21"/>
                <w:szCs w:val="21"/>
                <w:lang w:val="en-US" w:eastAsia="zh-CN" w:bidi="ar-SA"/>
              </w:rPr>
              <w:t>10</w:t>
            </w:r>
            <w:r>
              <w:rPr>
                <w:rFonts w:hint="eastAsia" w:ascii="Times New Roman" w:hAnsi="Times New Roman" w:cs="Times New Roman"/>
                <w:spacing w:val="-6"/>
                <w:w w:val="100"/>
                <w:kern w:val="0"/>
                <w:sz w:val="21"/>
                <w:szCs w:val="21"/>
                <w:lang w:val="en-US" w:eastAsia="zh-CN" w:bidi="ar-SA"/>
              </w:rPr>
              <w:t>蒸吨以下的燃煤锅炉。“乌昌石”“奎独乌”区域各县级及以上城市建成区以及国家级、自治区级工业园区禁止新建每小时</w:t>
            </w:r>
            <w:r>
              <w:rPr>
                <w:rFonts w:hint="eastAsia" w:ascii="Times New Roman" w:hAnsi="Times New Roman" w:cs="Times New Roman"/>
                <w:spacing w:val="-6"/>
                <w:w w:val="100"/>
                <w:kern w:val="0"/>
                <w:sz w:val="21"/>
                <w:szCs w:val="21"/>
                <w:lang w:val="en-US" w:eastAsia="zh-CN" w:bidi="ar-SA"/>
              </w:rPr>
              <w:t>65</w:t>
            </w:r>
            <w:r>
              <w:rPr>
                <w:rFonts w:hint="eastAsia" w:ascii="Times New Roman" w:hAnsi="Times New Roman" w:cs="Times New Roman"/>
                <w:spacing w:val="-6"/>
                <w:w w:val="100"/>
                <w:kern w:val="0"/>
                <w:sz w:val="21"/>
                <w:szCs w:val="21"/>
                <w:lang w:val="en-US" w:eastAsia="zh-CN" w:bidi="ar-SA"/>
              </w:rPr>
              <w:t>吨以下燃煤锅炉</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cs="Times New Roman"/>
                <w:spacing w:val="-6"/>
                <w:w w:val="100"/>
                <w:sz w:val="21"/>
                <w:szCs w:val="21"/>
                <w:lang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pPr>
              <w:spacing w:line="240" w:lineRule="auto"/>
              <w:ind w:firstLine="0"/>
              <w:jc w:val="center"/>
              <w:rPr>
                <w:rFonts w:hint="default" w:ascii="Times New Roman" w:eastAsia="宋体"/>
                <w:spacing w:val="-6"/>
                <w:w w:val="100"/>
                <w:sz w:val="21"/>
                <w:szCs w:val="21"/>
                <w:lang w:val="en-US" w:eastAsia="zh-CN"/>
              </w:rPr>
            </w:pPr>
            <w:r>
              <w:rPr>
                <w:rFonts w:hint="eastAsia" w:ascii="Times New Roman" w:hAnsi="Times New Roman" w:eastAsia="宋体"/>
                <w:spacing w:val="-6"/>
                <w:w w:val="100"/>
                <w:sz w:val="21"/>
                <w:szCs w:val="21"/>
                <w:lang w:val="en-US" w:eastAsia="zh-CN"/>
              </w:rPr>
              <w:t>4</w:t>
            </w:r>
            <w:r>
              <w:rPr>
                <w:rFonts w:hint="eastAsia" w:ascii="Times New Roman" w:eastAsia="宋体"/>
                <w:spacing w:val="-6"/>
                <w:w w:val="100"/>
                <w:sz w:val="21"/>
                <w:szCs w:val="21"/>
                <w:lang w:val="en-US" w:eastAsia="zh-CN"/>
              </w:rPr>
              <w:t>.</w:t>
            </w:r>
            <w:r>
              <w:rPr>
                <w:rFonts w:hint="eastAsia" w:ascii="Times New Roman" w:hAnsi="Times New Roman"/>
                <w:spacing w:val="-6"/>
                <w:w w:val="100"/>
                <w:sz w:val="21"/>
                <w:szCs w:val="21"/>
                <w:lang w:val="en-US" w:eastAsia="zh-CN"/>
              </w:rPr>
              <w:t>3</w:t>
            </w:r>
          </w:p>
        </w:tc>
        <w:tc>
          <w:tcPr>
            <w:tcW w:w="7137" w:type="dxa"/>
            <w:noWrap w:val="0"/>
            <w:vAlign w:val="center"/>
          </w:tcPr>
          <w:p>
            <w:pPr>
              <w:pStyle w:val="72"/>
              <w:keepNext w:val="0"/>
              <w:keepLines w:val="0"/>
              <w:widowControl/>
              <w:suppressLineNumbers w:val="0"/>
              <w:ind w:left="0" w:leftChars="0" w:firstLine="0" w:firstLineChars="0"/>
              <w:rPr>
                <w:rFonts w:hint="eastAsia" w:ascii="Times New Roman" w:hAnsi="Times New Roman" w:eastAsia="宋体" w:cs="Times New Roman"/>
                <w:spacing w:val="-6"/>
                <w:w w:val="100"/>
                <w:sz w:val="21"/>
                <w:szCs w:val="20"/>
                <w:lang w:eastAsia="zh-CN"/>
              </w:rPr>
            </w:pPr>
            <w:r>
              <w:rPr>
                <w:rFonts w:hint="eastAsia" w:ascii="Times New Roman" w:hAnsi="Times New Roman" w:eastAsia="宋体" w:cs="Times New Roman"/>
                <w:spacing w:val="-6"/>
                <w:w w:val="100"/>
                <w:kern w:val="0"/>
                <w:sz w:val="21"/>
                <w:szCs w:val="21"/>
                <w:lang w:val="en-US" w:eastAsia="zh-CN" w:bidi="ar-SA"/>
              </w:rPr>
              <w:t>对地下水超采区采取高效节水、退灌减水、水源置换和机井封填等工程措施，控制超采区地下水位下降速率。到</w:t>
            </w:r>
            <w:r>
              <w:rPr>
                <w:rFonts w:hint="eastAsia" w:ascii="Times New Roman" w:hAnsi="Times New Roman" w:eastAsia="宋体" w:cs="Times New Roman"/>
                <w:spacing w:val="-6"/>
                <w:w w:val="100"/>
                <w:kern w:val="0"/>
                <w:sz w:val="21"/>
                <w:szCs w:val="21"/>
                <w:lang w:val="en-US" w:eastAsia="zh-CN" w:bidi="ar-SA"/>
              </w:rPr>
              <w:t>2025</w:t>
            </w:r>
            <w:r>
              <w:rPr>
                <w:rFonts w:hint="eastAsia" w:ascii="Times New Roman" w:hAnsi="Times New Roman" w:eastAsia="宋体" w:cs="Times New Roman"/>
                <w:spacing w:val="-6"/>
                <w:w w:val="100"/>
                <w:kern w:val="0"/>
                <w:sz w:val="21"/>
                <w:szCs w:val="21"/>
                <w:lang w:val="en-US" w:eastAsia="zh-CN" w:bidi="ar-SA"/>
              </w:rPr>
              <w:t>年，超采区地下水位下降速率最大值不超过</w:t>
            </w:r>
            <w:r>
              <w:rPr>
                <w:rFonts w:hint="eastAsia" w:ascii="Times New Roman" w:hAnsi="Times New Roman" w:eastAsia="宋体" w:cs="Times New Roman"/>
                <w:spacing w:val="-6"/>
                <w:w w:val="100"/>
                <w:kern w:val="0"/>
                <w:sz w:val="21"/>
                <w:szCs w:val="21"/>
                <w:lang w:val="en-US" w:eastAsia="zh-CN" w:bidi="ar-SA"/>
              </w:rPr>
              <w:t>0</w:t>
            </w:r>
            <w:r>
              <w:rPr>
                <w:rFonts w:hint="eastAsia" w:ascii="Times New Roman" w:hAnsi="Times New Roman" w:eastAsia="宋体" w:cs="Times New Roman"/>
                <w:spacing w:val="-6"/>
                <w:w w:val="100"/>
                <w:kern w:val="0"/>
                <w:sz w:val="21"/>
                <w:szCs w:val="21"/>
                <w:lang w:val="en-US" w:eastAsia="zh-CN" w:bidi="ar-SA"/>
              </w:rPr>
              <w:t>.</w:t>
            </w:r>
            <w:r>
              <w:rPr>
                <w:rFonts w:hint="eastAsia" w:ascii="Times New Roman" w:hAnsi="Times New Roman" w:eastAsia="宋体" w:cs="Times New Roman"/>
                <w:spacing w:val="-6"/>
                <w:w w:val="100"/>
                <w:kern w:val="0"/>
                <w:sz w:val="21"/>
                <w:szCs w:val="21"/>
                <w:lang w:val="en-US" w:eastAsia="zh-CN" w:bidi="ar-SA"/>
              </w:rPr>
              <w:t>50m</w:t>
            </w:r>
            <w:r>
              <w:rPr>
                <w:rFonts w:hint="eastAsia" w:ascii="Times New Roman" w:hAnsi="Times New Roman" w:eastAsia="宋体" w:cs="Times New Roman"/>
                <w:spacing w:val="-6"/>
                <w:w w:val="100"/>
                <w:kern w:val="0"/>
                <w:sz w:val="21"/>
                <w:szCs w:val="21"/>
                <w:lang w:val="en-US" w:eastAsia="zh-CN" w:bidi="ar-SA"/>
              </w:rPr>
              <w:t>/</w:t>
            </w:r>
            <w:r>
              <w:rPr>
                <w:rFonts w:hint="eastAsia" w:ascii="Times New Roman" w:hAnsi="Times New Roman" w:eastAsia="宋体" w:cs="Times New Roman"/>
                <w:spacing w:val="-6"/>
                <w:w w:val="100"/>
                <w:kern w:val="0"/>
                <w:sz w:val="21"/>
                <w:szCs w:val="21"/>
                <w:lang w:val="en-US" w:eastAsia="zh-CN" w:bidi="ar-SA"/>
              </w:rPr>
              <w:t>a</w:t>
            </w:r>
            <w:r>
              <w:rPr>
                <w:rFonts w:hint="eastAsia" w:ascii="Times New Roman" w:hAnsi="Times New Roman" w:eastAsia="宋体" w:cs="Times New Roman"/>
                <w:spacing w:val="-6"/>
                <w:w w:val="100"/>
                <w:kern w:val="0"/>
                <w:sz w:val="21"/>
                <w:szCs w:val="21"/>
                <w:lang w:val="en-US" w:eastAsia="zh-CN" w:bidi="ar-SA"/>
              </w:rPr>
              <w:t>，平均水位下降速率不得超过</w:t>
            </w:r>
            <w:r>
              <w:rPr>
                <w:rFonts w:hint="eastAsia" w:ascii="Times New Roman" w:hAnsi="Times New Roman" w:eastAsia="宋体" w:cs="Times New Roman"/>
                <w:spacing w:val="-6"/>
                <w:w w:val="100"/>
                <w:kern w:val="0"/>
                <w:sz w:val="21"/>
                <w:szCs w:val="21"/>
                <w:lang w:val="en-US" w:eastAsia="zh-CN" w:bidi="ar-SA"/>
              </w:rPr>
              <w:t>0</w:t>
            </w:r>
            <w:r>
              <w:rPr>
                <w:rFonts w:hint="eastAsia" w:ascii="Times New Roman" w:hAnsi="Times New Roman" w:eastAsia="宋体" w:cs="Times New Roman"/>
                <w:spacing w:val="-6"/>
                <w:w w:val="100"/>
                <w:kern w:val="0"/>
                <w:sz w:val="21"/>
                <w:szCs w:val="21"/>
                <w:lang w:val="en-US" w:eastAsia="zh-CN" w:bidi="ar-SA"/>
              </w:rPr>
              <w:t>.</w:t>
            </w:r>
            <w:r>
              <w:rPr>
                <w:rFonts w:hint="eastAsia" w:ascii="Times New Roman" w:hAnsi="Times New Roman" w:eastAsia="宋体" w:cs="Times New Roman"/>
                <w:spacing w:val="-6"/>
                <w:w w:val="100"/>
                <w:kern w:val="0"/>
                <w:sz w:val="21"/>
                <w:szCs w:val="21"/>
                <w:lang w:val="en-US" w:eastAsia="zh-CN" w:bidi="ar-SA"/>
              </w:rPr>
              <w:t>20m</w:t>
            </w:r>
            <w:r>
              <w:rPr>
                <w:rFonts w:hint="eastAsia" w:ascii="Times New Roman" w:hAnsi="Times New Roman" w:eastAsia="宋体" w:cs="Times New Roman"/>
                <w:spacing w:val="-6"/>
                <w:w w:val="100"/>
                <w:kern w:val="0"/>
                <w:sz w:val="21"/>
                <w:szCs w:val="21"/>
                <w:lang w:val="en-US" w:eastAsia="zh-CN" w:bidi="ar-SA"/>
              </w:rPr>
              <w:t>/</w:t>
            </w:r>
            <w:r>
              <w:rPr>
                <w:rFonts w:hint="eastAsia" w:ascii="Times New Roman" w:hAnsi="Times New Roman" w:eastAsia="宋体" w:cs="Times New Roman"/>
                <w:spacing w:val="-6"/>
                <w:w w:val="100"/>
                <w:kern w:val="0"/>
                <w:sz w:val="21"/>
                <w:szCs w:val="21"/>
                <w:lang w:val="en-US" w:eastAsia="zh-CN" w:bidi="ar-SA"/>
              </w:rPr>
              <w:t>a</w:t>
            </w:r>
            <w:r>
              <w:rPr>
                <w:rFonts w:hint="eastAsia" w:ascii="Times New Roman" w:hAnsi="Times New Roman" w:eastAsia="宋体" w:cs="Times New Roman"/>
                <w:spacing w:val="-6"/>
                <w:w w:val="100"/>
                <w:kern w:val="0"/>
                <w:sz w:val="21"/>
                <w:szCs w:val="21"/>
                <w:lang w:val="en-US" w:eastAsia="zh-CN" w:bidi="ar-SA"/>
              </w:rPr>
              <w:t>；到</w:t>
            </w:r>
            <w:r>
              <w:rPr>
                <w:rFonts w:hint="eastAsia" w:ascii="Times New Roman" w:hAnsi="Times New Roman" w:eastAsia="宋体" w:cs="Times New Roman"/>
                <w:spacing w:val="-6"/>
                <w:w w:val="100"/>
                <w:kern w:val="0"/>
                <w:sz w:val="21"/>
                <w:szCs w:val="21"/>
                <w:lang w:val="en-US" w:eastAsia="zh-CN" w:bidi="ar-SA"/>
              </w:rPr>
              <w:t>2030</w:t>
            </w:r>
            <w:r>
              <w:rPr>
                <w:rFonts w:hint="eastAsia" w:ascii="Times New Roman" w:hAnsi="Times New Roman" w:eastAsia="宋体" w:cs="Times New Roman"/>
                <w:spacing w:val="-6"/>
                <w:w w:val="100"/>
                <w:kern w:val="0"/>
                <w:sz w:val="21"/>
                <w:szCs w:val="21"/>
                <w:lang w:val="en-US" w:eastAsia="zh-CN" w:bidi="ar-SA"/>
              </w:rPr>
              <w:t>年，全部超采区地下水位基本稳定，超采区地下水位下降速率控制在</w:t>
            </w:r>
            <w:r>
              <w:rPr>
                <w:rFonts w:hint="eastAsia" w:ascii="Times New Roman" w:hAnsi="Times New Roman" w:eastAsia="宋体" w:cs="Times New Roman"/>
                <w:spacing w:val="-6"/>
                <w:w w:val="100"/>
                <w:kern w:val="0"/>
                <w:sz w:val="21"/>
                <w:szCs w:val="21"/>
                <w:lang w:val="en-US" w:eastAsia="zh-CN" w:bidi="ar-SA"/>
              </w:rPr>
              <w:t>0</w:t>
            </w:r>
            <w:r>
              <w:rPr>
                <w:rFonts w:hint="eastAsia" w:ascii="Times New Roman" w:hAnsi="Times New Roman" w:eastAsia="宋体" w:cs="Times New Roman"/>
                <w:spacing w:val="-6"/>
                <w:w w:val="100"/>
                <w:kern w:val="0"/>
                <w:sz w:val="21"/>
                <w:szCs w:val="21"/>
                <w:lang w:val="en-US" w:eastAsia="zh-CN" w:bidi="ar-SA"/>
              </w:rPr>
              <w:t>.</w:t>
            </w:r>
            <w:r>
              <w:rPr>
                <w:rFonts w:hint="eastAsia" w:ascii="Times New Roman" w:hAnsi="Times New Roman" w:eastAsia="宋体" w:cs="Times New Roman"/>
                <w:spacing w:val="-6"/>
                <w:w w:val="100"/>
                <w:kern w:val="0"/>
                <w:sz w:val="21"/>
                <w:szCs w:val="21"/>
                <w:lang w:val="en-US" w:eastAsia="zh-CN" w:bidi="ar-SA"/>
              </w:rPr>
              <w:t>10m</w:t>
            </w:r>
            <w:r>
              <w:rPr>
                <w:rFonts w:hint="eastAsia" w:ascii="Times New Roman" w:hAnsi="Times New Roman" w:eastAsia="宋体" w:cs="Times New Roman"/>
                <w:spacing w:val="-6"/>
                <w:w w:val="100"/>
                <w:kern w:val="0"/>
                <w:sz w:val="21"/>
                <w:szCs w:val="21"/>
                <w:lang w:val="en-US" w:eastAsia="zh-CN" w:bidi="ar-SA"/>
              </w:rPr>
              <w:t>/</w:t>
            </w:r>
            <w:r>
              <w:rPr>
                <w:rFonts w:hint="eastAsia" w:ascii="Times New Roman" w:hAnsi="Times New Roman" w:eastAsia="宋体" w:cs="Times New Roman"/>
                <w:spacing w:val="-6"/>
                <w:w w:val="100"/>
                <w:kern w:val="0"/>
                <w:sz w:val="21"/>
                <w:szCs w:val="21"/>
                <w:lang w:val="en-US" w:eastAsia="zh-CN" w:bidi="ar-SA"/>
              </w:rPr>
              <w:t>a</w:t>
            </w:r>
            <w:r>
              <w:rPr>
                <w:rFonts w:hint="eastAsia" w:ascii="Times New Roman" w:hAnsi="Times New Roman" w:eastAsia="宋体" w:cs="Times New Roman"/>
                <w:spacing w:val="-6"/>
                <w:w w:val="100"/>
                <w:kern w:val="0"/>
                <w:sz w:val="21"/>
                <w:szCs w:val="21"/>
                <w:lang w:val="en-US" w:eastAsia="zh-CN" w:bidi="ar-SA"/>
              </w:rPr>
              <w:t>以内。</w:t>
            </w:r>
          </w:p>
        </w:tc>
        <w:tc>
          <w:tcPr>
            <w:tcW w:w="1326" w:type="dxa"/>
            <w:noWrap w:val="0"/>
            <w:vAlign w:val="center"/>
          </w:tcPr>
          <w:p>
            <w:pPr>
              <w:spacing w:line="240" w:lineRule="auto"/>
              <w:ind w:firstLine="0"/>
              <w:jc w:val="center"/>
              <w:rPr>
                <w:rFonts w:hint="eastAsia" w:ascii="Times New Roman" w:hAnsi="Times New Roman" w:eastAsia="宋体" w:cs="Times New Roman"/>
                <w:spacing w:val="-6"/>
                <w:w w:val="100"/>
                <w:sz w:val="21"/>
                <w:szCs w:val="21"/>
                <w:lang w:eastAsia="zh-CN"/>
              </w:rPr>
            </w:pPr>
            <w:r>
              <w:rPr>
                <w:rFonts w:hint="eastAsia" w:ascii="Times New Roman" w:hAnsi="Times New Roman" w:eastAsia="宋体" w:cs="Times New Roman"/>
                <w:spacing w:val="-6"/>
                <w:w w:val="100"/>
                <w:sz w:val="21"/>
                <w:szCs w:val="21"/>
                <w:lang w:eastAsia="zh-CN"/>
              </w:rPr>
              <w:t>项目用水来自园区供水，不采用地下水</w:t>
            </w:r>
          </w:p>
        </w:tc>
      </w:tr>
    </w:tbl>
    <w:p>
      <w:pPr>
        <w:bidi w:val="0"/>
        <w:rPr>
          <w:rFonts w:hint="eastAsia"/>
          <w:lang w:eastAsia="zh-CN"/>
        </w:rPr>
      </w:pPr>
      <w:r>
        <w:rPr>
          <w:rFonts w:hint="eastAsia"/>
          <w:lang w:eastAsia="zh-CN"/>
        </w:rPr>
        <w:t>本项目</w:t>
      </w:r>
      <w:r>
        <w:rPr>
          <w:rFonts w:hint="eastAsia"/>
          <w:lang w:val="en-US" w:eastAsia="zh-CN"/>
        </w:rPr>
        <w:t>不属于重点行业，项目位于大气污染重点控制区，大气污染物将执行特别排放标准，符合《塔城地区“三线一单”生态环境分区管控方案》相关要求。</w:t>
      </w:r>
      <w:r>
        <w:rPr>
          <w:rFonts w:hint="default"/>
          <w:lang w:eastAsia="zh-CN"/>
        </w:rPr>
        <w:t>本项目与</w:t>
      </w:r>
      <w:r>
        <w:rPr>
          <w:rFonts w:hint="eastAsia"/>
          <w:lang w:eastAsia="zh-CN"/>
        </w:rPr>
        <w:t>塔城地区</w:t>
      </w:r>
      <w:r>
        <w:rPr>
          <w:rFonts w:hint="default"/>
          <w:lang w:eastAsia="zh-CN"/>
        </w:rPr>
        <w:t>环境管控单元图的位置关系如</w:t>
      </w:r>
      <w:r>
        <w:rPr>
          <w:rFonts w:hint="default"/>
          <w:color w:val="FF0000"/>
          <w:lang w:eastAsia="zh-CN"/>
        </w:rPr>
        <w:t>图</w:t>
      </w:r>
      <w:r>
        <w:rPr>
          <w:rFonts w:hint="default" w:ascii="Times New Roman" w:hAnsi="Times New Roman"/>
          <w:color w:val="FF0000"/>
          <w:lang w:val="en-US" w:eastAsia="zh-CN"/>
        </w:rPr>
        <w:t>1</w:t>
      </w:r>
      <w:r>
        <w:rPr>
          <w:rFonts w:hint="eastAsia"/>
          <w:color w:val="FF0000"/>
          <w:lang w:val="en-US" w:eastAsia="zh-CN"/>
        </w:rPr>
        <w:t>.</w:t>
      </w:r>
      <w:r>
        <w:rPr>
          <w:rFonts w:hint="eastAsia" w:ascii="Times New Roman" w:hAnsi="Times New Roman"/>
          <w:color w:val="FF0000"/>
          <w:lang w:val="en-US" w:eastAsia="zh-CN"/>
        </w:rPr>
        <w:t>4</w:t>
      </w:r>
      <w:r>
        <w:rPr>
          <w:rFonts w:hint="eastAsia"/>
          <w:color w:val="FF0000"/>
          <w:lang w:val="en-US" w:eastAsia="zh-CN"/>
        </w:rPr>
        <w:t>-</w:t>
      </w:r>
      <w:r>
        <w:rPr>
          <w:rFonts w:hint="eastAsia" w:ascii="Times New Roman" w:hAnsi="Times New Roman"/>
          <w:color w:val="FF0000"/>
          <w:lang w:val="en-US" w:eastAsia="zh-CN"/>
        </w:rPr>
        <w:t>1</w:t>
      </w:r>
      <w:r>
        <w:rPr>
          <w:rFonts w:hint="default"/>
        </w:rPr>
        <w:t>。</w:t>
      </w:r>
    </w:p>
    <w:p>
      <w:pPr>
        <w:pStyle w:val="5"/>
        <w:bidi w:val="0"/>
        <w:rPr>
          <w:rFonts w:hint="eastAsia"/>
          <w:lang w:val="en-US" w:eastAsia="zh-CN"/>
        </w:rPr>
      </w:pPr>
      <w:bookmarkStart w:id="36" w:name="_Toc332975137"/>
      <w:bookmarkStart w:id="37" w:name="_Toc341867030"/>
      <w:bookmarkStart w:id="38" w:name="_Toc2021"/>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6</w:t>
      </w:r>
      <w:r>
        <w:rPr>
          <w:rFonts w:hint="eastAsia"/>
          <w:lang w:val="en-US" w:eastAsia="zh-CN"/>
        </w:rPr>
        <w:t>选址合理性分析</w:t>
      </w:r>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）区域环境敏感性</w:t>
      </w:r>
    </w:p>
    <w:p>
      <w:pPr>
        <w:rPr>
          <w:rFonts w:hint="eastAsia"/>
          <w:lang w:val="en-US" w:eastAsia="zh-CN"/>
        </w:rPr>
      </w:pPr>
      <w:r>
        <w:rPr>
          <w:rFonts w:hint="eastAsia"/>
          <w:lang w:val="en-US" w:eastAsia="zh-CN"/>
        </w:rPr>
        <w:t>项目选址位于乌苏工业园区西区，凯赛（乌苏）生物材料有限公司厂内，属于生物化工下游的化工产业，根据已批复总体规划和规划环评审查意见，本项目符合园区规划产业定位和用地规划。经调查，本项目周边均为工业企业，所在区域不属于特殊或</w:t>
      </w:r>
      <w:r>
        <w:rPr>
          <w:rFonts w:hint="default" w:ascii="Times New Roman" w:hAnsi="Times New Roman" w:cs="Times New Roman"/>
          <w:bCs/>
          <w:color w:val="auto"/>
        </w:rPr>
        <w:t>重要生态敏感区，附近无国家及省级确定的风景名胜区、历史遗迹等保护区，无地表水</w:t>
      </w:r>
      <w:r>
        <w:rPr>
          <w:rFonts w:hint="eastAsia" w:ascii="Times New Roman" w:hAnsi="Times New Roman" w:cs="Times New Roman"/>
          <w:bCs/>
          <w:color w:val="auto"/>
          <w:lang w:eastAsia="zh-CN"/>
        </w:rPr>
        <w:t>、地下水水源地</w:t>
      </w:r>
      <w:r>
        <w:rPr>
          <w:rFonts w:hint="default" w:ascii="Times New Roman" w:hAnsi="Times New Roman" w:cs="Times New Roman"/>
          <w:bCs/>
          <w:color w:val="auto"/>
        </w:rPr>
        <w:t>分布，也无重点保护生态品种及濒危生物物种，文物古迹等</w:t>
      </w:r>
      <w:r>
        <w:rPr>
          <w:rFonts w:hint="eastAsia"/>
          <w:lang w:val="en-US" w:eastAsia="zh-CN"/>
        </w:rPr>
        <w:t>。</w:t>
      </w:r>
    </w:p>
    <w:p>
      <w:pPr>
        <w:rPr>
          <w:rFonts w:hint="eastAsia"/>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）区域环境承载力分析</w:t>
      </w:r>
    </w:p>
    <w:p>
      <w:r>
        <w:rPr>
          <w:rFonts w:hint="eastAsia"/>
        </w:rPr>
        <w:t>项目所在区域属于环境空气质量达标区，项目所在区域地形平坦开阔，有利于大气污染物的输送和扩散。项目实施总量倍量替代削减后，区域</w:t>
      </w:r>
      <w:r>
        <w:rPr>
          <w:rFonts w:hint="eastAsia"/>
          <w:lang w:eastAsia="zh-CN"/>
        </w:rPr>
        <w:t>相关污染物</w:t>
      </w:r>
      <w:r>
        <w:rPr>
          <w:rFonts w:hint="eastAsia"/>
        </w:rPr>
        <w:t>将进一步减少。</w:t>
      </w:r>
      <w:r>
        <w:rPr>
          <w:rFonts w:hint="eastAsia"/>
          <w:lang w:eastAsia="zh-CN"/>
        </w:rPr>
        <w:t>项目与周围水体无水力联系，</w:t>
      </w:r>
      <w:r>
        <w:rPr>
          <w:rFonts w:hint="eastAsia"/>
        </w:rPr>
        <w:t>区域地下水满足水环境功能要求，</w:t>
      </w:r>
      <w:r>
        <w:rPr>
          <w:rFonts w:hint="eastAsia"/>
          <w:lang w:eastAsia="zh-CN"/>
        </w:rPr>
        <w:t>本项目生产工艺本身不耗水，给水主要用于装置地面冲洗和员工办公生活等，用水量很小。</w:t>
      </w:r>
      <w:r>
        <w:rPr>
          <w:rFonts w:hint="eastAsia"/>
        </w:rPr>
        <w:t>评价区环境噪声满足《声环境质量标准》（</w:t>
      </w:r>
      <w:r>
        <w:rPr>
          <w:rFonts w:hint="eastAsia" w:ascii="Times New Roman" w:hAnsi="Times New Roman"/>
        </w:rPr>
        <w:t>GB3096</w:t>
      </w:r>
      <w:r>
        <w:rPr>
          <w:rFonts w:hint="eastAsia"/>
        </w:rPr>
        <w:t>-</w:t>
      </w:r>
      <w:r>
        <w:rPr>
          <w:rFonts w:hint="eastAsia" w:ascii="Times New Roman" w:hAnsi="Times New Roman"/>
        </w:rPr>
        <w:t>2008</w:t>
      </w:r>
      <w:r>
        <w:rPr>
          <w:rFonts w:hint="eastAsia"/>
        </w:rPr>
        <w:t>）中的</w:t>
      </w:r>
      <w:r>
        <w:rPr>
          <w:rFonts w:hint="eastAsia" w:ascii="Times New Roman" w:hAnsi="Times New Roman"/>
        </w:rPr>
        <w:t>3</w:t>
      </w:r>
      <w:r>
        <w:rPr>
          <w:rFonts w:hint="eastAsia"/>
        </w:rPr>
        <w:t>类标准，且厂区周围</w:t>
      </w:r>
      <w:r>
        <w:rPr>
          <w:rFonts w:hint="eastAsia"/>
          <w:lang w:eastAsia="zh-CN"/>
        </w:rPr>
        <w:t>无</w:t>
      </w:r>
      <w:r>
        <w:rPr>
          <w:rFonts w:hint="eastAsia"/>
        </w:rPr>
        <w:t>声环境敏感目标。经分析，项目实施后，</w:t>
      </w:r>
      <w:r>
        <w:t>污染物</w:t>
      </w:r>
      <w:r>
        <w:rPr>
          <w:rFonts w:hint="eastAsia"/>
          <w:lang w:eastAsia="zh-CN"/>
        </w:rPr>
        <w:t>均</w:t>
      </w:r>
      <w:r>
        <w:rPr>
          <w:rFonts w:hint="eastAsia"/>
        </w:rPr>
        <w:t>可</w:t>
      </w:r>
      <w:r>
        <w:t>达标排放，对区域环境影响不大，区域环境仍可保持现有功能水平。</w:t>
      </w:r>
    </w:p>
    <w:p>
      <w:pPr>
        <w:rPr>
          <w:rFonts w:hint="eastAsia" w:eastAsia="宋体"/>
          <w:lang w:val="en-US" w:eastAsia="zh-CN"/>
        </w:rPr>
      </w:pPr>
      <w:r>
        <w:rPr>
          <w:rFonts w:hint="eastAsia"/>
          <w:lang w:eastAsia="zh-CN"/>
        </w:rPr>
        <w:t>综上，从环境保护角度，项目选址可行。</w:t>
      </w:r>
    </w:p>
    <w:p>
      <w:pPr>
        <w:pStyle w:val="4"/>
        <w:spacing w:before="156" w:after="156"/>
        <w:rPr>
          <w:rFonts w:hint="eastAsia"/>
        </w:rPr>
      </w:pPr>
      <w:bookmarkStart w:id="39" w:name="_Toc14218"/>
      <w:r>
        <w:rPr>
          <w:rFonts w:hint="eastAsia" w:ascii="Times New Roman" w:hAnsi="Times New Roman"/>
        </w:rPr>
        <w:t>1</w:t>
      </w:r>
      <w:r>
        <w:rPr>
          <w:rFonts w:hint="eastAsia"/>
        </w:rPr>
        <w:t>.</w:t>
      </w:r>
      <w:bookmarkEnd w:id="36"/>
      <w:bookmarkEnd w:id="37"/>
      <w:r>
        <w:rPr>
          <w:rFonts w:hint="eastAsia" w:ascii="Times New Roman" w:hAnsi="Times New Roman"/>
        </w:rPr>
        <w:t>5</w:t>
      </w:r>
      <w:r>
        <w:rPr>
          <w:rFonts w:hint="eastAsia"/>
        </w:rPr>
        <w:t>主要关注的环境问题及环境影响</w:t>
      </w:r>
      <w:bookmarkEnd w:id="38"/>
      <w:bookmarkEnd w:id="39"/>
    </w:p>
    <w:p>
      <w:pPr>
        <w:rPr>
          <w:rFonts w:hint="eastAsia"/>
          <w:lang w:eastAsia="zh-CN"/>
        </w:rPr>
      </w:pPr>
      <w:r>
        <w:rPr>
          <w:rFonts w:hint="eastAsia"/>
        </w:rPr>
        <w:t>本项目正常工况下</w:t>
      </w:r>
      <w:r>
        <w:rPr>
          <w:rFonts w:hint="eastAsia"/>
          <w:lang w:eastAsia="zh-CN"/>
        </w:rPr>
        <w:t>有组织</w:t>
      </w:r>
      <w:r>
        <w:rPr>
          <w:rFonts w:hint="eastAsia"/>
        </w:rPr>
        <w:t>废气主要</w:t>
      </w:r>
      <w:r>
        <w:rPr>
          <w:rFonts w:hint="eastAsia"/>
          <w:lang w:eastAsia="zh-CN"/>
        </w:rPr>
        <w:t>来自</w:t>
      </w:r>
      <w:r>
        <w:rPr>
          <w:rFonts w:hint="eastAsia" w:ascii="Times New Roman" w:hAnsi="Times New Roman"/>
          <w:lang w:val="en-US" w:eastAsia="zh-CN"/>
        </w:rPr>
        <w:t>PD</w:t>
      </w:r>
      <w:r>
        <w:rPr>
          <w:rFonts w:hint="eastAsia"/>
          <w:lang w:val="en-US" w:eastAsia="zh-CN"/>
        </w:rPr>
        <w:t>反应器和成品塔</w:t>
      </w:r>
      <w:r>
        <w:rPr>
          <w:rFonts w:hint="eastAsia"/>
          <w:lang w:eastAsia="zh-CN"/>
        </w:rPr>
        <w:t>，主要大气污染物为氨和</w:t>
      </w:r>
      <w:r>
        <w:rPr>
          <w:rFonts w:hint="eastAsia"/>
          <w:lang w:val="en-US" w:eastAsia="zh-CN"/>
        </w:rPr>
        <w:t>挥发性有机物，经冷凝器冷凝后，不凝气经尾气吸收塔（一级水吸收+二级酸吸收）处理后经</w:t>
      </w:r>
      <w:r>
        <w:rPr>
          <w:rFonts w:hint="eastAsia" w:ascii="Times New Roman" w:hAnsi="Times New Roman"/>
          <w:lang w:val="en-US" w:eastAsia="zh-CN"/>
        </w:rPr>
        <w:t>15m</w:t>
      </w:r>
      <w:r>
        <w:rPr>
          <w:rFonts w:hint="eastAsia"/>
          <w:lang w:val="en-US" w:eastAsia="zh-CN"/>
        </w:rPr>
        <w:t>高排气筒排放</w:t>
      </w:r>
      <w:r>
        <w:rPr>
          <w:rFonts w:hint="eastAsia"/>
          <w:lang w:eastAsia="zh-CN"/>
        </w:rPr>
        <w:t>；装置地面冲洗废水和生活污水纳入厂内废水处理系统，经污水站处理后达标排入园区管网。</w:t>
      </w:r>
    </w:p>
    <w:p>
      <w:pPr>
        <w:rPr>
          <w:rFonts w:hint="eastAsia"/>
        </w:rPr>
      </w:pPr>
      <w:r>
        <w:rPr>
          <w:rFonts w:hint="eastAsia"/>
        </w:rPr>
        <w:t>根据</w:t>
      </w:r>
      <w:r>
        <w:rPr>
          <w:rFonts w:hint="eastAsia"/>
          <w:lang w:eastAsia="zh-CN"/>
        </w:rPr>
        <w:t>本项目的特点</w:t>
      </w:r>
      <w:r>
        <w:rPr>
          <w:rFonts w:hint="eastAsia"/>
        </w:rPr>
        <w:t>，本次评价主要关注以下环境问题：</w:t>
      </w:r>
    </w:p>
    <w:p>
      <w:pPr>
        <w:rPr>
          <w:rFonts w:hint="eastAsia"/>
        </w:rPr>
      </w:pPr>
      <w:r>
        <w:rPr>
          <w:rFonts w:hint="eastAsia"/>
        </w:rPr>
        <w:t>（</w:t>
      </w:r>
      <w:r>
        <w:rPr>
          <w:rFonts w:hint="eastAsia" w:ascii="Times New Roman" w:hAnsi="Times New Roman"/>
        </w:rPr>
        <w:t>1</w:t>
      </w:r>
      <w:r>
        <w:rPr>
          <w:rFonts w:hint="eastAsia"/>
        </w:rPr>
        <w:t>）</w:t>
      </w:r>
      <w:r>
        <w:rPr>
          <w:rFonts w:hint="eastAsia"/>
          <w:lang w:eastAsia="zh-CN"/>
        </w:rPr>
        <w:t>工艺废气的产生、收集与治理措施及达标排放的</w:t>
      </w:r>
      <w:r>
        <w:rPr>
          <w:rFonts w:hint="eastAsia"/>
        </w:rPr>
        <w:t>可行性。</w:t>
      </w:r>
    </w:p>
    <w:p>
      <w:pPr>
        <w:rPr>
          <w:rFonts w:hint="eastAsia"/>
          <w:lang w:eastAsia="zh-CN"/>
        </w:rPr>
      </w:pPr>
      <w:r>
        <w:rPr>
          <w:rFonts w:hint="eastAsia"/>
        </w:rPr>
        <w:t>（</w:t>
      </w:r>
      <w:r>
        <w:rPr>
          <w:rFonts w:hint="eastAsia" w:ascii="Times New Roman" w:hAnsi="Times New Roman"/>
          <w:lang w:val="en-US" w:eastAsia="zh-CN"/>
        </w:rPr>
        <w:t>2</w:t>
      </w:r>
      <w:r>
        <w:rPr>
          <w:rFonts w:hint="eastAsia"/>
        </w:rPr>
        <w:t>）</w:t>
      </w:r>
      <w:r>
        <w:rPr>
          <w:rFonts w:hint="eastAsia"/>
          <w:lang w:eastAsia="zh-CN"/>
        </w:rPr>
        <w:t>地下水、土壤污染防治措施可行性。</w:t>
      </w:r>
    </w:p>
    <w:p>
      <w:pPr>
        <w:rPr>
          <w:rFonts w:hint="eastAsia"/>
        </w:rPr>
      </w:pPr>
      <w:r>
        <w:rPr>
          <w:rFonts w:hint="eastAsia"/>
          <w:lang w:eastAsia="zh-CN"/>
        </w:rPr>
        <w:t>（</w:t>
      </w:r>
      <w:r>
        <w:rPr>
          <w:rFonts w:hint="eastAsia" w:ascii="Times New Roman" w:hAnsi="Times New Roman"/>
          <w:lang w:val="en-US" w:eastAsia="zh-CN"/>
        </w:rPr>
        <w:t>3</w:t>
      </w:r>
      <w:r>
        <w:rPr>
          <w:rFonts w:hint="eastAsia"/>
          <w:lang w:eastAsia="zh-CN"/>
        </w:rPr>
        <w:t>）环境风险的可控性</w:t>
      </w:r>
      <w:r>
        <w:rPr>
          <w:rFonts w:hint="eastAsia"/>
        </w:rPr>
        <w:t>。</w:t>
      </w:r>
    </w:p>
    <w:p>
      <w:pPr>
        <w:pStyle w:val="4"/>
        <w:spacing w:before="156" w:after="156"/>
        <w:rPr>
          <w:rFonts w:hint="eastAsia"/>
        </w:rPr>
      </w:pPr>
      <w:bookmarkStart w:id="40" w:name="_Toc17977"/>
      <w:bookmarkStart w:id="41" w:name="_Toc18371"/>
      <w:r>
        <w:rPr>
          <w:rFonts w:hint="eastAsia" w:ascii="Times New Roman" w:hAnsi="Times New Roman"/>
        </w:rPr>
        <w:t>1</w:t>
      </w:r>
      <w:r>
        <w:rPr>
          <w:rFonts w:hint="eastAsia"/>
        </w:rPr>
        <w:t>.</w:t>
      </w:r>
      <w:r>
        <w:rPr>
          <w:rFonts w:hint="eastAsia" w:ascii="Times New Roman" w:hAnsi="Times New Roman"/>
        </w:rPr>
        <w:t>6</w:t>
      </w:r>
      <w:r>
        <w:rPr>
          <w:rFonts w:hint="eastAsia"/>
        </w:rPr>
        <w:t>环境影响评价的主要结论</w:t>
      </w:r>
      <w:bookmarkEnd w:id="40"/>
      <w:bookmarkEnd w:id="41"/>
    </w:p>
    <w:p>
      <w:pPr>
        <w:rPr>
          <w:rFonts w:hint="eastAsia"/>
        </w:rPr>
      </w:pPr>
      <w:r>
        <w:rPr>
          <w:rFonts w:hint="eastAsia"/>
          <w:lang w:eastAsia="zh-CN"/>
        </w:rPr>
        <w:t>凯赛（乌苏）生物材料有限公司年产</w:t>
      </w:r>
      <w:r>
        <w:rPr>
          <w:rFonts w:hint="eastAsia" w:ascii="Times New Roman" w:hAnsi="Times New Roman"/>
          <w:lang w:val="en-US" w:eastAsia="zh-CN"/>
        </w:rPr>
        <w:t>10000</w:t>
      </w:r>
      <w:r>
        <w:rPr>
          <w:rFonts w:hint="eastAsia"/>
          <w:lang w:val="en-US" w:eastAsia="zh-CN"/>
        </w:rPr>
        <w:t>吨</w:t>
      </w:r>
      <w:r>
        <w:rPr>
          <w:rFonts w:hint="eastAsia" w:ascii="Times New Roman" w:hAnsi="Times New Roman"/>
          <w:lang w:val="en-US" w:eastAsia="zh-CN"/>
        </w:rPr>
        <w:t>PD</w:t>
      </w:r>
      <w:r>
        <w:rPr>
          <w:rFonts w:hint="eastAsia"/>
        </w:rPr>
        <w:t>项目属于</w:t>
      </w:r>
      <w:r>
        <w:rPr>
          <w:rFonts w:hint="eastAsia"/>
          <w:lang w:eastAsia="zh-CN"/>
        </w:rPr>
        <w:t>政策允许</w:t>
      </w:r>
      <w:r>
        <w:rPr>
          <w:rFonts w:hint="eastAsia"/>
        </w:rPr>
        <w:t>类项目。项目</w:t>
      </w:r>
      <w:r>
        <w:rPr>
          <w:rFonts w:hint="eastAsia"/>
          <w:lang w:eastAsia="zh-CN"/>
        </w:rPr>
        <w:t>位于乌苏工业园区西区</w:t>
      </w:r>
      <w:r>
        <w:rPr>
          <w:rFonts w:hint="eastAsia"/>
          <w:lang w:val="en-US" w:eastAsia="zh-CN"/>
        </w:rPr>
        <w:t>，</w:t>
      </w:r>
      <w:r>
        <w:rPr>
          <w:rFonts w:hint="eastAsia"/>
        </w:rPr>
        <w:t>符合《</w:t>
      </w:r>
      <w:r>
        <w:rPr>
          <w:rFonts w:hint="eastAsia"/>
          <w:lang w:eastAsia="zh-CN"/>
        </w:rPr>
        <w:t>乌苏工业园区总体</w:t>
      </w:r>
      <w:r>
        <w:rPr>
          <w:rFonts w:hint="eastAsia"/>
        </w:rPr>
        <w:t>规划</w:t>
      </w:r>
      <w:r>
        <w:rPr>
          <w:rFonts w:hint="eastAsia"/>
          <w:lang w:eastAsia="zh-CN"/>
        </w:rPr>
        <w:t>修编</w:t>
      </w:r>
      <w:r>
        <w:rPr>
          <w:rFonts w:hint="eastAsia"/>
        </w:rPr>
        <w:t>（</w:t>
      </w:r>
      <w:r>
        <w:rPr>
          <w:rFonts w:hint="eastAsia" w:ascii="Times New Roman" w:hAnsi="Times New Roman"/>
        </w:rPr>
        <w:t>201</w:t>
      </w:r>
      <w:r>
        <w:rPr>
          <w:rFonts w:hint="eastAsia" w:ascii="Times New Roman" w:hAnsi="Times New Roman"/>
          <w:lang w:val="en-US" w:eastAsia="zh-CN"/>
        </w:rPr>
        <w:t>8</w:t>
      </w:r>
      <w:r>
        <w:rPr>
          <w:rFonts w:hint="eastAsia"/>
        </w:rPr>
        <w:t>-</w:t>
      </w:r>
      <w:r>
        <w:rPr>
          <w:rFonts w:hint="eastAsia" w:ascii="Times New Roman" w:hAnsi="Times New Roman"/>
        </w:rPr>
        <w:t>203</w:t>
      </w:r>
      <w:r>
        <w:rPr>
          <w:rFonts w:hint="eastAsia" w:ascii="Times New Roman" w:hAnsi="Times New Roman"/>
          <w:lang w:val="en-US" w:eastAsia="zh-CN"/>
        </w:rPr>
        <w:t>5</w:t>
      </w:r>
      <w:r>
        <w:rPr>
          <w:rFonts w:hint="eastAsia"/>
        </w:rPr>
        <w:t>）环境影响报告书》</w:t>
      </w:r>
      <w:r>
        <w:rPr>
          <w:rFonts w:hint="eastAsia"/>
          <w:lang w:eastAsia="zh-CN"/>
        </w:rPr>
        <w:t>、审查意见及园区总体规划，选址合理</w:t>
      </w:r>
      <w:r>
        <w:rPr>
          <w:rFonts w:hint="eastAsia"/>
        </w:rPr>
        <w:t>。</w:t>
      </w:r>
    </w:p>
    <w:p>
      <w:pPr>
        <w:rPr>
          <w:rFonts w:hint="eastAsia"/>
        </w:rPr>
      </w:pPr>
      <w:r>
        <w:rPr>
          <w:rFonts w:hint="eastAsia"/>
        </w:rPr>
        <w:t>从环境质量现状调查和环境影响预测评价结果看，在严格执行国家和自治区的环保要求，切实落实报告书中提出的各项环保措施的前提下，项目所在区域的环境质量不会因本工程的建设和实施而有明显改变。正常工况下，项目实施过程排放的各种污染物对周围环境造成的影响不大。项目运营期环境空气质量、水环境质量、声环境质量均可符合相应的环境功能区划的要求，固废可以得到合理处置，去向明确。</w:t>
      </w:r>
    </w:p>
    <w:p>
      <w:pPr>
        <w:rPr>
          <w:rFonts w:hint="eastAsia"/>
        </w:rPr>
      </w:pPr>
      <w:r>
        <w:rPr>
          <w:rFonts w:hint="eastAsia"/>
        </w:rPr>
        <w:t>建设项目的生产符合清洁生产的相关要求，采用的环境保护措施、环境风险防范及应急处置措施可行，项目实施后，总体上对评价区域环境影响较小，环境风险在可控的范围。因此，本报告书认为，在认真落实环评报告和设计提出的各项环保措施，切实执行“三同时”的前提下，从环保角度分析，本项目的建设可行。</w:t>
      </w:r>
    </w:p>
    <w:p>
      <w:pPr>
        <w:pStyle w:val="3"/>
        <w:numPr>
          <w:ilvl w:val="0"/>
          <w:numId w:val="0"/>
        </w:numPr>
        <w:rPr>
          <w:rFonts w:hint="eastAsia"/>
        </w:rPr>
      </w:pPr>
      <w:r>
        <w:rPr>
          <w:rFonts w:hint="eastAsia"/>
        </w:rPr>
        <w:br w:type="page"/>
      </w:r>
      <w:bookmarkStart w:id="42" w:name="_Toc25719"/>
      <w:bookmarkStart w:id="43" w:name="_Toc20444"/>
      <w:r>
        <w:rPr>
          <w:rFonts w:hint="eastAsia" w:ascii="Times New Roman" w:hAnsi="Times New Roman"/>
        </w:rPr>
        <w:t>2</w:t>
      </w:r>
      <w:r>
        <w:rPr>
          <w:rFonts w:hint="eastAsia"/>
        </w:rPr>
        <w:t>总</w:t>
      </w:r>
      <w:r>
        <w:t xml:space="preserve"> </w:t>
      </w:r>
      <w:r>
        <w:rPr>
          <w:rFonts w:hint="eastAsia"/>
        </w:rPr>
        <w:t>则</w:t>
      </w:r>
      <w:bookmarkEnd w:id="18"/>
      <w:bookmarkEnd w:id="19"/>
      <w:bookmarkEnd w:id="42"/>
      <w:bookmarkEnd w:id="43"/>
    </w:p>
    <w:p>
      <w:pPr>
        <w:pStyle w:val="4"/>
        <w:adjustRightInd w:val="0"/>
        <w:spacing w:before="156" w:after="156"/>
        <w:textAlignment w:val="baseline"/>
        <w:rPr>
          <w:rFonts w:hint="eastAsia" w:ascii="Times New Roman" w:hAnsi="Times New Roman"/>
        </w:rPr>
      </w:pPr>
      <w:bookmarkStart w:id="44" w:name="_Toc3376"/>
      <w:bookmarkStart w:id="45" w:name="_Toc31981"/>
      <w:bookmarkStart w:id="46" w:name="_Toc341867032"/>
      <w:bookmarkStart w:id="47" w:name="_Toc332975139"/>
      <w:bookmarkStart w:id="48" w:name="_Toc10864"/>
      <w:bookmarkStart w:id="49" w:name="_Toc341867056"/>
      <w:r>
        <w:rPr>
          <w:rFonts w:hint="eastAsia" w:ascii="Times New Roman" w:hAnsi="Times New Roman"/>
        </w:rPr>
        <w:t>2</w:t>
      </w:r>
      <w:r>
        <w:rPr>
          <w:rFonts w:hint="eastAsia" w:ascii="Times New Roman" w:hAnsi="Times New Roman"/>
        </w:rPr>
        <w:t>.</w:t>
      </w:r>
      <w:r>
        <w:rPr>
          <w:rFonts w:hint="eastAsia" w:ascii="Times New Roman" w:hAnsi="Times New Roman"/>
          <w:lang w:val="en-US" w:eastAsia="zh-CN"/>
        </w:rPr>
        <w:t>1</w:t>
      </w:r>
      <w:r>
        <w:rPr>
          <w:rFonts w:ascii="Times New Roman" w:hAnsi="Times New Roman"/>
        </w:rPr>
        <w:t>编制依据</w:t>
      </w:r>
      <w:bookmarkEnd w:id="44"/>
      <w:bookmarkEnd w:id="45"/>
      <w:bookmarkEnd w:id="46"/>
      <w:bookmarkEnd w:id="47"/>
      <w:bookmarkEnd w:id="48"/>
    </w:p>
    <w:p>
      <w:pPr>
        <w:pStyle w:val="5"/>
        <w:spacing w:before="156" w:line="460" w:lineRule="exact"/>
      </w:pPr>
      <w:bookmarkStart w:id="50" w:name="_Toc294274752"/>
      <w:r>
        <w:rPr>
          <w:rFonts w:ascii="Times New Roman" w:hAnsi="Times New Roman"/>
        </w:rPr>
        <w:t>2</w:t>
      </w:r>
      <w:r>
        <w:t>.</w:t>
      </w:r>
      <w:r>
        <w:rPr>
          <w:rFonts w:hint="eastAsia" w:ascii="Times New Roman" w:hAnsi="Times New Roman"/>
          <w:lang w:val="en-US" w:eastAsia="zh-CN"/>
        </w:rPr>
        <w:t>1</w:t>
      </w:r>
      <w:r>
        <w:t>.</w:t>
      </w:r>
      <w:r>
        <w:rPr>
          <w:rFonts w:ascii="Times New Roman" w:hAnsi="Times New Roman"/>
        </w:rPr>
        <w:t>1</w:t>
      </w:r>
      <w:r>
        <w:rPr>
          <w:rFonts w:hint="eastAsia"/>
        </w:rPr>
        <w:t>国家</w:t>
      </w:r>
      <w:r>
        <w:t>法律</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1</w:t>
      </w:r>
      <w:r>
        <w:rPr>
          <w:rFonts w:hint="eastAsia" w:ascii="Times New Roman"/>
          <w:color w:val="auto"/>
          <w:szCs w:val="24"/>
        </w:rPr>
        <w:t>）</w:t>
      </w:r>
      <w:r>
        <w:rPr>
          <w:rFonts w:ascii="Times New Roman"/>
          <w:color w:val="auto"/>
          <w:szCs w:val="24"/>
        </w:rPr>
        <w:t>《中华人民共和国环境保护法》</w:t>
      </w:r>
      <w:r>
        <w:rPr>
          <w:rFonts w:hint="eastAsia" w:ascii="Times New Roman"/>
          <w:color w:val="auto"/>
          <w:szCs w:val="24"/>
        </w:rPr>
        <w:t>，</w:t>
      </w:r>
      <w:r>
        <w:rPr>
          <w:rFonts w:hint="eastAsia" w:ascii="Times New Roman" w:hAnsi="Times New Roman" w:cs="Times New Roman"/>
          <w:color w:val="auto"/>
          <w:szCs w:val="24"/>
        </w:rPr>
        <w:t>2015</w:t>
      </w:r>
      <w:r>
        <w:rPr>
          <w:rFonts w:hint="eastAsia" w:ascii="Times New Roman"/>
          <w:color w:val="auto"/>
          <w:szCs w:val="24"/>
          <w:lang w:val="en-US" w:eastAsia="zh-CN"/>
        </w:rPr>
        <w:t>.</w:t>
      </w:r>
      <w:r>
        <w:rPr>
          <w:rFonts w:hint="eastAsia" w:ascii="Times New Roman" w:hAnsi="Times New Roman" w:cs="Times New Roman"/>
          <w:color w:val="auto"/>
          <w:szCs w:val="24"/>
        </w:rPr>
        <w:t>1</w:t>
      </w:r>
      <w:r>
        <w:rPr>
          <w:rFonts w:hint="eastAsia" w:ascii="Times New Roman"/>
          <w:color w:val="auto"/>
          <w:szCs w:val="24"/>
          <w:lang w:val="en-US" w:eastAsia="zh-CN"/>
        </w:rPr>
        <w:t>.</w:t>
      </w:r>
      <w:r>
        <w:rPr>
          <w:rFonts w:hint="eastAsia" w:ascii="Times New Roman" w:hAnsi="Times New Roman" w:cs="Times New Roman"/>
          <w:color w:val="auto"/>
          <w:szCs w:val="24"/>
        </w:rPr>
        <w:t>1</w:t>
      </w:r>
      <w:r>
        <w:rPr>
          <w:rFonts w:ascii="Times New Roman"/>
          <w:color w:val="auto"/>
          <w:szCs w:val="24"/>
        </w:rPr>
        <w:t>；</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2</w:t>
      </w:r>
      <w:r>
        <w:rPr>
          <w:rFonts w:hint="eastAsia" w:ascii="Times New Roman"/>
          <w:color w:val="auto"/>
          <w:szCs w:val="24"/>
        </w:rPr>
        <w:t>）</w:t>
      </w:r>
      <w:r>
        <w:rPr>
          <w:rFonts w:ascii="Times New Roman"/>
          <w:color w:val="auto"/>
          <w:szCs w:val="24"/>
        </w:rPr>
        <w:t>《中华人民共和国环境影响评价法》</w:t>
      </w:r>
      <w:r>
        <w:rPr>
          <w:rFonts w:hint="eastAsia" w:ascii="Times New Roman"/>
          <w:color w:val="auto"/>
          <w:szCs w:val="24"/>
        </w:rPr>
        <w:t>，</w:t>
      </w:r>
      <w:r>
        <w:rPr>
          <w:rFonts w:hint="eastAsia" w:ascii="Times New Roman" w:hAnsi="Times New Roman" w:cs="Times New Roman"/>
          <w:color w:val="auto"/>
          <w:szCs w:val="24"/>
        </w:rPr>
        <w:t>2018</w:t>
      </w:r>
      <w:r>
        <w:rPr>
          <w:rFonts w:hint="eastAsia" w:ascii="Times New Roman"/>
          <w:color w:val="auto"/>
          <w:szCs w:val="24"/>
          <w:lang w:val="en-US" w:eastAsia="zh-CN"/>
        </w:rPr>
        <w:t>.</w:t>
      </w:r>
      <w:r>
        <w:rPr>
          <w:rFonts w:hint="eastAsia" w:ascii="Times New Roman" w:hAnsi="Times New Roman" w:cs="Times New Roman"/>
          <w:color w:val="auto"/>
          <w:szCs w:val="24"/>
        </w:rPr>
        <w:t>12</w:t>
      </w:r>
      <w:r>
        <w:rPr>
          <w:rFonts w:hint="eastAsia" w:ascii="Times New Roman"/>
          <w:color w:val="auto"/>
          <w:szCs w:val="24"/>
          <w:lang w:val="en-US" w:eastAsia="zh-CN"/>
        </w:rPr>
        <w:t>.</w:t>
      </w:r>
      <w:r>
        <w:rPr>
          <w:rFonts w:hint="eastAsia" w:ascii="Times New Roman" w:hAnsi="Times New Roman" w:cs="Times New Roman"/>
          <w:color w:val="auto"/>
          <w:szCs w:val="24"/>
        </w:rPr>
        <w:t>29</w:t>
      </w:r>
      <w:r>
        <w:rPr>
          <w:rFonts w:ascii="Times New Roman"/>
          <w:color w:val="auto"/>
          <w:szCs w:val="24"/>
        </w:rPr>
        <w:t>；</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3</w:t>
      </w:r>
      <w:r>
        <w:rPr>
          <w:rFonts w:hint="eastAsia" w:ascii="Times New Roman"/>
          <w:color w:val="auto"/>
          <w:szCs w:val="24"/>
        </w:rPr>
        <w:t>）</w:t>
      </w:r>
      <w:r>
        <w:rPr>
          <w:rFonts w:ascii="Times New Roman"/>
          <w:color w:val="auto"/>
          <w:szCs w:val="24"/>
        </w:rPr>
        <w:t>《中华人民共和国大气污染防治法》</w:t>
      </w:r>
      <w:r>
        <w:rPr>
          <w:rFonts w:hint="eastAsia" w:ascii="Times New Roman"/>
          <w:color w:val="auto"/>
          <w:szCs w:val="24"/>
        </w:rPr>
        <w:t>，</w:t>
      </w:r>
      <w:r>
        <w:rPr>
          <w:rFonts w:hint="eastAsia" w:ascii="Times New Roman" w:hAnsi="Times New Roman" w:cs="Times New Roman"/>
          <w:color w:val="auto"/>
          <w:szCs w:val="24"/>
        </w:rPr>
        <w:t>2018</w:t>
      </w:r>
      <w:r>
        <w:rPr>
          <w:rFonts w:hint="eastAsia" w:ascii="Times New Roman"/>
          <w:color w:val="auto"/>
          <w:szCs w:val="24"/>
          <w:lang w:val="en-US" w:eastAsia="zh-CN"/>
        </w:rPr>
        <w:t>.</w:t>
      </w:r>
      <w:r>
        <w:rPr>
          <w:rFonts w:hint="eastAsia" w:ascii="Times New Roman" w:hAnsi="Times New Roman" w:cs="Times New Roman"/>
          <w:color w:val="auto"/>
          <w:szCs w:val="24"/>
        </w:rPr>
        <w:t>10</w:t>
      </w:r>
      <w:r>
        <w:rPr>
          <w:rFonts w:hint="eastAsia" w:ascii="Times New Roman"/>
          <w:color w:val="auto"/>
          <w:szCs w:val="24"/>
          <w:lang w:val="en-US" w:eastAsia="zh-CN"/>
        </w:rPr>
        <w:t>.</w:t>
      </w:r>
      <w:r>
        <w:rPr>
          <w:rFonts w:hint="eastAsia" w:ascii="Times New Roman" w:hAnsi="Times New Roman" w:cs="Times New Roman"/>
          <w:color w:val="auto"/>
          <w:szCs w:val="24"/>
        </w:rPr>
        <w:t>26</w:t>
      </w:r>
      <w:r>
        <w:rPr>
          <w:rFonts w:ascii="Times New Roman"/>
          <w:color w:val="auto"/>
          <w:szCs w:val="24"/>
        </w:rPr>
        <w:t>；</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4</w:t>
      </w:r>
      <w:r>
        <w:rPr>
          <w:rFonts w:hint="eastAsia" w:ascii="Times New Roman"/>
          <w:color w:val="auto"/>
          <w:szCs w:val="24"/>
        </w:rPr>
        <w:t>）</w:t>
      </w:r>
      <w:r>
        <w:rPr>
          <w:rFonts w:ascii="Times New Roman"/>
          <w:color w:val="auto"/>
          <w:szCs w:val="24"/>
        </w:rPr>
        <w:t>《中华人民共和国水污染防治法》</w:t>
      </w:r>
      <w:r>
        <w:rPr>
          <w:rFonts w:hint="eastAsia" w:ascii="Times New Roman"/>
          <w:color w:val="auto"/>
          <w:szCs w:val="24"/>
        </w:rPr>
        <w:t>，</w:t>
      </w:r>
      <w:r>
        <w:rPr>
          <w:rFonts w:hint="eastAsia" w:ascii="Times New Roman" w:hAnsi="Times New Roman" w:cs="Times New Roman"/>
          <w:color w:val="auto"/>
          <w:szCs w:val="24"/>
        </w:rPr>
        <w:t>2018</w:t>
      </w:r>
      <w:r>
        <w:rPr>
          <w:rFonts w:hint="eastAsia" w:ascii="Times New Roman"/>
          <w:color w:val="auto"/>
          <w:szCs w:val="24"/>
          <w:lang w:val="en-US" w:eastAsia="zh-CN"/>
        </w:rPr>
        <w:t>.</w:t>
      </w:r>
      <w:r>
        <w:rPr>
          <w:rFonts w:hint="eastAsia" w:ascii="Times New Roman" w:hAnsi="Times New Roman" w:cs="Times New Roman"/>
          <w:color w:val="auto"/>
          <w:szCs w:val="24"/>
        </w:rPr>
        <w:t>1</w:t>
      </w:r>
      <w:r>
        <w:rPr>
          <w:rFonts w:hint="eastAsia" w:ascii="Times New Roman"/>
          <w:color w:val="auto"/>
          <w:szCs w:val="24"/>
          <w:lang w:val="en-US" w:eastAsia="zh-CN"/>
        </w:rPr>
        <w:t>.</w:t>
      </w:r>
      <w:r>
        <w:rPr>
          <w:rFonts w:hint="eastAsia" w:ascii="Times New Roman" w:hAnsi="Times New Roman" w:cs="Times New Roman"/>
          <w:color w:val="auto"/>
          <w:szCs w:val="24"/>
        </w:rPr>
        <w:t>1</w:t>
      </w:r>
      <w:r>
        <w:rPr>
          <w:rFonts w:ascii="Times New Roman"/>
          <w:color w:val="auto"/>
          <w:szCs w:val="24"/>
        </w:rPr>
        <w:t>；</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5</w:t>
      </w:r>
      <w:r>
        <w:rPr>
          <w:rFonts w:hint="eastAsia" w:ascii="Times New Roman"/>
          <w:color w:val="auto"/>
          <w:szCs w:val="24"/>
        </w:rPr>
        <w:t>）</w:t>
      </w:r>
      <w:r>
        <w:rPr>
          <w:rFonts w:ascii="Times New Roman"/>
          <w:color w:val="auto"/>
          <w:szCs w:val="24"/>
        </w:rPr>
        <w:t>《中华人民共和国噪声污染防治法》</w:t>
      </w:r>
      <w:r>
        <w:rPr>
          <w:rFonts w:hint="eastAsia" w:ascii="Times New Roman"/>
          <w:color w:val="auto"/>
          <w:szCs w:val="24"/>
        </w:rPr>
        <w:t>，</w:t>
      </w:r>
      <w:r>
        <w:rPr>
          <w:rFonts w:hint="eastAsia" w:ascii="Times New Roman" w:hAnsi="Times New Roman" w:cs="Times New Roman"/>
          <w:color w:val="auto"/>
          <w:szCs w:val="24"/>
        </w:rPr>
        <w:t>20</w:t>
      </w:r>
      <w:r>
        <w:rPr>
          <w:rFonts w:hint="eastAsia" w:ascii="Times New Roman" w:hAnsi="Times New Roman" w:cs="Times New Roman"/>
          <w:color w:val="auto"/>
          <w:szCs w:val="24"/>
          <w:lang w:val="en-US" w:eastAsia="zh-CN"/>
        </w:rPr>
        <w:t>22</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6</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5</w:t>
      </w:r>
      <w:r>
        <w:rPr>
          <w:rFonts w:ascii="Times New Roman"/>
          <w:color w:val="auto"/>
          <w:szCs w:val="24"/>
        </w:rPr>
        <w:t>；</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6</w:t>
      </w:r>
      <w:r>
        <w:rPr>
          <w:rFonts w:hint="eastAsia" w:ascii="Times New Roman"/>
          <w:color w:val="auto"/>
          <w:szCs w:val="24"/>
        </w:rPr>
        <w:t>）</w:t>
      </w:r>
      <w:r>
        <w:rPr>
          <w:rFonts w:ascii="Times New Roman"/>
          <w:color w:val="auto"/>
          <w:szCs w:val="24"/>
        </w:rPr>
        <w:t>《中华人民共和国固体废物污染环境防治法》</w:t>
      </w:r>
      <w:r>
        <w:rPr>
          <w:rFonts w:hint="eastAsia" w:ascii="Times New Roman"/>
          <w:color w:val="auto"/>
          <w:szCs w:val="24"/>
        </w:rPr>
        <w:t>，</w:t>
      </w:r>
      <w:r>
        <w:rPr>
          <w:rFonts w:hint="eastAsia" w:ascii="Times New Roman" w:hAnsi="Times New Roman" w:cs="Times New Roman"/>
          <w:color w:val="auto"/>
          <w:szCs w:val="24"/>
        </w:rPr>
        <w:t>20</w:t>
      </w:r>
      <w:r>
        <w:rPr>
          <w:rFonts w:hint="eastAsia" w:ascii="Times New Roman" w:hAnsi="Times New Roman" w:cs="Times New Roman"/>
          <w:color w:val="auto"/>
          <w:szCs w:val="24"/>
          <w:lang w:val="en-US" w:eastAsia="zh-CN"/>
        </w:rPr>
        <w:t>20</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9</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1</w:t>
      </w:r>
      <w:r>
        <w:rPr>
          <w:rFonts w:ascii="Times New Roman"/>
          <w:color w:val="auto"/>
          <w:szCs w:val="24"/>
        </w:rPr>
        <w:t>；</w:t>
      </w:r>
    </w:p>
    <w:p>
      <w:pPr>
        <w:spacing w:line="460" w:lineRule="exact"/>
        <w:ind w:firstLine="480" w:firstLineChars="200"/>
        <w:rPr>
          <w:rFonts w:hint="eastAsia"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7</w:t>
      </w:r>
      <w:r>
        <w:rPr>
          <w:rFonts w:hint="eastAsia" w:ascii="Times New Roman"/>
          <w:color w:val="auto"/>
          <w:szCs w:val="24"/>
        </w:rPr>
        <w:t>）</w:t>
      </w:r>
      <w:r>
        <w:rPr>
          <w:rFonts w:ascii="Times New Roman"/>
          <w:color w:val="auto"/>
          <w:szCs w:val="24"/>
        </w:rPr>
        <w:t>《中华人民共和国清洁生产促进法》</w:t>
      </w:r>
      <w:r>
        <w:rPr>
          <w:rFonts w:hint="eastAsia" w:ascii="Times New Roman"/>
          <w:color w:val="auto"/>
          <w:szCs w:val="24"/>
        </w:rPr>
        <w:t>，</w:t>
      </w:r>
      <w:r>
        <w:rPr>
          <w:rFonts w:hint="eastAsia" w:ascii="Times New Roman" w:hAnsi="Times New Roman" w:cs="Times New Roman"/>
          <w:color w:val="auto"/>
          <w:szCs w:val="24"/>
        </w:rPr>
        <w:t>2012</w:t>
      </w:r>
      <w:r>
        <w:rPr>
          <w:rFonts w:hint="eastAsia" w:ascii="Times New Roman"/>
          <w:color w:val="auto"/>
          <w:szCs w:val="24"/>
          <w:lang w:val="en-US" w:eastAsia="zh-CN"/>
        </w:rPr>
        <w:t>.</w:t>
      </w:r>
      <w:r>
        <w:rPr>
          <w:rFonts w:hint="eastAsia" w:ascii="Times New Roman" w:hAnsi="Times New Roman" w:cs="Times New Roman"/>
          <w:color w:val="auto"/>
          <w:szCs w:val="24"/>
        </w:rPr>
        <w:t>7</w:t>
      </w:r>
      <w:r>
        <w:rPr>
          <w:rFonts w:hint="eastAsia" w:ascii="Times New Roman"/>
          <w:color w:val="auto"/>
          <w:szCs w:val="24"/>
          <w:lang w:val="en-US" w:eastAsia="zh-CN"/>
        </w:rPr>
        <w:t>.</w:t>
      </w:r>
      <w:r>
        <w:rPr>
          <w:rFonts w:hint="eastAsia" w:ascii="Times New Roman" w:hAnsi="Times New Roman" w:cs="Times New Roman"/>
          <w:color w:val="auto"/>
          <w:szCs w:val="24"/>
        </w:rPr>
        <w:t>1</w:t>
      </w:r>
      <w:r>
        <w:rPr>
          <w:rFonts w:ascii="Times New Roman"/>
          <w:color w:val="auto"/>
          <w:szCs w:val="24"/>
        </w:rPr>
        <w:t>；</w:t>
      </w:r>
    </w:p>
    <w:p>
      <w:pPr>
        <w:spacing w:line="460" w:lineRule="exact"/>
        <w:ind w:firstLine="480" w:firstLineChars="200"/>
        <w:rPr>
          <w:rFonts w:hint="eastAsia"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8</w:t>
      </w:r>
      <w:r>
        <w:rPr>
          <w:rFonts w:hint="eastAsia" w:ascii="Times New Roman"/>
          <w:color w:val="auto"/>
          <w:szCs w:val="24"/>
        </w:rPr>
        <w:t>）</w:t>
      </w:r>
      <w:r>
        <w:rPr>
          <w:rFonts w:ascii="Times New Roman"/>
          <w:color w:val="auto"/>
          <w:szCs w:val="24"/>
        </w:rPr>
        <w:t>《中华人民共和国循环经济促进法》</w:t>
      </w:r>
      <w:r>
        <w:rPr>
          <w:rFonts w:hint="eastAsia" w:ascii="Times New Roman"/>
          <w:color w:val="auto"/>
          <w:szCs w:val="24"/>
        </w:rPr>
        <w:t>，</w:t>
      </w:r>
      <w:r>
        <w:rPr>
          <w:rFonts w:hint="eastAsia" w:ascii="Times New Roman" w:hAnsi="Times New Roman" w:cs="Times New Roman"/>
          <w:color w:val="auto"/>
          <w:szCs w:val="24"/>
        </w:rPr>
        <w:t>2018</w:t>
      </w:r>
      <w:r>
        <w:rPr>
          <w:rFonts w:hint="eastAsia"/>
          <w:color w:val="auto"/>
          <w:szCs w:val="24"/>
          <w:lang w:val="en-US" w:eastAsia="zh-CN"/>
        </w:rPr>
        <w:t>.</w:t>
      </w:r>
      <w:r>
        <w:rPr>
          <w:rFonts w:hint="eastAsia" w:ascii="Times New Roman" w:hAnsi="Times New Roman" w:cs="Times New Roman"/>
          <w:color w:val="auto"/>
          <w:szCs w:val="24"/>
        </w:rPr>
        <w:t>10</w:t>
      </w:r>
      <w:r>
        <w:rPr>
          <w:rFonts w:hint="eastAsia" w:ascii="Times New Roman"/>
          <w:color w:val="auto"/>
          <w:szCs w:val="24"/>
          <w:lang w:val="en-US" w:eastAsia="zh-CN"/>
        </w:rPr>
        <w:t>.</w:t>
      </w:r>
      <w:r>
        <w:rPr>
          <w:rFonts w:hint="eastAsia" w:ascii="Times New Roman" w:hAnsi="Times New Roman" w:cs="Times New Roman"/>
          <w:color w:val="auto"/>
          <w:szCs w:val="24"/>
        </w:rPr>
        <w:t>26</w:t>
      </w:r>
      <w:r>
        <w:rPr>
          <w:rFonts w:ascii="Times New Roman"/>
          <w:color w:val="auto"/>
          <w:szCs w:val="24"/>
        </w:rPr>
        <w:t>；</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9</w:t>
      </w:r>
      <w:r>
        <w:rPr>
          <w:rFonts w:hint="eastAsia" w:ascii="Times New Roman"/>
          <w:color w:val="auto"/>
          <w:szCs w:val="24"/>
        </w:rPr>
        <w:t>）</w:t>
      </w:r>
      <w:r>
        <w:rPr>
          <w:rFonts w:ascii="Times New Roman"/>
          <w:color w:val="auto"/>
          <w:szCs w:val="24"/>
        </w:rPr>
        <w:t>《中华人民共和国节约能源法》</w:t>
      </w:r>
      <w:r>
        <w:rPr>
          <w:rFonts w:hint="eastAsia" w:ascii="Times New Roman"/>
          <w:color w:val="auto"/>
          <w:szCs w:val="24"/>
        </w:rPr>
        <w:t>，</w:t>
      </w:r>
      <w:r>
        <w:rPr>
          <w:rFonts w:hint="eastAsia" w:ascii="Times New Roman" w:hAnsi="Times New Roman" w:cs="Times New Roman"/>
          <w:color w:val="auto"/>
        </w:rPr>
        <w:t>2018</w:t>
      </w:r>
      <w:r>
        <w:rPr>
          <w:rFonts w:hint="eastAsia"/>
          <w:color w:val="auto"/>
          <w:lang w:val="en-US" w:eastAsia="zh-CN"/>
        </w:rPr>
        <w:t>.</w:t>
      </w:r>
      <w:r>
        <w:rPr>
          <w:rFonts w:hint="eastAsia" w:ascii="Times New Roman" w:hAnsi="Times New Roman" w:cs="Times New Roman"/>
          <w:color w:val="auto"/>
        </w:rPr>
        <w:t>10</w:t>
      </w:r>
      <w:r>
        <w:rPr>
          <w:rFonts w:hint="eastAsia" w:ascii="Times New Roman"/>
          <w:color w:val="auto"/>
          <w:lang w:val="en-US" w:eastAsia="zh-CN"/>
        </w:rPr>
        <w:t>.</w:t>
      </w:r>
      <w:r>
        <w:rPr>
          <w:rFonts w:hint="eastAsia" w:ascii="Times New Roman" w:hAnsi="Times New Roman" w:cs="Times New Roman"/>
          <w:color w:val="auto"/>
        </w:rPr>
        <w:t>26</w:t>
      </w:r>
      <w:r>
        <w:rPr>
          <w:rFonts w:hint="eastAsia"/>
          <w:color w:val="auto"/>
        </w:rPr>
        <w:t>；</w:t>
      </w:r>
    </w:p>
    <w:p>
      <w:pPr>
        <w:spacing w:line="460" w:lineRule="exact"/>
        <w:ind w:firstLine="480" w:firstLineChars="200"/>
        <w:rPr>
          <w:rFonts w:ascii="Times New Roman"/>
          <w:color w:val="auto"/>
          <w:szCs w:val="24"/>
        </w:rPr>
      </w:pPr>
      <w:r>
        <w:rPr>
          <w:rFonts w:hint="eastAsia" w:ascii="Times New Roman"/>
          <w:color w:val="auto"/>
          <w:szCs w:val="24"/>
        </w:rPr>
        <w:t>（</w:t>
      </w:r>
      <w:r>
        <w:rPr>
          <w:rFonts w:hint="eastAsia" w:ascii="Times New Roman" w:hAnsi="Times New Roman" w:cs="Times New Roman"/>
          <w:color w:val="auto"/>
          <w:szCs w:val="24"/>
        </w:rPr>
        <w:t>10</w:t>
      </w:r>
      <w:r>
        <w:rPr>
          <w:rFonts w:hint="eastAsia" w:ascii="Times New Roman"/>
          <w:color w:val="auto"/>
          <w:szCs w:val="24"/>
        </w:rPr>
        <w:t>）</w:t>
      </w:r>
      <w:r>
        <w:rPr>
          <w:rFonts w:hint="eastAsia"/>
          <w:color w:val="auto"/>
        </w:rPr>
        <w:t>《中华人民共和国土壤污染防治法》，</w:t>
      </w:r>
      <w:r>
        <w:rPr>
          <w:rFonts w:hint="eastAsia" w:ascii="Times New Roman" w:hAnsi="Times New Roman" w:cs="Times New Roman"/>
          <w:color w:val="auto"/>
        </w:rPr>
        <w:t>2019</w:t>
      </w:r>
      <w:r>
        <w:rPr>
          <w:rFonts w:hint="eastAsia"/>
          <w:color w:val="auto"/>
          <w:lang w:val="en-US" w:eastAsia="zh-CN"/>
        </w:rPr>
        <w:t>.</w:t>
      </w:r>
      <w:r>
        <w:rPr>
          <w:rFonts w:hint="eastAsia" w:ascii="Times New Roman" w:hAnsi="Times New Roman" w:cs="Times New Roman"/>
          <w:color w:val="auto"/>
        </w:rPr>
        <w:t>1</w:t>
      </w:r>
      <w:r>
        <w:rPr>
          <w:rFonts w:hint="eastAsia" w:ascii="Times New Roman"/>
          <w:color w:val="auto"/>
          <w:lang w:val="en-US" w:eastAsia="zh-CN"/>
        </w:rPr>
        <w:t>.</w:t>
      </w:r>
      <w:r>
        <w:rPr>
          <w:rFonts w:hint="eastAsia" w:ascii="Times New Roman" w:hAnsi="Times New Roman" w:cs="Times New Roman"/>
          <w:color w:val="auto"/>
        </w:rPr>
        <w:t>1</w:t>
      </w:r>
      <w:r>
        <w:rPr>
          <w:rFonts w:hint="eastAsia"/>
          <w:color w:val="auto"/>
        </w:rPr>
        <w:t>；</w:t>
      </w:r>
    </w:p>
    <w:p>
      <w:pPr>
        <w:spacing w:line="460" w:lineRule="exact"/>
        <w:ind w:firstLine="480" w:firstLineChars="200"/>
        <w:rPr>
          <w:rFonts w:hint="eastAsia"/>
          <w:color w:val="auto"/>
        </w:rPr>
      </w:pPr>
      <w:r>
        <w:rPr>
          <w:rFonts w:hint="eastAsia" w:ascii="Times New Roman"/>
          <w:color w:val="auto"/>
          <w:szCs w:val="24"/>
        </w:rPr>
        <w:t>（</w:t>
      </w:r>
      <w:r>
        <w:rPr>
          <w:rFonts w:hint="eastAsia" w:ascii="Times New Roman" w:hAnsi="Times New Roman" w:cs="Times New Roman"/>
          <w:color w:val="auto"/>
          <w:szCs w:val="24"/>
        </w:rPr>
        <w:t>11</w:t>
      </w:r>
      <w:r>
        <w:rPr>
          <w:rFonts w:hint="eastAsia" w:ascii="Times New Roman"/>
          <w:color w:val="auto"/>
          <w:szCs w:val="24"/>
        </w:rPr>
        <w:t>）</w:t>
      </w:r>
      <w:r>
        <w:rPr>
          <w:rFonts w:ascii="Times New Roman"/>
          <w:color w:val="auto"/>
          <w:szCs w:val="24"/>
        </w:rPr>
        <w:t>《中华人民共和国</w:t>
      </w:r>
      <w:r>
        <w:rPr>
          <w:rFonts w:hint="eastAsia" w:ascii="Times New Roman"/>
          <w:color w:val="auto"/>
          <w:szCs w:val="24"/>
        </w:rPr>
        <w:t>水</w:t>
      </w:r>
      <w:r>
        <w:rPr>
          <w:rFonts w:ascii="Times New Roman"/>
          <w:color w:val="auto"/>
          <w:szCs w:val="24"/>
        </w:rPr>
        <w:t>法》</w:t>
      </w:r>
      <w:r>
        <w:rPr>
          <w:rFonts w:hint="eastAsia" w:ascii="Times New Roman"/>
          <w:color w:val="auto"/>
          <w:szCs w:val="24"/>
        </w:rPr>
        <w:t>，</w:t>
      </w:r>
      <w:r>
        <w:rPr>
          <w:rFonts w:hint="eastAsia" w:ascii="Times New Roman" w:hAnsi="Times New Roman" w:cs="Times New Roman"/>
          <w:color w:val="auto"/>
        </w:rPr>
        <w:t>2016</w:t>
      </w:r>
      <w:r>
        <w:rPr>
          <w:rFonts w:hint="eastAsia"/>
          <w:color w:val="auto"/>
          <w:lang w:val="en-US" w:eastAsia="zh-CN"/>
        </w:rPr>
        <w:t>.</w:t>
      </w:r>
      <w:r>
        <w:rPr>
          <w:rFonts w:hint="eastAsia" w:ascii="Times New Roman" w:hAnsi="Times New Roman" w:cs="Times New Roman"/>
          <w:color w:val="auto"/>
          <w:lang w:val="en-US" w:eastAsia="zh-CN"/>
        </w:rPr>
        <w:t>7</w:t>
      </w:r>
      <w:r>
        <w:rPr>
          <w:rFonts w:hint="eastAsia"/>
          <w:color w:val="auto"/>
          <w:lang w:val="en-US" w:eastAsia="zh-CN"/>
        </w:rPr>
        <w:t>.</w:t>
      </w:r>
      <w:r>
        <w:rPr>
          <w:rFonts w:hint="eastAsia" w:ascii="Times New Roman" w:hAnsi="Times New Roman" w:cs="Times New Roman"/>
          <w:color w:val="auto"/>
          <w:lang w:val="en-US" w:eastAsia="zh-CN"/>
        </w:rPr>
        <w:t>2</w:t>
      </w:r>
      <w:r>
        <w:rPr>
          <w:rFonts w:ascii="Times New Roman"/>
          <w:color w:val="auto"/>
          <w:szCs w:val="24"/>
        </w:rPr>
        <w:t>；</w:t>
      </w:r>
    </w:p>
    <w:p>
      <w:pPr>
        <w:spacing w:line="460" w:lineRule="exact"/>
        <w:ind w:firstLine="480" w:firstLineChars="200"/>
        <w:rPr>
          <w:rFonts w:hint="eastAsia" w:eastAsia="宋体"/>
          <w:color w:val="auto"/>
          <w:lang w:eastAsia="zh-CN"/>
        </w:rPr>
      </w:pPr>
      <w:r>
        <w:rPr>
          <w:rFonts w:hint="eastAsia"/>
          <w:color w:val="auto"/>
        </w:rPr>
        <w:t>（</w:t>
      </w:r>
      <w:r>
        <w:rPr>
          <w:rFonts w:hint="eastAsia" w:ascii="Times New Roman" w:hAnsi="Times New Roman" w:cs="Times New Roman"/>
          <w:color w:val="auto"/>
        </w:rPr>
        <w:t>12</w:t>
      </w:r>
      <w:r>
        <w:rPr>
          <w:rFonts w:hint="eastAsia"/>
          <w:color w:val="auto"/>
        </w:rPr>
        <w:t>）《中华人民共和国安全生产法》，</w:t>
      </w:r>
      <w:r>
        <w:rPr>
          <w:rFonts w:hint="eastAsia" w:ascii="Times New Roman" w:hAnsi="Times New Roman" w:cs="Times New Roman"/>
          <w:color w:val="auto"/>
        </w:rPr>
        <w:t>20</w:t>
      </w:r>
      <w:r>
        <w:rPr>
          <w:rFonts w:hint="eastAsia" w:ascii="Times New Roman" w:hAnsi="Times New Roman" w:cs="Times New Roman"/>
          <w:color w:val="auto"/>
          <w:lang w:val="en-US" w:eastAsia="zh-CN"/>
        </w:rPr>
        <w:t>21</w:t>
      </w:r>
      <w:r>
        <w:rPr>
          <w:rFonts w:hint="eastAsia" w:ascii="Times New Roman"/>
          <w:color w:val="auto"/>
          <w:lang w:val="en-US" w:eastAsia="zh-CN"/>
        </w:rPr>
        <w:t>.</w:t>
      </w:r>
      <w:r>
        <w:rPr>
          <w:rFonts w:hint="eastAsia" w:ascii="Times New Roman" w:hAnsi="Times New Roman" w:cs="Times New Roman"/>
          <w:color w:val="auto"/>
          <w:lang w:val="en-US" w:eastAsia="zh-CN"/>
        </w:rPr>
        <w:t>9</w:t>
      </w:r>
      <w:r>
        <w:rPr>
          <w:rFonts w:hint="eastAsia" w:ascii="Times New Roman"/>
          <w:color w:val="auto"/>
          <w:lang w:val="en-US" w:eastAsia="zh-CN"/>
        </w:rPr>
        <w:t>.</w:t>
      </w:r>
      <w:r>
        <w:rPr>
          <w:rFonts w:hint="eastAsia" w:ascii="Times New Roman" w:hAnsi="Times New Roman" w:cs="Times New Roman"/>
          <w:color w:val="auto"/>
        </w:rPr>
        <w:t>1</w:t>
      </w:r>
      <w:r>
        <w:rPr>
          <w:rFonts w:hint="eastAsia"/>
          <w:color w:val="auto"/>
          <w:lang w:eastAsia="zh-CN"/>
        </w:rPr>
        <w:t>；</w:t>
      </w:r>
    </w:p>
    <w:p>
      <w:pPr>
        <w:spacing w:line="460" w:lineRule="exact"/>
        <w:ind w:firstLine="480" w:firstLineChars="200"/>
        <w:rPr>
          <w:rFonts w:hint="eastAsia" w:ascii="Times New Roman"/>
          <w:color w:val="auto"/>
          <w:szCs w:val="24"/>
          <w:lang w:eastAsia="zh-CN"/>
        </w:rPr>
      </w:pPr>
      <w:r>
        <w:rPr>
          <w:rFonts w:hint="eastAsia" w:ascii="Times New Roman"/>
          <w:color w:val="auto"/>
          <w:szCs w:val="22"/>
        </w:rPr>
        <w:t>（</w:t>
      </w:r>
      <w:r>
        <w:rPr>
          <w:rFonts w:hint="eastAsia" w:ascii="Times New Roman" w:hAnsi="Times New Roman" w:cs="Times New Roman"/>
          <w:color w:val="auto"/>
          <w:szCs w:val="22"/>
        </w:rPr>
        <w:t>13</w:t>
      </w:r>
      <w:r>
        <w:rPr>
          <w:rFonts w:hint="eastAsia" w:ascii="Times New Roman"/>
          <w:color w:val="auto"/>
          <w:szCs w:val="22"/>
        </w:rPr>
        <w:t>）</w:t>
      </w:r>
      <w:r>
        <w:rPr>
          <w:rFonts w:hint="eastAsia" w:ascii="Times New Roman"/>
          <w:color w:val="auto"/>
          <w:szCs w:val="24"/>
        </w:rPr>
        <w:t>《中华人民共和国突发事件应对法》，</w:t>
      </w:r>
      <w:r>
        <w:rPr>
          <w:rFonts w:hint="eastAsia" w:ascii="Times New Roman" w:hAnsi="Times New Roman" w:cs="Times New Roman"/>
          <w:color w:val="auto"/>
          <w:szCs w:val="24"/>
        </w:rPr>
        <w:t>2007</w:t>
      </w:r>
      <w:r>
        <w:rPr>
          <w:rFonts w:hint="eastAsia" w:ascii="Times New Roman"/>
          <w:color w:val="auto"/>
          <w:szCs w:val="24"/>
          <w:lang w:val="en-US" w:eastAsia="zh-CN"/>
        </w:rPr>
        <w:t>.</w:t>
      </w:r>
      <w:r>
        <w:rPr>
          <w:rFonts w:hint="eastAsia" w:ascii="Times New Roman" w:hAnsi="Times New Roman" w:cs="Times New Roman"/>
          <w:color w:val="auto"/>
          <w:szCs w:val="24"/>
        </w:rPr>
        <w:t>11</w:t>
      </w:r>
      <w:r>
        <w:rPr>
          <w:rFonts w:hint="eastAsia" w:ascii="Times New Roman"/>
          <w:color w:val="auto"/>
          <w:szCs w:val="24"/>
          <w:lang w:val="en-US" w:eastAsia="zh-CN"/>
        </w:rPr>
        <w:t>.</w:t>
      </w:r>
      <w:r>
        <w:rPr>
          <w:rFonts w:hint="eastAsia" w:ascii="Times New Roman" w:hAnsi="Times New Roman" w:cs="Times New Roman"/>
          <w:color w:val="auto"/>
          <w:szCs w:val="24"/>
        </w:rPr>
        <w:t>1</w:t>
      </w:r>
      <w:r>
        <w:rPr>
          <w:rFonts w:hint="eastAsia" w:ascii="Times New Roman"/>
          <w:color w:val="auto"/>
          <w:szCs w:val="24"/>
          <w:lang w:eastAsia="zh-CN"/>
        </w:rPr>
        <w:t>；</w:t>
      </w:r>
    </w:p>
    <w:p>
      <w:pPr>
        <w:spacing w:line="460" w:lineRule="exact"/>
        <w:ind w:firstLine="480" w:firstLineChars="200"/>
        <w:rPr>
          <w:rFonts w:hint="eastAsia" w:ascii="Times New Roman"/>
          <w:color w:val="auto"/>
          <w:szCs w:val="24"/>
          <w:lang w:val="en-US" w:eastAsia="zh-CN"/>
        </w:rPr>
      </w:pPr>
      <w:r>
        <w:rPr>
          <w:rFonts w:hint="eastAsia" w:ascii="Times New Roman"/>
          <w:color w:val="auto"/>
          <w:szCs w:val="24"/>
          <w:lang w:eastAsia="zh-CN"/>
        </w:rPr>
        <w:t>（</w:t>
      </w:r>
      <w:r>
        <w:rPr>
          <w:rFonts w:hint="eastAsia" w:ascii="Times New Roman" w:hAnsi="Times New Roman" w:cs="Times New Roman"/>
          <w:color w:val="auto"/>
          <w:szCs w:val="24"/>
          <w:lang w:val="en-US" w:eastAsia="zh-CN"/>
        </w:rPr>
        <w:t>14</w:t>
      </w:r>
      <w:r>
        <w:rPr>
          <w:rFonts w:hint="eastAsia" w:ascii="Times New Roman"/>
          <w:color w:val="auto"/>
          <w:szCs w:val="24"/>
          <w:lang w:eastAsia="zh-CN"/>
        </w:rPr>
        <w:t>）《中华人民共和国土地管理法》，</w:t>
      </w:r>
      <w:r>
        <w:rPr>
          <w:rFonts w:hint="eastAsia" w:ascii="Times New Roman" w:hAnsi="Times New Roman" w:cs="Times New Roman"/>
          <w:color w:val="auto"/>
          <w:szCs w:val="24"/>
          <w:lang w:val="en-US" w:eastAsia="zh-CN"/>
        </w:rPr>
        <w:t>2020</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1</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1</w:t>
      </w:r>
      <w:r>
        <w:rPr>
          <w:rFonts w:hint="eastAsia" w:ascii="Times New Roman"/>
          <w:color w:val="auto"/>
          <w:szCs w:val="24"/>
          <w:lang w:val="en-US" w:eastAsia="zh-CN"/>
        </w:rPr>
        <w:t>；</w:t>
      </w:r>
    </w:p>
    <w:p>
      <w:pPr>
        <w:spacing w:line="460" w:lineRule="exact"/>
        <w:ind w:firstLine="480" w:firstLineChars="200"/>
        <w:rPr>
          <w:rFonts w:ascii="Times New Roman"/>
          <w:szCs w:val="24"/>
        </w:rPr>
      </w:pP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15</w:t>
      </w:r>
      <w:r>
        <w:rPr>
          <w:rFonts w:hint="eastAsia" w:ascii="Times New Roman"/>
          <w:color w:val="auto"/>
          <w:szCs w:val="24"/>
          <w:lang w:val="en-US" w:eastAsia="zh-CN"/>
        </w:rPr>
        <w:t>）《中华人民共和国水土保持法》，</w:t>
      </w:r>
      <w:r>
        <w:rPr>
          <w:rFonts w:hint="eastAsia" w:ascii="Times New Roman" w:hAnsi="Times New Roman" w:cs="Times New Roman"/>
          <w:color w:val="auto"/>
          <w:szCs w:val="24"/>
          <w:lang w:val="en-US" w:eastAsia="zh-CN"/>
        </w:rPr>
        <w:t>2011</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3</w:t>
      </w:r>
      <w:r>
        <w:rPr>
          <w:rFonts w:hint="eastAsia" w:ascii="Times New Roman"/>
          <w:color w:val="auto"/>
          <w:szCs w:val="24"/>
          <w:lang w:val="en-US" w:eastAsia="zh-CN"/>
        </w:rPr>
        <w:t>.</w:t>
      </w:r>
      <w:r>
        <w:rPr>
          <w:rFonts w:hint="eastAsia" w:ascii="Times New Roman" w:hAnsi="Times New Roman" w:cs="Times New Roman"/>
          <w:color w:val="auto"/>
          <w:szCs w:val="24"/>
          <w:lang w:val="en-US" w:eastAsia="zh-CN"/>
        </w:rPr>
        <w:t>1</w:t>
      </w:r>
      <w:r>
        <w:rPr>
          <w:rFonts w:hint="eastAsia"/>
          <w:color w:val="auto"/>
          <w:lang w:eastAsia="zh-CN"/>
        </w:rPr>
        <w:t>。</w:t>
      </w:r>
    </w:p>
    <w:p>
      <w:pPr>
        <w:pStyle w:val="5"/>
        <w:spacing w:before="156" w:line="460" w:lineRule="exact"/>
      </w:pPr>
      <w:r>
        <w:rPr>
          <w:rFonts w:ascii="Times New Roman" w:hAnsi="Times New Roman"/>
        </w:rPr>
        <w:t>2</w:t>
      </w:r>
      <w:r>
        <w:t>.</w:t>
      </w:r>
      <w:r>
        <w:rPr>
          <w:rFonts w:hint="eastAsia" w:ascii="Times New Roman" w:hAnsi="Times New Roman"/>
          <w:lang w:val="en-US" w:eastAsia="zh-CN"/>
        </w:rPr>
        <w:t>1</w:t>
      </w:r>
      <w:r>
        <w:t>.</w:t>
      </w:r>
      <w:r>
        <w:rPr>
          <w:rFonts w:ascii="Times New Roman" w:hAnsi="Times New Roman"/>
        </w:rPr>
        <w:t>2</w:t>
      </w:r>
      <w:r>
        <w:rPr>
          <w:rFonts w:hint="eastAsia"/>
        </w:rPr>
        <w:t>国家</w:t>
      </w:r>
      <w:r>
        <w:rPr>
          <w:rFonts w:hint="eastAsia"/>
          <w:lang w:eastAsia="zh-CN"/>
        </w:rPr>
        <w:t>行政</w:t>
      </w:r>
      <w:r>
        <w:rPr>
          <w:rFonts w:hint="eastAsia"/>
        </w:rPr>
        <w:t>法规</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1</w:t>
      </w:r>
      <w:r>
        <w:rPr>
          <w:rFonts w:hint="eastAsia" w:ascii="Times New Roman"/>
          <w:szCs w:val="24"/>
        </w:rPr>
        <w:t>）</w:t>
      </w:r>
      <w:r>
        <w:rPr>
          <w:rFonts w:ascii="Times New Roman"/>
          <w:szCs w:val="24"/>
        </w:rPr>
        <w:t>《建设项目环境保护管理条例》</w:t>
      </w:r>
      <w:r>
        <w:rPr>
          <w:rFonts w:hint="eastAsia"/>
        </w:rPr>
        <w:t>（</w:t>
      </w:r>
      <w:r>
        <w:rPr>
          <w:rFonts w:hint="eastAsia" w:ascii="Times New Roman" w:hAnsi="Times New Roman"/>
        </w:rPr>
        <w:t>2017</w:t>
      </w:r>
      <w:r>
        <w:rPr>
          <w:rFonts w:hint="eastAsia"/>
        </w:rPr>
        <w:t>年</w:t>
      </w:r>
      <w:r>
        <w:rPr>
          <w:rFonts w:hint="eastAsia"/>
          <w:lang w:eastAsia="zh-CN"/>
        </w:rPr>
        <w:t>修正</w:t>
      </w:r>
      <w:r>
        <w:rPr>
          <w:rFonts w:hint="eastAsia"/>
        </w:rPr>
        <w:t>），国务院令第</w:t>
      </w:r>
      <w:r>
        <w:rPr>
          <w:rFonts w:hint="eastAsia" w:ascii="Times New Roman" w:hAnsi="Times New Roman"/>
        </w:rPr>
        <w:t>682</w:t>
      </w:r>
      <w:r>
        <w:rPr>
          <w:rFonts w:hint="eastAsia"/>
        </w:rPr>
        <w:t>号，</w:t>
      </w:r>
      <w:r>
        <w:rPr>
          <w:rFonts w:hint="eastAsia" w:ascii="Times New Roman" w:hAnsi="Times New Roman"/>
        </w:rPr>
        <w:t>2017</w:t>
      </w:r>
      <w:r>
        <w:rPr>
          <w:rFonts w:hint="eastAsia"/>
          <w:lang w:val="en-US" w:eastAsia="zh-CN"/>
        </w:rPr>
        <w:t>.</w:t>
      </w:r>
      <w:r>
        <w:rPr>
          <w:rFonts w:hint="eastAsia" w:ascii="Times New Roman" w:hAnsi="Times New Roman"/>
        </w:rPr>
        <w:t>10</w:t>
      </w:r>
      <w:r>
        <w:rPr>
          <w:rFonts w:hint="eastAsia" w:ascii="Times New Roman"/>
          <w:lang w:val="en-US" w:eastAsia="zh-CN"/>
        </w:rPr>
        <w:t>.</w:t>
      </w:r>
      <w:r>
        <w:rPr>
          <w:rFonts w:hint="eastAsia" w:ascii="Times New Roman" w:hAnsi="Times New Roman"/>
        </w:rPr>
        <w:t>1</w:t>
      </w:r>
      <w:r>
        <w:rPr>
          <w:rFonts w:ascii="Times New Roman"/>
          <w:szCs w:val="24"/>
        </w:rPr>
        <w:t>；</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2</w:t>
      </w:r>
      <w:r>
        <w:rPr>
          <w:rFonts w:hint="eastAsia" w:ascii="Times New Roman"/>
          <w:szCs w:val="24"/>
        </w:rPr>
        <w:t>）</w:t>
      </w:r>
      <w:r>
        <w:rPr>
          <w:rFonts w:ascii="Times New Roman"/>
          <w:szCs w:val="24"/>
        </w:rPr>
        <w:t>《危险化学品安全管理条例》</w:t>
      </w:r>
      <w:r>
        <w:rPr>
          <w:rFonts w:hint="eastAsia"/>
        </w:rPr>
        <w:t>，</w:t>
      </w:r>
      <w:r>
        <w:rPr>
          <w:rFonts w:hint="eastAsia"/>
          <w:lang w:eastAsia="zh-CN"/>
        </w:rPr>
        <w:t>国务院令第</w:t>
      </w:r>
      <w:r>
        <w:rPr>
          <w:rFonts w:hint="eastAsia" w:ascii="Times New Roman" w:hAnsi="Times New Roman"/>
          <w:lang w:val="en-US" w:eastAsia="zh-CN"/>
        </w:rPr>
        <w:t>591</w:t>
      </w:r>
      <w:r>
        <w:rPr>
          <w:rFonts w:hint="eastAsia"/>
          <w:lang w:val="en-US" w:eastAsia="zh-CN"/>
        </w:rPr>
        <w:t>号，</w:t>
      </w:r>
      <w:r>
        <w:rPr>
          <w:rFonts w:hint="eastAsia" w:ascii="Times New Roman" w:hAnsi="Times New Roman"/>
        </w:rPr>
        <w:t>2013</w:t>
      </w:r>
      <w:r>
        <w:rPr>
          <w:rFonts w:hint="eastAsia"/>
          <w:lang w:val="en-US" w:eastAsia="zh-CN"/>
        </w:rPr>
        <w:t>.</w:t>
      </w:r>
      <w:r>
        <w:rPr>
          <w:rFonts w:hint="eastAsia" w:ascii="Times New Roman" w:hAnsi="Times New Roman"/>
        </w:rPr>
        <w:t>12</w:t>
      </w:r>
      <w:r>
        <w:rPr>
          <w:rFonts w:hint="eastAsia" w:ascii="Times New Roman"/>
          <w:lang w:val="en-US" w:eastAsia="zh-CN"/>
        </w:rPr>
        <w:t>.</w:t>
      </w:r>
      <w:r>
        <w:rPr>
          <w:rFonts w:hint="eastAsia" w:ascii="Times New Roman" w:hAnsi="Times New Roman"/>
        </w:rPr>
        <w:t>7</w:t>
      </w:r>
      <w:r>
        <w:rPr>
          <w:rFonts w:ascii="Times New Roman"/>
          <w:szCs w:val="24"/>
        </w:rPr>
        <w:t>；</w:t>
      </w:r>
    </w:p>
    <w:p>
      <w:pPr>
        <w:spacing w:line="460" w:lineRule="exact"/>
        <w:ind w:firstLine="480" w:firstLineChars="200"/>
        <w:rPr>
          <w:rFonts w:hint="eastAsia" w:ascii="Times New Roman"/>
          <w:szCs w:val="24"/>
        </w:rPr>
      </w:pPr>
      <w:r>
        <w:rPr>
          <w:rFonts w:hint="eastAsia" w:ascii="Times New Roman"/>
          <w:szCs w:val="24"/>
        </w:rPr>
        <w:t>（</w:t>
      </w:r>
      <w:r>
        <w:rPr>
          <w:rFonts w:hint="eastAsia" w:ascii="Times New Roman" w:hAnsi="Times New Roman"/>
          <w:szCs w:val="24"/>
        </w:rPr>
        <w:t>3</w:t>
      </w:r>
      <w:r>
        <w:rPr>
          <w:rFonts w:hint="eastAsia" w:ascii="Times New Roman"/>
          <w:szCs w:val="24"/>
        </w:rPr>
        <w:t>）</w:t>
      </w:r>
      <w:r>
        <w:rPr>
          <w:rFonts w:hint="eastAsia" w:ascii="Times New Roman" w:eastAsia="宋体" w:cs="Times New Roman"/>
          <w:color w:val="auto"/>
          <w:lang w:eastAsia="zh-CN"/>
        </w:rPr>
        <w:t>《排污许可管理条例》</w:t>
      </w:r>
      <w:r>
        <w:rPr>
          <w:rFonts w:ascii="Times New Roman"/>
          <w:color w:val="auto"/>
        </w:rPr>
        <w:t>，</w:t>
      </w:r>
      <w:r>
        <w:rPr>
          <w:rFonts w:hint="eastAsia" w:ascii="Times New Roman"/>
          <w:color w:val="auto"/>
          <w:lang w:eastAsia="zh-CN"/>
        </w:rPr>
        <w:t>国务院令第</w:t>
      </w:r>
      <w:r>
        <w:rPr>
          <w:rFonts w:hint="eastAsia" w:ascii="Times New Roman" w:hAnsi="Times New Roman"/>
          <w:color w:val="auto"/>
          <w:lang w:val="en-US" w:eastAsia="zh-CN"/>
        </w:rPr>
        <w:t>736</w:t>
      </w:r>
      <w:r>
        <w:rPr>
          <w:rFonts w:hint="eastAsia" w:ascii="Times New Roman"/>
          <w:color w:val="auto"/>
          <w:lang w:val="en-US" w:eastAsia="zh-CN"/>
        </w:rPr>
        <w:t>号</w:t>
      </w:r>
      <w:r>
        <w:rPr>
          <w:rFonts w:ascii="Times New Roman"/>
          <w:color w:val="auto"/>
        </w:rPr>
        <w:t>，</w:t>
      </w:r>
      <w:r>
        <w:rPr>
          <w:rFonts w:ascii="Times New Roman" w:hAnsi="Times New Roman"/>
          <w:color w:val="auto"/>
        </w:rPr>
        <w:t>202</w:t>
      </w:r>
      <w:r>
        <w:rPr>
          <w:rFonts w:hint="eastAsia" w:ascii="Times New Roman" w:hAnsi="Times New Roman"/>
          <w:color w:val="auto"/>
          <w:lang w:val="en-US" w:eastAsia="zh-CN"/>
        </w:rPr>
        <w:t>1</w:t>
      </w:r>
      <w:r>
        <w:rPr>
          <w:rFonts w:hint="eastAsia" w:ascii="Times New Roman"/>
          <w:color w:val="auto"/>
          <w:lang w:val="en-US" w:eastAsia="zh-CN"/>
        </w:rPr>
        <w:t>.</w:t>
      </w:r>
      <w:r>
        <w:rPr>
          <w:rFonts w:hint="eastAsia" w:ascii="Times New Roman" w:hAnsi="Times New Roman"/>
          <w:color w:val="auto"/>
          <w:lang w:val="en-US" w:eastAsia="zh-CN"/>
        </w:rPr>
        <w:t>3</w:t>
      </w:r>
      <w:r>
        <w:rPr>
          <w:rFonts w:hint="eastAsia" w:ascii="Times New Roman"/>
          <w:color w:val="auto"/>
          <w:lang w:val="en-US" w:eastAsia="zh-CN"/>
        </w:rPr>
        <w:t>.</w:t>
      </w:r>
      <w:r>
        <w:rPr>
          <w:rFonts w:hint="eastAsia" w:ascii="Times New Roman" w:hAnsi="Times New Roman"/>
          <w:color w:val="auto"/>
          <w:lang w:val="en-US" w:eastAsia="zh-CN"/>
        </w:rPr>
        <w:t>1</w:t>
      </w:r>
      <w:r>
        <w:rPr>
          <w:rFonts w:ascii="Times New Roman"/>
          <w:color w:val="auto"/>
          <w:szCs w:val="24"/>
        </w:rPr>
        <w:t>；</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4</w:t>
      </w:r>
      <w:r>
        <w:rPr>
          <w:rFonts w:hint="eastAsia" w:ascii="Times New Roman"/>
          <w:szCs w:val="24"/>
        </w:rPr>
        <w:t>）</w:t>
      </w:r>
      <w:r>
        <w:rPr>
          <w:rFonts w:ascii="Times New Roman"/>
          <w:szCs w:val="24"/>
        </w:rPr>
        <w:t>《国务院关于印发水污染防治行动计划的通知》</w:t>
      </w:r>
      <w:r>
        <w:rPr>
          <w:rFonts w:hint="eastAsia"/>
        </w:rPr>
        <w:t>，国发[</w:t>
      </w:r>
      <w:r>
        <w:rPr>
          <w:rFonts w:hint="eastAsia" w:ascii="Times New Roman" w:hAnsi="Times New Roman"/>
        </w:rPr>
        <w:t>2015</w:t>
      </w:r>
      <w:r>
        <w:rPr>
          <w:rFonts w:hint="eastAsia"/>
        </w:rPr>
        <w:t>]</w:t>
      </w:r>
      <w:r>
        <w:rPr>
          <w:rFonts w:hint="eastAsia" w:ascii="Times New Roman" w:hAnsi="Times New Roman"/>
        </w:rPr>
        <w:t>17</w:t>
      </w:r>
      <w:r>
        <w:rPr>
          <w:rFonts w:hint="eastAsia"/>
        </w:rPr>
        <w:t>号，</w:t>
      </w:r>
      <w:r>
        <w:rPr>
          <w:rFonts w:hint="eastAsia" w:ascii="Times New Roman" w:hAnsi="Times New Roman"/>
        </w:rPr>
        <w:t>2015</w:t>
      </w:r>
      <w:r>
        <w:rPr>
          <w:rFonts w:hint="eastAsia"/>
          <w:lang w:val="en-US" w:eastAsia="zh-CN"/>
        </w:rPr>
        <w:t>.</w:t>
      </w:r>
      <w:r>
        <w:rPr>
          <w:rFonts w:hint="eastAsia" w:ascii="Times New Roman" w:hAnsi="Times New Roman"/>
        </w:rPr>
        <w:t>4</w:t>
      </w:r>
      <w:r>
        <w:rPr>
          <w:rFonts w:hint="eastAsia" w:ascii="Times New Roman"/>
          <w:lang w:val="en-US" w:eastAsia="zh-CN"/>
        </w:rPr>
        <w:t>.</w:t>
      </w:r>
      <w:r>
        <w:rPr>
          <w:rFonts w:hint="eastAsia" w:ascii="Times New Roman" w:hAnsi="Times New Roman"/>
        </w:rPr>
        <w:t>2</w:t>
      </w:r>
      <w:r>
        <w:rPr>
          <w:rFonts w:ascii="Times New Roman"/>
          <w:szCs w:val="24"/>
        </w:rPr>
        <w:t>；</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5</w:t>
      </w:r>
      <w:r>
        <w:rPr>
          <w:rFonts w:hint="eastAsia" w:ascii="Times New Roman"/>
          <w:szCs w:val="24"/>
        </w:rPr>
        <w:t>）</w:t>
      </w:r>
      <w:r>
        <w:rPr>
          <w:rFonts w:ascii="Times New Roman"/>
          <w:szCs w:val="24"/>
        </w:rPr>
        <w:t>《国务院关于印发土壤污染防治行动计划的通知》</w:t>
      </w:r>
      <w:r>
        <w:rPr>
          <w:rFonts w:hint="eastAsia"/>
        </w:rPr>
        <w:t>，国发[</w:t>
      </w:r>
      <w:r>
        <w:rPr>
          <w:rFonts w:hint="eastAsia" w:ascii="Times New Roman" w:hAnsi="Times New Roman"/>
        </w:rPr>
        <w:t>201</w:t>
      </w:r>
      <w:r>
        <w:rPr>
          <w:rFonts w:hint="eastAsia" w:ascii="Times New Roman" w:hAnsi="Times New Roman"/>
          <w:lang w:val="en-US" w:eastAsia="zh-CN"/>
        </w:rPr>
        <w:t>6</w:t>
      </w:r>
      <w:r>
        <w:rPr>
          <w:rFonts w:hint="eastAsia"/>
        </w:rPr>
        <w:t>]</w:t>
      </w:r>
      <w:r>
        <w:rPr>
          <w:rFonts w:hint="eastAsia" w:ascii="Times New Roman" w:hAnsi="Times New Roman"/>
        </w:rPr>
        <w:t>31</w:t>
      </w:r>
      <w:r>
        <w:rPr>
          <w:rFonts w:hint="eastAsia"/>
        </w:rPr>
        <w:t>号，</w:t>
      </w:r>
      <w:r>
        <w:rPr>
          <w:rFonts w:hint="eastAsia" w:ascii="Times New Roman" w:hAnsi="Times New Roman"/>
        </w:rPr>
        <w:t>2016</w:t>
      </w:r>
      <w:r>
        <w:rPr>
          <w:rFonts w:hint="eastAsia"/>
          <w:lang w:val="en-US" w:eastAsia="zh-CN"/>
        </w:rPr>
        <w:t>.</w:t>
      </w:r>
      <w:r>
        <w:rPr>
          <w:rFonts w:hint="eastAsia" w:ascii="Times New Roman" w:hAnsi="Times New Roman"/>
        </w:rPr>
        <w:t>5</w:t>
      </w:r>
      <w:r>
        <w:rPr>
          <w:rFonts w:hint="eastAsia" w:ascii="Times New Roman"/>
          <w:lang w:val="en-US" w:eastAsia="zh-CN"/>
        </w:rPr>
        <w:t>.</w:t>
      </w:r>
      <w:r>
        <w:rPr>
          <w:rFonts w:hint="eastAsia" w:ascii="Times New Roman" w:hAnsi="Times New Roman"/>
        </w:rPr>
        <w:t>2</w:t>
      </w:r>
      <w:r>
        <w:rPr>
          <w:rFonts w:hint="eastAsia" w:ascii="Times New Roman" w:hAnsi="Times New Roman"/>
          <w:lang w:val="en-US" w:eastAsia="zh-CN"/>
        </w:rPr>
        <w:t>8</w:t>
      </w:r>
      <w:r>
        <w:rPr>
          <w:rFonts w:ascii="Times New Roman"/>
          <w:szCs w:val="24"/>
        </w:rPr>
        <w:t>；</w:t>
      </w:r>
    </w:p>
    <w:p>
      <w:pPr>
        <w:spacing w:line="460" w:lineRule="exact"/>
        <w:ind w:firstLine="480" w:firstLineChars="200"/>
        <w:rPr>
          <w:rFonts w:hint="eastAsia"/>
        </w:rPr>
      </w:pPr>
      <w:r>
        <w:rPr>
          <w:rFonts w:hint="eastAsia" w:ascii="Times New Roman"/>
          <w:szCs w:val="24"/>
        </w:rPr>
        <w:t>（</w:t>
      </w:r>
      <w:r>
        <w:rPr>
          <w:rFonts w:hint="eastAsia" w:ascii="Times New Roman" w:hAnsi="Times New Roman"/>
          <w:szCs w:val="24"/>
        </w:rPr>
        <w:t>6</w:t>
      </w:r>
      <w:r>
        <w:rPr>
          <w:rFonts w:hint="eastAsia" w:ascii="Times New Roman"/>
          <w:szCs w:val="24"/>
        </w:rPr>
        <w:t>）</w:t>
      </w:r>
      <w:r>
        <w:rPr>
          <w:rFonts w:hint="eastAsia"/>
        </w:rPr>
        <w:t>《国务院关于印发打赢蓝天保卫战三年行动计划的通知》，国发[</w:t>
      </w:r>
      <w:r>
        <w:rPr>
          <w:rFonts w:hint="eastAsia" w:ascii="Times New Roman" w:hAnsi="Times New Roman"/>
        </w:rPr>
        <w:t>2018</w:t>
      </w:r>
      <w:r>
        <w:rPr>
          <w:rFonts w:hint="eastAsia"/>
        </w:rPr>
        <w:t>]</w:t>
      </w:r>
      <w:r>
        <w:rPr>
          <w:rFonts w:hint="eastAsia" w:ascii="Times New Roman" w:hAnsi="Times New Roman"/>
        </w:rPr>
        <w:t>22</w:t>
      </w:r>
      <w:r>
        <w:rPr>
          <w:rFonts w:hint="eastAsia"/>
        </w:rPr>
        <w:t>号，</w:t>
      </w:r>
      <w:r>
        <w:rPr>
          <w:rFonts w:hint="eastAsia" w:ascii="Times New Roman" w:hAnsi="Times New Roman"/>
        </w:rPr>
        <w:t>2018</w:t>
      </w:r>
      <w:r>
        <w:rPr>
          <w:rFonts w:hint="eastAsia"/>
          <w:lang w:val="en-US" w:eastAsia="zh-CN"/>
        </w:rPr>
        <w:t>.</w:t>
      </w:r>
      <w:r>
        <w:rPr>
          <w:rFonts w:hint="eastAsia" w:ascii="Times New Roman" w:hAnsi="Times New Roman"/>
        </w:rPr>
        <w:t>6</w:t>
      </w:r>
      <w:r>
        <w:rPr>
          <w:rFonts w:hint="eastAsia" w:ascii="Times New Roman"/>
          <w:lang w:val="en-US" w:eastAsia="zh-CN"/>
        </w:rPr>
        <w:t>.</w:t>
      </w:r>
      <w:r>
        <w:rPr>
          <w:rFonts w:hint="eastAsia" w:ascii="Times New Roman" w:hAnsi="Times New Roman"/>
        </w:rPr>
        <w:t>27</w:t>
      </w:r>
      <w:r>
        <w:rPr>
          <w:rFonts w:hint="eastAsia"/>
        </w:rPr>
        <w:t>；</w:t>
      </w:r>
    </w:p>
    <w:p>
      <w:pPr>
        <w:rPr>
          <w:rFonts w:hint="eastAsia"/>
        </w:rPr>
      </w:pPr>
      <w:r>
        <w:rPr>
          <w:rFonts w:hint="eastAsia"/>
        </w:rPr>
        <w:t>（</w:t>
      </w:r>
      <w:r>
        <w:rPr>
          <w:rFonts w:hint="eastAsia" w:ascii="Times New Roman" w:hAnsi="Times New Roman"/>
        </w:rPr>
        <w:t>7</w:t>
      </w:r>
      <w:r>
        <w:rPr>
          <w:rFonts w:hint="eastAsia"/>
        </w:rPr>
        <w:t>）</w:t>
      </w:r>
      <w:r>
        <w:rPr>
          <w:rFonts w:ascii="Times New Roman"/>
          <w:color w:val="auto"/>
        </w:rPr>
        <w:t>《国务院办公厅关于印发控制污染物排放许可制实施方案的通知》，国办发[</w:t>
      </w:r>
      <w:r>
        <w:rPr>
          <w:rFonts w:ascii="Times New Roman" w:hAnsi="Times New Roman"/>
          <w:color w:val="auto"/>
        </w:rPr>
        <w:t>2016</w:t>
      </w:r>
      <w:r>
        <w:rPr>
          <w:rFonts w:ascii="Times New Roman"/>
          <w:color w:val="auto"/>
        </w:rPr>
        <w:t>]</w:t>
      </w:r>
      <w:r>
        <w:rPr>
          <w:rFonts w:ascii="Times New Roman" w:hAnsi="Times New Roman"/>
          <w:color w:val="auto"/>
        </w:rPr>
        <w:t>81</w:t>
      </w:r>
      <w:r>
        <w:rPr>
          <w:rFonts w:ascii="Times New Roman"/>
          <w:color w:val="auto"/>
        </w:rPr>
        <w:t>号，</w:t>
      </w:r>
      <w:r>
        <w:rPr>
          <w:rFonts w:ascii="Times New Roman" w:hAnsi="Times New Roman"/>
          <w:color w:val="auto"/>
        </w:rPr>
        <w:t>2016</w:t>
      </w:r>
      <w:r>
        <w:rPr>
          <w:rFonts w:hint="eastAsia" w:ascii="Times New Roman"/>
          <w:color w:val="auto"/>
          <w:lang w:val="en-US" w:eastAsia="zh-CN"/>
        </w:rPr>
        <w:t>.</w:t>
      </w:r>
      <w:r>
        <w:rPr>
          <w:rFonts w:ascii="Times New Roman" w:hAnsi="Times New Roman"/>
          <w:color w:val="auto"/>
        </w:rPr>
        <w:t>11</w:t>
      </w:r>
      <w:r>
        <w:rPr>
          <w:rFonts w:hint="eastAsia" w:ascii="Times New Roman"/>
          <w:color w:val="auto"/>
          <w:lang w:val="en-US" w:eastAsia="zh-CN"/>
        </w:rPr>
        <w:t>.</w:t>
      </w:r>
      <w:r>
        <w:rPr>
          <w:rFonts w:ascii="Times New Roman" w:hAnsi="Times New Roman"/>
          <w:color w:val="auto"/>
        </w:rPr>
        <w:t>10</w:t>
      </w:r>
      <w:r>
        <w:rPr>
          <w:rFonts w:hint="eastAsia"/>
        </w:rPr>
        <w:t>；</w:t>
      </w:r>
    </w:p>
    <w:p>
      <w:pPr>
        <w:rPr>
          <w:rFonts w:hint="eastAsia"/>
        </w:rPr>
      </w:pPr>
      <w:r>
        <w:rPr>
          <w:rFonts w:hint="eastAsia"/>
        </w:rPr>
        <w:t>（</w:t>
      </w:r>
      <w:r>
        <w:rPr>
          <w:rFonts w:hint="eastAsia" w:ascii="Times New Roman" w:hAnsi="Times New Roman"/>
        </w:rPr>
        <w:t>8</w:t>
      </w:r>
      <w:r>
        <w:rPr>
          <w:rFonts w:hint="eastAsia"/>
        </w:rPr>
        <w:t>）</w:t>
      </w:r>
      <w:r>
        <w:rPr>
          <w:rFonts w:hint="eastAsia" w:ascii="Times New Roman"/>
          <w:color w:val="auto"/>
          <w:lang w:eastAsia="zh-CN"/>
        </w:rPr>
        <w:t>《中共中央</w:t>
      </w:r>
      <w:r>
        <w:rPr>
          <w:rFonts w:hint="eastAsia" w:ascii="Times New Roman"/>
          <w:color w:val="auto"/>
          <w:lang w:val="en-US" w:eastAsia="zh-CN"/>
        </w:rPr>
        <w:t xml:space="preserve"> 国务院</w:t>
      </w:r>
      <w:r>
        <w:rPr>
          <w:rFonts w:hint="eastAsia" w:ascii="Times New Roman"/>
          <w:color w:val="auto"/>
          <w:lang w:eastAsia="zh-CN"/>
        </w:rPr>
        <w:t>关于深入打好污染防治攻坚战的意见》，</w:t>
      </w:r>
      <w:r>
        <w:rPr>
          <w:rFonts w:hint="eastAsia" w:ascii="Times New Roman" w:hAnsi="Times New Roman"/>
          <w:color w:val="auto"/>
          <w:lang w:val="en-US" w:eastAsia="zh-CN"/>
        </w:rPr>
        <w:t>2021</w:t>
      </w:r>
      <w:r>
        <w:rPr>
          <w:rFonts w:hint="eastAsia" w:ascii="Times New Roman"/>
          <w:color w:val="auto"/>
          <w:lang w:val="en-US" w:eastAsia="zh-CN"/>
        </w:rPr>
        <w:t>.</w:t>
      </w:r>
      <w:r>
        <w:rPr>
          <w:rFonts w:hint="eastAsia" w:ascii="Times New Roman" w:hAnsi="Times New Roman"/>
          <w:color w:val="auto"/>
          <w:lang w:val="en-US" w:eastAsia="zh-CN"/>
        </w:rPr>
        <w:t>11</w:t>
      </w:r>
      <w:r>
        <w:rPr>
          <w:rFonts w:hint="eastAsia" w:ascii="Times New Roman"/>
          <w:color w:val="auto"/>
          <w:lang w:val="en-US" w:eastAsia="zh-CN"/>
        </w:rPr>
        <w:t>.</w:t>
      </w:r>
      <w:r>
        <w:rPr>
          <w:rFonts w:hint="eastAsia" w:ascii="Times New Roman" w:hAnsi="Times New Roman"/>
          <w:color w:val="auto"/>
          <w:lang w:val="en-US" w:eastAsia="zh-CN"/>
        </w:rPr>
        <w:t>2</w:t>
      </w:r>
      <w:r>
        <w:rPr>
          <w:rFonts w:hint="eastAsia"/>
        </w:rPr>
        <w:t>；</w:t>
      </w:r>
    </w:p>
    <w:p>
      <w:pPr>
        <w:rPr>
          <w:rFonts w:hint="eastAsia" w:ascii="Times New Roman"/>
          <w:color w:val="auto"/>
          <w:lang w:val="en-US" w:eastAsia="zh-CN"/>
        </w:rPr>
      </w:pPr>
      <w:r>
        <w:rPr>
          <w:rFonts w:hint="eastAsia"/>
        </w:rPr>
        <w:t>（</w:t>
      </w:r>
      <w:r>
        <w:rPr>
          <w:rFonts w:hint="eastAsia" w:ascii="Times New Roman" w:hAnsi="Times New Roman"/>
        </w:rPr>
        <w:t>9</w:t>
      </w:r>
      <w:r>
        <w:rPr>
          <w:rFonts w:hint="eastAsia"/>
        </w:rPr>
        <w:t>）</w:t>
      </w:r>
      <w:r>
        <w:rPr>
          <w:rFonts w:hint="eastAsia" w:ascii="Times New Roman"/>
          <w:color w:val="auto"/>
          <w:lang w:val="en-US" w:eastAsia="zh-CN"/>
        </w:rPr>
        <w:t>《国务院关于印发“十四五”节能减排综合性工作方案的通知》，国发[</w:t>
      </w:r>
      <w:r>
        <w:rPr>
          <w:rFonts w:hint="eastAsia" w:ascii="Times New Roman" w:hAnsi="Times New Roman"/>
          <w:color w:val="auto"/>
          <w:lang w:val="en-US" w:eastAsia="zh-CN"/>
        </w:rPr>
        <w:t>2021</w:t>
      </w:r>
      <w:r>
        <w:rPr>
          <w:rFonts w:hint="eastAsia" w:ascii="Times New Roman"/>
          <w:color w:val="auto"/>
          <w:lang w:val="en-US" w:eastAsia="zh-CN"/>
        </w:rPr>
        <w:t>]</w:t>
      </w:r>
      <w:r>
        <w:rPr>
          <w:rFonts w:hint="eastAsia" w:ascii="Times New Roman" w:hAnsi="Times New Roman"/>
          <w:color w:val="auto"/>
          <w:lang w:val="en-US" w:eastAsia="zh-CN"/>
        </w:rPr>
        <w:t>33</w:t>
      </w:r>
      <w:r>
        <w:rPr>
          <w:rFonts w:hint="eastAsia" w:ascii="Times New Roman"/>
          <w:color w:val="auto"/>
          <w:lang w:val="en-US" w:eastAsia="zh-CN"/>
        </w:rPr>
        <w:t>号，</w:t>
      </w:r>
      <w:r>
        <w:rPr>
          <w:rFonts w:hint="eastAsia" w:ascii="Times New Roman" w:hAnsi="Times New Roman"/>
          <w:color w:val="auto"/>
          <w:lang w:val="en-US" w:eastAsia="zh-CN"/>
        </w:rPr>
        <w:t>2021</w:t>
      </w:r>
      <w:r>
        <w:rPr>
          <w:rFonts w:hint="eastAsia" w:ascii="Times New Roman"/>
          <w:color w:val="auto"/>
          <w:lang w:val="en-US" w:eastAsia="zh-CN"/>
        </w:rPr>
        <w:t>.</w:t>
      </w:r>
      <w:r>
        <w:rPr>
          <w:rFonts w:hint="eastAsia" w:ascii="Times New Roman" w:hAnsi="Times New Roman"/>
          <w:color w:val="auto"/>
          <w:lang w:val="en-US" w:eastAsia="zh-CN"/>
        </w:rPr>
        <w:t>12</w:t>
      </w:r>
      <w:r>
        <w:rPr>
          <w:rFonts w:hint="eastAsia" w:ascii="Times New Roman"/>
          <w:color w:val="auto"/>
          <w:lang w:val="en-US" w:eastAsia="zh-CN"/>
        </w:rPr>
        <w:t>.</w:t>
      </w:r>
      <w:r>
        <w:rPr>
          <w:rFonts w:hint="eastAsia" w:ascii="Times New Roman" w:hAnsi="Times New Roman"/>
          <w:color w:val="auto"/>
          <w:lang w:val="en-US" w:eastAsia="zh-CN"/>
        </w:rPr>
        <w:t>28</w:t>
      </w:r>
      <w:r>
        <w:rPr>
          <w:rFonts w:hint="eastAsia" w:ascii="Times New Roman"/>
          <w:color w:val="auto"/>
          <w:lang w:val="en-US" w:eastAsia="zh-CN"/>
        </w:rPr>
        <w:t>；</w:t>
      </w:r>
    </w:p>
    <w:p>
      <w:pPr>
        <w:rPr>
          <w:rFonts w:hint="eastAsia" w:ascii="Times New Roman" w:hAnsi="Times New Roman"/>
          <w:color w:val="auto"/>
          <w:lang w:val="en-US" w:eastAsia="zh-CN"/>
        </w:rPr>
      </w:pPr>
      <w:r>
        <w:rPr>
          <w:rFonts w:hint="eastAsia" w:ascii="Times New Roman"/>
          <w:color w:val="auto"/>
          <w:lang w:val="en-US" w:eastAsia="zh-CN"/>
        </w:rPr>
        <w:t>（</w:t>
      </w:r>
      <w:r>
        <w:rPr>
          <w:rFonts w:hint="eastAsia" w:ascii="Times New Roman" w:hAnsi="Times New Roman"/>
          <w:color w:val="auto"/>
          <w:lang w:val="en-US" w:eastAsia="zh-CN"/>
        </w:rPr>
        <w:t>10</w:t>
      </w:r>
      <w:r>
        <w:rPr>
          <w:rFonts w:hint="eastAsia" w:ascii="Times New Roman"/>
          <w:color w:val="auto"/>
          <w:lang w:val="en-US" w:eastAsia="zh-CN"/>
        </w:rPr>
        <w:t>）《国务院办公厅关于印发强化危险废物监管和利用处置能力改革实施方案的通知》，国办函[</w:t>
      </w:r>
      <w:r>
        <w:rPr>
          <w:rFonts w:hint="eastAsia" w:ascii="Times New Roman" w:hAnsi="Times New Roman"/>
          <w:color w:val="auto"/>
          <w:lang w:val="en-US" w:eastAsia="zh-CN"/>
        </w:rPr>
        <w:t>2021</w:t>
      </w:r>
      <w:r>
        <w:rPr>
          <w:rFonts w:hint="eastAsia" w:ascii="Times New Roman"/>
          <w:color w:val="auto"/>
          <w:lang w:val="en-US" w:eastAsia="zh-CN"/>
        </w:rPr>
        <w:t>]</w:t>
      </w:r>
      <w:r>
        <w:rPr>
          <w:rFonts w:hint="eastAsia" w:ascii="Times New Roman" w:hAnsi="Times New Roman"/>
          <w:color w:val="auto"/>
          <w:lang w:val="en-US" w:eastAsia="zh-CN"/>
        </w:rPr>
        <w:t>47</w:t>
      </w:r>
      <w:r>
        <w:rPr>
          <w:rFonts w:hint="eastAsia" w:ascii="Times New Roman"/>
          <w:color w:val="auto"/>
          <w:lang w:val="en-US" w:eastAsia="zh-CN"/>
        </w:rPr>
        <w:t>号，</w:t>
      </w:r>
      <w:r>
        <w:rPr>
          <w:rFonts w:hint="eastAsia" w:ascii="Times New Roman" w:hAnsi="Times New Roman"/>
          <w:color w:val="auto"/>
          <w:lang w:val="en-US" w:eastAsia="zh-CN"/>
        </w:rPr>
        <w:t>2021</w:t>
      </w:r>
      <w:r>
        <w:rPr>
          <w:rFonts w:hint="eastAsia" w:ascii="Times New Roman"/>
          <w:color w:val="auto"/>
          <w:lang w:val="en-US" w:eastAsia="zh-CN"/>
        </w:rPr>
        <w:t>.</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11</w:t>
      </w:r>
      <w:r>
        <w:rPr>
          <w:rFonts w:hint="eastAsia" w:ascii="Times New Roman" w:hAnsi="Times New Roman"/>
          <w:color w:val="auto"/>
          <w:lang w:val="en-US" w:eastAsia="zh-CN"/>
        </w:rPr>
        <w:t>；</w:t>
      </w:r>
    </w:p>
    <w:p>
      <w:pPr>
        <w:rPr>
          <w:rFonts w:hint="eastAsia"/>
        </w:rPr>
      </w:pPr>
      <w:r>
        <w:rPr>
          <w:rFonts w:hint="eastAsia" w:ascii="Times New Roman" w:hAnsi="Times New Roman"/>
          <w:color w:val="auto"/>
          <w:lang w:val="en-US" w:eastAsia="zh-CN"/>
        </w:rPr>
        <w:t>（</w:t>
      </w:r>
      <w:r>
        <w:rPr>
          <w:rFonts w:hint="eastAsia" w:ascii="Times New Roman" w:hAnsi="Times New Roman"/>
          <w:color w:val="auto"/>
          <w:lang w:val="en-US" w:eastAsia="zh-CN"/>
        </w:rPr>
        <w:t>11</w:t>
      </w:r>
      <w:r>
        <w:rPr>
          <w:rFonts w:hint="eastAsia" w:ascii="Times New Roman" w:hAnsi="Times New Roman"/>
          <w:color w:val="auto"/>
          <w:lang w:val="en-US" w:eastAsia="zh-CN"/>
        </w:rPr>
        <w:t>）《国务院关于印发大气污染防治行动计划的通知》，国发[</w:t>
      </w:r>
      <w:r>
        <w:rPr>
          <w:rFonts w:hint="eastAsia" w:ascii="Times New Roman" w:hAnsi="Times New Roman"/>
          <w:color w:val="auto"/>
          <w:lang w:val="en-US" w:eastAsia="zh-CN"/>
        </w:rPr>
        <w:t>2013</w:t>
      </w:r>
      <w:r>
        <w:rPr>
          <w:rFonts w:hint="eastAsia" w:ascii="Times New Roman" w:hAnsi="Times New Roman"/>
          <w:color w:val="auto"/>
          <w:lang w:val="en-US" w:eastAsia="zh-CN"/>
        </w:rPr>
        <w:t>]</w:t>
      </w:r>
      <w:r>
        <w:rPr>
          <w:rFonts w:hint="eastAsia" w:ascii="Times New Roman" w:hAnsi="Times New Roman"/>
          <w:color w:val="auto"/>
          <w:lang w:val="en-US" w:eastAsia="zh-CN"/>
        </w:rPr>
        <w:t>37</w:t>
      </w:r>
      <w:r>
        <w:rPr>
          <w:rFonts w:hint="eastAsia" w:ascii="Times New Roman" w:hAnsi="Times New Roman"/>
          <w:color w:val="auto"/>
          <w:lang w:val="en-US" w:eastAsia="zh-CN"/>
        </w:rPr>
        <w:t>号，</w:t>
      </w:r>
      <w:r>
        <w:rPr>
          <w:rFonts w:hint="eastAsia" w:ascii="Times New Roman" w:hAnsi="Times New Roman"/>
          <w:color w:val="auto"/>
          <w:lang w:val="en-US" w:eastAsia="zh-CN"/>
        </w:rPr>
        <w:t>2013</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13</w:t>
      </w:r>
      <w:r>
        <w:rPr>
          <w:rFonts w:hint="eastAsia" w:ascii="Times New Roman"/>
          <w:szCs w:val="24"/>
        </w:rPr>
        <w:t>。</w:t>
      </w:r>
    </w:p>
    <w:p>
      <w:pPr>
        <w:pStyle w:val="5"/>
        <w:spacing w:before="156"/>
        <w:rPr>
          <w:rFonts w:hint="eastAsia"/>
        </w:rPr>
      </w:pPr>
      <w:r>
        <w:rPr>
          <w:rFonts w:hint="eastAsia" w:ascii="Times New Roman" w:hAnsi="Times New Roman"/>
        </w:rPr>
        <w:t>2</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3</w:t>
      </w:r>
      <w:r>
        <w:rPr>
          <w:rFonts w:hint="eastAsia"/>
        </w:rPr>
        <w:t>国家部门规章、规范性文件</w:t>
      </w:r>
    </w:p>
    <w:p>
      <w:pPr>
        <w:spacing w:line="440" w:lineRule="exact"/>
        <w:ind w:firstLine="480" w:firstLineChars="200"/>
        <w:rPr>
          <w:rFonts w:hint="eastAsia"/>
          <w:szCs w:val="24"/>
        </w:rPr>
      </w:pPr>
      <w:r>
        <w:rPr>
          <w:rFonts w:hint="eastAsia"/>
          <w:szCs w:val="24"/>
        </w:rPr>
        <w:t>（</w:t>
      </w:r>
      <w:r>
        <w:rPr>
          <w:rFonts w:hint="eastAsia" w:ascii="Times New Roman" w:hAnsi="Times New Roman"/>
          <w:szCs w:val="24"/>
        </w:rPr>
        <w:t>1</w:t>
      </w:r>
      <w:r>
        <w:rPr>
          <w:rFonts w:hint="eastAsia"/>
          <w:szCs w:val="24"/>
        </w:rPr>
        <w:t>）</w:t>
      </w:r>
      <w:r>
        <w:rPr>
          <w:rFonts w:hint="eastAsia"/>
        </w:rPr>
        <w:t>《建设项目环境影响评价分类管理名录</w:t>
      </w:r>
      <w:r>
        <w:rPr>
          <w:rFonts w:hint="eastAsia"/>
          <w:lang w:eastAsia="zh-CN"/>
        </w:rPr>
        <w:t>（</w:t>
      </w:r>
      <w:r>
        <w:rPr>
          <w:rFonts w:hint="eastAsia" w:ascii="Times New Roman" w:hAnsi="Times New Roman"/>
          <w:lang w:val="en-US" w:eastAsia="zh-CN"/>
        </w:rPr>
        <w:t>2021</w:t>
      </w:r>
      <w:r>
        <w:rPr>
          <w:rFonts w:hint="eastAsia"/>
          <w:lang w:val="en-US" w:eastAsia="zh-CN"/>
        </w:rPr>
        <w:t>年版</w:t>
      </w:r>
      <w:r>
        <w:rPr>
          <w:rFonts w:hint="eastAsia"/>
          <w:lang w:eastAsia="zh-CN"/>
        </w:rPr>
        <w:t>）</w:t>
      </w:r>
      <w:r>
        <w:rPr>
          <w:rFonts w:hint="eastAsia"/>
        </w:rPr>
        <w:t>》，</w:t>
      </w:r>
      <w:r>
        <w:rPr>
          <w:rFonts w:hint="eastAsia"/>
          <w:lang w:eastAsia="zh-CN"/>
        </w:rPr>
        <w:t>生态环境部</w:t>
      </w:r>
      <w:r>
        <w:rPr>
          <w:rFonts w:hint="eastAsia"/>
        </w:rPr>
        <w:t>令第</w:t>
      </w:r>
      <w:r>
        <w:rPr>
          <w:rFonts w:hint="eastAsia" w:ascii="Times New Roman" w:hAnsi="Times New Roman"/>
          <w:lang w:val="en-US" w:eastAsia="zh-CN"/>
        </w:rPr>
        <w:t>16</w:t>
      </w:r>
      <w:r>
        <w:rPr>
          <w:rFonts w:hint="eastAsia"/>
        </w:rPr>
        <w:t>号，</w:t>
      </w:r>
      <w:r>
        <w:rPr>
          <w:rFonts w:hint="eastAsia" w:ascii="Times New Roman" w:hAnsi="Times New Roman"/>
          <w:lang w:val="en-US" w:eastAsia="zh-CN"/>
        </w:rPr>
        <w:t>2021</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rPr>
        <w:t>；</w:t>
      </w:r>
    </w:p>
    <w:p>
      <w:pPr>
        <w:spacing w:line="440" w:lineRule="exact"/>
        <w:ind w:firstLine="480" w:firstLineChars="200"/>
        <w:rPr>
          <w:rFonts w:hint="eastAsia"/>
          <w:szCs w:val="24"/>
        </w:rPr>
      </w:pPr>
      <w:r>
        <w:rPr>
          <w:rFonts w:hint="eastAsia"/>
          <w:szCs w:val="24"/>
        </w:rPr>
        <w:t>（</w:t>
      </w:r>
      <w:r>
        <w:rPr>
          <w:rFonts w:hint="eastAsia" w:ascii="Times New Roman" w:hAnsi="Times New Roman"/>
          <w:szCs w:val="24"/>
        </w:rPr>
        <w:t>2</w:t>
      </w:r>
      <w:r>
        <w:rPr>
          <w:rFonts w:hint="eastAsia"/>
          <w:szCs w:val="24"/>
        </w:rPr>
        <w:t>）</w:t>
      </w:r>
      <w:r>
        <w:rPr>
          <w:rFonts w:ascii="Times New Roman"/>
          <w:szCs w:val="24"/>
        </w:rPr>
        <w:t>《建设项目竣工环境保护验收</w:t>
      </w:r>
      <w:r>
        <w:rPr>
          <w:rFonts w:hint="eastAsia" w:ascii="Times New Roman"/>
          <w:szCs w:val="24"/>
        </w:rPr>
        <w:t>暂行</w:t>
      </w:r>
      <w:r>
        <w:rPr>
          <w:rFonts w:ascii="Times New Roman"/>
          <w:szCs w:val="24"/>
        </w:rPr>
        <w:t>办法》</w:t>
      </w:r>
      <w:r>
        <w:rPr>
          <w:rFonts w:hint="eastAsia"/>
        </w:rPr>
        <w:t>，国环规环评[</w:t>
      </w:r>
      <w:r>
        <w:rPr>
          <w:rFonts w:hint="eastAsia" w:ascii="Times New Roman" w:hAnsi="Times New Roman"/>
        </w:rPr>
        <w:t>2017</w:t>
      </w:r>
      <w:r>
        <w:rPr>
          <w:rFonts w:hint="eastAsia"/>
        </w:rPr>
        <w:t>]</w:t>
      </w:r>
      <w:r>
        <w:rPr>
          <w:rFonts w:hint="eastAsia" w:ascii="Times New Roman" w:hAnsi="Times New Roman"/>
        </w:rPr>
        <w:t>4</w:t>
      </w:r>
      <w:r>
        <w:rPr>
          <w:rFonts w:hint="eastAsia"/>
        </w:rPr>
        <w:t>号，</w:t>
      </w:r>
      <w:r>
        <w:rPr>
          <w:rFonts w:hint="eastAsia" w:ascii="Times New Roman" w:hAnsi="Times New Roman"/>
        </w:rPr>
        <w:t>2017</w:t>
      </w:r>
      <w:r>
        <w:rPr>
          <w:rFonts w:hint="eastAsia"/>
          <w:lang w:val="en-US" w:eastAsia="zh-CN"/>
        </w:rPr>
        <w:t>.</w:t>
      </w:r>
      <w:r>
        <w:rPr>
          <w:rFonts w:hint="eastAsia" w:ascii="Times New Roman" w:hAnsi="Times New Roman"/>
        </w:rPr>
        <w:t>11</w:t>
      </w:r>
      <w:r>
        <w:rPr>
          <w:rFonts w:hint="eastAsia" w:ascii="Times New Roman"/>
          <w:lang w:val="en-US" w:eastAsia="zh-CN"/>
        </w:rPr>
        <w:t>.</w:t>
      </w:r>
      <w:r>
        <w:rPr>
          <w:rFonts w:hint="eastAsia" w:ascii="Times New Roman" w:hAnsi="Times New Roman"/>
        </w:rPr>
        <w:t>22</w:t>
      </w:r>
      <w:r>
        <w:rPr>
          <w:rFonts w:hint="eastAsia"/>
        </w:rPr>
        <w:t>；</w:t>
      </w:r>
    </w:p>
    <w:p>
      <w:pPr>
        <w:spacing w:line="440" w:lineRule="exact"/>
        <w:ind w:firstLine="480" w:firstLineChars="200"/>
        <w:rPr>
          <w:rFonts w:hint="eastAsia"/>
          <w:szCs w:val="24"/>
        </w:rPr>
      </w:pPr>
      <w:r>
        <w:rPr>
          <w:rFonts w:hint="eastAsia"/>
          <w:szCs w:val="24"/>
        </w:rPr>
        <w:t>（</w:t>
      </w:r>
      <w:r>
        <w:rPr>
          <w:rFonts w:hint="eastAsia" w:ascii="Times New Roman" w:hAnsi="Times New Roman"/>
          <w:szCs w:val="24"/>
        </w:rPr>
        <w:t>3</w:t>
      </w:r>
      <w:r>
        <w:rPr>
          <w:rFonts w:hint="eastAsia"/>
          <w:szCs w:val="24"/>
        </w:rPr>
        <w:t>）</w:t>
      </w:r>
      <w:r>
        <w:rPr>
          <w:rFonts w:ascii="Times New Roman"/>
          <w:szCs w:val="24"/>
        </w:rPr>
        <w:t>《关于</w:t>
      </w:r>
      <w:r>
        <w:rPr>
          <w:rFonts w:hint="eastAsia" w:ascii="Times New Roman"/>
          <w:szCs w:val="24"/>
          <w:lang w:eastAsia="zh-CN"/>
        </w:rPr>
        <w:t>进一步加强环境影响评价管理防范环境风险</w:t>
      </w:r>
      <w:r>
        <w:rPr>
          <w:rFonts w:ascii="Times New Roman"/>
          <w:szCs w:val="24"/>
        </w:rPr>
        <w:t>的通知》</w:t>
      </w:r>
      <w:r>
        <w:rPr>
          <w:rFonts w:hint="eastAsia"/>
        </w:rPr>
        <w:t>，环发[</w:t>
      </w:r>
      <w:r>
        <w:rPr>
          <w:rFonts w:hint="eastAsia" w:ascii="Times New Roman" w:hAnsi="Times New Roman"/>
        </w:rPr>
        <w:t>2012</w:t>
      </w:r>
      <w:r>
        <w:rPr>
          <w:rFonts w:hint="eastAsia"/>
        </w:rPr>
        <w:t>]</w:t>
      </w:r>
      <w:r>
        <w:rPr>
          <w:rFonts w:hint="eastAsia" w:ascii="Times New Roman" w:hAnsi="Times New Roman"/>
          <w:lang w:val="en-US" w:eastAsia="zh-CN"/>
        </w:rPr>
        <w:t>77</w:t>
      </w:r>
      <w:r>
        <w:rPr>
          <w:rFonts w:hint="eastAsia"/>
        </w:rPr>
        <w:t>号，</w:t>
      </w:r>
      <w:r>
        <w:rPr>
          <w:rFonts w:hint="eastAsia" w:ascii="Times New Roman" w:hAnsi="Times New Roman"/>
        </w:rPr>
        <w:t>2012</w:t>
      </w:r>
      <w:r>
        <w:rPr>
          <w:rFonts w:hint="eastAsia"/>
          <w:lang w:val="en-US" w:eastAsia="zh-CN"/>
        </w:rPr>
        <w:t>.</w:t>
      </w:r>
      <w:r>
        <w:rPr>
          <w:rFonts w:hint="eastAsia" w:ascii="Times New Roman" w:hAnsi="Times New Roman"/>
        </w:rPr>
        <w:t>7</w:t>
      </w:r>
      <w:r>
        <w:rPr>
          <w:rFonts w:hint="eastAsia" w:ascii="Times New Roman"/>
          <w:lang w:val="en-US" w:eastAsia="zh-CN"/>
        </w:rPr>
        <w:t>.</w:t>
      </w:r>
      <w:r>
        <w:rPr>
          <w:rFonts w:hint="eastAsia" w:ascii="Times New Roman" w:hAnsi="Times New Roman"/>
        </w:rPr>
        <w:t>3</w:t>
      </w:r>
      <w:r>
        <w:rPr>
          <w:rFonts w:hint="eastAsia"/>
        </w:rPr>
        <w:t>；</w:t>
      </w:r>
    </w:p>
    <w:p>
      <w:pPr>
        <w:spacing w:line="440" w:lineRule="exact"/>
        <w:rPr>
          <w:rFonts w:hint="eastAsia" w:eastAsia="宋体"/>
          <w:lang w:eastAsia="zh-CN"/>
        </w:rPr>
      </w:pPr>
      <w:r>
        <w:rPr>
          <w:rFonts w:hint="eastAsia"/>
        </w:rPr>
        <w:t>（</w:t>
      </w:r>
      <w:r>
        <w:rPr>
          <w:rFonts w:hint="eastAsia" w:ascii="Times New Roman" w:hAnsi="Times New Roman"/>
        </w:rPr>
        <w:t>4</w:t>
      </w:r>
      <w:r>
        <w:rPr>
          <w:rFonts w:hint="eastAsia"/>
        </w:rPr>
        <w:t>）</w:t>
      </w:r>
      <w:r>
        <w:rPr>
          <w:rFonts w:hint="eastAsia"/>
          <w:color w:val="auto"/>
          <w:lang w:eastAsia="zh-CN"/>
        </w:rPr>
        <w:t>《关于统筹和加强应对气候变化与生态环境保护相关工作的指导意见》，环综合</w:t>
      </w:r>
      <w:r>
        <w:rPr>
          <w:rFonts w:hint="eastAsia"/>
          <w:color w:val="auto"/>
          <w:lang w:val="en-US" w:eastAsia="zh-CN"/>
        </w:rPr>
        <w:t>[</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4</w:t>
      </w:r>
      <w:r>
        <w:rPr>
          <w:rFonts w:hint="eastAsia"/>
          <w:color w:val="auto"/>
          <w:lang w:val="en-US" w:eastAsia="zh-CN"/>
        </w:rPr>
        <w:t>号，</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11</w:t>
      </w:r>
      <w:r>
        <w:rPr>
          <w:rFonts w:hint="eastAsia"/>
          <w:lang w:eastAsia="zh-CN"/>
        </w:rPr>
        <w:t>；</w:t>
      </w:r>
    </w:p>
    <w:p>
      <w:pPr>
        <w:spacing w:line="440" w:lineRule="exact"/>
        <w:rPr>
          <w:rFonts w:hint="default" w:eastAsia="宋体"/>
          <w:lang w:val="en-US" w:eastAsia="zh-CN"/>
        </w:rPr>
      </w:pPr>
      <w:r>
        <w:rPr>
          <w:rFonts w:hint="eastAsia"/>
          <w:lang w:eastAsia="zh-CN"/>
        </w:rPr>
        <w:t>（</w:t>
      </w:r>
      <w:r>
        <w:rPr>
          <w:rFonts w:hint="eastAsia" w:ascii="Times New Roman" w:hAnsi="Times New Roman"/>
          <w:lang w:val="en-US" w:eastAsia="zh-CN"/>
        </w:rPr>
        <w:t>5</w:t>
      </w:r>
      <w:r>
        <w:rPr>
          <w:rFonts w:hint="eastAsia"/>
          <w:lang w:eastAsia="zh-CN"/>
        </w:rPr>
        <w:t>）</w:t>
      </w:r>
      <w:r>
        <w:rPr>
          <w:rFonts w:hint="eastAsia"/>
          <w:color w:val="auto"/>
          <w:lang w:eastAsia="zh-CN"/>
        </w:rPr>
        <w:t>《</w:t>
      </w:r>
      <w:r>
        <w:rPr>
          <w:rFonts w:hint="eastAsia"/>
          <w:color w:val="auto"/>
          <w:lang w:val="en-US" w:eastAsia="zh-CN"/>
        </w:rPr>
        <w:t>关于加快解决当前挥发性有机物治理突出问题的通知</w:t>
      </w:r>
      <w:r>
        <w:rPr>
          <w:rFonts w:hint="eastAsia"/>
          <w:color w:val="auto"/>
          <w:lang w:eastAsia="zh-CN"/>
        </w:rPr>
        <w:t>》，</w:t>
      </w:r>
      <w:r>
        <w:rPr>
          <w:rFonts w:hint="eastAsia"/>
          <w:color w:val="auto"/>
          <w:lang w:val="en-US" w:eastAsia="zh-CN"/>
        </w:rPr>
        <w:t>环大气[</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65</w:t>
      </w:r>
      <w:r>
        <w:rPr>
          <w:rFonts w:hint="eastAsia"/>
          <w:color w:val="auto"/>
          <w:lang w:val="en-US" w:eastAsia="zh-CN"/>
        </w:rPr>
        <w:t>号</w:t>
      </w:r>
      <w:r>
        <w:rPr>
          <w:rFonts w:hint="eastAsia"/>
          <w:color w:val="auto"/>
          <w:lang w:eastAsia="zh-CN"/>
        </w:rPr>
        <w:t>，</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8</w:t>
      </w:r>
      <w:r>
        <w:rPr>
          <w:rFonts w:hint="eastAsia"/>
          <w:color w:val="auto"/>
          <w:lang w:val="en-US" w:eastAsia="zh-CN"/>
        </w:rPr>
        <w:t>.</w:t>
      </w:r>
      <w:r>
        <w:rPr>
          <w:rFonts w:hint="eastAsia" w:ascii="Times New Roman" w:hAnsi="Times New Roman" w:cs="Times New Roman"/>
          <w:color w:val="auto"/>
          <w:lang w:val="en-US" w:eastAsia="zh-CN"/>
        </w:rPr>
        <w:t>4</w:t>
      </w:r>
      <w:r>
        <w:rPr>
          <w:rFonts w:hint="eastAsia"/>
          <w:lang w:val="en-US" w:eastAsia="zh-CN"/>
        </w:rPr>
        <w:t>；</w:t>
      </w:r>
    </w:p>
    <w:p>
      <w:pPr>
        <w:spacing w:line="440" w:lineRule="exact"/>
        <w:rPr>
          <w:rFonts w:hint="eastAsia" w:eastAsia="宋体"/>
          <w:lang w:eastAsia="zh-CN"/>
        </w:rPr>
      </w:pPr>
      <w:r>
        <w:rPr>
          <w:rFonts w:hint="eastAsia"/>
          <w:lang w:eastAsia="zh-CN"/>
        </w:rPr>
        <w:t>（</w:t>
      </w:r>
      <w:r>
        <w:rPr>
          <w:rFonts w:hint="eastAsia" w:ascii="Times New Roman" w:hAnsi="Times New Roman"/>
          <w:lang w:val="en-US" w:eastAsia="zh-CN"/>
        </w:rPr>
        <w:t>6</w:t>
      </w:r>
      <w:r>
        <w:rPr>
          <w:rFonts w:hint="eastAsia"/>
          <w:lang w:eastAsia="zh-CN"/>
        </w:rPr>
        <w:t>）</w:t>
      </w:r>
      <w:r>
        <w:rPr>
          <w:rFonts w:ascii="Times New Roman"/>
          <w:color w:val="auto"/>
          <w:szCs w:val="24"/>
        </w:rPr>
        <w:t>关于印发</w:t>
      </w:r>
      <w:r>
        <w:rPr>
          <w:rFonts w:ascii="Times New Roman"/>
          <w:color w:val="auto"/>
        </w:rPr>
        <w:t>《石化行业</w:t>
      </w:r>
      <w:r>
        <w:rPr>
          <w:rFonts w:ascii="Times New Roman" w:hAnsi="Times New Roman" w:cs="Times New Roman"/>
          <w:color w:val="auto"/>
        </w:rPr>
        <w:t>VOCs</w:t>
      </w:r>
      <w:r>
        <w:rPr>
          <w:rFonts w:ascii="Times New Roman"/>
          <w:color w:val="auto"/>
        </w:rPr>
        <w:t>污染源排查工作指南》及《石化企业</w:t>
      </w:r>
      <w:r>
        <w:rPr>
          <w:rFonts w:hint="eastAsia" w:ascii="Times New Roman"/>
          <w:color w:val="auto"/>
          <w:lang w:eastAsia="zh-CN"/>
        </w:rPr>
        <w:t>泄漏</w:t>
      </w:r>
      <w:r>
        <w:rPr>
          <w:rFonts w:ascii="Times New Roman"/>
          <w:color w:val="auto"/>
        </w:rPr>
        <w:t>检测与修复工作指南》的通知</w:t>
      </w:r>
      <w:r>
        <w:rPr>
          <w:rFonts w:hint="eastAsia" w:ascii="Times New Roman"/>
          <w:color w:val="auto"/>
        </w:rPr>
        <w:t>，环办[</w:t>
      </w:r>
      <w:r>
        <w:rPr>
          <w:rFonts w:hint="eastAsia" w:ascii="Times New Roman" w:hAnsi="Times New Roman" w:cs="Times New Roman"/>
          <w:color w:val="auto"/>
        </w:rPr>
        <w:t>2015</w:t>
      </w:r>
      <w:r>
        <w:rPr>
          <w:rFonts w:hint="eastAsia" w:ascii="Times New Roman"/>
          <w:color w:val="auto"/>
        </w:rPr>
        <w:t>]</w:t>
      </w:r>
      <w:r>
        <w:rPr>
          <w:rFonts w:hint="eastAsia" w:ascii="Times New Roman" w:hAnsi="Times New Roman" w:cs="Times New Roman"/>
          <w:color w:val="auto"/>
        </w:rPr>
        <w:t>104</w:t>
      </w:r>
      <w:r>
        <w:rPr>
          <w:rFonts w:hint="eastAsia" w:ascii="Times New Roman"/>
          <w:color w:val="auto"/>
        </w:rPr>
        <w:t>号，</w:t>
      </w:r>
      <w:r>
        <w:rPr>
          <w:rFonts w:hint="eastAsia" w:ascii="Times New Roman" w:hAnsi="Times New Roman" w:cs="Times New Roman"/>
          <w:color w:val="auto"/>
        </w:rPr>
        <w:t>2015</w:t>
      </w:r>
      <w:r>
        <w:rPr>
          <w:rFonts w:hint="eastAsia" w:ascii="Times New Roman"/>
          <w:color w:val="auto"/>
          <w:lang w:val="en-US" w:eastAsia="zh-CN"/>
        </w:rPr>
        <w:t>.</w:t>
      </w:r>
      <w:r>
        <w:rPr>
          <w:rFonts w:hint="eastAsia" w:ascii="Times New Roman" w:hAnsi="Times New Roman" w:cs="Times New Roman"/>
          <w:color w:val="auto"/>
        </w:rPr>
        <w:t>11</w:t>
      </w:r>
      <w:r>
        <w:rPr>
          <w:rFonts w:hint="eastAsia" w:ascii="Times New Roman"/>
          <w:color w:val="auto"/>
          <w:lang w:val="en-US" w:eastAsia="zh-CN"/>
        </w:rPr>
        <w:t>.</w:t>
      </w:r>
      <w:r>
        <w:rPr>
          <w:rFonts w:hint="eastAsia" w:ascii="Times New Roman" w:hAnsi="Times New Roman" w:cs="Times New Roman"/>
          <w:color w:val="auto"/>
        </w:rPr>
        <w:t>17</w:t>
      </w:r>
      <w:r>
        <w:rPr>
          <w:rFonts w:hint="eastAsia" w:ascii="Times New Roman" w:hAnsi="Times New Roman" w:cs="Times New Roman"/>
          <w:color w:val="auto"/>
          <w:lang w:eastAsia="zh-CN"/>
        </w:rPr>
        <w:t>；</w:t>
      </w:r>
    </w:p>
    <w:p>
      <w:pPr>
        <w:spacing w:line="440" w:lineRule="exact"/>
        <w:rPr>
          <w:rFonts w:hint="eastAsia"/>
          <w:lang w:eastAsia="zh-CN"/>
        </w:rPr>
      </w:pPr>
      <w:r>
        <w:rPr>
          <w:rFonts w:hint="eastAsia"/>
          <w:lang w:eastAsia="zh-CN"/>
        </w:rPr>
        <w:t>（</w:t>
      </w:r>
      <w:r>
        <w:rPr>
          <w:rFonts w:hint="eastAsia" w:ascii="Times New Roman" w:hAnsi="Times New Roman"/>
          <w:lang w:val="en-US" w:eastAsia="zh-CN"/>
        </w:rPr>
        <w:t>7</w:t>
      </w:r>
      <w:r>
        <w:rPr>
          <w:rFonts w:hint="eastAsia"/>
          <w:lang w:eastAsia="zh-CN"/>
        </w:rPr>
        <w:t>）</w:t>
      </w:r>
      <w:r>
        <w:rPr>
          <w:rFonts w:hint="eastAsia"/>
          <w:color w:val="auto"/>
          <w:lang w:eastAsia="zh-CN"/>
        </w:rPr>
        <w:t>《</w:t>
      </w:r>
      <w:r>
        <w:rPr>
          <w:rFonts w:hint="eastAsia" w:ascii="Times New Roman" w:hAnsi="Times New Roman" w:cs="Times New Roman"/>
          <w:color w:val="auto"/>
          <w:lang w:val="en-US" w:eastAsia="zh-CN"/>
        </w:rPr>
        <w:t>2020</w:t>
      </w:r>
      <w:r>
        <w:rPr>
          <w:rFonts w:hint="eastAsia"/>
          <w:color w:val="auto"/>
          <w:lang w:val="en-US" w:eastAsia="zh-CN"/>
        </w:rPr>
        <w:t>年挥发性有机物治理攻坚方案</w:t>
      </w:r>
      <w:r>
        <w:rPr>
          <w:rFonts w:hint="eastAsia"/>
          <w:color w:val="auto"/>
          <w:lang w:eastAsia="zh-CN"/>
        </w:rPr>
        <w:t>》，</w:t>
      </w:r>
      <w:r>
        <w:rPr>
          <w:rFonts w:hint="eastAsia"/>
          <w:color w:val="auto"/>
          <w:lang w:val="en-US" w:eastAsia="zh-CN"/>
        </w:rPr>
        <w:t>环大气[</w:t>
      </w:r>
      <w:r>
        <w:rPr>
          <w:rFonts w:hint="eastAsia" w:ascii="Times New Roman" w:hAnsi="Times New Roman" w:cs="Times New Roman"/>
          <w:color w:val="auto"/>
          <w:lang w:val="en-US" w:eastAsia="zh-CN"/>
        </w:rPr>
        <w:t>2020</w:t>
      </w:r>
      <w:r>
        <w:rPr>
          <w:rFonts w:hint="eastAsia"/>
          <w:color w:val="auto"/>
          <w:lang w:val="en-US" w:eastAsia="zh-CN"/>
        </w:rPr>
        <w:t>]</w:t>
      </w:r>
      <w:r>
        <w:rPr>
          <w:rFonts w:hint="eastAsia" w:ascii="Times New Roman" w:hAnsi="Times New Roman" w:cs="Times New Roman"/>
          <w:color w:val="auto"/>
          <w:lang w:val="en-US" w:eastAsia="zh-CN"/>
        </w:rPr>
        <w:t>33</w:t>
      </w:r>
      <w:r>
        <w:rPr>
          <w:rFonts w:hint="eastAsia"/>
          <w:color w:val="auto"/>
          <w:lang w:val="en-US" w:eastAsia="zh-CN"/>
        </w:rPr>
        <w:t>号，</w:t>
      </w:r>
      <w:r>
        <w:rPr>
          <w:rFonts w:hint="eastAsia" w:ascii="Times New Roman" w:hAnsi="Times New Roman" w:cs="Times New Roman"/>
          <w:color w:val="auto"/>
          <w:lang w:val="en-US" w:eastAsia="zh-CN"/>
        </w:rPr>
        <w:t>2020</w:t>
      </w:r>
      <w:r>
        <w:rPr>
          <w:rFonts w:hint="eastAsia"/>
          <w:color w:val="auto"/>
          <w:lang w:val="en-US" w:eastAsia="zh-CN"/>
        </w:rPr>
        <w:t>.</w:t>
      </w:r>
      <w:r>
        <w:rPr>
          <w:rFonts w:hint="eastAsia" w:ascii="Times New Roman" w:hAnsi="Times New Roman" w:cs="Times New Roman"/>
          <w:color w:val="auto"/>
          <w:lang w:val="en-US" w:eastAsia="zh-CN"/>
        </w:rPr>
        <w:t>6</w:t>
      </w:r>
      <w:r>
        <w:rPr>
          <w:rFonts w:hint="eastAsia"/>
          <w:color w:val="auto"/>
          <w:lang w:val="en-US" w:eastAsia="zh-CN"/>
        </w:rPr>
        <w:t>.</w:t>
      </w:r>
      <w:r>
        <w:rPr>
          <w:rFonts w:hint="eastAsia" w:ascii="Times New Roman" w:hAnsi="Times New Roman" w:cs="Times New Roman"/>
          <w:color w:val="auto"/>
          <w:lang w:val="en-US" w:eastAsia="zh-CN"/>
        </w:rPr>
        <w:t>24</w:t>
      </w:r>
      <w:r>
        <w:rPr>
          <w:rFonts w:hint="eastAsia" w:cs="Times New Roman"/>
          <w:color w:val="auto"/>
          <w:lang w:val="en-US" w:eastAsia="zh-CN"/>
        </w:rPr>
        <w:t>；</w:t>
      </w:r>
    </w:p>
    <w:p>
      <w:pPr>
        <w:spacing w:line="440" w:lineRule="exact"/>
        <w:rPr>
          <w:rFonts w:hint="default" w:eastAsia="宋体"/>
          <w:lang w:val="en-US" w:eastAsia="zh-CN"/>
        </w:rPr>
      </w:pP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color w:val="auto"/>
          <w:lang w:eastAsia="zh-CN"/>
        </w:rPr>
        <w:t>《</w:t>
      </w:r>
      <w:r>
        <w:rPr>
          <w:rFonts w:hint="eastAsia"/>
          <w:color w:val="auto"/>
          <w:lang w:val="en-US" w:eastAsia="zh-CN"/>
        </w:rPr>
        <w:t>大气挥发性有机物源排放清单编制技术指南（试行）</w:t>
      </w:r>
      <w:r>
        <w:rPr>
          <w:rFonts w:hint="eastAsia"/>
          <w:color w:val="auto"/>
          <w:lang w:eastAsia="zh-CN"/>
        </w:rPr>
        <w:t>》，</w:t>
      </w:r>
      <w:r>
        <w:rPr>
          <w:rFonts w:hint="eastAsia"/>
          <w:color w:val="auto"/>
          <w:lang w:val="en-US" w:eastAsia="zh-CN"/>
        </w:rPr>
        <w:t>环境保护部公告</w:t>
      </w:r>
      <w:r>
        <w:rPr>
          <w:rFonts w:hint="eastAsia" w:ascii="Times New Roman" w:hAnsi="Times New Roman" w:cs="Times New Roman"/>
          <w:color w:val="auto"/>
          <w:lang w:val="en-US" w:eastAsia="zh-CN"/>
        </w:rPr>
        <w:t>2014</w:t>
      </w:r>
      <w:r>
        <w:rPr>
          <w:rFonts w:hint="eastAsia"/>
          <w:color w:val="auto"/>
          <w:lang w:val="en-US" w:eastAsia="zh-CN"/>
        </w:rPr>
        <w:t>年第</w:t>
      </w:r>
      <w:r>
        <w:rPr>
          <w:rFonts w:hint="eastAsia" w:ascii="Times New Roman" w:hAnsi="Times New Roman" w:cs="Times New Roman"/>
          <w:color w:val="auto"/>
          <w:lang w:val="en-US" w:eastAsia="zh-CN"/>
        </w:rPr>
        <w:t>55</w:t>
      </w:r>
      <w:r>
        <w:rPr>
          <w:rFonts w:hint="eastAsia"/>
          <w:color w:val="auto"/>
          <w:lang w:val="en-US" w:eastAsia="zh-CN"/>
        </w:rPr>
        <w:t>号，</w:t>
      </w:r>
      <w:r>
        <w:rPr>
          <w:rFonts w:hint="eastAsia" w:ascii="Times New Roman" w:hAnsi="Times New Roman" w:cs="Times New Roman"/>
          <w:color w:val="auto"/>
          <w:lang w:val="en-US" w:eastAsia="zh-CN"/>
        </w:rPr>
        <w:t>2014</w:t>
      </w:r>
      <w:r>
        <w:rPr>
          <w:rFonts w:hint="eastAsia"/>
          <w:color w:val="auto"/>
          <w:lang w:val="en-US" w:eastAsia="zh-CN"/>
        </w:rPr>
        <w:t>.</w:t>
      </w:r>
      <w:r>
        <w:rPr>
          <w:rFonts w:hint="eastAsia" w:ascii="Times New Roman" w:hAnsi="Times New Roman" w:cs="Times New Roman"/>
          <w:color w:val="auto"/>
          <w:lang w:val="en-US" w:eastAsia="zh-CN"/>
        </w:rPr>
        <w:t>8</w:t>
      </w:r>
      <w:r>
        <w:rPr>
          <w:rFonts w:hint="eastAsia"/>
          <w:color w:val="auto"/>
          <w:lang w:val="en-US" w:eastAsia="zh-CN"/>
        </w:rPr>
        <w:t>.</w:t>
      </w:r>
      <w:r>
        <w:rPr>
          <w:rFonts w:hint="eastAsia" w:ascii="Times New Roman" w:hAnsi="Times New Roman" w:cs="Times New Roman"/>
          <w:color w:val="auto"/>
          <w:lang w:val="en-US" w:eastAsia="zh-CN"/>
        </w:rPr>
        <w:t>20</w:t>
      </w:r>
      <w:r>
        <w:rPr>
          <w:rFonts w:hint="eastAsia" w:cs="Times New Roman"/>
          <w:color w:val="auto"/>
          <w:lang w:val="en-US" w:eastAsia="zh-CN"/>
        </w:rPr>
        <w:t>；</w:t>
      </w:r>
    </w:p>
    <w:p>
      <w:pPr>
        <w:spacing w:line="440" w:lineRule="exact"/>
        <w:rPr>
          <w:rFonts w:hint="eastAsia"/>
        </w:rPr>
      </w:pPr>
      <w:r>
        <w:rPr>
          <w:rFonts w:hint="eastAsia"/>
          <w:lang w:eastAsia="zh-CN"/>
        </w:rPr>
        <w:t>（</w:t>
      </w:r>
      <w:r>
        <w:rPr>
          <w:rFonts w:hint="eastAsia" w:ascii="Times New Roman" w:hAnsi="Times New Roman"/>
          <w:lang w:val="en-US" w:eastAsia="zh-CN"/>
        </w:rPr>
        <w:t>9</w:t>
      </w:r>
      <w:r>
        <w:rPr>
          <w:rFonts w:hint="eastAsia"/>
          <w:lang w:eastAsia="zh-CN"/>
        </w:rPr>
        <w:t>）</w:t>
      </w:r>
      <w:r>
        <w:rPr>
          <w:rFonts w:hint="eastAsia"/>
        </w:rPr>
        <w:t>《突发环境事件应急管理办法》，原环境保护部部令第</w:t>
      </w:r>
      <w:r>
        <w:rPr>
          <w:rFonts w:hint="eastAsia" w:ascii="Times New Roman" w:hAnsi="Times New Roman"/>
        </w:rPr>
        <w:t>34</w:t>
      </w:r>
      <w:r>
        <w:rPr>
          <w:rFonts w:hint="eastAsia"/>
        </w:rPr>
        <w:t>号，</w:t>
      </w:r>
      <w:r>
        <w:rPr>
          <w:rFonts w:hint="eastAsia" w:ascii="Times New Roman" w:hAnsi="Times New Roman"/>
        </w:rPr>
        <w:t>2015</w:t>
      </w:r>
      <w:r>
        <w:rPr>
          <w:rFonts w:hint="eastAsia"/>
          <w:lang w:val="en-US" w:eastAsia="zh-CN"/>
        </w:rPr>
        <w:t>.</w:t>
      </w:r>
      <w:r>
        <w:rPr>
          <w:rFonts w:hint="eastAsia" w:ascii="Times New Roman" w:hAnsi="Times New Roman"/>
        </w:rPr>
        <w:t>6</w:t>
      </w:r>
      <w:r>
        <w:rPr>
          <w:rFonts w:hint="eastAsia" w:ascii="Times New Roman"/>
          <w:lang w:val="en-US" w:eastAsia="zh-CN"/>
        </w:rPr>
        <w:t>.</w:t>
      </w:r>
      <w:r>
        <w:rPr>
          <w:rFonts w:hint="eastAsia" w:ascii="Times New Roman" w:hAnsi="Times New Roman"/>
        </w:rPr>
        <w:t>5</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10</w:t>
      </w:r>
      <w:r>
        <w:rPr>
          <w:rFonts w:hint="eastAsia"/>
        </w:rPr>
        <w:t>）</w:t>
      </w:r>
      <w:r>
        <w:rPr>
          <w:rFonts w:hint="eastAsia"/>
          <w:color w:val="auto"/>
          <w:lang w:eastAsia="zh-CN"/>
        </w:rPr>
        <w:t>《</w:t>
      </w:r>
      <w:r>
        <w:rPr>
          <w:rFonts w:hint="eastAsia"/>
          <w:color w:val="auto"/>
          <w:lang w:val="en-US" w:eastAsia="zh-CN"/>
        </w:rPr>
        <w:t>环境保护综合名录（</w:t>
      </w:r>
      <w:r>
        <w:rPr>
          <w:rFonts w:hint="eastAsia" w:ascii="Times New Roman" w:hAnsi="Times New Roman" w:cs="Times New Roman"/>
          <w:color w:val="auto"/>
          <w:lang w:val="en-US" w:eastAsia="zh-CN"/>
        </w:rPr>
        <w:t>2021</w:t>
      </w:r>
      <w:r>
        <w:rPr>
          <w:rFonts w:hint="eastAsia"/>
          <w:color w:val="auto"/>
          <w:lang w:val="en-US" w:eastAsia="zh-CN"/>
        </w:rPr>
        <w:t>年版）</w:t>
      </w:r>
      <w:r>
        <w:rPr>
          <w:rFonts w:hint="eastAsia"/>
          <w:color w:val="auto"/>
          <w:lang w:eastAsia="zh-CN"/>
        </w:rPr>
        <w:t>》，</w:t>
      </w:r>
      <w:r>
        <w:rPr>
          <w:rFonts w:hint="eastAsia"/>
          <w:color w:val="auto"/>
          <w:lang w:val="en-US" w:eastAsia="zh-CN"/>
        </w:rPr>
        <w:t>环办综合函[</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495</w:t>
      </w:r>
      <w:r>
        <w:rPr>
          <w:rFonts w:hint="eastAsia"/>
          <w:color w:val="auto"/>
          <w:lang w:val="en-US" w:eastAsia="zh-CN"/>
        </w:rPr>
        <w:t>号，</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11</w:t>
      </w:r>
      <w:r>
        <w:rPr>
          <w:rFonts w:hint="eastAsia"/>
          <w:color w:val="auto"/>
          <w:lang w:val="en-US" w:eastAsia="zh-CN"/>
        </w:rPr>
        <w:t>.</w:t>
      </w:r>
      <w:r>
        <w:rPr>
          <w:rFonts w:hint="eastAsia" w:ascii="Times New Roman" w:hAnsi="Times New Roman" w:cs="Times New Roman"/>
          <w:color w:val="auto"/>
          <w:lang w:val="en-US" w:eastAsia="zh-CN"/>
        </w:rPr>
        <w:t>2</w:t>
      </w:r>
      <w:r>
        <w:rPr>
          <w:rFonts w:hint="eastAsia"/>
          <w:color w:val="auto"/>
          <w:lang w:val="en-US" w:eastAsia="zh-CN"/>
        </w:rPr>
        <w:t>；</w:t>
      </w:r>
    </w:p>
    <w:p>
      <w:pPr>
        <w:spacing w:line="440" w:lineRule="exact"/>
        <w:rPr>
          <w:rFonts w:hint="eastAsia" w:eastAsia="宋体"/>
          <w:lang w:eastAsia="zh-CN"/>
        </w:rPr>
      </w:pPr>
      <w:r>
        <w:rPr>
          <w:rFonts w:hint="eastAsia"/>
          <w:lang w:eastAsia="zh-CN"/>
        </w:rPr>
        <w:t>（</w:t>
      </w:r>
      <w:r>
        <w:rPr>
          <w:rFonts w:hint="eastAsia" w:ascii="Times New Roman" w:hAnsi="Times New Roman"/>
          <w:lang w:val="en-US" w:eastAsia="zh-CN"/>
        </w:rPr>
        <w:t>11</w:t>
      </w:r>
      <w:r>
        <w:rPr>
          <w:rFonts w:hint="eastAsia"/>
          <w:lang w:eastAsia="zh-CN"/>
        </w:rPr>
        <w:t>）</w:t>
      </w:r>
      <w:r>
        <w:rPr>
          <w:rFonts w:hint="eastAsia"/>
          <w:color w:val="auto"/>
          <w:lang w:eastAsia="zh-CN"/>
        </w:rPr>
        <w:t>《</w:t>
      </w:r>
      <w:r>
        <w:rPr>
          <w:rFonts w:hint="eastAsia"/>
          <w:color w:val="auto"/>
          <w:lang w:val="en-US" w:eastAsia="zh-CN"/>
        </w:rPr>
        <w:t>市场准入负面清单（</w:t>
      </w:r>
      <w:r>
        <w:rPr>
          <w:rFonts w:hint="eastAsia" w:ascii="Times New Roman" w:hAnsi="Times New Roman" w:cs="Times New Roman"/>
          <w:color w:val="auto"/>
          <w:lang w:val="en-US" w:eastAsia="zh-CN"/>
        </w:rPr>
        <w:t>2022</w:t>
      </w:r>
      <w:r>
        <w:rPr>
          <w:rFonts w:hint="eastAsia"/>
          <w:color w:val="auto"/>
          <w:lang w:val="en-US" w:eastAsia="zh-CN"/>
        </w:rPr>
        <w:t>年版）</w:t>
      </w:r>
      <w:r>
        <w:rPr>
          <w:rFonts w:hint="eastAsia"/>
          <w:color w:val="auto"/>
          <w:lang w:eastAsia="zh-CN"/>
        </w:rPr>
        <w:t>》，</w:t>
      </w:r>
      <w:r>
        <w:rPr>
          <w:rFonts w:hint="eastAsia"/>
          <w:color w:val="auto"/>
          <w:lang w:val="en-US" w:eastAsia="zh-CN"/>
        </w:rPr>
        <w:t>发改体改规[</w:t>
      </w:r>
      <w:r>
        <w:rPr>
          <w:rFonts w:hint="eastAsia" w:ascii="Times New Roman" w:hAnsi="Times New Roman" w:cs="Times New Roman"/>
          <w:color w:val="auto"/>
          <w:lang w:val="en-US" w:eastAsia="zh-CN"/>
        </w:rPr>
        <w:t>2022</w:t>
      </w:r>
      <w:r>
        <w:rPr>
          <w:rFonts w:hint="eastAsia"/>
          <w:color w:val="auto"/>
          <w:lang w:val="en-US" w:eastAsia="zh-CN"/>
        </w:rPr>
        <w:t>]</w:t>
      </w:r>
      <w:r>
        <w:rPr>
          <w:rFonts w:hint="eastAsia" w:ascii="Times New Roman" w:hAnsi="Times New Roman" w:cs="Times New Roman"/>
          <w:color w:val="auto"/>
          <w:lang w:val="en-US" w:eastAsia="zh-CN"/>
        </w:rPr>
        <w:t>397</w:t>
      </w:r>
      <w:r>
        <w:rPr>
          <w:rFonts w:hint="eastAsia"/>
          <w:color w:val="auto"/>
          <w:lang w:val="en-US" w:eastAsia="zh-CN"/>
        </w:rPr>
        <w:t>号；</w:t>
      </w:r>
      <w:r>
        <w:rPr>
          <w:rFonts w:hint="eastAsia" w:ascii="Times New Roman" w:hAnsi="Times New Roman" w:cs="Times New Roman"/>
          <w:color w:val="auto"/>
          <w:lang w:val="en-US" w:eastAsia="zh-CN"/>
        </w:rPr>
        <w:t>2022</w:t>
      </w:r>
      <w:r>
        <w:rPr>
          <w:rFonts w:hint="eastAsia"/>
          <w:color w:val="auto"/>
          <w:lang w:val="en-US" w:eastAsia="zh-CN"/>
        </w:rPr>
        <w:t>.</w:t>
      </w:r>
      <w:r>
        <w:rPr>
          <w:rFonts w:hint="eastAsia" w:ascii="Times New Roman" w:hAnsi="Times New Roman" w:cs="Times New Roman"/>
          <w:color w:val="auto"/>
          <w:lang w:val="en-US" w:eastAsia="zh-CN"/>
        </w:rPr>
        <w:t>3</w:t>
      </w:r>
      <w:r>
        <w:rPr>
          <w:rFonts w:hint="eastAsia"/>
          <w:color w:val="auto"/>
          <w:lang w:val="en-US" w:eastAsia="zh-CN"/>
        </w:rPr>
        <w:t>.</w:t>
      </w:r>
      <w:r>
        <w:rPr>
          <w:rFonts w:hint="eastAsia" w:ascii="Times New Roman" w:hAnsi="Times New Roman" w:cs="Times New Roman"/>
          <w:color w:val="auto"/>
          <w:lang w:val="en-US" w:eastAsia="zh-CN"/>
        </w:rPr>
        <w:t>29</w:t>
      </w:r>
      <w:r>
        <w:rPr>
          <w:rFonts w:hint="eastAsia"/>
          <w:color w:val="auto"/>
          <w:lang w:val="en-US" w:eastAsia="zh-CN"/>
        </w:rPr>
        <w:t>；</w:t>
      </w:r>
    </w:p>
    <w:p>
      <w:pPr>
        <w:spacing w:line="440" w:lineRule="exact"/>
        <w:rPr>
          <w:rFonts w:hint="eastAsia"/>
        </w:rPr>
      </w:pPr>
      <w:r>
        <w:rPr>
          <w:rFonts w:hint="eastAsia"/>
          <w:lang w:eastAsia="zh-CN"/>
        </w:rPr>
        <w:t>（</w:t>
      </w:r>
      <w:r>
        <w:rPr>
          <w:rFonts w:hint="eastAsia" w:ascii="Times New Roman" w:hAnsi="Times New Roman"/>
          <w:lang w:val="en-US" w:eastAsia="zh-CN"/>
        </w:rPr>
        <w:t>12</w:t>
      </w:r>
      <w:r>
        <w:rPr>
          <w:rFonts w:hint="eastAsia"/>
          <w:lang w:eastAsia="zh-CN"/>
        </w:rPr>
        <w:t>）</w:t>
      </w:r>
      <w:r>
        <w:rPr>
          <w:rFonts w:hint="eastAsia"/>
        </w:rPr>
        <w:t>《关于强化建设项目环境影响评价事中事后监管的实施意见》，环环评[</w:t>
      </w:r>
      <w:r>
        <w:rPr>
          <w:rFonts w:hint="eastAsia" w:ascii="Times New Roman" w:hAnsi="Times New Roman"/>
        </w:rPr>
        <w:t>2018</w:t>
      </w:r>
      <w:r>
        <w:rPr>
          <w:rFonts w:hint="eastAsia"/>
        </w:rPr>
        <w:t>]</w:t>
      </w:r>
      <w:r>
        <w:rPr>
          <w:rFonts w:hint="eastAsia" w:ascii="Times New Roman" w:hAnsi="Times New Roman"/>
        </w:rPr>
        <w:t>11</w:t>
      </w:r>
      <w:r>
        <w:rPr>
          <w:rFonts w:hint="eastAsia"/>
        </w:rPr>
        <w:t>号，</w:t>
      </w:r>
      <w:r>
        <w:rPr>
          <w:rFonts w:hint="eastAsia" w:ascii="Times New Roman" w:hAnsi="Times New Roman"/>
        </w:rPr>
        <w:t>2018</w:t>
      </w:r>
      <w:r>
        <w:rPr>
          <w:rFonts w:hint="eastAsia"/>
          <w:lang w:val="en-US" w:eastAsia="zh-CN"/>
        </w:rPr>
        <w:t>.</w:t>
      </w:r>
      <w:r>
        <w:rPr>
          <w:rFonts w:hint="eastAsia" w:ascii="Times New Roman" w:hAnsi="Times New Roman"/>
        </w:rPr>
        <w:t>1</w:t>
      </w:r>
      <w:r>
        <w:rPr>
          <w:rFonts w:hint="eastAsia" w:ascii="Times New Roman"/>
          <w:lang w:val="en-US" w:eastAsia="zh-CN"/>
        </w:rPr>
        <w:t>.</w:t>
      </w:r>
      <w:r>
        <w:rPr>
          <w:rFonts w:hint="eastAsia" w:ascii="Times New Roman" w:hAnsi="Times New Roman"/>
        </w:rPr>
        <w:t>25</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13</w:t>
      </w:r>
      <w:r>
        <w:rPr>
          <w:rFonts w:hint="eastAsia"/>
        </w:rPr>
        <w:t>）《环境影响评价公众参与办法》，生态环境部令第</w:t>
      </w:r>
      <w:r>
        <w:rPr>
          <w:rFonts w:hint="eastAsia" w:ascii="Times New Roman" w:hAnsi="Times New Roman"/>
        </w:rPr>
        <w:t>4</w:t>
      </w:r>
      <w:r>
        <w:rPr>
          <w:rFonts w:hint="eastAsia"/>
        </w:rPr>
        <w:t>号，</w:t>
      </w:r>
      <w:r>
        <w:rPr>
          <w:rFonts w:hint="eastAsia" w:ascii="Times New Roman" w:hAnsi="Times New Roman"/>
        </w:rPr>
        <w:t>2019</w:t>
      </w:r>
      <w:r>
        <w:rPr>
          <w:rFonts w:hint="eastAsia"/>
          <w:lang w:val="en-US" w:eastAsia="zh-CN"/>
        </w:rPr>
        <w:t>.</w:t>
      </w:r>
      <w:r>
        <w:rPr>
          <w:rFonts w:hint="eastAsia" w:ascii="Times New Roman" w:hAnsi="Times New Roman"/>
        </w:rPr>
        <w:t>1</w:t>
      </w:r>
      <w:r>
        <w:rPr>
          <w:rFonts w:hint="eastAsia" w:ascii="Times New Roman"/>
          <w:lang w:val="en-US" w:eastAsia="zh-CN"/>
        </w:rPr>
        <w:t>.</w:t>
      </w:r>
      <w:r>
        <w:rPr>
          <w:rFonts w:hint="eastAsia" w:ascii="Times New Roman" w:hAnsi="Times New Roman"/>
        </w:rPr>
        <w:t>1</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14</w:t>
      </w:r>
      <w:r>
        <w:rPr>
          <w:rFonts w:hint="eastAsia"/>
        </w:rPr>
        <w:t>）《关于以改善环境质量为核心加强环境影响评价管理的通知》，环环评[</w:t>
      </w:r>
      <w:r>
        <w:rPr>
          <w:rFonts w:hint="eastAsia" w:ascii="Times New Roman" w:hAnsi="Times New Roman"/>
        </w:rPr>
        <w:t>2016</w:t>
      </w:r>
      <w:r>
        <w:rPr>
          <w:rFonts w:hint="eastAsia"/>
        </w:rPr>
        <w:t>]</w:t>
      </w:r>
      <w:r>
        <w:rPr>
          <w:rFonts w:hint="eastAsia" w:ascii="Times New Roman" w:hAnsi="Times New Roman"/>
        </w:rPr>
        <w:t>150</w:t>
      </w:r>
      <w:r>
        <w:rPr>
          <w:rFonts w:hint="eastAsia"/>
        </w:rPr>
        <w:t>号，环境保护部办公厅</w:t>
      </w:r>
      <w:r>
        <w:rPr>
          <w:rFonts w:hint="eastAsia"/>
          <w:lang w:eastAsia="zh-CN"/>
        </w:rPr>
        <w:t>，</w:t>
      </w:r>
      <w:r>
        <w:rPr>
          <w:rFonts w:hint="eastAsia" w:ascii="Times New Roman" w:hAnsi="Times New Roman"/>
        </w:rPr>
        <w:t>2016</w:t>
      </w:r>
      <w:r>
        <w:rPr>
          <w:rFonts w:hint="eastAsia"/>
          <w:lang w:val="en-US" w:eastAsia="zh-CN"/>
        </w:rPr>
        <w:t>.</w:t>
      </w:r>
      <w:r>
        <w:rPr>
          <w:rFonts w:hint="eastAsia" w:ascii="Times New Roman" w:hAnsi="Times New Roman"/>
        </w:rPr>
        <w:t>10</w:t>
      </w:r>
      <w:r>
        <w:rPr>
          <w:rFonts w:hint="eastAsia" w:ascii="Times New Roman"/>
          <w:lang w:val="en-US" w:eastAsia="zh-CN"/>
        </w:rPr>
        <w:t>.</w:t>
      </w:r>
      <w:r>
        <w:rPr>
          <w:rFonts w:hint="eastAsia" w:ascii="Times New Roman" w:hAnsi="Times New Roman"/>
        </w:rPr>
        <w:t>2</w:t>
      </w:r>
      <w:r>
        <w:rPr>
          <w:rFonts w:hint="eastAsia" w:ascii="Times New Roman" w:hAnsi="Times New Roman"/>
          <w:lang w:val="en-US" w:eastAsia="zh-CN"/>
        </w:rPr>
        <w:t>6</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15</w:t>
      </w:r>
      <w:r>
        <w:rPr>
          <w:rFonts w:hint="eastAsia"/>
        </w:rPr>
        <w:t>）</w:t>
      </w:r>
      <w:r>
        <w:rPr>
          <w:rFonts w:hint="default" w:ascii="Times New Roman" w:hAnsi="Times New Roman" w:eastAsia="宋体" w:cs="Times New Roman"/>
          <w:color w:val="auto"/>
          <w:sz w:val="24"/>
          <w:szCs w:val="24"/>
          <w:lang w:val="en-US" w:eastAsia="zh-CN"/>
        </w:rPr>
        <w:t>《产业结构调整指导目录（</w:t>
      </w:r>
      <w:r>
        <w:rPr>
          <w:rFonts w:hint="default" w:ascii="Times New Roman" w:hAnsi="Times New Roman" w:eastAsia="宋体" w:cs="Times New Roman"/>
          <w:color w:val="auto"/>
          <w:sz w:val="24"/>
          <w:szCs w:val="24"/>
          <w:lang w:val="en-US" w:eastAsia="zh-CN"/>
        </w:rPr>
        <w:t>2019</w:t>
      </w:r>
      <w:r>
        <w:rPr>
          <w:rFonts w:hint="default" w:ascii="Times New Roman" w:hAnsi="Times New Roman" w:eastAsia="宋体" w:cs="Times New Roman"/>
          <w:color w:val="auto"/>
          <w:sz w:val="24"/>
          <w:szCs w:val="24"/>
          <w:lang w:val="en-US" w:eastAsia="zh-CN"/>
        </w:rPr>
        <w:t>年本）》</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2021</w:t>
      </w:r>
      <w:r>
        <w:rPr>
          <w:rFonts w:hint="eastAsia" w:ascii="Times New Roman" w:hAnsi="Times New Roman" w:cs="Times New Roman"/>
          <w:color w:val="auto"/>
          <w:sz w:val="24"/>
          <w:szCs w:val="24"/>
          <w:lang w:val="en-US" w:eastAsia="zh-CN"/>
        </w:rPr>
        <w:t>年修改），</w:t>
      </w:r>
      <w:r>
        <w:rPr>
          <w:rFonts w:hint="default" w:ascii="Times New Roman" w:hAnsi="Times New Roman" w:eastAsia="宋体" w:cs="Times New Roman"/>
          <w:color w:val="auto"/>
          <w:sz w:val="24"/>
          <w:szCs w:val="24"/>
          <w:lang w:val="en-US" w:eastAsia="zh-CN"/>
        </w:rPr>
        <w:t>国家发改委令第</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27</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16</w:t>
      </w:r>
      <w:r>
        <w:rPr>
          <w:rFonts w:hint="eastAsia"/>
        </w:rPr>
        <w:t>）</w:t>
      </w:r>
      <w:r>
        <w:rPr>
          <w:rFonts w:ascii="Times New Roman"/>
          <w:color w:val="auto"/>
        </w:rPr>
        <w:t>《企业环境信息</w:t>
      </w:r>
      <w:r>
        <w:rPr>
          <w:rFonts w:hint="eastAsia" w:ascii="Times New Roman"/>
          <w:color w:val="auto"/>
          <w:lang w:eastAsia="zh-CN"/>
        </w:rPr>
        <w:t>依法披露管理</w:t>
      </w:r>
      <w:r>
        <w:rPr>
          <w:rFonts w:ascii="Times New Roman"/>
          <w:color w:val="auto"/>
        </w:rPr>
        <w:t>办法》，环境保护部部令第</w:t>
      </w:r>
      <w:r>
        <w:rPr>
          <w:rFonts w:hint="eastAsia" w:ascii="Times New Roman" w:hAnsi="Times New Roman" w:cs="Times New Roman"/>
          <w:color w:val="auto"/>
          <w:lang w:val="en-US" w:eastAsia="zh-CN"/>
        </w:rPr>
        <w:t>24</w:t>
      </w:r>
      <w:r>
        <w:rPr>
          <w:rFonts w:ascii="Times New Roman"/>
          <w:color w:val="auto"/>
        </w:rPr>
        <w:t>号，</w:t>
      </w:r>
      <w:r>
        <w:rPr>
          <w:rFonts w:ascii="Times New Roman" w:hAnsi="Times New Roman" w:cs="Times New Roman"/>
          <w:color w:val="auto"/>
        </w:rPr>
        <w:t>20</w:t>
      </w:r>
      <w:r>
        <w:rPr>
          <w:rFonts w:hint="eastAsia" w:ascii="Times New Roman" w:hAnsi="Times New Roman" w:cs="Times New Roman"/>
          <w:color w:val="auto"/>
          <w:lang w:val="en-US" w:eastAsia="zh-CN"/>
        </w:rPr>
        <w:t>22</w:t>
      </w:r>
      <w:r>
        <w:rPr>
          <w:rFonts w:hint="eastAsia" w:ascii="Times New Roman"/>
          <w:color w:val="auto"/>
          <w:lang w:val="en-US" w:eastAsia="zh-CN"/>
        </w:rPr>
        <w:t>.</w:t>
      </w:r>
      <w:r>
        <w:rPr>
          <w:rFonts w:hint="eastAsia" w:ascii="Times New Roman" w:hAnsi="Times New Roman" w:cs="Times New Roman"/>
          <w:color w:val="auto"/>
          <w:lang w:val="en-US" w:eastAsia="zh-CN"/>
        </w:rPr>
        <w:t>2</w:t>
      </w:r>
      <w:r>
        <w:rPr>
          <w:rFonts w:hint="eastAsia" w:ascii="Times New Roman"/>
          <w:color w:val="auto"/>
          <w:lang w:val="en-US" w:eastAsia="zh-CN"/>
        </w:rPr>
        <w:t>.</w:t>
      </w:r>
      <w:r>
        <w:rPr>
          <w:rFonts w:hint="eastAsia" w:ascii="Times New Roman" w:hAnsi="Times New Roman" w:cs="Times New Roman"/>
          <w:color w:val="auto"/>
          <w:lang w:val="en-US" w:eastAsia="zh-CN"/>
        </w:rPr>
        <w:t>8</w:t>
      </w:r>
      <w:r>
        <w:rPr>
          <w:rFonts w:hint="eastAsia"/>
        </w:rPr>
        <w:t>；</w:t>
      </w:r>
    </w:p>
    <w:p>
      <w:pPr>
        <w:spacing w:line="440" w:lineRule="exact"/>
        <w:rPr>
          <w:rFonts w:hint="eastAsia"/>
        </w:rPr>
      </w:pPr>
      <w:r>
        <w:rPr>
          <w:rFonts w:hint="eastAsia"/>
        </w:rPr>
        <w:t>（</w:t>
      </w:r>
      <w:r>
        <w:rPr>
          <w:rFonts w:hint="eastAsia" w:ascii="Times New Roman" w:hAnsi="Times New Roman"/>
        </w:rPr>
        <w:t>1</w:t>
      </w:r>
      <w:r>
        <w:rPr>
          <w:rFonts w:hint="eastAsia" w:ascii="Times New Roman" w:hAnsi="Times New Roman"/>
          <w:lang w:val="en-US" w:eastAsia="zh-CN"/>
        </w:rPr>
        <w:t>7</w:t>
      </w:r>
      <w:r>
        <w:rPr>
          <w:rFonts w:hint="eastAsia"/>
        </w:rPr>
        <w:t>）</w:t>
      </w:r>
      <w:r>
        <w:rPr>
          <w:rFonts w:hint="eastAsia"/>
          <w:color w:val="auto"/>
          <w:lang w:val="en-US" w:eastAsia="zh-CN"/>
        </w:rPr>
        <w:t>关于印发《“十四五”环境影响评价与排污许可工作实施方案》的通知，环环评[</w:t>
      </w:r>
      <w:r>
        <w:rPr>
          <w:rFonts w:hint="eastAsia" w:ascii="Times New Roman" w:hAnsi="Times New Roman" w:cs="Times New Roman"/>
          <w:color w:val="auto"/>
          <w:lang w:val="en-US" w:eastAsia="zh-CN"/>
        </w:rPr>
        <w:t>2022</w:t>
      </w:r>
      <w:r>
        <w:rPr>
          <w:rFonts w:hint="eastAsia"/>
          <w:color w:val="auto"/>
          <w:lang w:val="en-US" w:eastAsia="zh-CN"/>
        </w:rPr>
        <w:t>]</w:t>
      </w:r>
      <w:r>
        <w:rPr>
          <w:rFonts w:hint="eastAsia" w:ascii="Times New Roman" w:hAnsi="Times New Roman" w:cs="Times New Roman"/>
          <w:color w:val="auto"/>
          <w:lang w:val="en-US" w:eastAsia="zh-CN"/>
        </w:rPr>
        <w:t>26</w:t>
      </w:r>
      <w:r>
        <w:rPr>
          <w:rFonts w:hint="eastAsia"/>
          <w:color w:val="auto"/>
          <w:lang w:val="en-US" w:eastAsia="zh-CN"/>
        </w:rPr>
        <w:t>号，</w:t>
      </w:r>
      <w:r>
        <w:rPr>
          <w:rFonts w:hint="eastAsia" w:ascii="Times New Roman" w:hAnsi="Times New Roman" w:cs="Times New Roman"/>
          <w:color w:val="auto"/>
          <w:lang w:val="en-US" w:eastAsia="zh-CN"/>
        </w:rPr>
        <w:t>2022</w:t>
      </w:r>
      <w:r>
        <w:rPr>
          <w:rFonts w:hint="eastAsia"/>
          <w:color w:val="auto"/>
          <w:lang w:val="en-US" w:eastAsia="zh-CN"/>
        </w:rPr>
        <w:t>.</w:t>
      </w:r>
      <w:r>
        <w:rPr>
          <w:rFonts w:hint="eastAsia" w:ascii="Times New Roman" w:hAnsi="Times New Roman" w:cs="Times New Roman"/>
          <w:color w:val="auto"/>
          <w:lang w:val="en-US" w:eastAsia="zh-CN"/>
        </w:rPr>
        <w:t>4</w:t>
      </w:r>
      <w:r>
        <w:rPr>
          <w:rFonts w:hint="eastAsia"/>
          <w:color w:val="auto"/>
          <w:lang w:val="en-US" w:eastAsia="zh-CN"/>
        </w:rPr>
        <w:t>.</w:t>
      </w:r>
      <w:r>
        <w:rPr>
          <w:rFonts w:hint="eastAsia" w:ascii="Times New Roman" w:hAnsi="Times New Roman" w:cs="Times New Roman"/>
          <w:color w:val="auto"/>
          <w:lang w:val="en-US" w:eastAsia="zh-CN"/>
        </w:rPr>
        <w:t>2</w:t>
      </w:r>
      <w:r>
        <w:rPr>
          <w:rFonts w:hint="eastAsia"/>
        </w:rPr>
        <w:t>；</w:t>
      </w:r>
    </w:p>
    <w:p>
      <w:pPr>
        <w:spacing w:line="440" w:lineRule="exact"/>
        <w:rPr>
          <w:rFonts w:hint="eastAsia"/>
        </w:rPr>
      </w:pPr>
      <w:r>
        <w:rPr>
          <w:rFonts w:hint="eastAsia"/>
        </w:rPr>
        <w:t>（</w:t>
      </w:r>
      <w:r>
        <w:rPr>
          <w:rFonts w:hint="eastAsia" w:ascii="Times New Roman" w:hAnsi="Times New Roman"/>
        </w:rPr>
        <w:t>1</w:t>
      </w:r>
      <w:r>
        <w:rPr>
          <w:rFonts w:hint="eastAsia" w:ascii="Times New Roman" w:hAnsi="Times New Roman"/>
          <w:lang w:val="en-US" w:eastAsia="zh-CN"/>
        </w:rPr>
        <w:t>8</w:t>
      </w:r>
      <w:r>
        <w:rPr>
          <w:rFonts w:hint="eastAsia"/>
        </w:rPr>
        <w:t>）</w:t>
      </w:r>
      <w:r>
        <w:rPr>
          <w:rFonts w:hint="eastAsia"/>
          <w:color w:val="auto"/>
          <w:lang w:eastAsia="zh-CN"/>
        </w:rPr>
        <w:t>《国家危险废物名录（</w:t>
      </w:r>
      <w:r>
        <w:rPr>
          <w:rFonts w:hint="eastAsia" w:ascii="Times New Roman" w:hAnsi="Times New Roman"/>
          <w:color w:val="auto"/>
          <w:lang w:val="en-US" w:eastAsia="zh-CN"/>
        </w:rPr>
        <w:t>2021</w:t>
      </w:r>
      <w:r>
        <w:rPr>
          <w:rFonts w:hint="eastAsia" w:ascii="Times New Roman" w:hAnsi="Times New Roman"/>
          <w:color w:val="auto"/>
          <w:lang w:val="en-US" w:eastAsia="zh-CN"/>
        </w:rPr>
        <w:t>年</w:t>
      </w:r>
      <w:r>
        <w:rPr>
          <w:rFonts w:hint="eastAsia"/>
          <w:color w:val="auto"/>
          <w:lang w:val="en-US" w:eastAsia="zh-CN"/>
        </w:rPr>
        <w:t>版</w:t>
      </w:r>
      <w:r>
        <w:rPr>
          <w:rFonts w:hint="eastAsia"/>
          <w:color w:val="auto"/>
          <w:lang w:eastAsia="zh-CN"/>
        </w:rPr>
        <w:t>）》，</w:t>
      </w:r>
      <w:r>
        <w:rPr>
          <w:color w:val="auto"/>
        </w:rPr>
        <w:t>生态环境部令第</w:t>
      </w:r>
      <w:r>
        <w:rPr>
          <w:rFonts w:ascii="Times New Roman" w:hAnsi="Times New Roman"/>
          <w:color w:val="auto"/>
        </w:rPr>
        <w:t>15</w:t>
      </w:r>
      <w:r>
        <w:rPr>
          <w:color w:val="auto"/>
        </w:rPr>
        <w:t>号，</w:t>
      </w:r>
      <w:r>
        <w:rPr>
          <w:rFonts w:ascii="Times New Roman" w:hAnsi="Times New Roman"/>
          <w:color w:val="auto"/>
        </w:rPr>
        <w:t>2020</w:t>
      </w:r>
      <w:r>
        <w:rPr>
          <w:rFonts w:hint="eastAsia"/>
          <w:color w:val="auto"/>
          <w:lang w:val="en-US" w:eastAsia="zh-CN"/>
        </w:rPr>
        <w:t>.</w:t>
      </w:r>
      <w:r>
        <w:rPr>
          <w:rFonts w:ascii="Times New Roman" w:hAnsi="Times New Roman"/>
          <w:color w:val="auto"/>
        </w:rPr>
        <w:t>11</w:t>
      </w:r>
      <w:r>
        <w:rPr>
          <w:rFonts w:hint="eastAsia"/>
          <w:color w:val="auto"/>
          <w:lang w:val="en-US" w:eastAsia="zh-CN"/>
        </w:rPr>
        <w:t>.</w:t>
      </w:r>
      <w:r>
        <w:rPr>
          <w:rFonts w:ascii="Times New Roman" w:hAnsi="Times New Roman"/>
          <w:color w:val="auto"/>
        </w:rPr>
        <w:t>27</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19</w:t>
      </w:r>
      <w:r>
        <w:rPr>
          <w:rFonts w:hint="eastAsia"/>
        </w:rPr>
        <w:t>）</w:t>
      </w:r>
      <w:r>
        <w:rPr>
          <w:rFonts w:hint="eastAsia"/>
          <w:color w:val="auto"/>
          <w:lang w:eastAsia="zh-CN"/>
        </w:rPr>
        <w:t>《</w:t>
      </w:r>
      <w:r>
        <w:rPr>
          <w:rFonts w:hint="eastAsia"/>
          <w:color w:val="auto"/>
          <w:lang w:val="en-US" w:eastAsia="zh-CN"/>
        </w:rPr>
        <w:t>关于推进危险废物环境管理信息化有关工作的通知</w:t>
      </w:r>
      <w:r>
        <w:rPr>
          <w:rFonts w:hint="eastAsia"/>
          <w:color w:val="auto"/>
          <w:lang w:eastAsia="zh-CN"/>
        </w:rPr>
        <w:t>》，</w:t>
      </w:r>
      <w:r>
        <w:rPr>
          <w:rFonts w:hint="eastAsia"/>
          <w:color w:val="auto"/>
          <w:lang w:val="en-US" w:eastAsia="zh-CN"/>
        </w:rPr>
        <w:t>环办固体函[</w:t>
      </w:r>
      <w:r>
        <w:rPr>
          <w:rFonts w:hint="eastAsia" w:ascii="Times New Roman" w:hAnsi="Times New Roman" w:cs="Times New Roman"/>
          <w:color w:val="auto"/>
          <w:lang w:val="en-US" w:eastAsia="zh-CN"/>
        </w:rPr>
        <w:t>2020</w:t>
      </w:r>
      <w:r>
        <w:rPr>
          <w:rFonts w:hint="eastAsia"/>
          <w:color w:val="auto"/>
          <w:lang w:val="en-US" w:eastAsia="zh-CN"/>
        </w:rPr>
        <w:t>]</w:t>
      </w:r>
      <w:r>
        <w:rPr>
          <w:rFonts w:hint="eastAsia" w:ascii="Times New Roman" w:hAnsi="Times New Roman" w:cs="Times New Roman"/>
          <w:color w:val="auto"/>
          <w:lang w:val="en-US" w:eastAsia="zh-CN"/>
        </w:rPr>
        <w:t>733</w:t>
      </w:r>
      <w:r>
        <w:rPr>
          <w:rFonts w:hint="eastAsia"/>
          <w:color w:val="auto"/>
          <w:lang w:val="en-US" w:eastAsia="zh-CN"/>
        </w:rPr>
        <w:t>号，</w:t>
      </w:r>
      <w:r>
        <w:rPr>
          <w:rFonts w:hint="eastAsia" w:ascii="Times New Roman" w:hAnsi="Times New Roman" w:cs="Times New Roman"/>
          <w:color w:val="auto"/>
          <w:lang w:val="en-US" w:eastAsia="zh-CN"/>
        </w:rPr>
        <w:t>2020</w:t>
      </w:r>
      <w:r>
        <w:rPr>
          <w:rFonts w:hint="eastAsia"/>
          <w:color w:val="auto"/>
          <w:lang w:val="en-US" w:eastAsia="zh-CN"/>
        </w:rPr>
        <w:t>.</w:t>
      </w:r>
      <w:r>
        <w:rPr>
          <w:rFonts w:hint="eastAsia" w:ascii="Times New Roman" w:hAnsi="Times New Roman" w:cs="Times New Roman"/>
          <w:color w:val="auto"/>
          <w:lang w:val="en-US" w:eastAsia="zh-CN"/>
        </w:rPr>
        <w:t>12</w:t>
      </w:r>
      <w:r>
        <w:rPr>
          <w:rFonts w:hint="eastAsia"/>
          <w:color w:val="auto"/>
          <w:lang w:val="en-US" w:eastAsia="zh-CN"/>
        </w:rPr>
        <w:t>.</w:t>
      </w:r>
      <w:r>
        <w:rPr>
          <w:rFonts w:hint="eastAsia" w:ascii="Times New Roman" w:hAnsi="Times New Roman" w:cs="Times New Roman"/>
          <w:color w:val="auto"/>
          <w:lang w:val="en-US" w:eastAsia="zh-CN"/>
        </w:rPr>
        <w:t>31</w:t>
      </w:r>
      <w:r>
        <w:rPr>
          <w:rFonts w:hint="eastAsia" w:cs="Times New Roman"/>
          <w:color w:val="auto"/>
          <w:lang w:val="en-US" w:eastAsia="zh-CN"/>
        </w:rPr>
        <w:t>；</w:t>
      </w:r>
    </w:p>
    <w:p>
      <w:pPr>
        <w:spacing w:line="440" w:lineRule="exact"/>
        <w:rPr>
          <w:rFonts w:hint="eastAsia" w:eastAsia="宋体"/>
          <w:lang w:eastAsia="zh-CN"/>
        </w:rPr>
      </w:pPr>
      <w:r>
        <w:rPr>
          <w:rFonts w:hint="eastAsia"/>
          <w:lang w:eastAsia="zh-CN"/>
        </w:rPr>
        <w:t>（</w:t>
      </w:r>
      <w:r>
        <w:rPr>
          <w:rFonts w:hint="eastAsia" w:ascii="Times New Roman" w:hAnsi="Times New Roman"/>
          <w:lang w:val="en-US" w:eastAsia="zh-CN"/>
        </w:rPr>
        <w:t>20</w:t>
      </w:r>
      <w:r>
        <w:rPr>
          <w:rFonts w:hint="eastAsia"/>
          <w:lang w:eastAsia="zh-CN"/>
        </w:rPr>
        <w:t>）</w:t>
      </w:r>
      <w:r>
        <w:rPr>
          <w:rFonts w:hint="eastAsia"/>
          <w:color w:val="auto"/>
          <w:lang w:eastAsia="zh-CN"/>
        </w:rPr>
        <w:t>《</w:t>
      </w:r>
      <w:r>
        <w:rPr>
          <w:rFonts w:hint="eastAsia"/>
          <w:color w:val="auto"/>
          <w:lang w:val="en-US" w:eastAsia="zh-CN"/>
        </w:rPr>
        <w:t>危险废物转移管理办法</w:t>
      </w:r>
      <w:r>
        <w:rPr>
          <w:rFonts w:hint="eastAsia"/>
          <w:color w:val="auto"/>
          <w:lang w:eastAsia="zh-CN"/>
        </w:rPr>
        <w:t>》，</w:t>
      </w:r>
      <w:r>
        <w:rPr>
          <w:rFonts w:hint="eastAsia"/>
          <w:color w:val="auto"/>
          <w:lang w:val="en-US" w:eastAsia="zh-CN"/>
        </w:rPr>
        <w:t>生态环境部令第</w:t>
      </w:r>
      <w:r>
        <w:rPr>
          <w:rFonts w:hint="eastAsia" w:ascii="Times New Roman" w:hAnsi="Times New Roman" w:cs="Times New Roman"/>
          <w:color w:val="auto"/>
          <w:lang w:val="en-US" w:eastAsia="zh-CN"/>
        </w:rPr>
        <w:t>23</w:t>
      </w:r>
      <w:r>
        <w:rPr>
          <w:rFonts w:hint="eastAsia"/>
          <w:color w:val="auto"/>
          <w:lang w:val="en-US" w:eastAsia="zh-CN"/>
        </w:rPr>
        <w:t>号，</w:t>
      </w:r>
      <w:r>
        <w:rPr>
          <w:rFonts w:hint="eastAsia" w:ascii="Times New Roman" w:hAnsi="Times New Roman" w:cs="Times New Roman"/>
          <w:color w:val="auto"/>
          <w:lang w:val="en-US" w:eastAsia="zh-CN"/>
        </w:rPr>
        <w:t>2021</w:t>
      </w:r>
      <w:r>
        <w:rPr>
          <w:rFonts w:hint="eastAsia"/>
          <w:color w:val="auto"/>
          <w:lang w:val="en-US" w:eastAsia="zh-CN"/>
        </w:rPr>
        <w:t>.</w:t>
      </w:r>
      <w:r>
        <w:rPr>
          <w:rFonts w:hint="eastAsia" w:ascii="Times New Roman" w:hAnsi="Times New Roman" w:cs="Times New Roman"/>
          <w:color w:val="auto"/>
          <w:lang w:val="en-US" w:eastAsia="zh-CN"/>
        </w:rPr>
        <w:t>11</w:t>
      </w:r>
      <w:r>
        <w:rPr>
          <w:rFonts w:hint="eastAsia"/>
          <w:color w:val="auto"/>
          <w:lang w:val="en-US" w:eastAsia="zh-CN"/>
        </w:rPr>
        <w:t>.</w:t>
      </w:r>
      <w:r>
        <w:rPr>
          <w:rFonts w:hint="eastAsia" w:ascii="Times New Roman" w:hAnsi="Times New Roman" w:cs="Times New Roman"/>
          <w:color w:val="auto"/>
          <w:lang w:val="en-US" w:eastAsia="zh-CN"/>
        </w:rPr>
        <w:t>30</w:t>
      </w:r>
      <w:r>
        <w:rPr>
          <w:rFonts w:hint="eastAsia" w:cs="Times New Roman"/>
          <w:color w:val="auto"/>
          <w:lang w:val="en-US" w:eastAsia="zh-CN"/>
        </w:rPr>
        <w:t>；</w:t>
      </w:r>
    </w:p>
    <w:p>
      <w:pPr>
        <w:spacing w:line="440" w:lineRule="exact"/>
        <w:rPr>
          <w:rFonts w:hint="eastAsia"/>
          <w:color w:val="auto"/>
          <w:lang w:eastAsia="zh-CN"/>
        </w:rPr>
      </w:pPr>
      <w:r>
        <w:rPr>
          <w:rFonts w:hint="eastAsia"/>
          <w:color w:val="auto"/>
          <w:lang w:eastAsia="zh-CN"/>
        </w:rPr>
        <w:t>（</w:t>
      </w:r>
      <w:r>
        <w:rPr>
          <w:rFonts w:hint="eastAsia" w:ascii="Times New Roman" w:hAnsi="Times New Roman"/>
          <w:color w:val="auto"/>
          <w:lang w:val="en-US" w:eastAsia="zh-CN"/>
        </w:rPr>
        <w:t>21</w:t>
      </w:r>
      <w:r>
        <w:rPr>
          <w:rFonts w:hint="eastAsia"/>
          <w:color w:val="auto"/>
          <w:lang w:eastAsia="zh-CN"/>
        </w:rPr>
        <w:t>）《固定污染源排污许可分类管理名录（</w:t>
      </w:r>
      <w:r>
        <w:rPr>
          <w:rFonts w:hint="eastAsia" w:ascii="Times New Roman" w:hAnsi="Times New Roman" w:cs="Times New Roman"/>
          <w:color w:val="auto"/>
          <w:lang w:val="en-US" w:eastAsia="zh-CN"/>
        </w:rPr>
        <w:t>2019</w:t>
      </w:r>
      <w:r>
        <w:rPr>
          <w:rFonts w:hint="eastAsia"/>
          <w:color w:val="auto"/>
          <w:lang w:val="en-US" w:eastAsia="zh-CN"/>
        </w:rPr>
        <w:t>年版</w:t>
      </w:r>
      <w:r>
        <w:rPr>
          <w:rFonts w:hint="eastAsia"/>
          <w:color w:val="auto"/>
          <w:lang w:eastAsia="zh-CN"/>
        </w:rPr>
        <w:t>）》，生态环境部部令第</w:t>
      </w:r>
      <w:r>
        <w:rPr>
          <w:rFonts w:hint="eastAsia" w:ascii="Times New Roman" w:hAnsi="Times New Roman" w:cs="Times New Roman"/>
          <w:color w:val="auto"/>
          <w:lang w:val="en-US" w:eastAsia="zh-CN"/>
        </w:rPr>
        <w:t>11</w:t>
      </w:r>
      <w:r>
        <w:rPr>
          <w:rFonts w:hint="eastAsia"/>
          <w:color w:val="auto"/>
          <w:lang w:val="en-US" w:eastAsia="zh-CN"/>
        </w:rPr>
        <w:t>号，</w:t>
      </w:r>
      <w:r>
        <w:rPr>
          <w:rFonts w:hint="eastAsia" w:ascii="Times New Roman" w:hAnsi="Times New Roman" w:cs="Times New Roman"/>
          <w:color w:val="auto"/>
          <w:lang w:val="en-US" w:eastAsia="zh-CN"/>
        </w:rPr>
        <w:t>2019</w:t>
      </w:r>
      <w:r>
        <w:rPr>
          <w:rFonts w:hint="eastAsia"/>
          <w:color w:val="auto"/>
          <w:lang w:val="en-US" w:eastAsia="zh-CN"/>
        </w:rPr>
        <w:t>.</w:t>
      </w:r>
      <w:r>
        <w:rPr>
          <w:rFonts w:hint="eastAsia" w:ascii="Times New Roman" w:hAnsi="Times New Roman" w:cs="Times New Roman"/>
          <w:color w:val="auto"/>
          <w:lang w:val="en-US" w:eastAsia="zh-CN"/>
        </w:rPr>
        <w:t>12</w:t>
      </w:r>
      <w:r>
        <w:rPr>
          <w:rFonts w:hint="eastAsia"/>
          <w:color w:val="auto"/>
          <w:lang w:val="en-US" w:eastAsia="zh-CN"/>
        </w:rPr>
        <w:t>.</w:t>
      </w:r>
      <w:r>
        <w:rPr>
          <w:rFonts w:hint="eastAsia" w:ascii="Times New Roman" w:hAnsi="Times New Roman" w:cs="Times New Roman"/>
          <w:color w:val="auto"/>
          <w:lang w:val="en-US" w:eastAsia="zh-CN"/>
        </w:rPr>
        <w:t>20</w:t>
      </w:r>
      <w:r>
        <w:rPr>
          <w:rFonts w:hint="eastAsia" w:cs="Times New Roman"/>
          <w:color w:val="auto"/>
          <w:lang w:val="en-US" w:eastAsia="zh-CN"/>
        </w:rPr>
        <w:t>；</w:t>
      </w:r>
    </w:p>
    <w:p>
      <w:pPr>
        <w:spacing w:line="440" w:lineRule="exact"/>
        <w:rPr>
          <w:rFonts w:hint="eastAsia"/>
        </w:rPr>
      </w:pPr>
      <w:r>
        <w:rPr>
          <w:rFonts w:hint="eastAsia"/>
          <w:color w:val="auto"/>
          <w:lang w:eastAsia="zh-CN"/>
        </w:rPr>
        <w:t>（</w:t>
      </w:r>
      <w:r>
        <w:rPr>
          <w:rFonts w:hint="eastAsia" w:ascii="Times New Roman" w:hAnsi="Times New Roman"/>
          <w:color w:val="auto"/>
          <w:lang w:val="en-US" w:eastAsia="zh-CN"/>
        </w:rPr>
        <w:t>22</w:t>
      </w:r>
      <w:r>
        <w:rPr>
          <w:rFonts w:hint="eastAsia"/>
          <w:color w:val="auto"/>
          <w:lang w:eastAsia="zh-CN"/>
        </w:rPr>
        <w:t>）</w:t>
      </w:r>
      <w:r>
        <w:rPr>
          <w:rFonts w:ascii="Times New Roman"/>
          <w:color w:val="auto"/>
        </w:rPr>
        <w:t>《关于做好环境影响评价制度与排污许可制衔接相关工作的通知》，环办环评[</w:t>
      </w:r>
      <w:r>
        <w:rPr>
          <w:rFonts w:ascii="Times New Roman" w:hAnsi="Times New Roman"/>
          <w:color w:val="auto"/>
        </w:rPr>
        <w:t>2017</w:t>
      </w:r>
      <w:r>
        <w:rPr>
          <w:rFonts w:ascii="Times New Roman"/>
          <w:color w:val="auto"/>
        </w:rPr>
        <w:t>]</w:t>
      </w:r>
      <w:r>
        <w:rPr>
          <w:rFonts w:ascii="Times New Roman" w:hAnsi="Times New Roman"/>
          <w:color w:val="auto"/>
        </w:rPr>
        <w:t>84</w:t>
      </w:r>
      <w:r>
        <w:rPr>
          <w:rFonts w:ascii="Times New Roman"/>
          <w:color w:val="auto"/>
        </w:rPr>
        <w:t>号</w:t>
      </w:r>
      <w:r>
        <w:rPr>
          <w:rFonts w:hint="eastAsia" w:ascii="Times New Roman"/>
          <w:color w:val="auto"/>
          <w:lang w:eastAsia="zh-CN"/>
        </w:rPr>
        <w:t>，</w:t>
      </w:r>
      <w:r>
        <w:rPr>
          <w:rFonts w:hint="eastAsia" w:ascii="Times New Roman" w:hAnsi="Times New Roman"/>
          <w:color w:val="auto"/>
          <w:lang w:val="en-US" w:eastAsia="zh-CN"/>
        </w:rPr>
        <w:t>2017</w:t>
      </w:r>
      <w:r>
        <w:rPr>
          <w:rFonts w:hint="eastAsia" w:ascii="Times New Roman"/>
          <w:color w:val="auto"/>
          <w:lang w:val="en-US" w:eastAsia="zh-CN"/>
        </w:rPr>
        <w:t>.</w:t>
      </w:r>
      <w:r>
        <w:rPr>
          <w:rFonts w:hint="eastAsia" w:ascii="Times New Roman" w:hAnsi="Times New Roman"/>
          <w:color w:val="auto"/>
          <w:lang w:val="en-US" w:eastAsia="zh-CN"/>
        </w:rPr>
        <w:t>11</w:t>
      </w:r>
      <w:r>
        <w:rPr>
          <w:rFonts w:hint="eastAsia" w:ascii="Times New Roman"/>
          <w:color w:val="auto"/>
          <w:lang w:val="en-US" w:eastAsia="zh-CN"/>
        </w:rPr>
        <w:t>.</w:t>
      </w:r>
      <w:r>
        <w:rPr>
          <w:rFonts w:hint="eastAsia" w:ascii="Times New Roman" w:hAnsi="Times New Roman"/>
          <w:color w:val="auto"/>
          <w:lang w:val="en-US" w:eastAsia="zh-CN"/>
        </w:rPr>
        <w:t>14</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23</w:t>
      </w:r>
      <w:r>
        <w:rPr>
          <w:rFonts w:hint="eastAsia"/>
        </w:rPr>
        <w:t>）《关于加强企业环境信用体系建设的指导意见》，环发[</w:t>
      </w:r>
      <w:r>
        <w:rPr>
          <w:rFonts w:hint="eastAsia" w:ascii="Times New Roman" w:hAnsi="Times New Roman"/>
        </w:rPr>
        <w:t>2015</w:t>
      </w:r>
      <w:r>
        <w:rPr>
          <w:rFonts w:hint="eastAsia"/>
        </w:rPr>
        <w:t>]</w:t>
      </w:r>
      <w:r>
        <w:rPr>
          <w:rFonts w:hint="eastAsia" w:ascii="Times New Roman" w:hAnsi="Times New Roman"/>
        </w:rPr>
        <w:t>161</w:t>
      </w:r>
      <w:r>
        <w:rPr>
          <w:rFonts w:hint="eastAsia"/>
        </w:rPr>
        <w:t>号，</w:t>
      </w:r>
      <w:r>
        <w:rPr>
          <w:rFonts w:hint="eastAsia" w:ascii="Times New Roman" w:hAnsi="Times New Roman"/>
        </w:rPr>
        <w:t>2015</w:t>
      </w:r>
      <w:r>
        <w:rPr>
          <w:rFonts w:hint="eastAsia"/>
          <w:lang w:val="en-US" w:eastAsia="zh-CN"/>
        </w:rPr>
        <w:t>.</w:t>
      </w:r>
      <w:r>
        <w:rPr>
          <w:rFonts w:hint="eastAsia" w:ascii="Times New Roman" w:hAnsi="Times New Roman"/>
        </w:rPr>
        <w:t>12</w:t>
      </w:r>
      <w:r>
        <w:rPr>
          <w:rFonts w:hint="eastAsia"/>
          <w:lang w:val="en-US" w:eastAsia="zh-CN"/>
        </w:rPr>
        <w:t>.</w:t>
      </w:r>
      <w:r>
        <w:rPr>
          <w:rFonts w:hint="eastAsia" w:ascii="Times New Roman" w:hAnsi="Times New Roman"/>
        </w:rPr>
        <w:t>10</w:t>
      </w:r>
      <w:r>
        <w:rPr>
          <w:rFonts w:hint="eastAsia"/>
        </w:rPr>
        <w:t>；</w:t>
      </w:r>
    </w:p>
    <w:p>
      <w:pPr>
        <w:spacing w:line="440" w:lineRule="exact"/>
        <w:rPr>
          <w:rFonts w:hint="default" w:eastAsia="宋体"/>
          <w:lang w:val="en-US" w:eastAsia="zh-CN"/>
        </w:rPr>
      </w:pPr>
      <w:r>
        <w:rPr>
          <w:rFonts w:hint="eastAsia"/>
        </w:rPr>
        <w:t>（</w:t>
      </w:r>
      <w:r>
        <w:rPr>
          <w:rFonts w:hint="eastAsia" w:ascii="Times New Roman" w:hAnsi="Times New Roman"/>
          <w:lang w:val="en-US" w:eastAsia="zh-CN"/>
        </w:rPr>
        <w:t>24</w:t>
      </w:r>
      <w:r>
        <w:rPr>
          <w:rFonts w:hint="eastAsia"/>
        </w:rPr>
        <w:t>）</w:t>
      </w:r>
      <w:r>
        <w:rPr>
          <w:rFonts w:hint="eastAsia"/>
          <w:lang w:eastAsia="zh-CN"/>
        </w:rPr>
        <w:t>《排污许可管理办法（试行）》，生态环境部令第</w:t>
      </w:r>
      <w:r>
        <w:rPr>
          <w:rFonts w:hint="eastAsia" w:ascii="Times New Roman" w:hAnsi="Times New Roman"/>
          <w:lang w:val="en-US" w:eastAsia="zh-CN"/>
        </w:rPr>
        <w:t>48</w:t>
      </w:r>
      <w:r>
        <w:rPr>
          <w:rFonts w:hint="eastAsia"/>
          <w:lang w:val="en-US" w:eastAsia="zh-CN"/>
        </w:rPr>
        <w:t>号，</w:t>
      </w:r>
      <w:r>
        <w:rPr>
          <w:rFonts w:hint="eastAsia" w:ascii="Times New Roman" w:hAnsi="Times New Roman"/>
          <w:lang w:val="en-US" w:eastAsia="zh-CN"/>
        </w:rPr>
        <w:t>2018</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10</w:t>
      </w:r>
      <w:r>
        <w:rPr>
          <w:rFonts w:hint="eastAsia"/>
          <w:lang w:val="en-US" w:eastAsia="zh-CN"/>
        </w:rPr>
        <w:t>；</w:t>
      </w:r>
    </w:p>
    <w:p>
      <w:pPr>
        <w:spacing w:line="440" w:lineRule="exact"/>
        <w:rPr>
          <w:rFonts w:hint="eastAsia"/>
        </w:rPr>
      </w:pPr>
      <w:r>
        <w:rPr>
          <w:rFonts w:hint="eastAsia"/>
          <w:lang w:eastAsia="zh-CN"/>
        </w:rPr>
        <w:t>（</w:t>
      </w:r>
      <w:r>
        <w:rPr>
          <w:rFonts w:hint="eastAsia" w:ascii="Times New Roman" w:hAnsi="Times New Roman"/>
          <w:lang w:val="en-US" w:eastAsia="zh-CN"/>
        </w:rPr>
        <w:t>25</w:t>
      </w:r>
      <w:r>
        <w:rPr>
          <w:rFonts w:hint="eastAsia"/>
          <w:lang w:eastAsia="zh-CN"/>
        </w:rPr>
        <w:t>）</w:t>
      </w:r>
      <w:r>
        <w:rPr>
          <w:rFonts w:hint="eastAsia"/>
          <w:color w:val="auto"/>
          <w:lang w:eastAsia="zh-CN"/>
        </w:rPr>
        <w:t>关于印发《企业事业单位突发环境事件应急预案备案管理办法（试行）》的通知，环发</w:t>
      </w:r>
      <w:r>
        <w:rPr>
          <w:rFonts w:hint="eastAsia"/>
          <w:color w:val="auto"/>
          <w:lang w:val="en-US" w:eastAsia="zh-CN"/>
        </w:rPr>
        <w:t>[</w:t>
      </w:r>
      <w:r>
        <w:rPr>
          <w:rFonts w:hint="eastAsia" w:ascii="Times New Roman" w:hAnsi="Times New Roman"/>
          <w:color w:val="auto"/>
          <w:lang w:val="en-US" w:eastAsia="zh-CN"/>
        </w:rPr>
        <w:t>2015</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号，</w:t>
      </w:r>
      <w:r>
        <w:rPr>
          <w:rFonts w:hint="eastAsia" w:ascii="Times New Roman" w:hAnsi="Times New Roman"/>
          <w:color w:val="auto"/>
          <w:lang w:val="en-US" w:eastAsia="zh-CN"/>
        </w:rPr>
        <w:t>2015</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9</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26</w:t>
      </w:r>
      <w:r>
        <w:rPr>
          <w:rFonts w:hint="eastAsia"/>
        </w:rPr>
        <w:t>）</w:t>
      </w:r>
      <w:r>
        <w:rPr>
          <w:rFonts w:hint="eastAsia"/>
          <w:color w:val="auto"/>
          <w:lang w:eastAsia="zh-CN"/>
        </w:rPr>
        <w:t>关于印发《地下水污染防治实施方案的通知》，环土壤</w:t>
      </w:r>
      <w:r>
        <w:rPr>
          <w:rFonts w:hint="eastAsia"/>
          <w:color w:val="auto"/>
          <w:lang w:val="en-US" w:eastAsia="zh-CN"/>
        </w:rPr>
        <w:t>[</w:t>
      </w:r>
      <w:r>
        <w:rPr>
          <w:rFonts w:hint="eastAsia" w:ascii="Times New Roman" w:hAnsi="Times New Roman"/>
          <w:color w:val="auto"/>
          <w:lang w:val="en-US" w:eastAsia="zh-CN"/>
        </w:rPr>
        <w:t>2019</w:t>
      </w:r>
      <w:r>
        <w:rPr>
          <w:rFonts w:hint="eastAsia"/>
          <w:color w:val="auto"/>
          <w:lang w:val="en-US" w:eastAsia="zh-CN"/>
        </w:rPr>
        <w:t>]</w:t>
      </w:r>
      <w:r>
        <w:rPr>
          <w:rFonts w:hint="eastAsia" w:ascii="Times New Roman" w:hAnsi="Times New Roman"/>
          <w:color w:val="auto"/>
          <w:lang w:val="en-US" w:eastAsia="zh-CN"/>
        </w:rPr>
        <w:t>25</w:t>
      </w:r>
      <w:r>
        <w:rPr>
          <w:rFonts w:hint="eastAsia"/>
          <w:color w:val="auto"/>
          <w:lang w:val="en-US" w:eastAsia="zh-CN"/>
        </w:rPr>
        <w:t>号，</w:t>
      </w:r>
      <w:r>
        <w:rPr>
          <w:rFonts w:hint="eastAsia" w:ascii="Times New Roman" w:hAnsi="Times New Roman"/>
          <w:color w:val="auto"/>
          <w:lang w:val="en-US" w:eastAsia="zh-CN"/>
        </w:rPr>
        <w:t>2019</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28</w:t>
      </w:r>
      <w:r>
        <w:rPr>
          <w:rFonts w:hint="eastAsia"/>
        </w:rPr>
        <w:t>；</w:t>
      </w:r>
    </w:p>
    <w:p>
      <w:pPr>
        <w:spacing w:line="440" w:lineRule="exact"/>
        <w:rPr>
          <w:rFonts w:hint="default" w:eastAsia="宋体"/>
          <w:lang w:val="en-US" w:eastAsia="zh-CN"/>
        </w:rPr>
      </w:pPr>
      <w:r>
        <w:rPr>
          <w:rFonts w:hint="eastAsia"/>
        </w:rPr>
        <w:t>（</w:t>
      </w:r>
      <w:r>
        <w:rPr>
          <w:rFonts w:hint="eastAsia" w:ascii="Times New Roman" w:hAnsi="Times New Roman"/>
          <w:lang w:val="en-US" w:eastAsia="zh-CN"/>
        </w:rPr>
        <w:t>27</w:t>
      </w:r>
      <w:r>
        <w:rPr>
          <w:rFonts w:hint="eastAsia"/>
        </w:rPr>
        <w:t>）</w:t>
      </w:r>
      <w:r>
        <w:rPr>
          <w:rFonts w:hint="eastAsia"/>
          <w:lang w:eastAsia="zh-CN"/>
        </w:rPr>
        <w:t>《地下水污染源防渗技术指南（试行）》，环办土壤函</w:t>
      </w:r>
      <w:r>
        <w:rPr>
          <w:rFonts w:hint="eastAsia"/>
          <w:lang w:val="en-US" w:eastAsia="zh-CN"/>
        </w:rPr>
        <w:t>[</w:t>
      </w:r>
      <w:r>
        <w:rPr>
          <w:rFonts w:hint="eastAsia" w:ascii="Times New Roman" w:hAnsi="Times New Roman"/>
          <w:lang w:val="en-US" w:eastAsia="zh-CN"/>
        </w:rPr>
        <w:t>2020</w:t>
      </w:r>
      <w:r>
        <w:rPr>
          <w:rFonts w:hint="eastAsia"/>
          <w:lang w:val="en-US" w:eastAsia="zh-CN"/>
        </w:rPr>
        <w:t>]</w:t>
      </w:r>
      <w:r>
        <w:rPr>
          <w:rFonts w:hint="eastAsia" w:ascii="Times New Roman" w:hAnsi="Times New Roman"/>
          <w:lang w:val="en-US" w:eastAsia="zh-CN"/>
        </w:rPr>
        <w:t>72</w:t>
      </w:r>
      <w:r>
        <w:rPr>
          <w:rFonts w:hint="eastAsia"/>
          <w:lang w:val="en-US" w:eastAsia="zh-CN"/>
        </w:rPr>
        <w:t>号，</w:t>
      </w:r>
      <w:r>
        <w:rPr>
          <w:rFonts w:hint="eastAsia" w:ascii="Times New Roman" w:hAnsi="Times New Roman"/>
          <w:lang w:val="en-US" w:eastAsia="zh-CN"/>
        </w:rPr>
        <w:t>2020</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20</w:t>
      </w:r>
      <w:r>
        <w:rPr>
          <w:rFonts w:hint="eastAsia"/>
          <w:lang w:val="en-US" w:eastAsia="zh-CN"/>
        </w:rPr>
        <w:t>；</w:t>
      </w:r>
    </w:p>
    <w:p>
      <w:pPr>
        <w:spacing w:line="440" w:lineRule="exact"/>
        <w:rPr>
          <w:rFonts w:hint="eastAsia" w:eastAsia="宋体"/>
          <w:lang w:eastAsia="zh-CN"/>
        </w:rPr>
      </w:pPr>
      <w:r>
        <w:rPr>
          <w:rFonts w:hint="eastAsia"/>
          <w:lang w:eastAsia="zh-CN"/>
        </w:rPr>
        <w:t>（</w:t>
      </w:r>
      <w:r>
        <w:rPr>
          <w:rFonts w:hint="eastAsia" w:ascii="Times New Roman" w:hAnsi="Times New Roman"/>
          <w:lang w:val="en-US" w:eastAsia="zh-CN"/>
        </w:rPr>
        <w:t>28</w:t>
      </w:r>
      <w:r>
        <w:rPr>
          <w:rFonts w:hint="eastAsia"/>
          <w:lang w:eastAsia="zh-CN"/>
        </w:rPr>
        <w:t>）《关于印发</w:t>
      </w:r>
      <w:r>
        <w:rPr>
          <w:rFonts w:hint="eastAsia"/>
          <w:lang w:val="en-US" w:eastAsia="zh-CN"/>
        </w:rPr>
        <w:t>&lt;“十四五”环境影响评价与排污许可工作实施方案&gt;的通知</w:t>
      </w:r>
      <w:r>
        <w:rPr>
          <w:rFonts w:hint="eastAsia"/>
          <w:lang w:eastAsia="zh-CN"/>
        </w:rPr>
        <w:t>》，环环评</w:t>
      </w:r>
      <w:r>
        <w:rPr>
          <w:rFonts w:hint="eastAsia"/>
          <w:lang w:val="en-US" w:eastAsia="zh-CN"/>
        </w:rPr>
        <w:t>[</w:t>
      </w:r>
      <w:r>
        <w:rPr>
          <w:rFonts w:hint="eastAsia" w:ascii="Times New Roman" w:hAnsi="Times New Roman"/>
          <w:lang w:val="en-US" w:eastAsia="zh-CN"/>
        </w:rPr>
        <w:t>2022</w:t>
      </w:r>
      <w:r>
        <w:rPr>
          <w:rFonts w:hint="eastAsia"/>
          <w:lang w:val="en-US" w:eastAsia="zh-CN"/>
        </w:rPr>
        <w:t>]</w:t>
      </w:r>
      <w:r>
        <w:rPr>
          <w:rFonts w:hint="eastAsia" w:ascii="Times New Roman" w:hAnsi="Times New Roman"/>
          <w:lang w:val="en-US" w:eastAsia="zh-CN"/>
        </w:rPr>
        <w:t>26</w:t>
      </w:r>
      <w:r>
        <w:rPr>
          <w:rFonts w:hint="eastAsia"/>
          <w:lang w:val="en-US" w:eastAsia="zh-CN"/>
        </w:rPr>
        <w:t>号，</w:t>
      </w:r>
      <w:r>
        <w:rPr>
          <w:rFonts w:hint="eastAsia" w:ascii="Times New Roman" w:hAnsi="Times New Roman"/>
          <w:lang w:val="en-US" w:eastAsia="zh-CN"/>
        </w:rPr>
        <w:t>2022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cs="Times New Roman"/>
          <w:color w:val="auto"/>
          <w:lang w:val="en-US" w:eastAsia="zh-CN"/>
        </w:rPr>
        <w:t>；</w:t>
      </w:r>
    </w:p>
    <w:p>
      <w:pPr>
        <w:spacing w:line="440" w:lineRule="exact"/>
        <w:rPr>
          <w:rFonts w:hint="eastAsia"/>
          <w:color w:val="auto"/>
          <w:lang w:eastAsia="zh-CN"/>
        </w:rPr>
      </w:pPr>
      <w:r>
        <w:rPr>
          <w:rFonts w:hint="eastAsia"/>
          <w:color w:val="auto"/>
          <w:lang w:eastAsia="zh-CN"/>
        </w:rPr>
        <w:t>（</w:t>
      </w:r>
      <w:r>
        <w:rPr>
          <w:rFonts w:hint="eastAsia" w:ascii="Times New Roman" w:hAnsi="Times New Roman"/>
          <w:color w:val="auto"/>
          <w:lang w:val="en-US" w:eastAsia="zh-CN"/>
        </w:rPr>
        <w:t>29</w:t>
      </w:r>
      <w:r>
        <w:rPr>
          <w:rFonts w:hint="eastAsia"/>
          <w:color w:val="auto"/>
          <w:lang w:eastAsia="zh-CN"/>
        </w:rPr>
        <w:t>）</w:t>
      </w:r>
      <w:r>
        <w:rPr>
          <w:rFonts w:hint="eastAsia" w:ascii="Times New Roman"/>
          <w:color w:val="auto"/>
          <w:lang w:val="en-US" w:eastAsia="zh-CN"/>
        </w:rPr>
        <w:t>《减污降碳协同增效实施方案》，环综合[</w:t>
      </w:r>
      <w:r>
        <w:rPr>
          <w:rFonts w:hint="eastAsia" w:ascii="Times New Roman" w:hAnsi="Times New Roman"/>
          <w:color w:val="auto"/>
          <w:lang w:val="en-US" w:eastAsia="zh-CN"/>
        </w:rPr>
        <w:t>2022</w:t>
      </w:r>
      <w:r>
        <w:rPr>
          <w:rFonts w:hint="eastAsia" w:ascii="Times New Roman"/>
          <w:color w:val="auto"/>
          <w:lang w:val="en-US" w:eastAsia="zh-CN"/>
        </w:rPr>
        <w:t>]</w:t>
      </w:r>
      <w:r>
        <w:rPr>
          <w:rFonts w:hint="eastAsia" w:ascii="Times New Roman" w:hAnsi="Times New Roman"/>
          <w:color w:val="auto"/>
          <w:lang w:val="en-US" w:eastAsia="zh-CN"/>
        </w:rPr>
        <w:t>42</w:t>
      </w:r>
      <w:r>
        <w:rPr>
          <w:rFonts w:hint="eastAsia" w:ascii="Times New Roman"/>
          <w:color w:val="auto"/>
          <w:lang w:val="en-US" w:eastAsia="zh-CN"/>
        </w:rPr>
        <w:t>号，</w:t>
      </w:r>
      <w:r>
        <w:rPr>
          <w:rFonts w:hint="eastAsia" w:ascii="Times New Roman" w:hAnsi="Times New Roman"/>
          <w:color w:val="auto"/>
          <w:lang w:val="en-US" w:eastAsia="zh-CN"/>
        </w:rPr>
        <w:t>2022</w:t>
      </w:r>
      <w:r>
        <w:rPr>
          <w:rFonts w:hint="eastAsia" w:ascii="Times New Roman"/>
          <w:color w:val="auto"/>
          <w:lang w:val="en-US" w:eastAsia="zh-CN"/>
        </w:rPr>
        <w:t>.</w:t>
      </w:r>
      <w:r>
        <w:rPr>
          <w:rFonts w:hint="eastAsia" w:ascii="Times New Roman" w:hAnsi="Times New Roman"/>
          <w:color w:val="auto"/>
          <w:lang w:val="en-US" w:eastAsia="zh-CN"/>
        </w:rPr>
        <w:t>6</w:t>
      </w:r>
      <w:r>
        <w:rPr>
          <w:rFonts w:hint="eastAsia" w:ascii="Times New Roman"/>
          <w:color w:val="auto"/>
          <w:lang w:val="en-US" w:eastAsia="zh-CN"/>
        </w:rPr>
        <w:t>.</w:t>
      </w:r>
      <w:r>
        <w:rPr>
          <w:rFonts w:hint="eastAsia" w:ascii="Times New Roman" w:hAnsi="Times New Roman"/>
          <w:color w:val="auto"/>
          <w:lang w:val="en-US" w:eastAsia="zh-CN"/>
        </w:rPr>
        <w:t>10</w:t>
      </w:r>
      <w:r>
        <w:rPr>
          <w:rFonts w:hint="eastAsia" w:ascii="Times New Roman"/>
          <w:color w:val="auto"/>
          <w:lang w:val="en-US" w:eastAsia="zh-CN"/>
        </w:rPr>
        <w:t>；</w:t>
      </w:r>
    </w:p>
    <w:p>
      <w:pPr>
        <w:spacing w:line="440" w:lineRule="exact"/>
        <w:rPr>
          <w:rFonts w:hint="eastAsia"/>
        </w:rPr>
      </w:pPr>
      <w:r>
        <w:rPr>
          <w:rFonts w:hint="eastAsia"/>
          <w:color w:val="auto"/>
          <w:lang w:eastAsia="zh-CN"/>
        </w:rPr>
        <w:t>（</w:t>
      </w:r>
      <w:r>
        <w:rPr>
          <w:rFonts w:hint="eastAsia" w:ascii="Times New Roman" w:hAnsi="Times New Roman"/>
          <w:color w:val="auto"/>
          <w:lang w:val="en-US" w:eastAsia="zh-CN"/>
        </w:rPr>
        <w:t>30</w:t>
      </w:r>
      <w:r>
        <w:rPr>
          <w:rFonts w:hint="eastAsia"/>
          <w:color w:val="auto"/>
          <w:lang w:eastAsia="zh-CN"/>
        </w:rPr>
        <w:t>）《关于发布</w:t>
      </w:r>
      <w:r>
        <w:rPr>
          <w:rFonts w:hint="eastAsia"/>
          <w:color w:val="auto"/>
          <w:lang w:val="en-US" w:eastAsia="zh-CN"/>
        </w:rPr>
        <w:t>&lt;</w:t>
      </w:r>
      <w:r>
        <w:rPr>
          <w:rFonts w:hint="eastAsia"/>
          <w:color w:val="auto"/>
          <w:lang w:eastAsia="zh-CN"/>
        </w:rPr>
        <w:t>排放源统计调查产排污核算方法和系数手册</w:t>
      </w:r>
      <w:r>
        <w:rPr>
          <w:rFonts w:hint="eastAsia"/>
          <w:color w:val="auto"/>
          <w:lang w:val="en-US" w:eastAsia="zh-CN"/>
        </w:rPr>
        <w:t>&gt;</w:t>
      </w:r>
      <w:r>
        <w:rPr>
          <w:rFonts w:hint="eastAsia"/>
          <w:color w:val="auto"/>
          <w:lang w:eastAsia="zh-CN"/>
        </w:rPr>
        <w:t>的公告》，生态环境部公告</w:t>
      </w:r>
      <w:r>
        <w:rPr>
          <w:rFonts w:hint="eastAsia" w:ascii="Times New Roman" w:hAnsi="Times New Roman"/>
          <w:color w:val="auto"/>
          <w:lang w:val="en-US" w:eastAsia="zh-CN"/>
        </w:rPr>
        <w:t>2021</w:t>
      </w:r>
      <w:r>
        <w:rPr>
          <w:rFonts w:hint="eastAsia"/>
          <w:color w:val="auto"/>
          <w:lang w:val="en-US" w:eastAsia="zh-CN"/>
        </w:rPr>
        <w:t>年第</w:t>
      </w:r>
      <w:r>
        <w:rPr>
          <w:rFonts w:hint="eastAsia" w:ascii="Times New Roman" w:hAnsi="Times New Roman"/>
          <w:color w:val="auto"/>
          <w:lang w:val="en-US" w:eastAsia="zh-CN"/>
        </w:rPr>
        <w:t>24</w:t>
      </w:r>
      <w:r>
        <w:rPr>
          <w:rFonts w:hint="eastAsia"/>
          <w:color w:val="auto"/>
          <w:lang w:val="en-US" w:eastAsia="zh-CN"/>
        </w:rPr>
        <w:t>号，</w:t>
      </w:r>
      <w:r>
        <w:rPr>
          <w:rFonts w:hint="eastAsia" w:ascii="Times New Roman" w:hAnsi="Times New Roman"/>
          <w:color w:val="auto"/>
          <w:lang w:val="en-US" w:eastAsia="zh-CN"/>
        </w:rPr>
        <w:t>2021</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11</w:t>
      </w:r>
      <w:r>
        <w:rPr>
          <w:rFonts w:hint="eastAsia"/>
          <w:sz w:val="21"/>
          <w:szCs w:val="21"/>
        </w:rPr>
        <w:t>；</w:t>
      </w:r>
    </w:p>
    <w:p>
      <w:pPr>
        <w:spacing w:line="440" w:lineRule="exact"/>
        <w:rPr>
          <w:rFonts w:hint="eastAsia"/>
        </w:rPr>
      </w:pPr>
      <w:r>
        <w:rPr>
          <w:rFonts w:hint="eastAsia"/>
        </w:rPr>
        <w:t>（</w:t>
      </w:r>
      <w:r>
        <w:rPr>
          <w:rFonts w:hint="eastAsia" w:ascii="Times New Roman" w:hAnsi="Times New Roman"/>
          <w:lang w:val="en-US" w:eastAsia="zh-CN"/>
        </w:rPr>
        <w:t>31</w:t>
      </w:r>
      <w:r>
        <w:rPr>
          <w:rFonts w:hint="eastAsia"/>
        </w:rPr>
        <w:t>）</w:t>
      </w:r>
      <w:r>
        <w:rPr>
          <w:rFonts w:hint="eastAsia"/>
          <w:color w:val="auto"/>
          <w:lang w:eastAsia="zh-CN"/>
        </w:rPr>
        <w:t>关于印发《环评与排污许可监管行动计划（</w:t>
      </w:r>
      <w:r>
        <w:rPr>
          <w:rFonts w:hint="eastAsia" w:ascii="Times New Roman" w:hAnsi="Times New Roman"/>
          <w:color w:val="auto"/>
          <w:lang w:val="en-US" w:eastAsia="zh-CN"/>
        </w:rPr>
        <w:t>2021</w:t>
      </w:r>
      <w:r>
        <w:rPr>
          <w:rFonts w:hint="eastAsia"/>
          <w:color w:val="auto"/>
          <w:lang w:val="en-US" w:eastAsia="zh-CN"/>
        </w:rPr>
        <w:t>-</w:t>
      </w:r>
      <w:r>
        <w:rPr>
          <w:rFonts w:hint="eastAsia" w:ascii="Times New Roman" w:hAnsi="Times New Roman"/>
          <w:color w:val="auto"/>
          <w:lang w:val="en-US" w:eastAsia="zh-CN"/>
        </w:rPr>
        <w:t>2023</w:t>
      </w:r>
      <w:r>
        <w:rPr>
          <w:rFonts w:hint="eastAsia"/>
          <w:color w:val="auto"/>
          <w:lang w:eastAsia="zh-CN"/>
        </w:rPr>
        <w:t>）》《生态环境部</w:t>
      </w:r>
      <w:r>
        <w:rPr>
          <w:rFonts w:hint="eastAsia" w:ascii="Times New Roman" w:hAnsi="Times New Roman"/>
          <w:color w:val="auto"/>
          <w:lang w:val="en-US" w:eastAsia="zh-CN"/>
        </w:rPr>
        <w:t>2021</w:t>
      </w:r>
      <w:r>
        <w:rPr>
          <w:rFonts w:hint="eastAsia"/>
          <w:color w:val="auto"/>
          <w:lang w:val="en-US" w:eastAsia="zh-CN"/>
        </w:rPr>
        <w:t>年度环评与排污许可监管工作方案</w:t>
      </w:r>
      <w:r>
        <w:rPr>
          <w:rFonts w:hint="eastAsia"/>
          <w:color w:val="auto"/>
          <w:lang w:eastAsia="zh-CN"/>
        </w:rPr>
        <w:t>》的通知，环办环评函</w:t>
      </w:r>
      <w:r>
        <w:rPr>
          <w:rFonts w:hint="eastAsia"/>
          <w:color w:val="auto"/>
          <w:lang w:val="en-US" w:eastAsia="zh-CN"/>
        </w:rPr>
        <w:t>[</w:t>
      </w:r>
      <w:r>
        <w:rPr>
          <w:rFonts w:hint="eastAsia" w:ascii="Times New Roman" w:hAnsi="Times New Roman"/>
          <w:color w:val="auto"/>
          <w:lang w:val="en-US" w:eastAsia="zh-CN"/>
        </w:rPr>
        <w:t>2020</w:t>
      </w:r>
      <w:r>
        <w:rPr>
          <w:rFonts w:hint="eastAsia"/>
          <w:color w:val="auto"/>
          <w:lang w:val="en-US" w:eastAsia="zh-CN"/>
        </w:rPr>
        <w:t>]</w:t>
      </w:r>
      <w:r>
        <w:rPr>
          <w:rFonts w:hint="eastAsia" w:ascii="Times New Roman" w:hAnsi="Times New Roman"/>
          <w:color w:val="auto"/>
          <w:lang w:val="en-US" w:eastAsia="zh-CN"/>
        </w:rPr>
        <w:t>463</w:t>
      </w:r>
      <w:r>
        <w:rPr>
          <w:rFonts w:hint="eastAsia"/>
          <w:color w:val="auto"/>
          <w:lang w:val="en-US" w:eastAsia="zh-CN"/>
        </w:rPr>
        <w:t>号，</w:t>
      </w:r>
      <w:r>
        <w:rPr>
          <w:rFonts w:hint="eastAsia" w:ascii="Times New Roman" w:hAnsi="Times New Roman"/>
          <w:color w:val="auto"/>
          <w:lang w:val="en-US" w:eastAsia="zh-CN"/>
        </w:rPr>
        <w:t>2020</w:t>
      </w:r>
      <w:r>
        <w:rPr>
          <w:rFonts w:hint="eastAsia"/>
          <w:color w:val="auto"/>
          <w:lang w:val="en-US" w:eastAsia="zh-CN"/>
        </w:rPr>
        <w:t>.</w:t>
      </w:r>
      <w:r>
        <w:rPr>
          <w:rFonts w:hint="eastAsia" w:ascii="Times New Roman" w:hAnsi="Times New Roman"/>
          <w:color w:val="auto"/>
          <w:lang w:val="en-US" w:eastAsia="zh-CN"/>
        </w:rPr>
        <w:t>10</w:t>
      </w:r>
      <w:r>
        <w:rPr>
          <w:rFonts w:hint="eastAsia"/>
          <w:color w:val="auto"/>
          <w:lang w:val="en-US" w:eastAsia="zh-CN"/>
        </w:rPr>
        <w:t>.</w:t>
      </w:r>
      <w:r>
        <w:rPr>
          <w:rFonts w:hint="eastAsia" w:ascii="Times New Roman" w:hAnsi="Times New Roman"/>
          <w:color w:val="auto"/>
          <w:lang w:val="en-US" w:eastAsia="zh-CN"/>
        </w:rPr>
        <w:t>29</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32</w:t>
      </w:r>
      <w:r>
        <w:rPr>
          <w:rFonts w:hint="eastAsia"/>
        </w:rPr>
        <w:t>）</w:t>
      </w:r>
      <w:r>
        <w:rPr>
          <w:rFonts w:hint="eastAsia"/>
          <w:color w:val="auto"/>
          <w:lang w:eastAsia="zh-CN"/>
        </w:rPr>
        <w:t>《环境监管重点单位名录管理办法》，生态环境部令第</w:t>
      </w:r>
      <w:r>
        <w:rPr>
          <w:rFonts w:hint="eastAsia" w:ascii="Times New Roman" w:hAnsi="Times New Roman"/>
          <w:color w:val="auto"/>
          <w:lang w:val="en-US" w:eastAsia="zh-CN"/>
        </w:rPr>
        <w:t>27</w:t>
      </w:r>
      <w:r>
        <w:rPr>
          <w:rFonts w:hint="eastAsia"/>
          <w:color w:val="auto"/>
          <w:lang w:val="en-US" w:eastAsia="zh-CN"/>
        </w:rPr>
        <w:t>号，</w:t>
      </w:r>
      <w:r>
        <w:rPr>
          <w:rFonts w:hint="eastAsia" w:ascii="Times New Roman" w:hAnsi="Times New Roman"/>
          <w:color w:val="auto"/>
          <w:lang w:val="en-US" w:eastAsia="zh-CN"/>
        </w:rPr>
        <w:t>2022</w:t>
      </w:r>
      <w:r>
        <w:rPr>
          <w:rFonts w:hint="eastAsia" w:ascii="Times New Roman" w:hAnsi="Times New Roman"/>
          <w:color w:val="auto"/>
          <w:lang w:val="en-US" w:eastAsia="zh-CN"/>
        </w:rPr>
        <w:t>.</w:t>
      </w:r>
      <w:r>
        <w:rPr>
          <w:rFonts w:hint="eastAsia" w:ascii="Times New Roman" w:hAnsi="Times New Roman"/>
          <w:color w:val="auto"/>
          <w:lang w:val="en-US" w:eastAsia="zh-CN"/>
        </w:rPr>
        <w:t>12</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33</w:t>
      </w:r>
      <w:r>
        <w:rPr>
          <w:rFonts w:hint="eastAsia"/>
        </w:rPr>
        <w:t>）</w:t>
      </w:r>
      <w:r>
        <w:rPr>
          <w:rFonts w:hint="eastAsia"/>
          <w:color w:val="auto"/>
        </w:rPr>
        <w:t>《工业和信息化部财政部关于印发重点行业挥发性有机物</w:t>
      </w:r>
      <w:r>
        <w:rPr>
          <w:rFonts w:hint="eastAsia"/>
          <w:color w:val="auto"/>
          <w:lang w:eastAsia="zh-CN"/>
        </w:rPr>
        <w:t>削减</w:t>
      </w:r>
      <w:r>
        <w:rPr>
          <w:rFonts w:hint="eastAsia"/>
          <w:color w:val="auto"/>
        </w:rPr>
        <w:t>行动计划的通知》，工信部联节[</w:t>
      </w:r>
      <w:r>
        <w:rPr>
          <w:rFonts w:hint="eastAsia" w:ascii="Times New Roman" w:hAnsi="Times New Roman" w:cs="Times New Roman"/>
          <w:color w:val="auto"/>
        </w:rPr>
        <w:t>2016</w:t>
      </w:r>
      <w:r>
        <w:rPr>
          <w:rFonts w:hint="eastAsia"/>
          <w:color w:val="auto"/>
        </w:rPr>
        <w:t>]</w:t>
      </w:r>
      <w:r>
        <w:rPr>
          <w:rFonts w:hint="eastAsia" w:ascii="Times New Roman" w:hAnsi="Times New Roman" w:cs="Times New Roman"/>
          <w:color w:val="auto"/>
        </w:rPr>
        <w:t>217</w:t>
      </w:r>
      <w:r>
        <w:rPr>
          <w:rFonts w:hint="eastAsia"/>
          <w:color w:val="auto"/>
        </w:rPr>
        <w:t>号，</w:t>
      </w:r>
      <w:r>
        <w:rPr>
          <w:rFonts w:hint="eastAsia" w:ascii="Times New Roman" w:hAnsi="Times New Roman" w:cs="Times New Roman"/>
          <w:color w:val="auto"/>
        </w:rPr>
        <w:t>2016</w:t>
      </w:r>
      <w:r>
        <w:rPr>
          <w:rFonts w:hint="eastAsia"/>
          <w:color w:val="auto"/>
          <w:lang w:val="en-US" w:eastAsia="zh-CN"/>
        </w:rPr>
        <w:t>.</w:t>
      </w:r>
      <w:r>
        <w:rPr>
          <w:rFonts w:hint="eastAsia" w:ascii="Times New Roman" w:hAnsi="Times New Roman" w:cs="Times New Roman"/>
          <w:color w:val="auto"/>
        </w:rPr>
        <w:t>7</w:t>
      </w:r>
      <w:r>
        <w:rPr>
          <w:rFonts w:hint="eastAsia"/>
          <w:color w:val="auto"/>
          <w:lang w:val="en-US" w:eastAsia="zh-CN"/>
        </w:rPr>
        <w:t>.</w:t>
      </w:r>
      <w:r>
        <w:rPr>
          <w:rFonts w:hint="eastAsia" w:ascii="Times New Roman" w:hAnsi="Times New Roman" w:cs="Times New Roman"/>
          <w:color w:val="auto"/>
        </w:rPr>
        <w:t>8</w:t>
      </w:r>
      <w:r>
        <w:rPr>
          <w:rFonts w:hint="eastAsia"/>
        </w:rPr>
        <w:t>；</w:t>
      </w:r>
    </w:p>
    <w:p>
      <w:pPr>
        <w:spacing w:line="500" w:lineRule="exact"/>
        <w:rPr>
          <w:rFonts w:hint="eastAsia"/>
          <w:color w:val="auto"/>
          <w:lang w:val="en-US" w:eastAsia="zh-CN"/>
        </w:rPr>
      </w:pPr>
      <w:r>
        <w:rPr>
          <w:rFonts w:hint="eastAsia"/>
        </w:rPr>
        <w:t>（</w:t>
      </w:r>
      <w:r>
        <w:rPr>
          <w:rFonts w:hint="eastAsia" w:ascii="Times New Roman" w:hAnsi="Times New Roman"/>
          <w:lang w:val="en-US" w:eastAsia="zh-CN"/>
        </w:rPr>
        <w:t>34</w:t>
      </w:r>
      <w:r>
        <w:rPr>
          <w:rFonts w:hint="eastAsia"/>
        </w:rPr>
        <w:t>）</w:t>
      </w:r>
      <w:r>
        <w:rPr>
          <w:rFonts w:hint="eastAsia" w:ascii="Times New Roman"/>
          <w:color w:val="auto"/>
          <w:lang w:eastAsia="zh-CN"/>
        </w:rPr>
        <w:t>《产业发展与转移指导目录（</w:t>
      </w:r>
      <w:r>
        <w:rPr>
          <w:rFonts w:hint="eastAsia" w:ascii="Times New Roman" w:hAnsi="Times New Roman" w:cs="Times New Roman"/>
          <w:color w:val="auto"/>
          <w:lang w:val="en-US" w:eastAsia="zh-CN"/>
        </w:rPr>
        <w:t>2018</w:t>
      </w:r>
      <w:r>
        <w:rPr>
          <w:rFonts w:hint="eastAsia" w:ascii="Times New Roman"/>
          <w:color w:val="auto"/>
          <w:lang w:val="en-US" w:eastAsia="zh-CN"/>
        </w:rPr>
        <w:t>年本</w:t>
      </w:r>
      <w:r>
        <w:rPr>
          <w:rFonts w:hint="eastAsia" w:ascii="Times New Roman"/>
          <w:color w:val="auto"/>
          <w:lang w:eastAsia="zh-CN"/>
        </w:rPr>
        <w:t>）》，工业和信息化部，</w:t>
      </w:r>
      <w:r>
        <w:rPr>
          <w:rFonts w:hint="eastAsia" w:ascii="Times New Roman" w:hAnsi="Times New Roman" w:cs="Times New Roman"/>
          <w:color w:val="auto"/>
          <w:lang w:val="en-US" w:eastAsia="zh-CN"/>
        </w:rPr>
        <w:t>2018</w:t>
      </w:r>
      <w:r>
        <w:rPr>
          <w:rFonts w:hint="eastAsia" w:ascii="Times New Roman" w:hAnsi="Times New Roman"/>
          <w:color w:val="auto"/>
          <w:lang w:val="en-US" w:eastAsia="zh-CN"/>
        </w:rPr>
        <w:t>.</w:t>
      </w:r>
      <w:r>
        <w:rPr>
          <w:rFonts w:hint="eastAsia" w:ascii="Times New Roman" w:hAnsi="Times New Roman" w:cs="Times New Roman"/>
          <w:color w:val="auto"/>
          <w:lang w:val="en-US" w:eastAsia="zh-CN"/>
        </w:rPr>
        <w:t>12</w:t>
      </w:r>
      <w:r>
        <w:rPr>
          <w:rFonts w:hint="eastAsia" w:ascii="Times New Roman"/>
          <w:color w:val="auto"/>
          <w:lang w:val="en-US" w:eastAsia="zh-CN"/>
        </w:rPr>
        <w:t>.</w:t>
      </w:r>
      <w:r>
        <w:rPr>
          <w:rFonts w:hint="eastAsia" w:ascii="Times New Roman" w:hAnsi="Times New Roman" w:cs="Times New Roman"/>
          <w:color w:val="auto"/>
          <w:lang w:val="en-US" w:eastAsia="zh-CN"/>
        </w:rPr>
        <w:t>30</w:t>
      </w:r>
      <w:r>
        <w:rPr>
          <w:rFonts w:hint="eastAsia"/>
          <w:color w:val="auto"/>
          <w:lang w:val="en-US" w:eastAsia="zh-CN"/>
        </w:rPr>
        <w:t>；</w:t>
      </w:r>
    </w:p>
    <w:p>
      <w:pPr>
        <w:spacing w:line="500" w:lineRule="exact"/>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35</w:t>
      </w:r>
      <w:r>
        <w:rPr>
          <w:rFonts w:hint="eastAsia"/>
          <w:color w:val="auto"/>
          <w:lang w:val="en-US" w:eastAsia="zh-CN"/>
        </w:rPr>
        <w:t>）国家发展改革委 商务部关于印发《市场准入负面清单（</w:t>
      </w:r>
      <w:r>
        <w:rPr>
          <w:rFonts w:hint="eastAsia" w:ascii="Times New Roman" w:hAnsi="Times New Roman"/>
          <w:color w:val="auto"/>
          <w:lang w:val="en-US" w:eastAsia="zh-CN"/>
        </w:rPr>
        <w:t>2022</w:t>
      </w:r>
      <w:r>
        <w:rPr>
          <w:rFonts w:hint="eastAsia"/>
          <w:color w:val="auto"/>
          <w:lang w:val="en-US" w:eastAsia="zh-CN"/>
        </w:rPr>
        <w:t>年版）》的通知，发改体改规[</w:t>
      </w:r>
      <w:r>
        <w:rPr>
          <w:rFonts w:hint="eastAsia" w:ascii="Times New Roman" w:hAnsi="Times New Roman"/>
          <w:color w:val="auto"/>
          <w:lang w:val="en-US" w:eastAsia="zh-CN"/>
        </w:rPr>
        <w:t>2022</w:t>
      </w:r>
      <w:r>
        <w:rPr>
          <w:rFonts w:hint="eastAsia"/>
          <w:color w:val="auto"/>
          <w:lang w:val="en-US" w:eastAsia="zh-CN"/>
        </w:rPr>
        <w:t>]</w:t>
      </w:r>
      <w:r>
        <w:rPr>
          <w:rFonts w:hint="eastAsia" w:ascii="Times New Roman" w:hAnsi="Times New Roman"/>
          <w:color w:val="auto"/>
          <w:lang w:val="en-US" w:eastAsia="zh-CN"/>
        </w:rPr>
        <w:t>397</w:t>
      </w:r>
      <w:r>
        <w:rPr>
          <w:rFonts w:hint="eastAsia"/>
          <w:color w:val="auto"/>
          <w:lang w:val="en-US" w:eastAsia="zh-CN"/>
        </w:rPr>
        <w:t>号，</w:t>
      </w:r>
      <w:r>
        <w:rPr>
          <w:rFonts w:hint="eastAsia" w:ascii="Times New Roman" w:hAnsi="Times New Roman"/>
          <w:color w:val="auto"/>
          <w:lang w:val="en-US" w:eastAsia="zh-CN"/>
        </w:rPr>
        <w:t>2022</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7</w:t>
      </w:r>
      <w:r>
        <w:rPr>
          <w:rFonts w:hint="eastAsia"/>
          <w:color w:val="auto"/>
          <w:lang w:val="en-US" w:eastAsia="zh-CN"/>
        </w:rPr>
        <w:t>；</w:t>
      </w:r>
    </w:p>
    <w:p>
      <w:pPr>
        <w:spacing w:line="500" w:lineRule="exact"/>
        <w:rPr>
          <w:rFonts w:hint="eastAsia" w:ascii="Times New Roman" w:cs="Times New Roman"/>
          <w:color w:val="auto"/>
          <w:lang w:val="en-US" w:eastAsia="zh-CN"/>
        </w:rPr>
      </w:pPr>
      <w:r>
        <w:rPr>
          <w:rFonts w:hint="eastAsia"/>
          <w:color w:val="auto"/>
          <w:lang w:val="en-US" w:eastAsia="zh-CN"/>
        </w:rPr>
        <w:t>（</w:t>
      </w:r>
      <w:r>
        <w:rPr>
          <w:rFonts w:hint="eastAsia" w:ascii="Times New Roman" w:hAnsi="Times New Roman"/>
          <w:color w:val="auto"/>
          <w:lang w:val="en-US" w:eastAsia="zh-CN"/>
        </w:rPr>
        <w:t>36</w:t>
      </w:r>
      <w:r>
        <w:rPr>
          <w:rFonts w:hint="eastAsia"/>
          <w:color w:val="auto"/>
          <w:lang w:val="en-US" w:eastAsia="zh-CN"/>
        </w:rPr>
        <w:t>）</w:t>
      </w:r>
      <w:r>
        <w:rPr>
          <w:rFonts w:hint="eastAsia" w:ascii="Times New Roman"/>
          <w:color w:val="auto"/>
          <w:lang w:val="en-US" w:eastAsia="zh-CN"/>
        </w:rPr>
        <w:t>《战略性新兴产业重点产品和服务指导目录（</w:t>
      </w:r>
      <w:r>
        <w:rPr>
          <w:rFonts w:hint="eastAsia" w:ascii="Times New Roman" w:hAnsi="Times New Roman" w:cs="Times New Roman"/>
          <w:color w:val="auto"/>
          <w:lang w:val="en-US" w:eastAsia="zh-CN"/>
        </w:rPr>
        <w:t>2016</w:t>
      </w:r>
      <w:r>
        <w:rPr>
          <w:rFonts w:hint="eastAsia" w:ascii="Times New Roman"/>
          <w:color w:val="auto"/>
          <w:lang w:val="en-US" w:eastAsia="zh-CN"/>
        </w:rPr>
        <w:t>版）》，国家发展改革委，</w:t>
      </w:r>
      <w:r>
        <w:rPr>
          <w:rFonts w:hint="eastAsia" w:ascii="Times New Roman" w:hAnsi="Times New Roman" w:cs="Times New Roman"/>
          <w:color w:val="auto"/>
          <w:lang w:val="en-US" w:eastAsia="zh-CN"/>
        </w:rPr>
        <w:t>2017</w:t>
      </w:r>
      <w:r>
        <w:rPr>
          <w:rFonts w:hint="eastAsia" w:ascii="Times New Roman"/>
          <w:color w:val="auto"/>
          <w:lang w:val="en-US" w:eastAsia="zh-CN"/>
        </w:rPr>
        <w:t>.</w:t>
      </w:r>
      <w:r>
        <w:rPr>
          <w:rFonts w:hint="eastAsia" w:ascii="Times New Roman" w:hAnsi="Times New Roman" w:cs="Times New Roman"/>
          <w:color w:val="auto"/>
          <w:lang w:val="en-US" w:eastAsia="zh-CN"/>
        </w:rPr>
        <w:t>1</w:t>
      </w:r>
      <w:r>
        <w:rPr>
          <w:rFonts w:hint="eastAsia" w:ascii="Times New Roman"/>
          <w:color w:val="auto"/>
          <w:lang w:val="en-US" w:eastAsia="zh-CN"/>
        </w:rPr>
        <w:t>.</w:t>
      </w:r>
      <w:r>
        <w:rPr>
          <w:rFonts w:hint="eastAsia" w:ascii="Times New Roman" w:hAnsi="Times New Roman" w:cs="Times New Roman"/>
          <w:color w:val="auto"/>
          <w:lang w:val="en-US" w:eastAsia="zh-CN"/>
        </w:rPr>
        <w:t>25</w:t>
      </w:r>
      <w:r>
        <w:rPr>
          <w:rFonts w:hint="eastAsia" w:ascii="Times New Roman" w:cs="Times New Roman"/>
          <w:color w:val="auto"/>
          <w:lang w:val="en-US" w:eastAsia="zh-CN"/>
        </w:rPr>
        <w:t>；</w:t>
      </w:r>
    </w:p>
    <w:p>
      <w:pPr>
        <w:spacing w:line="500" w:lineRule="exact"/>
        <w:rPr>
          <w:rFonts w:hint="eastAsia" w:ascii="Times New Roman"/>
          <w:color w:val="auto"/>
          <w:lang w:val="en-US" w:eastAsia="zh-CN"/>
        </w:rPr>
      </w:pPr>
      <w:r>
        <w:rPr>
          <w:rFonts w:hint="eastAsia" w:ascii="Times New Roman" w:cs="Times New Roman"/>
          <w:color w:val="auto"/>
          <w:lang w:val="en-US" w:eastAsia="zh-CN"/>
        </w:rPr>
        <w:t>（</w:t>
      </w:r>
      <w:r>
        <w:rPr>
          <w:rFonts w:hint="eastAsia" w:ascii="Times New Roman" w:hAnsi="Times New Roman" w:cs="Times New Roman"/>
          <w:color w:val="auto"/>
          <w:lang w:val="en-US" w:eastAsia="zh-CN"/>
        </w:rPr>
        <w:t>37</w:t>
      </w:r>
      <w:r>
        <w:rPr>
          <w:rFonts w:hint="eastAsia" w:ascii="Times New Roman" w:cs="Times New Roman"/>
          <w:color w:val="auto"/>
          <w:lang w:val="en-US" w:eastAsia="zh-CN"/>
        </w:rPr>
        <w:t>）</w:t>
      </w:r>
      <w:r>
        <w:rPr>
          <w:rFonts w:hint="eastAsia" w:ascii="Times New Roman"/>
          <w:color w:val="auto"/>
          <w:lang w:val="en-US" w:eastAsia="zh-CN"/>
        </w:rPr>
        <w:t>《关于“十四五”推动石化化工行业高质量发展的指导意见》，工信部联原[</w:t>
      </w:r>
      <w:r>
        <w:rPr>
          <w:rFonts w:hint="eastAsia" w:ascii="Times New Roman" w:hAnsi="Times New Roman"/>
          <w:color w:val="auto"/>
          <w:lang w:val="en-US" w:eastAsia="zh-CN"/>
        </w:rPr>
        <w:t>2022</w:t>
      </w:r>
      <w:r>
        <w:rPr>
          <w:rFonts w:hint="eastAsia" w:ascii="Times New Roman"/>
          <w:color w:val="auto"/>
          <w:lang w:val="en-US" w:eastAsia="zh-CN"/>
        </w:rPr>
        <w:t>]</w:t>
      </w:r>
      <w:r>
        <w:rPr>
          <w:rFonts w:hint="eastAsia" w:ascii="Times New Roman" w:hAnsi="Times New Roman"/>
          <w:color w:val="auto"/>
          <w:lang w:val="en-US" w:eastAsia="zh-CN"/>
        </w:rPr>
        <w:t>34</w:t>
      </w:r>
      <w:r>
        <w:rPr>
          <w:rFonts w:hint="eastAsia" w:ascii="Times New Roman"/>
          <w:color w:val="auto"/>
          <w:lang w:val="en-US" w:eastAsia="zh-CN"/>
        </w:rPr>
        <w:t>号，</w:t>
      </w:r>
      <w:r>
        <w:rPr>
          <w:rFonts w:hint="eastAsia" w:ascii="Times New Roman" w:hAnsi="Times New Roman"/>
          <w:color w:val="auto"/>
          <w:lang w:val="en-US" w:eastAsia="zh-CN"/>
        </w:rPr>
        <w:t>2022</w:t>
      </w:r>
      <w:r>
        <w:rPr>
          <w:rFonts w:hint="eastAsia" w:ascii="Times New Roman"/>
          <w:color w:val="auto"/>
          <w:lang w:val="en-US" w:eastAsia="zh-CN"/>
        </w:rPr>
        <w:t>.</w:t>
      </w:r>
      <w:r>
        <w:rPr>
          <w:rFonts w:hint="eastAsia" w:ascii="Times New Roman" w:hAnsi="Times New Roman"/>
          <w:color w:val="auto"/>
          <w:lang w:val="en-US" w:eastAsia="zh-CN"/>
        </w:rPr>
        <w:t>3</w:t>
      </w:r>
      <w:r>
        <w:rPr>
          <w:rFonts w:hint="eastAsia" w:ascii="Times New Roman"/>
          <w:color w:val="auto"/>
          <w:lang w:val="en-US" w:eastAsia="zh-CN"/>
        </w:rPr>
        <w:t>.</w:t>
      </w:r>
      <w:r>
        <w:rPr>
          <w:rFonts w:hint="eastAsia" w:ascii="Times New Roman" w:hAnsi="Times New Roman"/>
          <w:color w:val="auto"/>
          <w:lang w:val="en-US" w:eastAsia="zh-CN"/>
        </w:rPr>
        <w:t>28</w:t>
      </w:r>
      <w:r>
        <w:rPr>
          <w:rFonts w:hint="eastAsia" w:ascii="Times New Roman"/>
          <w:color w:val="auto"/>
          <w:lang w:val="en-US" w:eastAsia="zh-CN"/>
        </w:rPr>
        <w:t>；</w:t>
      </w:r>
    </w:p>
    <w:p>
      <w:pPr>
        <w:spacing w:line="500" w:lineRule="exact"/>
        <w:rPr>
          <w:rFonts w:hint="eastAsia" w:ascii="Times New Roman" w:hAnsi="Times New Roman"/>
          <w:color w:val="auto"/>
          <w:lang w:val="en-US" w:eastAsia="zh-CN"/>
        </w:rPr>
      </w:pPr>
      <w:r>
        <w:rPr>
          <w:rFonts w:hint="eastAsia" w:ascii="Times New Roman"/>
          <w:color w:val="auto"/>
          <w:lang w:val="en-US" w:eastAsia="zh-CN"/>
        </w:rPr>
        <w:t>（</w:t>
      </w:r>
      <w:r>
        <w:rPr>
          <w:rFonts w:hint="eastAsia" w:ascii="Times New Roman" w:hAnsi="Times New Roman"/>
          <w:color w:val="auto"/>
          <w:lang w:val="en-US" w:eastAsia="zh-CN"/>
        </w:rPr>
        <w:t>38</w:t>
      </w:r>
      <w:r>
        <w:rPr>
          <w:rFonts w:hint="eastAsia" w:ascii="Times New Roman"/>
          <w:color w:val="auto"/>
          <w:lang w:val="en-US" w:eastAsia="zh-CN"/>
        </w:rPr>
        <w:t>）《危险废物污染防治技术政策》，环发[</w:t>
      </w:r>
      <w:r>
        <w:rPr>
          <w:rFonts w:hint="eastAsia" w:ascii="Times New Roman" w:hAnsi="Times New Roman"/>
          <w:color w:val="auto"/>
          <w:lang w:val="en-US" w:eastAsia="zh-CN"/>
        </w:rPr>
        <w:t>2001</w:t>
      </w:r>
      <w:r>
        <w:rPr>
          <w:rFonts w:hint="eastAsia" w:ascii="Times New Roman"/>
          <w:color w:val="auto"/>
          <w:lang w:val="en-US" w:eastAsia="zh-CN"/>
        </w:rPr>
        <w:t>]</w:t>
      </w:r>
      <w:r>
        <w:rPr>
          <w:rFonts w:hint="eastAsia" w:ascii="Times New Roman" w:hAnsi="Times New Roman"/>
          <w:color w:val="auto"/>
          <w:lang w:val="en-US" w:eastAsia="zh-CN"/>
        </w:rPr>
        <w:t>199</w:t>
      </w:r>
      <w:r>
        <w:rPr>
          <w:rFonts w:hint="eastAsia" w:ascii="Times New Roman"/>
          <w:color w:val="auto"/>
          <w:lang w:val="en-US" w:eastAsia="zh-CN"/>
        </w:rPr>
        <w:t>号，</w:t>
      </w:r>
      <w:r>
        <w:rPr>
          <w:rFonts w:hint="eastAsia" w:ascii="Times New Roman" w:hAnsi="Times New Roman"/>
          <w:color w:val="auto"/>
          <w:lang w:val="en-US" w:eastAsia="zh-CN"/>
        </w:rPr>
        <w:t>2001</w:t>
      </w:r>
      <w:r>
        <w:rPr>
          <w:rFonts w:hint="eastAsia" w:ascii="Times New Roman"/>
          <w:color w:val="auto"/>
          <w:lang w:val="en-US" w:eastAsia="zh-CN"/>
        </w:rPr>
        <w:t>.</w:t>
      </w:r>
      <w:r>
        <w:rPr>
          <w:rFonts w:hint="eastAsia" w:ascii="Times New Roman" w:hAnsi="Times New Roman"/>
          <w:color w:val="auto"/>
          <w:lang w:val="en-US" w:eastAsia="zh-CN"/>
        </w:rPr>
        <w:t>12</w:t>
      </w:r>
      <w:r>
        <w:rPr>
          <w:rFonts w:hint="eastAsia" w:ascii="Times New Roman"/>
          <w:color w:val="auto"/>
          <w:lang w:val="en-US" w:eastAsia="zh-CN"/>
        </w:rPr>
        <w:t>.</w:t>
      </w:r>
      <w:r>
        <w:rPr>
          <w:rFonts w:hint="eastAsia" w:ascii="Times New Roman" w:hAnsi="Times New Roman"/>
          <w:color w:val="auto"/>
          <w:lang w:val="en-US" w:eastAsia="zh-CN"/>
        </w:rPr>
        <w:t>17</w:t>
      </w:r>
      <w:r>
        <w:rPr>
          <w:rFonts w:hint="eastAsia" w:ascii="Times New Roman" w:hAnsi="Times New Roman"/>
          <w:color w:val="auto"/>
          <w:lang w:val="en-US" w:eastAsia="zh-CN"/>
        </w:rPr>
        <w:t>；</w:t>
      </w:r>
    </w:p>
    <w:p>
      <w:pPr>
        <w:spacing w:line="500" w:lineRule="exact"/>
        <w:rPr>
          <w:rFonts w:hint="eastAsia" w:ascii="Times New Roman" w:hAnsi="Times New Roman"/>
          <w:color w:val="auto"/>
          <w:lang w:val="en-US" w:eastAsia="zh-CN"/>
        </w:rPr>
      </w:pPr>
      <w:r>
        <w:rPr>
          <w:rFonts w:hint="eastAsia" w:ascii="Times New Roman" w:hAnsi="Times New Roman"/>
          <w:color w:val="auto"/>
          <w:lang w:val="en-US" w:eastAsia="zh-CN"/>
        </w:rPr>
        <w:t>（</w:t>
      </w:r>
      <w:r>
        <w:rPr>
          <w:rFonts w:hint="eastAsia" w:ascii="Times New Roman" w:hAnsi="Times New Roman"/>
          <w:color w:val="auto"/>
          <w:lang w:val="en-US" w:eastAsia="zh-CN"/>
        </w:rPr>
        <w:t>39</w:t>
      </w:r>
      <w:r>
        <w:rPr>
          <w:rFonts w:hint="eastAsia" w:ascii="Times New Roman" w:hAnsi="Times New Roman"/>
          <w:color w:val="auto"/>
          <w:lang w:val="en-US" w:eastAsia="zh-CN"/>
        </w:rPr>
        <w:t>）《中共中央 国务院关于完整准确全面贯彻新发展理念做好碳达峰碳中和工作的意见》，中发[</w:t>
      </w:r>
      <w:r>
        <w:rPr>
          <w:rFonts w:hint="eastAsia" w:ascii="Times New Roman" w:hAnsi="Times New Roman"/>
          <w:color w:val="auto"/>
          <w:lang w:val="en-US" w:eastAsia="zh-CN"/>
        </w:rPr>
        <w:t>2021</w:t>
      </w:r>
      <w:r>
        <w:rPr>
          <w:rFonts w:hint="eastAsia" w:ascii="Times New Roman" w:hAnsi="Times New Roman"/>
          <w:color w:val="auto"/>
          <w:lang w:val="en-US" w:eastAsia="zh-CN"/>
        </w:rPr>
        <w:t>]</w:t>
      </w:r>
      <w:r>
        <w:rPr>
          <w:rFonts w:hint="eastAsia" w:ascii="Times New Roman" w:hAnsi="Times New Roman"/>
          <w:color w:val="auto"/>
          <w:lang w:val="en-US" w:eastAsia="zh-CN"/>
        </w:rPr>
        <w:t>36</w:t>
      </w:r>
      <w:r>
        <w:rPr>
          <w:rFonts w:hint="eastAsia" w:ascii="Times New Roman" w:hAnsi="Times New Roman"/>
          <w:color w:val="auto"/>
          <w:lang w:val="en-US" w:eastAsia="zh-CN"/>
        </w:rPr>
        <w:t>号，</w:t>
      </w:r>
      <w:r>
        <w:rPr>
          <w:rFonts w:hint="eastAsia" w:ascii="Times New Roman" w:hAnsi="Times New Roman"/>
          <w:color w:val="auto"/>
          <w:lang w:val="en-US" w:eastAsia="zh-CN"/>
        </w:rPr>
        <w:t>2021</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22</w:t>
      </w:r>
      <w:r>
        <w:rPr>
          <w:rFonts w:hint="eastAsia" w:ascii="Times New Roman" w:hAnsi="Times New Roman"/>
          <w:color w:val="auto"/>
          <w:lang w:val="en-US" w:eastAsia="zh-CN"/>
        </w:rPr>
        <w:t>；</w:t>
      </w:r>
    </w:p>
    <w:p>
      <w:pPr>
        <w:spacing w:line="500" w:lineRule="exact"/>
        <w:rPr>
          <w:rFonts w:hint="default" w:ascii="Times New Roman" w:hAnsi="Times New Roman"/>
          <w:color w:val="auto"/>
          <w:lang w:val="en-US" w:eastAsia="zh-CN"/>
        </w:rPr>
      </w:pPr>
      <w:r>
        <w:rPr>
          <w:rFonts w:hint="eastAsia" w:ascii="Times New Roman" w:hAnsi="Times New Roman"/>
          <w:color w:val="auto"/>
          <w:lang w:val="en-US" w:eastAsia="zh-CN"/>
        </w:rPr>
        <w:t>（</w:t>
      </w:r>
      <w:r>
        <w:rPr>
          <w:rFonts w:hint="eastAsia" w:ascii="Times New Roman" w:hAnsi="Times New Roman"/>
          <w:color w:val="auto"/>
          <w:lang w:val="en-US" w:eastAsia="zh-CN"/>
        </w:rPr>
        <w:t>40</w:t>
      </w:r>
      <w:r>
        <w:rPr>
          <w:rFonts w:hint="eastAsia" w:ascii="Times New Roman" w:hAnsi="Times New Roman"/>
          <w:color w:val="auto"/>
          <w:lang w:val="en-US" w:eastAsia="zh-CN"/>
        </w:rPr>
        <w:t>）《国务院关于印发</w:t>
      </w:r>
      <w:r>
        <w:rPr>
          <w:rFonts w:hint="eastAsia" w:ascii="Times New Roman" w:hAnsi="Times New Roman"/>
          <w:color w:val="auto"/>
          <w:lang w:val="en-US" w:eastAsia="zh-CN"/>
        </w:rPr>
        <w:t>2030</w:t>
      </w:r>
      <w:r>
        <w:rPr>
          <w:rFonts w:hint="eastAsia" w:ascii="Times New Roman" w:hAnsi="Times New Roman"/>
          <w:color w:val="auto"/>
          <w:lang w:val="en-US" w:eastAsia="zh-CN"/>
        </w:rPr>
        <w:t>年前碳达峰行动方案的通知》，国发[</w:t>
      </w:r>
      <w:r>
        <w:rPr>
          <w:rFonts w:hint="eastAsia" w:ascii="Times New Roman" w:hAnsi="Times New Roman"/>
          <w:color w:val="auto"/>
          <w:lang w:val="en-US" w:eastAsia="zh-CN"/>
        </w:rPr>
        <w:t>2021</w:t>
      </w:r>
      <w:r>
        <w:rPr>
          <w:rFonts w:hint="eastAsia" w:ascii="Times New Roman" w:hAnsi="Times New Roman"/>
          <w:color w:val="auto"/>
          <w:lang w:val="en-US" w:eastAsia="zh-CN"/>
        </w:rPr>
        <w:t>]</w:t>
      </w:r>
      <w:r>
        <w:rPr>
          <w:rFonts w:hint="eastAsia" w:ascii="Times New Roman" w:hAnsi="Times New Roman"/>
          <w:color w:val="auto"/>
          <w:lang w:val="en-US" w:eastAsia="zh-CN"/>
        </w:rPr>
        <w:t>23</w:t>
      </w:r>
      <w:r>
        <w:rPr>
          <w:rFonts w:hint="eastAsia" w:ascii="Times New Roman" w:hAnsi="Times New Roman"/>
          <w:color w:val="auto"/>
          <w:lang w:val="en-US" w:eastAsia="zh-CN"/>
        </w:rPr>
        <w:t>号，</w:t>
      </w:r>
      <w:r>
        <w:rPr>
          <w:rFonts w:hint="eastAsia" w:ascii="Times New Roman" w:hAnsi="Times New Roman"/>
          <w:color w:val="auto"/>
          <w:lang w:val="en-US" w:eastAsia="zh-CN"/>
        </w:rPr>
        <w:t>2021</w:t>
      </w:r>
      <w:r>
        <w:rPr>
          <w:rFonts w:hint="eastAsia" w:ascii="Times New Roman" w:hAnsi="Times New Roman"/>
          <w:color w:val="auto"/>
          <w:lang w:val="en-US" w:eastAsia="zh-CN"/>
        </w:rPr>
        <w:t>.</w:t>
      </w:r>
      <w:r>
        <w:rPr>
          <w:rFonts w:hint="eastAsia" w:ascii="Times New Roman" w:hAnsi="Times New Roman"/>
          <w:color w:val="auto"/>
          <w:lang w:val="en-US" w:eastAsia="zh-CN"/>
        </w:rPr>
        <w:t>10</w:t>
      </w:r>
      <w:r>
        <w:rPr>
          <w:rFonts w:hint="eastAsia" w:ascii="Times New Roman" w:hAnsi="Times New Roman"/>
          <w:color w:val="auto"/>
          <w:lang w:val="en-US" w:eastAsia="zh-CN"/>
        </w:rPr>
        <w:t>.</w:t>
      </w:r>
      <w:r>
        <w:rPr>
          <w:rFonts w:hint="eastAsia" w:ascii="Times New Roman" w:hAnsi="Times New Roman"/>
          <w:color w:val="auto"/>
          <w:lang w:val="en-US" w:eastAsia="zh-CN"/>
        </w:rPr>
        <w:t>24</w:t>
      </w:r>
      <w:r>
        <w:rPr>
          <w:rFonts w:hint="eastAsia" w:ascii="Times New Roman" w:hAnsi="Times New Roman"/>
          <w:color w:val="auto"/>
          <w:lang w:val="en-US" w:eastAsia="zh-CN"/>
        </w:rPr>
        <w:t>；</w:t>
      </w:r>
    </w:p>
    <w:p>
      <w:pPr>
        <w:spacing w:line="500" w:lineRule="exact"/>
        <w:rPr>
          <w:rFonts w:hint="default" w:ascii="Times New Roman" w:hAnsi="Times New Roman"/>
          <w:color w:val="auto"/>
          <w:lang w:val="en-US" w:eastAsia="zh-CN"/>
        </w:rPr>
      </w:pPr>
      <w:r>
        <w:rPr>
          <w:rFonts w:hint="eastAsia" w:ascii="Times New Roman" w:hAnsi="Times New Roman"/>
          <w:color w:val="auto"/>
          <w:lang w:val="en-US" w:eastAsia="zh-CN"/>
        </w:rPr>
        <w:t>（</w:t>
      </w:r>
      <w:r>
        <w:rPr>
          <w:rFonts w:hint="eastAsia" w:ascii="Times New Roman" w:hAnsi="Times New Roman"/>
          <w:color w:val="auto"/>
          <w:lang w:val="en-US" w:eastAsia="zh-CN"/>
        </w:rPr>
        <w:t>41</w:t>
      </w:r>
      <w:r>
        <w:rPr>
          <w:rFonts w:hint="eastAsia" w:ascii="Times New Roman" w:hAnsi="Times New Roman"/>
          <w:color w:val="auto"/>
          <w:lang w:val="en-US" w:eastAsia="zh-CN"/>
        </w:rPr>
        <w:t>）《工业和信息化部 国家发展改革委 生态环境部关于印发工业领域碳达峰实施方案的通知》，工信联部节[</w:t>
      </w:r>
      <w:r>
        <w:rPr>
          <w:rFonts w:hint="eastAsia" w:ascii="Times New Roman" w:hAnsi="Times New Roman"/>
          <w:color w:val="auto"/>
          <w:lang w:val="en-US" w:eastAsia="zh-CN"/>
        </w:rPr>
        <w:t>2022</w:t>
      </w:r>
      <w:r>
        <w:rPr>
          <w:rFonts w:hint="eastAsia" w:ascii="Times New Roman" w:hAnsi="Times New Roman"/>
          <w:color w:val="auto"/>
          <w:lang w:val="en-US" w:eastAsia="zh-CN"/>
        </w:rPr>
        <w:t>]</w:t>
      </w:r>
      <w:r>
        <w:rPr>
          <w:rFonts w:hint="eastAsia" w:ascii="Times New Roman" w:hAnsi="Times New Roman"/>
          <w:color w:val="auto"/>
          <w:lang w:val="en-US" w:eastAsia="zh-CN"/>
        </w:rPr>
        <w:t>88</w:t>
      </w:r>
      <w:r>
        <w:rPr>
          <w:rFonts w:hint="eastAsia" w:ascii="Times New Roman" w:hAnsi="Times New Roman"/>
          <w:color w:val="auto"/>
          <w:lang w:val="en-US" w:eastAsia="zh-CN"/>
        </w:rPr>
        <w:t>号，</w:t>
      </w:r>
      <w:r>
        <w:rPr>
          <w:rFonts w:hint="eastAsia" w:ascii="Times New Roman" w:hAnsi="Times New Roman"/>
          <w:color w:val="auto"/>
          <w:lang w:val="en-US" w:eastAsia="zh-CN"/>
        </w:rPr>
        <w:t>2022</w:t>
      </w:r>
      <w:r>
        <w:rPr>
          <w:rFonts w:hint="eastAsia" w:ascii="Times New Roman" w:hAnsi="Times New Roman"/>
          <w:color w:val="auto"/>
          <w:lang w:val="en-US" w:eastAsia="zh-CN"/>
        </w:rPr>
        <w:t>.</w:t>
      </w:r>
      <w:r>
        <w:rPr>
          <w:rFonts w:hint="eastAsia" w:ascii="Times New Roman" w:hAnsi="Times New Roman"/>
          <w:color w:val="auto"/>
          <w:lang w:val="en-US" w:eastAsia="zh-CN"/>
        </w:rPr>
        <w:t>7</w:t>
      </w:r>
      <w:r>
        <w:rPr>
          <w:rFonts w:hint="eastAsia" w:ascii="Times New Roman" w:hAnsi="Times New Roman"/>
          <w:color w:val="auto"/>
          <w:lang w:val="en-US" w:eastAsia="zh-CN"/>
        </w:rPr>
        <w:t>.</w:t>
      </w:r>
      <w:r>
        <w:rPr>
          <w:rFonts w:hint="eastAsia" w:ascii="Times New Roman" w:hAnsi="Times New Roman"/>
          <w:color w:val="auto"/>
          <w:lang w:val="en-US" w:eastAsia="zh-CN"/>
        </w:rPr>
        <w:t>7</w:t>
      </w:r>
      <w:r>
        <w:rPr>
          <w:rFonts w:hint="eastAsia" w:ascii="Times New Roman" w:hAnsi="Times New Roman"/>
          <w:color w:val="auto"/>
          <w:lang w:val="en-US" w:eastAsia="zh-CN"/>
        </w:rPr>
        <w:t>；</w:t>
      </w:r>
    </w:p>
    <w:p>
      <w:pPr>
        <w:spacing w:line="500" w:lineRule="exact"/>
        <w:rPr>
          <w:rFonts w:hint="default" w:ascii="Times New Roman" w:hAnsi="Times New Roman"/>
          <w:color w:val="auto"/>
          <w:lang w:val="en-US" w:eastAsia="zh-CN"/>
        </w:rPr>
      </w:pPr>
      <w:r>
        <w:rPr>
          <w:rFonts w:hint="eastAsia" w:ascii="Times New Roman" w:hAnsi="Times New Roman"/>
          <w:color w:val="auto"/>
          <w:lang w:val="en-US" w:eastAsia="zh-CN"/>
        </w:rPr>
        <w:t>（</w:t>
      </w:r>
      <w:r>
        <w:rPr>
          <w:rFonts w:hint="eastAsia" w:ascii="Times New Roman" w:hAnsi="Times New Roman"/>
          <w:color w:val="auto"/>
          <w:lang w:val="en-US" w:eastAsia="zh-CN"/>
        </w:rPr>
        <w:t>42</w:t>
      </w:r>
      <w:r>
        <w:rPr>
          <w:rFonts w:hint="eastAsia" w:ascii="Times New Roman" w:hAnsi="Times New Roman"/>
          <w:color w:val="auto"/>
          <w:lang w:val="en-US" w:eastAsia="zh-CN"/>
        </w:rPr>
        <w:t>）《关于印发&lt;主要污染物总量减排核算技术指南（</w:t>
      </w:r>
      <w:r>
        <w:rPr>
          <w:rFonts w:hint="eastAsia" w:ascii="Times New Roman" w:hAnsi="Times New Roman"/>
          <w:color w:val="auto"/>
          <w:lang w:val="en-US" w:eastAsia="zh-CN"/>
        </w:rPr>
        <w:t>2022</w:t>
      </w:r>
      <w:r>
        <w:rPr>
          <w:rFonts w:hint="eastAsia" w:ascii="Times New Roman" w:hAnsi="Times New Roman"/>
          <w:color w:val="auto"/>
          <w:lang w:val="en-US" w:eastAsia="zh-CN"/>
        </w:rPr>
        <w:t>年修订）&gt;的通知》，环办综合函[</w:t>
      </w:r>
      <w:r>
        <w:rPr>
          <w:rFonts w:hint="eastAsia" w:ascii="Times New Roman" w:hAnsi="Times New Roman"/>
          <w:color w:val="auto"/>
          <w:lang w:val="en-US" w:eastAsia="zh-CN"/>
        </w:rPr>
        <w:t>2022</w:t>
      </w:r>
      <w:r>
        <w:rPr>
          <w:rFonts w:hint="eastAsia" w:ascii="Times New Roman" w:hAnsi="Times New Roman"/>
          <w:color w:val="auto"/>
          <w:lang w:val="en-US" w:eastAsia="zh-CN"/>
        </w:rPr>
        <w:t>]</w:t>
      </w:r>
      <w:r>
        <w:rPr>
          <w:rFonts w:hint="eastAsia" w:ascii="Times New Roman" w:hAnsi="Times New Roman"/>
          <w:color w:val="auto"/>
          <w:lang w:val="en-US" w:eastAsia="zh-CN"/>
        </w:rPr>
        <w:t>350</w:t>
      </w:r>
      <w:r>
        <w:rPr>
          <w:rFonts w:hint="eastAsia" w:ascii="Times New Roman" w:hAnsi="Times New Roman"/>
          <w:color w:val="auto"/>
          <w:lang w:val="en-US" w:eastAsia="zh-CN"/>
        </w:rPr>
        <w:t>号，</w:t>
      </w:r>
      <w:r>
        <w:rPr>
          <w:rFonts w:hint="eastAsia" w:ascii="Times New Roman" w:hAnsi="Times New Roman"/>
          <w:color w:val="auto"/>
          <w:lang w:val="en-US" w:eastAsia="zh-CN"/>
        </w:rPr>
        <w:t>2022</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21</w:t>
      </w:r>
      <w:r>
        <w:rPr>
          <w:rFonts w:hint="eastAsia" w:ascii="Times New Roman" w:hAnsi="Times New Roman"/>
          <w:color w:val="auto"/>
          <w:lang w:val="en-US" w:eastAsia="zh-CN"/>
        </w:rPr>
        <w:t>；</w:t>
      </w:r>
    </w:p>
    <w:p>
      <w:pPr>
        <w:spacing w:line="500" w:lineRule="exact"/>
        <w:rPr>
          <w:rFonts w:hint="eastAsia"/>
        </w:rPr>
      </w:pPr>
      <w:r>
        <w:rPr>
          <w:rFonts w:hint="eastAsia" w:ascii="Times New Roman" w:hAnsi="Times New Roman"/>
          <w:color w:val="auto"/>
          <w:lang w:val="en-US" w:eastAsia="zh-CN"/>
        </w:rPr>
        <w:t>（</w:t>
      </w:r>
      <w:r>
        <w:rPr>
          <w:rFonts w:hint="eastAsia" w:ascii="Times New Roman" w:hAnsi="Times New Roman"/>
          <w:color w:val="auto"/>
          <w:lang w:val="en-US" w:eastAsia="zh-CN"/>
        </w:rPr>
        <w:t>43</w:t>
      </w:r>
      <w:r>
        <w:rPr>
          <w:rFonts w:hint="eastAsia" w:ascii="Times New Roman" w:hAnsi="Times New Roman"/>
          <w:color w:val="auto"/>
          <w:lang w:val="en-US" w:eastAsia="zh-CN"/>
        </w:rPr>
        <w:t>）《关于加强规划环境影响评价与建设项目环境影响评价联动工作的意见》，环发[</w:t>
      </w:r>
      <w:r>
        <w:rPr>
          <w:rFonts w:hint="eastAsia" w:ascii="Times New Roman" w:hAnsi="Times New Roman"/>
          <w:color w:val="auto"/>
          <w:lang w:val="en-US" w:eastAsia="zh-CN"/>
        </w:rPr>
        <w:t>2015</w:t>
      </w:r>
      <w:r>
        <w:rPr>
          <w:rFonts w:hint="eastAsia" w:ascii="Times New Roman" w:hAnsi="Times New Roman"/>
          <w:color w:val="auto"/>
          <w:lang w:val="en-US" w:eastAsia="zh-CN"/>
        </w:rPr>
        <w:t>]</w:t>
      </w:r>
      <w:r>
        <w:rPr>
          <w:rFonts w:hint="eastAsia" w:ascii="Times New Roman" w:hAnsi="Times New Roman"/>
          <w:color w:val="auto"/>
          <w:lang w:val="en-US" w:eastAsia="zh-CN"/>
        </w:rPr>
        <w:t>178</w:t>
      </w:r>
      <w:r>
        <w:rPr>
          <w:rFonts w:hint="eastAsia" w:ascii="Times New Roman" w:hAnsi="Times New Roman"/>
          <w:color w:val="auto"/>
          <w:lang w:val="en-US" w:eastAsia="zh-CN"/>
        </w:rPr>
        <w:t>号，</w:t>
      </w:r>
      <w:r>
        <w:rPr>
          <w:rFonts w:hint="eastAsia" w:ascii="Times New Roman" w:hAnsi="Times New Roman"/>
          <w:color w:val="auto"/>
          <w:lang w:val="en-US" w:eastAsia="zh-CN"/>
        </w:rPr>
        <w:t>2016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olor w:val="auto"/>
          <w:lang w:val="en-US" w:eastAsia="zh-CN"/>
        </w:rPr>
        <w:t>4</w:t>
      </w:r>
      <w:r>
        <w:rPr>
          <w:rFonts w:hint="eastAsia"/>
        </w:rPr>
        <w:t>。</w:t>
      </w:r>
    </w:p>
    <w:p>
      <w:pPr>
        <w:pStyle w:val="5"/>
        <w:spacing w:before="156" w:after="0" w:line="500" w:lineRule="exact"/>
        <w:rPr>
          <w:rFonts w:hint="eastAsia" w:eastAsia="华文楷体"/>
          <w:lang w:eastAsia="zh-CN"/>
        </w:rPr>
      </w:pPr>
      <w:r>
        <w:rPr>
          <w:rFonts w:ascii="Times New Roman" w:hAnsi="Times New Roman"/>
        </w:rPr>
        <w:t>2</w:t>
      </w:r>
      <w:r>
        <w:t>.</w:t>
      </w:r>
      <w:r>
        <w:rPr>
          <w:rFonts w:hint="eastAsia" w:ascii="Times New Roman" w:hAnsi="Times New Roman"/>
          <w:lang w:val="en-US" w:eastAsia="zh-CN"/>
        </w:rPr>
        <w:t>1</w:t>
      </w:r>
      <w:r>
        <w:t>.</w:t>
      </w:r>
      <w:r>
        <w:rPr>
          <w:rFonts w:hint="eastAsia" w:ascii="Times New Roman" w:hAnsi="Times New Roman"/>
        </w:rPr>
        <w:t>4</w:t>
      </w:r>
      <w:r>
        <w:t>地方</w:t>
      </w:r>
      <w:r>
        <w:rPr>
          <w:rFonts w:hint="eastAsia"/>
        </w:rPr>
        <w:t>法律</w:t>
      </w:r>
      <w:r>
        <w:rPr>
          <w:rFonts w:hint="eastAsia"/>
          <w:lang w:eastAsia="zh-CN"/>
        </w:rPr>
        <w:t>及规范性文件</w:t>
      </w:r>
    </w:p>
    <w:p>
      <w:pPr>
        <w:spacing w:line="50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1</w:t>
      </w:r>
      <w:r>
        <w:rPr>
          <w:rFonts w:hint="eastAsia" w:ascii="Times New Roman"/>
          <w:szCs w:val="24"/>
        </w:rPr>
        <w:t>）</w:t>
      </w:r>
      <w:r>
        <w:rPr>
          <w:rFonts w:ascii="Times New Roman"/>
          <w:szCs w:val="24"/>
        </w:rPr>
        <w:t>《新疆维吾尔自治区环境保护管理条例》</w:t>
      </w:r>
      <w:r>
        <w:rPr>
          <w:rFonts w:hint="eastAsia" w:ascii="Times New Roman"/>
          <w:szCs w:val="24"/>
        </w:rPr>
        <w:t>，</w:t>
      </w:r>
      <w:r>
        <w:rPr>
          <w:rFonts w:hint="eastAsia" w:ascii="Times New Roman"/>
          <w:szCs w:val="24"/>
          <w:lang w:eastAsia="zh-CN"/>
        </w:rPr>
        <w:t>新疆维吾尔自治区第十三届人民代表大会常务委员会第六次会议，</w:t>
      </w:r>
      <w:r>
        <w:rPr>
          <w:rFonts w:hint="eastAsia" w:ascii="Times New Roman" w:hAnsi="Times New Roman"/>
          <w:szCs w:val="24"/>
        </w:rPr>
        <w:t>2018</w:t>
      </w:r>
      <w:r>
        <w:rPr>
          <w:rFonts w:hint="eastAsia" w:ascii="Times New Roman"/>
          <w:szCs w:val="24"/>
          <w:lang w:val="en-US" w:eastAsia="zh-CN"/>
        </w:rPr>
        <w:t>.</w:t>
      </w:r>
      <w:r>
        <w:rPr>
          <w:rFonts w:hint="eastAsia" w:ascii="Times New Roman" w:hAnsi="Times New Roman"/>
          <w:szCs w:val="24"/>
        </w:rPr>
        <w:t>9</w:t>
      </w:r>
      <w:r>
        <w:rPr>
          <w:rFonts w:hint="eastAsia" w:ascii="Times New Roman"/>
          <w:szCs w:val="24"/>
          <w:lang w:val="en-US" w:eastAsia="zh-CN"/>
        </w:rPr>
        <w:t>.</w:t>
      </w:r>
      <w:r>
        <w:rPr>
          <w:rFonts w:hint="eastAsia" w:ascii="Times New Roman" w:hAnsi="Times New Roman"/>
          <w:szCs w:val="24"/>
        </w:rPr>
        <w:t>21</w:t>
      </w:r>
      <w:r>
        <w:rPr>
          <w:rFonts w:ascii="Times New Roman"/>
          <w:szCs w:val="24"/>
        </w:rPr>
        <w:t>；</w:t>
      </w:r>
    </w:p>
    <w:p>
      <w:pPr>
        <w:spacing w:line="500" w:lineRule="exact"/>
        <w:ind w:firstLine="480" w:firstLineChars="200"/>
        <w:rPr>
          <w:rFonts w:ascii="Times New Roman"/>
          <w:szCs w:val="24"/>
        </w:rPr>
      </w:pPr>
      <w:r>
        <w:rPr>
          <w:rFonts w:hint="eastAsia"/>
          <w:szCs w:val="24"/>
        </w:rPr>
        <w:t>（</w:t>
      </w:r>
      <w:r>
        <w:rPr>
          <w:rFonts w:hint="eastAsia" w:ascii="Times New Roman" w:hAnsi="Times New Roman"/>
          <w:szCs w:val="24"/>
        </w:rPr>
        <w:t>2</w:t>
      </w:r>
      <w:r>
        <w:rPr>
          <w:rFonts w:hint="eastAsia"/>
          <w:szCs w:val="24"/>
        </w:rPr>
        <w:t>）</w:t>
      </w:r>
      <w:r>
        <w:rPr>
          <w:rFonts w:ascii="Times New Roman"/>
          <w:color w:val="auto"/>
          <w:szCs w:val="24"/>
        </w:rPr>
        <w:t>《新疆维吾尔自治区大气污染防治条例》，新疆维吾尔自治区第十三届人民代表大会常务委员会</w:t>
      </w:r>
      <w:r>
        <w:rPr>
          <w:rFonts w:hint="eastAsia" w:ascii="Times New Roman"/>
          <w:color w:val="auto"/>
          <w:szCs w:val="24"/>
          <w:lang w:eastAsia="zh-CN"/>
        </w:rPr>
        <w:t>第七次会议</w:t>
      </w:r>
      <w:r>
        <w:rPr>
          <w:rFonts w:ascii="Times New Roman"/>
          <w:color w:val="auto"/>
          <w:szCs w:val="24"/>
        </w:rPr>
        <w:t>，</w:t>
      </w:r>
      <w:r>
        <w:rPr>
          <w:rFonts w:ascii="Times New Roman" w:hAnsi="Times New Roman"/>
          <w:color w:val="auto"/>
          <w:szCs w:val="24"/>
        </w:rPr>
        <w:t>201</w:t>
      </w:r>
      <w:r>
        <w:rPr>
          <w:rFonts w:hint="eastAsia" w:ascii="Times New Roman" w:hAnsi="Times New Roman"/>
          <w:color w:val="auto"/>
          <w:szCs w:val="24"/>
          <w:lang w:val="en-US" w:eastAsia="zh-CN"/>
        </w:rPr>
        <w:t>9</w:t>
      </w:r>
      <w:r>
        <w:rPr>
          <w:rFonts w:hint="eastAsia" w:ascii="Times New Roman"/>
          <w:color w:val="auto"/>
          <w:szCs w:val="24"/>
          <w:lang w:val="en-US" w:eastAsia="zh-CN"/>
        </w:rPr>
        <w:t>.</w:t>
      </w:r>
      <w:r>
        <w:rPr>
          <w:rFonts w:ascii="Times New Roman" w:hAnsi="Times New Roman"/>
          <w:color w:val="auto"/>
          <w:szCs w:val="24"/>
        </w:rPr>
        <w:t>1</w:t>
      </w:r>
      <w:r>
        <w:rPr>
          <w:rFonts w:hint="eastAsia" w:ascii="Times New Roman"/>
          <w:color w:val="auto"/>
          <w:szCs w:val="24"/>
          <w:lang w:val="en-US" w:eastAsia="zh-CN"/>
        </w:rPr>
        <w:t>.</w:t>
      </w:r>
      <w:r>
        <w:rPr>
          <w:rFonts w:hint="eastAsia" w:ascii="Times New Roman" w:hAnsi="Times New Roman"/>
          <w:color w:val="auto"/>
          <w:szCs w:val="24"/>
          <w:lang w:val="en-US" w:eastAsia="zh-CN"/>
        </w:rPr>
        <w:t>1</w:t>
      </w:r>
      <w:r>
        <w:rPr>
          <w:rFonts w:ascii="Times New Roman"/>
          <w:szCs w:val="24"/>
        </w:rPr>
        <w:t>；</w:t>
      </w:r>
    </w:p>
    <w:p>
      <w:pPr>
        <w:spacing w:line="500" w:lineRule="exact"/>
        <w:ind w:firstLine="480" w:firstLineChars="200"/>
        <w:rPr>
          <w:rFonts w:hint="eastAsia" w:eastAsia="宋体"/>
          <w:szCs w:val="24"/>
          <w:lang w:eastAsia="zh-CN"/>
        </w:rPr>
      </w:pPr>
      <w:r>
        <w:rPr>
          <w:rFonts w:hint="eastAsia"/>
          <w:szCs w:val="24"/>
        </w:rPr>
        <w:t>（</w:t>
      </w:r>
      <w:r>
        <w:rPr>
          <w:rFonts w:hint="eastAsia" w:ascii="Times New Roman" w:hAnsi="Times New Roman"/>
          <w:szCs w:val="24"/>
        </w:rPr>
        <w:t>3</w:t>
      </w:r>
      <w:r>
        <w:rPr>
          <w:rFonts w:hint="eastAsia"/>
          <w:szCs w:val="24"/>
        </w:rPr>
        <w:t>）</w:t>
      </w:r>
      <w:r>
        <w:rPr>
          <w:rFonts w:ascii="Times New Roman"/>
          <w:color w:val="auto"/>
        </w:rPr>
        <w:t>《新疆维吾尔自治区危险废物污染环境防治办法》，新疆维吾尔自治区人民政府令第</w:t>
      </w:r>
      <w:r>
        <w:rPr>
          <w:rFonts w:ascii="Times New Roman" w:hAnsi="Times New Roman"/>
          <w:color w:val="auto"/>
        </w:rPr>
        <w:t>163</w:t>
      </w:r>
      <w:r>
        <w:rPr>
          <w:rFonts w:ascii="Times New Roman"/>
          <w:color w:val="auto"/>
        </w:rPr>
        <w:t>号，</w:t>
      </w:r>
      <w:r>
        <w:rPr>
          <w:rFonts w:ascii="Times New Roman" w:hAnsi="Times New Roman"/>
          <w:color w:val="auto"/>
        </w:rPr>
        <w:t>2010</w:t>
      </w:r>
      <w:r>
        <w:rPr>
          <w:rFonts w:hint="eastAsia" w:ascii="Times New Roman"/>
          <w:color w:val="auto"/>
          <w:lang w:val="en-US" w:eastAsia="zh-CN"/>
        </w:rPr>
        <w:t>.</w:t>
      </w:r>
      <w:r>
        <w:rPr>
          <w:rFonts w:ascii="Times New Roman" w:hAnsi="Times New Roman"/>
          <w:color w:val="auto"/>
        </w:rPr>
        <w:t>5</w:t>
      </w:r>
      <w:r>
        <w:rPr>
          <w:rFonts w:hint="eastAsia" w:ascii="Times New Roman"/>
          <w:color w:val="auto"/>
          <w:lang w:val="en-US" w:eastAsia="zh-CN"/>
        </w:rPr>
        <w:t>.</w:t>
      </w:r>
      <w:r>
        <w:rPr>
          <w:rFonts w:ascii="Times New Roman" w:hAnsi="Times New Roman"/>
          <w:color w:val="auto"/>
        </w:rPr>
        <w:t>1</w:t>
      </w:r>
      <w:r>
        <w:rPr>
          <w:rFonts w:hint="eastAsia" w:ascii="Times New Roman"/>
          <w:color w:val="auto"/>
          <w:szCs w:val="24"/>
          <w:lang w:eastAsia="zh-CN"/>
        </w:rPr>
        <w:t>；</w:t>
      </w:r>
    </w:p>
    <w:p>
      <w:pPr>
        <w:spacing w:line="500" w:lineRule="exact"/>
        <w:ind w:firstLine="480" w:firstLineChars="200"/>
        <w:rPr>
          <w:rFonts w:hint="eastAsia" w:eastAsia="宋体"/>
          <w:szCs w:val="24"/>
          <w:lang w:eastAsia="zh-CN"/>
        </w:rPr>
      </w:pPr>
      <w:r>
        <w:rPr>
          <w:rFonts w:hint="eastAsia"/>
          <w:szCs w:val="24"/>
          <w:lang w:eastAsia="zh-CN"/>
        </w:rPr>
        <w:t>（</w:t>
      </w:r>
      <w:r>
        <w:rPr>
          <w:rFonts w:hint="eastAsia" w:ascii="Times New Roman" w:hAnsi="Times New Roman"/>
          <w:szCs w:val="24"/>
          <w:lang w:val="en-US" w:eastAsia="zh-CN"/>
        </w:rPr>
        <w:t>4</w:t>
      </w:r>
      <w:r>
        <w:rPr>
          <w:rFonts w:hint="eastAsia"/>
          <w:szCs w:val="24"/>
          <w:lang w:eastAsia="zh-CN"/>
        </w:rPr>
        <w:t>）</w:t>
      </w:r>
      <w:r>
        <w:rPr>
          <w:rFonts w:ascii="Times New Roman"/>
          <w:color w:val="auto"/>
          <w:szCs w:val="24"/>
        </w:rPr>
        <w:t>《关于重点区域执行大气污染物特别排放限值的公告》，新疆维吾尔自治区环境保护厅</w:t>
      </w:r>
      <w:r>
        <w:rPr>
          <w:rFonts w:ascii="Times New Roman" w:hAnsi="Times New Roman"/>
          <w:color w:val="auto"/>
          <w:szCs w:val="24"/>
        </w:rPr>
        <w:t>2016</w:t>
      </w:r>
      <w:r>
        <w:rPr>
          <w:rFonts w:ascii="Times New Roman"/>
          <w:color w:val="auto"/>
          <w:szCs w:val="24"/>
        </w:rPr>
        <w:t>年第</w:t>
      </w:r>
      <w:r>
        <w:rPr>
          <w:rFonts w:ascii="Times New Roman" w:hAnsi="Times New Roman"/>
          <w:color w:val="auto"/>
          <w:szCs w:val="24"/>
        </w:rPr>
        <w:t>45</w:t>
      </w:r>
      <w:r>
        <w:rPr>
          <w:rFonts w:ascii="Times New Roman"/>
          <w:color w:val="auto"/>
          <w:szCs w:val="24"/>
        </w:rPr>
        <w:t>号，</w:t>
      </w:r>
      <w:r>
        <w:rPr>
          <w:rFonts w:ascii="Times New Roman" w:hAnsi="Times New Roman"/>
          <w:color w:val="auto"/>
          <w:szCs w:val="24"/>
        </w:rPr>
        <w:t>2016</w:t>
      </w:r>
      <w:r>
        <w:rPr>
          <w:rFonts w:hint="eastAsia" w:ascii="Times New Roman"/>
          <w:color w:val="auto"/>
          <w:szCs w:val="24"/>
          <w:lang w:val="en-US" w:eastAsia="zh-CN"/>
        </w:rPr>
        <w:t>.</w:t>
      </w:r>
      <w:r>
        <w:rPr>
          <w:rFonts w:ascii="Times New Roman" w:hAnsi="Times New Roman"/>
          <w:color w:val="auto"/>
          <w:szCs w:val="24"/>
        </w:rPr>
        <w:t>8</w:t>
      </w:r>
      <w:r>
        <w:rPr>
          <w:rFonts w:hint="eastAsia" w:ascii="Times New Roman"/>
          <w:color w:val="auto"/>
          <w:szCs w:val="24"/>
          <w:lang w:val="en-US" w:eastAsia="zh-CN"/>
        </w:rPr>
        <w:t>.</w:t>
      </w:r>
      <w:r>
        <w:rPr>
          <w:rFonts w:ascii="Times New Roman" w:hAnsi="Times New Roman"/>
          <w:color w:val="auto"/>
          <w:szCs w:val="24"/>
        </w:rPr>
        <w:t>25</w:t>
      </w:r>
      <w:r>
        <w:rPr>
          <w:rFonts w:hint="eastAsia" w:ascii="Times New Roman"/>
          <w:color w:val="auto"/>
          <w:lang w:eastAsia="zh-CN"/>
        </w:rPr>
        <w:t>；</w:t>
      </w:r>
    </w:p>
    <w:p>
      <w:pPr>
        <w:spacing w:line="50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5</w:t>
      </w:r>
      <w:r>
        <w:rPr>
          <w:rFonts w:hint="eastAsia" w:ascii="Times New Roman"/>
          <w:szCs w:val="24"/>
          <w:lang w:eastAsia="zh-CN"/>
        </w:rPr>
        <w:t>）</w:t>
      </w:r>
      <w:r>
        <w:rPr>
          <w:rFonts w:hint="eastAsia" w:ascii="Times New Roman"/>
          <w:color w:val="auto"/>
          <w:lang w:eastAsia="zh-CN"/>
        </w:rPr>
        <w:t>《中国新疆水功能区划》，原新疆维吾尔自治区环保局，</w:t>
      </w:r>
      <w:r>
        <w:rPr>
          <w:rFonts w:hint="eastAsia" w:ascii="Times New Roman" w:hAnsi="Times New Roman"/>
          <w:color w:val="auto"/>
          <w:lang w:val="en-US" w:eastAsia="zh-CN"/>
        </w:rPr>
        <w:t>2003</w:t>
      </w:r>
      <w:r>
        <w:rPr>
          <w:rFonts w:hint="eastAsia" w:ascii="Times New Roman"/>
          <w:color w:val="auto"/>
          <w:lang w:val="en-US" w:eastAsia="zh-CN"/>
        </w:rPr>
        <w:t>年</w:t>
      </w:r>
      <w:r>
        <w:rPr>
          <w:rFonts w:hint="eastAsia" w:ascii="Times New Roman"/>
          <w:color w:val="auto"/>
          <w:szCs w:val="24"/>
          <w:lang w:eastAsia="zh-CN"/>
        </w:rPr>
        <w:t>；</w:t>
      </w:r>
    </w:p>
    <w:p>
      <w:pPr>
        <w:spacing w:line="500" w:lineRule="exact"/>
        <w:ind w:firstLine="480" w:firstLineChars="200"/>
        <w:rPr>
          <w:rFonts w:hint="eastAsia"/>
          <w:szCs w:val="24"/>
        </w:rPr>
      </w:pPr>
      <w:r>
        <w:rPr>
          <w:rFonts w:hint="eastAsia" w:ascii="Times New Roman"/>
          <w:szCs w:val="24"/>
          <w:lang w:eastAsia="zh-CN"/>
        </w:rPr>
        <w:t>（</w:t>
      </w:r>
      <w:r>
        <w:rPr>
          <w:rFonts w:hint="eastAsia" w:ascii="Times New Roman" w:hAnsi="Times New Roman"/>
          <w:szCs w:val="24"/>
          <w:lang w:val="en-US" w:eastAsia="zh-CN"/>
        </w:rPr>
        <w:t>6</w:t>
      </w:r>
      <w:r>
        <w:rPr>
          <w:rFonts w:hint="eastAsia" w:ascii="Times New Roman"/>
          <w:szCs w:val="24"/>
          <w:lang w:eastAsia="zh-CN"/>
        </w:rPr>
        <w:t>）</w:t>
      </w:r>
      <w:r>
        <w:rPr>
          <w:rFonts w:ascii="Times New Roman"/>
          <w:color w:val="auto"/>
        </w:rPr>
        <w:t>关于印发《自治区打赢蓝天保卫战三年行动计划（</w:t>
      </w:r>
      <w:r>
        <w:rPr>
          <w:rFonts w:ascii="Times New Roman" w:hAnsi="Times New Roman"/>
          <w:color w:val="auto"/>
        </w:rPr>
        <w:t>2018</w:t>
      </w:r>
      <w:r>
        <w:rPr>
          <w:rFonts w:ascii="Times New Roman"/>
          <w:color w:val="auto"/>
        </w:rPr>
        <w:t>-</w:t>
      </w:r>
      <w:r>
        <w:rPr>
          <w:rFonts w:ascii="Times New Roman" w:hAnsi="Times New Roman"/>
          <w:color w:val="auto"/>
        </w:rPr>
        <w:t>2020</w:t>
      </w:r>
      <w:r>
        <w:rPr>
          <w:rFonts w:ascii="Times New Roman"/>
          <w:color w:val="auto"/>
        </w:rPr>
        <w:t>年）》的通知，新政发[</w:t>
      </w:r>
      <w:r>
        <w:rPr>
          <w:rFonts w:ascii="Times New Roman" w:hAnsi="Times New Roman"/>
          <w:color w:val="auto"/>
        </w:rPr>
        <w:t>2018</w:t>
      </w:r>
      <w:r>
        <w:rPr>
          <w:rFonts w:ascii="Times New Roman"/>
          <w:color w:val="auto"/>
        </w:rPr>
        <w:t>]</w:t>
      </w:r>
      <w:r>
        <w:rPr>
          <w:rFonts w:ascii="Times New Roman" w:hAnsi="Times New Roman"/>
          <w:color w:val="auto"/>
        </w:rPr>
        <w:t>66</w:t>
      </w:r>
      <w:r>
        <w:rPr>
          <w:rFonts w:ascii="Times New Roman"/>
          <w:color w:val="auto"/>
        </w:rPr>
        <w:t>号，</w:t>
      </w:r>
      <w:r>
        <w:rPr>
          <w:rFonts w:ascii="Times New Roman" w:hAnsi="Times New Roman"/>
          <w:color w:val="auto"/>
        </w:rPr>
        <w:t>2018</w:t>
      </w:r>
      <w:r>
        <w:rPr>
          <w:rFonts w:hint="eastAsia" w:ascii="Times New Roman"/>
          <w:color w:val="auto"/>
          <w:lang w:val="en-US" w:eastAsia="zh-CN"/>
        </w:rPr>
        <w:t>.</w:t>
      </w:r>
      <w:r>
        <w:rPr>
          <w:rFonts w:ascii="Times New Roman" w:hAnsi="Times New Roman"/>
          <w:color w:val="auto"/>
        </w:rPr>
        <w:t>9</w:t>
      </w:r>
      <w:r>
        <w:rPr>
          <w:rFonts w:hint="eastAsia" w:ascii="Times New Roman"/>
          <w:color w:val="auto"/>
          <w:lang w:val="en-US" w:eastAsia="zh-CN"/>
        </w:rPr>
        <w:t>.</w:t>
      </w:r>
      <w:r>
        <w:rPr>
          <w:rFonts w:ascii="Times New Roman" w:hAnsi="Times New Roman"/>
          <w:color w:val="auto"/>
        </w:rPr>
        <w:t>27</w:t>
      </w:r>
      <w:r>
        <w:rPr>
          <w:rFonts w:hint="eastAsia"/>
        </w:rPr>
        <w:t>；</w:t>
      </w:r>
    </w:p>
    <w:p>
      <w:pPr>
        <w:spacing w:line="500" w:lineRule="exact"/>
        <w:ind w:firstLine="480" w:firstLineChars="200"/>
        <w:rPr>
          <w:rFonts w:hint="eastAsia"/>
          <w:szCs w:val="24"/>
        </w:rPr>
      </w:pPr>
      <w:r>
        <w:rPr>
          <w:rFonts w:hint="eastAsia"/>
          <w:szCs w:val="24"/>
        </w:rPr>
        <w:t>（</w:t>
      </w:r>
      <w:r>
        <w:rPr>
          <w:rFonts w:hint="eastAsia" w:ascii="Times New Roman" w:hAnsi="Times New Roman"/>
          <w:szCs w:val="24"/>
          <w:lang w:val="en-US" w:eastAsia="zh-CN"/>
        </w:rPr>
        <w:t>8</w:t>
      </w:r>
      <w:r>
        <w:rPr>
          <w:rFonts w:hint="eastAsia"/>
          <w:szCs w:val="24"/>
        </w:rPr>
        <w:t>）</w:t>
      </w:r>
      <w:r>
        <w:rPr>
          <w:rFonts w:hint="eastAsia"/>
          <w:lang w:eastAsia="zh-CN"/>
        </w:rPr>
        <w:t>《</w:t>
      </w:r>
      <w:r>
        <w:rPr>
          <w:rFonts w:hint="eastAsia"/>
        </w:rPr>
        <w:t>新疆维吾尔自治区土壤污染防治工作方案》，新政发[</w:t>
      </w:r>
      <w:r>
        <w:rPr>
          <w:rFonts w:hint="eastAsia" w:ascii="Times New Roman" w:hAnsi="Times New Roman"/>
        </w:rPr>
        <w:t>2017</w:t>
      </w:r>
      <w:r>
        <w:rPr>
          <w:rFonts w:hint="eastAsia"/>
        </w:rPr>
        <w:t>]</w:t>
      </w:r>
      <w:r>
        <w:rPr>
          <w:rFonts w:hint="eastAsia" w:ascii="Times New Roman" w:hAnsi="Times New Roman"/>
        </w:rPr>
        <w:t>25</w:t>
      </w:r>
      <w:r>
        <w:rPr>
          <w:rFonts w:hint="eastAsia"/>
        </w:rPr>
        <w:t>号，</w:t>
      </w:r>
      <w:r>
        <w:rPr>
          <w:rFonts w:hint="eastAsia" w:ascii="Times New Roman" w:hAnsi="Times New Roman"/>
        </w:rPr>
        <w:t>2017</w:t>
      </w:r>
      <w:r>
        <w:rPr>
          <w:rFonts w:hint="eastAsia"/>
          <w:lang w:val="en-US" w:eastAsia="zh-CN"/>
        </w:rPr>
        <w:t>.</w:t>
      </w:r>
      <w:r>
        <w:rPr>
          <w:rFonts w:hint="eastAsia" w:ascii="Times New Roman" w:hAnsi="Times New Roman"/>
        </w:rPr>
        <w:t>3</w:t>
      </w:r>
      <w:r>
        <w:rPr>
          <w:rFonts w:hint="eastAsia" w:ascii="Times New Roman"/>
          <w:lang w:val="en-US" w:eastAsia="zh-CN"/>
        </w:rPr>
        <w:t>.</w:t>
      </w:r>
      <w:r>
        <w:rPr>
          <w:rFonts w:hint="eastAsia" w:ascii="Times New Roman" w:hAnsi="Times New Roman"/>
        </w:rPr>
        <w:t>1</w:t>
      </w:r>
      <w:r>
        <w:rPr>
          <w:rFonts w:hint="eastAsia"/>
        </w:rPr>
        <w:t>；</w:t>
      </w:r>
    </w:p>
    <w:p>
      <w:pPr>
        <w:spacing w:line="500" w:lineRule="exact"/>
        <w:ind w:firstLine="480" w:firstLineChars="200"/>
        <w:rPr>
          <w:rFonts w:hint="default" w:eastAsia="宋体"/>
          <w:szCs w:val="24"/>
          <w:lang w:val="en-US" w:eastAsia="zh-CN"/>
        </w:rPr>
      </w:pPr>
      <w:r>
        <w:rPr>
          <w:rFonts w:hint="eastAsia"/>
          <w:szCs w:val="24"/>
        </w:rPr>
        <w:t>（</w:t>
      </w:r>
      <w:r>
        <w:rPr>
          <w:rFonts w:hint="eastAsia" w:ascii="Times New Roman" w:hAnsi="Times New Roman"/>
          <w:szCs w:val="24"/>
          <w:lang w:val="en-US" w:eastAsia="zh-CN"/>
        </w:rPr>
        <w:t>9</w:t>
      </w:r>
      <w:r>
        <w:rPr>
          <w:rFonts w:hint="eastAsia"/>
          <w:szCs w:val="24"/>
        </w:rPr>
        <w:t>）</w:t>
      </w:r>
      <w:r>
        <w:rPr>
          <w:rFonts w:hint="eastAsia"/>
          <w:szCs w:val="24"/>
          <w:lang w:eastAsia="zh-CN"/>
        </w:rPr>
        <w:t>《新疆维吾尔自治区水污染防治工作方案》，新政发</w:t>
      </w:r>
      <w:r>
        <w:rPr>
          <w:rFonts w:hint="eastAsia"/>
          <w:szCs w:val="24"/>
          <w:lang w:val="en-US" w:eastAsia="zh-CN"/>
        </w:rPr>
        <w:t>[</w:t>
      </w:r>
      <w:r>
        <w:rPr>
          <w:rFonts w:hint="eastAsia" w:ascii="Times New Roman" w:hAnsi="Times New Roman"/>
          <w:szCs w:val="24"/>
          <w:lang w:val="en-US" w:eastAsia="zh-CN"/>
        </w:rPr>
        <w:t>2016</w:t>
      </w:r>
      <w:r>
        <w:rPr>
          <w:rFonts w:hint="eastAsia"/>
          <w:szCs w:val="24"/>
          <w:lang w:val="en-US" w:eastAsia="zh-CN"/>
        </w:rPr>
        <w:t>]</w:t>
      </w:r>
      <w:r>
        <w:rPr>
          <w:rFonts w:hint="eastAsia" w:ascii="Times New Roman" w:hAnsi="Times New Roman"/>
          <w:szCs w:val="24"/>
          <w:lang w:val="en-US" w:eastAsia="zh-CN"/>
        </w:rPr>
        <w:t>21</w:t>
      </w:r>
      <w:r>
        <w:rPr>
          <w:rFonts w:hint="eastAsia"/>
          <w:szCs w:val="24"/>
          <w:lang w:val="en-US" w:eastAsia="zh-CN"/>
        </w:rPr>
        <w:t>号，</w:t>
      </w:r>
      <w:r>
        <w:rPr>
          <w:rFonts w:hint="eastAsia" w:ascii="Times New Roman" w:hAnsi="Times New Roman"/>
          <w:szCs w:val="24"/>
          <w:lang w:val="en-US" w:eastAsia="zh-CN"/>
        </w:rPr>
        <w:t>2016</w:t>
      </w:r>
      <w:r>
        <w:rPr>
          <w:rFonts w:hint="eastAsia"/>
          <w:szCs w:val="24"/>
          <w:lang w:val="en-US" w:eastAsia="zh-CN"/>
        </w:rPr>
        <w:t>.</w:t>
      </w:r>
      <w:r>
        <w:rPr>
          <w:rFonts w:hint="eastAsia" w:ascii="Times New Roman" w:hAnsi="Times New Roman"/>
          <w:szCs w:val="24"/>
          <w:lang w:val="en-US" w:eastAsia="zh-CN"/>
        </w:rPr>
        <w:t>1</w:t>
      </w:r>
      <w:r>
        <w:rPr>
          <w:rFonts w:hint="eastAsia"/>
          <w:szCs w:val="24"/>
          <w:lang w:val="en-US" w:eastAsia="zh-CN"/>
        </w:rPr>
        <w:t>.</w:t>
      </w:r>
      <w:r>
        <w:rPr>
          <w:rFonts w:hint="eastAsia" w:ascii="Times New Roman" w:hAnsi="Times New Roman"/>
          <w:szCs w:val="24"/>
          <w:lang w:val="en-US" w:eastAsia="zh-CN"/>
        </w:rPr>
        <w:t>29</w:t>
      </w:r>
      <w:r>
        <w:rPr>
          <w:rFonts w:hint="eastAsia"/>
          <w:szCs w:val="24"/>
          <w:lang w:val="en-US" w:eastAsia="zh-CN"/>
        </w:rPr>
        <w:t>；</w:t>
      </w:r>
    </w:p>
    <w:p>
      <w:pPr>
        <w:spacing w:line="500" w:lineRule="exact"/>
        <w:ind w:firstLine="480" w:firstLineChars="200"/>
        <w:rPr>
          <w:rFonts w:hint="default" w:eastAsia="宋体"/>
          <w:szCs w:val="24"/>
          <w:lang w:val="en-US" w:eastAsia="zh-CN"/>
        </w:rPr>
      </w:pPr>
      <w:r>
        <w:rPr>
          <w:rFonts w:hint="eastAsia"/>
          <w:szCs w:val="24"/>
          <w:lang w:eastAsia="zh-CN"/>
        </w:rPr>
        <w:t>（</w:t>
      </w:r>
      <w:r>
        <w:rPr>
          <w:rFonts w:hint="eastAsia" w:ascii="Times New Roman" w:hAnsi="Times New Roman"/>
          <w:szCs w:val="24"/>
          <w:lang w:val="en-US" w:eastAsia="zh-CN"/>
        </w:rPr>
        <w:t>10</w:t>
      </w:r>
      <w:r>
        <w:rPr>
          <w:rFonts w:hint="eastAsia"/>
          <w:szCs w:val="24"/>
          <w:lang w:eastAsia="zh-CN"/>
        </w:rPr>
        <w:t>）《关于印发</w:t>
      </w:r>
      <w:r>
        <w:rPr>
          <w:rFonts w:hint="eastAsia"/>
          <w:szCs w:val="24"/>
          <w:lang w:val="en-US" w:eastAsia="zh-CN"/>
        </w:rPr>
        <w:t>&lt;新疆维吾尔自治区新建化工项目准入条件（试行）&gt;的通知</w:t>
      </w:r>
      <w:r>
        <w:rPr>
          <w:rFonts w:hint="eastAsia"/>
          <w:szCs w:val="24"/>
          <w:lang w:eastAsia="zh-CN"/>
        </w:rPr>
        <w:t>》，新工信石化</w:t>
      </w:r>
      <w:r>
        <w:rPr>
          <w:rFonts w:hint="eastAsia"/>
          <w:szCs w:val="24"/>
          <w:lang w:val="en-US" w:eastAsia="zh-CN"/>
        </w:rPr>
        <w:t>[</w:t>
      </w:r>
      <w:r>
        <w:rPr>
          <w:rFonts w:hint="eastAsia" w:ascii="Times New Roman" w:hAnsi="Times New Roman"/>
          <w:szCs w:val="24"/>
          <w:lang w:val="en-US" w:eastAsia="zh-CN"/>
        </w:rPr>
        <w:t>2021</w:t>
      </w:r>
      <w:r>
        <w:rPr>
          <w:rFonts w:hint="eastAsia"/>
          <w:szCs w:val="24"/>
          <w:lang w:val="en-US" w:eastAsia="zh-CN"/>
        </w:rPr>
        <w:t>]</w:t>
      </w:r>
      <w:r>
        <w:rPr>
          <w:rFonts w:hint="eastAsia" w:ascii="Times New Roman" w:hAnsi="Times New Roman"/>
          <w:szCs w:val="24"/>
          <w:lang w:val="en-US" w:eastAsia="zh-CN"/>
        </w:rPr>
        <w:t>1</w:t>
      </w:r>
      <w:r>
        <w:rPr>
          <w:rFonts w:hint="eastAsia"/>
          <w:szCs w:val="24"/>
          <w:lang w:val="en-US" w:eastAsia="zh-CN"/>
        </w:rPr>
        <w:t>号，</w:t>
      </w:r>
      <w:r>
        <w:rPr>
          <w:rFonts w:hint="eastAsia" w:ascii="Times New Roman" w:hAnsi="Times New Roman"/>
          <w:szCs w:val="24"/>
          <w:lang w:val="en-US" w:eastAsia="zh-CN"/>
        </w:rPr>
        <w:t>2021</w:t>
      </w:r>
      <w:r>
        <w:rPr>
          <w:rFonts w:hint="eastAsia"/>
          <w:szCs w:val="24"/>
          <w:lang w:val="en-US" w:eastAsia="zh-CN"/>
        </w:rPr>
        <w:t>.</w:t>
      </w:r>
      <w:r>
        <w:rPr>
          <w:rFonts w:hint="eastAsia" w:ascii="Times New Roman" w:hAnsi="Times New Roman"/>
          <w:szCs w:val="24"/>
          <w:lang w:val="en-US" w:eastAsia="zh-CN"/>
        </w:rPr>
        <w:t>12</w:t>
      </w:r>
      <w:r>
        <w:rPr>
          <w:rFonts w:hint="eastAsia"/>
          <w:szCs w:val="24"/>
          <w:lang w:val="en-US" w:eastAsia="zh-CN"/>
        </w:rPr>
        <w:t>.</w:t>
      </w:r>
      <w:r>
        <w:rPr>
          <w:rFonts w:hint="eastAsia" w:ascii="Times New Roman" w:hAnsi="Times New Roman"/>
          <w:szCs w:val="24"/>
          <w:lang w:val="en-US" w:eastAsia="zh-CN"/>
        </w:rPr>
        <w:t>20</w:t>
      </w:r>
      <w:r>
        <w:rPr>
          <w:rFonts w:hint="eastAsia"/>
          <w:szCs w:val="24"/>
          <w:lang w:val="en-US" w:eastAsia="zh-CN"/>
        </w:rPr>
        <w:t>；</w:t>
      </w:r>
    </w:p>
    <w:p>
      <w:pPr>
        <w:spacing w:line="500" w:lineRule="exact"/>
        <w:ind w:firstLine="480" w:firstLineChars="200"/>
        <w:rPr>
          <w:rFonts w:hint="eastAsia"/>
          <w:szCs w:val="24"/>
        </w:rPr>
      </w:pPr>
      <w:r>
        <w:rPr>
          <w:rFonts w:hint="eastAsia"/>
          <w:szCs w:val="24"/>
          <w:lang w:eastAsia="zh-CN"/>
        </w:rPr>
        <w:t>（</w:t>
      </w:r>
      <w:r>
        <w:rPr>
          <w:rFonts w:hint="eastAsia" w:ascii="Times New Roman" w:hAnsi="Times New Roman"/>
          <w:szCs w:val="24"/>
          <w:lang w:val="en-US" w:eastAsia="zh-CN"/>
        </w:rPr>
        <w:t>11</w:t>
      </w:r>
      <w:r>
        <w:rPr>
          <w:rFonts w:hint="eastAsia"/>
          <w:szCs w:val="24"/>
          <w:lang w:eastAsia="zh-CN"/>
        </w:rPr>
        <w:t>）</w:t>
      </w:r>
      <w:r>
        <w:rPr>
          <w:rFonts w:ascii="Times New Roman"/>
          <w:color w:val="auto"/>
        </w:rPr>
        <w:t>《</w:t>
      </w:r>
      <w:r>
        <w:rPr>
          <w:rFonts w:hint="eastAsia" w:ascii="Times New Roman"/>
          <w:color w:val="auto"/>
          <w:lang w:eastAsia="zh-CN"/>
        </w:rPr>
        <w:t>关于印发</w:t>
      </w:r>
      <w:r>
        <w:rPr>
          <w:rFonts w:hint="eastAsia" w:ascii="Times New Roman"/>
          <w:color w:val="auto"/>
          <w:lang w:val="en-US" w:eastAsia="zh-CN"/>
        </w:rPr>
        <w:t>&lt;</w:t>
      </w:r>
      <w:r>
        <w:rPr>
          <w:rFonts w:hint="eastAsia" w:ascii="Times New Roman"/>
          <w:color w:val="auto"/>
          <w:lang w:eastAsia="zh-CN"/>
        </w:rPr>
        <w:t>“乌</w:t>
      </w:r>
      <w:r>
        <w:rPr>
          <w:rFonts w:hint="eastAsia" w:ascii="Times New Roman"/>
          <w:color w:val="auto"/>
          <w:lang w:val="en-US" w:eastAsia="zh-CN"/>
        </w:rPr>
        <w:t>-昌-石</w:t>
      </w:r>
      <w:r>
        <w:rPr>
          <w:rFonts w:hint="eastAsia" w:ascii="Times New Roman"/>
          <w:color w:val="auto"/>
          <w:lang w:eastAsia="zh-CN"/>
        </w:rPr>
        <w:t>”“奎</w:t>
      </w:r>
      <w:r>
        <w:rPr>
          <w:rFonts w:hint="eastAsia" w:ascii="Times New Roman"/>
          <w:color w:val="auto"/>
          <w:lang w:val="en-US" w:eastAsia="zh-CN"/>
        </w:rPr>
        <w:t>-独-乌</w:t>
      </w:r>
      <w:r>
        <w:rPr>
          <w:rFonts w:hint="eastAsia" w:ascii="Times New Roman"/>
          <w:color w:val="auto"/>
          <w:lang w:eastAsia="zh-CN"/>
        </w:rPr>
        <w:t>”</w:t>
      </w:r>
      <w:r>
        <w:rPr>
          <w:rFonts w:ascii="Times New Roman"/>
          <w:color w:val="auto"/>
        </w:rPr>
        <w:t>区域大气污染治理攻坚方案</w:t>
      </w:r>
      <w:r>
        <w:rPr>
          <w:rFonts w:hint="eastAsia" w:ascii="Times New Roman"/>
          <w:color w:val="auto"/>
          <w:lang w:eastAsia="zh-CN"/>
        </w:rPr>
        <w:t>（</w:t>
      </w:r>
      <w:r>
        <w:rPr>
          <w:rFonts w:hint="eastAsia" w:ascii="Times New Roman" w:hAnsi="Times New Roman"/>
          <w:color w:val="auto"/>
          <w:lang w:val="en-US" w:eastAsia="zh-CN"/>
        </w:rPr>
        <w:t>2018</w:t>
      </w:r>
      <w:r>
        <w:rPr>
          <w:rFonts w:hint="eastAsia" w:ascii="Times New Roman"/>
          <w:color w:val="auto"/>
          <w:lang w:val="en-US" w:eastAsia="zh-CN"/>
        </w:rPr>
        <w:t>-</w:t>
      </w:r>
      <w:r>
        <w:rPr>
          <w:rFonts w:hint="eastAsia" w:ascii="Times New Roman" w:hAnsi="Times New Roman"/>
          <w:color w:val="auto"/>
          <w:lang w:val="en-US" w:eastAsia="zh-CN"/>
        </w:rPr>
        <w:t>2020</w:t>
      </w:r>
      <w:r>
        <w:rPr>
          <w:rFonts w:hint="eastAsia" w:ascii="Times New Roman"/>
          <w:color w:val="auto"/>
          <w:lang w:val="en-US" w:eastAsia="zh-CN"/>
        </w:rPr>
        <w:t>年</w:t>
      </w:r>
      <w:r>
        <w:rPr>
          <w:rFonts w:hint="eastAsia" w:ascii="Times New Roman"/>
          <w:color w:val="auto"/>
          <w:lang w:eastAsia="zh-CN"/>
        </w:rPr>
        <w:t>）</w:t>
      </w:r>
      <w:r>
        <w:rPr>
          <w:rFonts w:hint="eastAsia" w:ascii="Times New Roman"/>
          <w:color w:val="auto"/>
          <w:lang w:val="en-US" w:eastAsia="zh-CN"/>
        </w:rPr>
        <w:t>&gt;的通知</w:t>
      </w:r>
      <w:r>
        <w:rPr>
          <w:rFonts w:ascii="Times New Roman"/>
          <w:color w:val="auto"/>
        </w:rPr>
        <w:t>》</w:t>
      </w:r>
      <w:r>
        <w:rPr>
          <w:rFonts w:hint="eastAsia" w:ascii="Times New Roman"/>
          <w:color w:val="auto"/>
          <w:lang w:eastAsia="zh-CN"/>
        </w:rPr>
        <w:t>，新党厅字</w:t>
      </w:r>
      <w:r>
        <w:rPr>
          <w:rFonts w:hint="eastAsia" w:ascii="Times New Roman"/>
          <w:color w:val="auto"/>
          <w:lang w:val="en-US" w:eastAsia="zh-CN"/>
        </w:rPr>
        <w:t>[</w:t>
      </w:r>
      <w:r>
        <w:rPr>
          <w:rFonts w:hint="eastAsia" w:ascii="Times New Roman" w:hAnsi="Times New Roman"/>
          <w:color w:val="auto"/>
          <w:lang w:val="en-US" w:eastAsia="zh-CN"/>
        </w:rPr>
        <w:t>2019</w:t>
      </w:r>
      <w:r>
        <w:rPr>
          <w:rFonts w:hint="eastAsia" w:ascii="Times New Roman"/>
          <w:color w:val="auto"/>
          <w:lang w:val="en-US" w:eastAsia="zh-CN"/>
        </w:rPr>
        <w:t>]</w:t>
      </w:r>
      <w:r>
        <w:rPr>
          <w:rFonts w:hint="eastAsia" w:ascii="Times New Roman" w:hAnsi="Times New Roman"/>
          <w:color w:val="auto"/>
          <w:lang w:val="en-US" w:eastAsia="zh-CN"/>
        </w:rPr>
        <w:t>17</w:t>
      </w:r>
      <w:r>
        <w:rPr>
          <w:rFonts w:hint="eastAsia" w:ascii="Times New Roman"/>
          <w:color w:val="auto"/>
          <w:lang w:val="en-US" w:eastAsia="zh-CN"/>
        </w:rPr>
        <w:t>号</w:t>
      </w:r>
      <w:r>
        <w:rPr>
          <w:rFonts w:hint="eastAsia"/>
        </w:rPr>
        <w:t>；</w:t>
      </w:r>
    </w:p>
    <w:p>
      <w:pPr>
        <w:spacing w:line="500" w:lineRule="exact"/>
        <w:rPr>
          <w:rFonts w:hint="eastAsia"/>
        </w:rPr>
      </w:pPr>
      <w:r>
        <w:rPr>
          <w:rFonts w:hint="eastAsia"/>
        </w:rPr>
        <w:t>（</w:t>
      </w:r>
      <w:r>
        <w:rPr>
          <w:rFonts w:hint="eastAsia" w:ascii="Times New Roman" w:hAnsi="Times New Roman"/>
          <w:lang w:val="en-US" w:eastAsia="zh-CN"/>
        </w:rPr>
        <w:t>12</w:t>
      </w:r>
      <w:r>
        <w:rPr>
          <w:rFonts w:hint="eastAsia"/>
        </w:rPr>
        <w:t>）</w:t>
      </w:r>
      <w:r>
        <w:rPr>
          <w:rFonts w:hint="eastAsia"/>
          <w:color w:val="auto"/>
          <w:lang w:eastAsia="zh-CN"/>
        </w:rPr>
        <w:t>《新疆维吾尔自治区“三线一单”生态环境分区管控方案》</w:t>
      </w:r>
      <w:r>
        <w:rPr>
          <w:rFonts w:hint="eastAsia"/>
          <w:lang w:eastAsia="zh-CN"/>
        </w:rPr>
        <w:t>，新政发</w:t>
      </w:r>
      <w:r>
        <w:rPr>
          <w:rFonts w:hint="eastAsia"/>
          <w:lang w:val="en-US" w:eastAsia="zh-CN"/>
        </w:rPr>
        <w:t>[</w:t>
      </w:r>
      <w:r>
        <w:rPr>
          <w:rFonts w:hint="eastAsia" w:ascii="Times New Roman" w:hAnsi="Times New Roman"/>
          <w:lang w:val="en-US" w:eastAsia="zh-CN"/>
        </w:rPr>
        <w:t>2021</w:t>
      </w:r>
      <w:r>
        <w:rPr>
          <w:rFonts w:hint="eastAsia"/>
          <w:lang w:val="en-US" w:eastAsia="zh-CN"/>
        </w:rPr>
        <w:t>]</w:t>
      </w:r>
      <w:r>
        <w:rPr>
          <w:rFonts w:hint="eastAsia" w:ascii="Times New Roman" w:hAnsi="Times New Roman"/>
          <w:lang w:val="en-US" w:eastAsia="zh-CN"/>
        </w:rPr>
        <w:t>18</w:t>
      </w:r>
      <w:r>
        <w:rPr>
          <w:rFonts w:hint="eastAsia"/>
          <w:lang w:val="en-US" w:eastAsia="zh-CN"/>
        </w:rPr>
        <w:t>号，</w:t>
      </w:r>
      <w:r>
        <w:rPr>
          <w:rFonts w:hint="eastAsia" w:ascii="Times New Roman" w:hAnsi="Times New Roman"/>
          <w:lang w:val="en-US" w:eastAsia="zh-CN"/>
        </w:rPr>
        <w:t>2021</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21</w:t>
      </w:r>
      <w:r>
        <w:rPr>
          <w:rFonts w:hint="eastAsia"/>
        </w:rPr>
        <w:t>；</w:t>
      </w:r>
    </w:p>
    <w:p>
      <w:pPr>
        <w:spacing w:line="440" w:lineRule="exact"/>
        <w:rPr>
          <w:rFonts w:hint="eastAsia"/>
        </w:rPr>
      </w:pPr>
      <w:r>
        <w:rPr>
          <w:rFonts w:hint="eastAsia"/>
        </w:rPr>
        <w:t>（</w:t>
      </w:r>
      <w:r>
        <w:rPr>
          <w:rFonts w:hint="eastAsia" w:ascii="Times New Roman" w:hAnsi="Times New Roman"/>
          <w:lang w:val="en-US" w:eastAsia="zh-CN"/>
        </w:rPr>
        <w:t>13</w:t>
      </w:r>
      <w:r>
        <w:rPr>
          <w:rFonts w:hint="eastAsia"/>
        </w:rPr>
        <w:t>）《</w:t>
      </w:r>
      <w:r>
        <w:rPr>
          <w:rFonts w:hint="eastAsia"/>
          <w:lang w:eastAsia="zh-CN"/>
        </w:rPr>
        <w:t>关于印发塔城地区“三线一单”生态环境分区管控方案的通知》</w:t>
      </w:r>
      <w:r>
        <w:rPr>
          <w:rFonts w:hint="eastAsia"/>
        </w:rPr>
        <w:t>，</w:t>
      </w:r>
      <w:r>
        <w:rPr>
          <w:rFonts w:hint="eastAsia"/>
          <w:lang w:eastAsia="zh-CN"/>
        </w:rPr>
        <w:t>塔行发</w:t>
      </w:r>
      <w:r>
        <w:rPr>
          <w:rFonts w:hint="eastAsia"/>
        </w:rPr>
        <w:t>[</w:t>
      </w:r>
      <w:r>
        <w:rPr>
          <w:rFonts w:hint="eastAsia" w:ascii="Times New Roman" w:hAnsi="Times New Roman"/>
        </w:rPr>
        <w:t>20</w:t>
      </w:r>
      <w:r>
        <w:rPr>
          <w:rFonts w:hint="eastAsia" w:ascii="Times New Roman" w:hAnsi="Times New Roman"/>
          <w:lang w:val="en-US" w:eastAsia="zh-CN"/>
        </w:rPr>
        <w:t>2</w:t>
      </w:r>
      <w:r>
        <w:rPr>
          <w:rFonts w:hint="eastAsia" w:ascii="Times New Roman" w:hAnsi="Times New Roman"/>
        </w:rPr>
        <w:t>1</w:t>
      </w:r>
      <w:r>
        <w:rPr>
          <w:rFonts w:hint="eastAsia"/>
        </w:rPr>
        <w:t>]</w:t>
      </w:r>
      <w:r>
        <w:rPr>
          <w:rFonts w:hint="eastAsia" w:ascii="Times New Roman" w:hAnsi="Times New Roman"/>
          <w:lang w:val="en-US" w:eastAsia="zh-CN"/>
        </w:rPr>
        <w:t>48</w:t>
      </w:r>
      <w:r>
        <w:rPr>
          <w:rFonts w:hint="eastAsia"/>
        </w:rPr>
        <w:t>号，</w:t>
      </w:r>
      <w:r>
        <w:rPr>
          <w:rFonts w:hint="eastAsia" w:ascii="Times New Roman" w:hAnsi="Times New Roman"/>
        </w:rPr>
        <w:t>20</w:t>
      </w:r>
      <w:r>
        <w:rPr>
          <w:rFonts w:hint="eastAsia" w:ascii="Times New Roman" w:hAnsi="Times New Roman"/>
          <w:lang w:val="en-US" w:eastAsia="zh-CN"/>
        </w:rPr>
        <w:t>2</w:t>
      </w:r>
      <w:r>
        <w:rPr>
          <w:rFonts w:hint="eastAsia" w:ascii="Times New Roman" w:hAnsi="Times New Roman"/>
        </w:rPr>
        <w:t>1</w:t>
      </w:r>
      <w:r>
        <w:rPr>
          <w:rFonts w:hint="eastAsia"/>
          <w:lang w:val="en-US" w:eastAsia="zh-CN"/>
        </w:rPr>
        <w:t>.</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rPr>
        <w:t>2</w:t>
      </w:r>
      <w:r>
        <w:rPr>
          <w:rFonts w:hint="eastAsia" w:ascii="Times New Roman" w:hAnsi="Times New Roman"/>
          <w:lang w:val="en-US" w:eastAsia="zh-CN"/>
        </w:rPr>
        <w:t>6</w:t>
      </w:r>
      <w:r>
        <w:rPr>
          <w:rFonts w:hint="eastAsia"/>
        </w:rPr>
        <w:t>；</w:t>
      </w:r>
    </w:p>
    <w:p>
      <w:pPr>
        <w:spacing w:line="440" w:lineRule="exact"/>
        <w:rPr>
          <w:rFonts w:hint="eastAsia"/>
        </w:rPr>
      </w:pPr>
      <w:r>
        <w:rPr>
          <w:rFonts w:hint="eastAsia"/>
        </w:rPr>
        <w:t>（</w:t>
      </w:r>
      <w:r>
        <w:rPr>
          <w:rFonts w:hint="eastAsia" w:ascii="Times New Roman" w:hAnsi="Times New Roman"/>
        </w:rPr>
        <w:t>1</w:t>
      </w:r>
      <w:r>
        <w:rPr>
          <w:rFonts w:hint="eastAsia" w:ascii="Times New Roman" w:hAnsi="Times New Roman"/>
          <w:lang w:val="en-US" w:eastAsia="zh-CN"/>
        </w:rPr>
        <w:t>4</w:t>
      </w:r>
      <w:r>
        <w:rPr>
          <w:rFonts w:hint="eastAsia"/>
        </w:rPr>
        <w:t>）</w:t>
      </w:r>
      <w:r>
        <w:rPr>
          <w:rFonts w:hint="eastAsia" w:ascii="Times New Roman" w:hAnsi="Times New Roman"/>
          <w:lang w:val="en-US" w:eastAsia="zh-CN"/>
        </w:rPr>
        <w:t>）《自治区减污降碳协同增效实施方案的通知》，新环气候发[</w:t>
      </w:r>
      <w:r>
        <w:rPr>
          <w:rFonts w:hint="eastAsia" w:ascii="Times New Roman" w:hAnsi="Times New Roman"/>
          <w:lang w:val="en-US" w:eastAsia="zh-CN"/>
        </w:rPr>
        <w:t>2023</w:t>
      </w:r>
      <w:r>
        <w:rPr>
          <w:rFonts w:hint="eastAsia" w:ascii="Times New Roman" w:hAnsi="Times New Roman"/>
          <w:lang w:val="en-US" w:eastAsia="zh-CN"/>
        </w:rPr>
        <w:t>]</w:t>
      </w:r>
      <w:r>
        <w:rPr>
          <w:rFonts w:hint="eastAsia" w:ascii="Times New Roman" w:hAnsi="Times New Roman"/>
          <w:lang w:val="en-US" w:eastAsia="zh-CN"/>
        </w:rPr>
        <w:t>19</w:t>
      </w:r>
      <w:r>
        <w:rPr>
          <w:rFonts w:hint="eastAsia" w:ascii="Times New Roman" w:hAnsi="Times New Roman"/>
          <w:lang w:val="en-US" w:eastAsia="zh-CN"/>
        </w:rPr>
        <w:t>号，</w:t>
      </w:r>
      <w:r>
        <w:rPr>
          <w:rFonts w:hint="eastAsia" w:ascii="Times New Roman" w:hAnsi="Times New Roman"/>
          <w:lang w:val="en-US" w:eastAsia="zh-CN"/>
        </w:rPr>
        <w:t>2023</w:t>
      </w:r>
      <w:r>
        <w:rPr>
          <w:rFonts w:hint="eastAsia" w:ascii="Times New Roman" w:hAnsi="Times New Roman"/>
          <w:lang w:val="en-US" w:eastAsia="zh-CN"/>
        </w:rPr>
        <w:t>.</w:t>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12</w:t>
      </w:r>
      <w:r>
        <w:rPr>
          <w:rFonts w:hint="eastAsia"/>
        </w:rPr>
        <w:t>。</w:t>
      </w:r>
    </w:p>
    <w:p>
      <w:pPr>
        <w:pStyle w:val="5"/>
        <w:spacing w:before="156" w:line="460" w:lineRule="exact"/>
      </w:pPr>
      <w:r>
        <w:rPr>
          <w:rFonts w:ascii="Times New Roman" w:hAnsi="Times New Roman"/>
        </w:rPr>
        <w:t>2</w:t>
      </w:r>
      <w:r>
        <w:t>.</w:t>
      </w:r>
      <w:r>
        <w:rPr>
          <w:rFonts w:hint="eastAsia" w:ascii="Times New Roman" w:hAnsi="Times New Roman"/>
          <w:lang w:val="en-US" w:eastAsia="zh-CN"/>
        </w:rPr>
        <w:t>1</w:t>
      </w:r>
      <w:r>
        <w:t>.</w:t>
      </w:r>
      <w:r>
        <w:rPr>
          <w:rFonts w:hint="eastAsia" w:ascii="Times New Roman" w:hAnsi="Times New Roman"/>
        </w:rPr>
        <w:t>5</w:t>
      </w:r>
      <w:r>
        <w:rPr>
          <w:rFonts w:hint="eastAsia"/>
        </w:rPr>
        <w:t>技术</w:t>
      </w:r>
      <w:r>
        <w:t>导则</w:t>
      </w:r>
      <w:r>
        <w:rPr>
          <w:rFonts w:hint="eastAsia"/>
        </w:rPr>
        <w:t>、标准、</w:t>
      </w:r>
      <w:r>
        <w:t>规范</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1</w:t>
      </w:r>
      <w:r>
        <w:rPr>
          <w:rFonts w:hint="eastAsia" w:ascii="Times New Roman"/>
          <w:szCs w:val="24"/>
        </w:rPr>
        <w:t>）</w:t>
      </w:r>
      <w:r>
        <w:rPr>
          <w:rFonts w:ascii="Times New Roman"/>
          <w:szCs w:val="24"/>
        </w:rPr>
        <w:t>《建设项目环境影响评价技术导则 总纲》（</w:t>
      </w:r>
      <w:r>
        <w:rPr>
          <w:rFonts w:ascii="Times New Roman" w:hAnsi="Times New Roman"/>
          <w:szCs w:val="24"/>
        </w:rPr>
        <w:t>HJ2</w:t>
      </w:r>
      <w:r>
        <w:rPr>
          <w:rFonts w:ascii="Times New Roman"/>
          <w:szCs w:val="24"/>
        </w:rPr>
        <w:t>.</w:t>
      </w:r>
      <w:r>
        <w:rPr>
          <w:rFonts w:ascii="Times New Roman" w:hAnsi="Times New Roman"/>
          <w:szCs w:val="24"/>
        </w:rPr>
        <w:t>1</w:t>
      </w:r>
      <w:r>
        <w:rPr>
          <w:rFonts w:ascii="Times New Roman"/>
          <w:szCs w:val="24"/>
        </w:rPr>
        <w:t>-</w:t>
      </w:r>
      <w:r>
        <w:rPr>
          <w:rFonts w:ascii="Times New Roman" w:hAnsi="Times New Roman"/>
          <w:szCs w:val="24"/>
        </w:rPr>
        <w:t>2016</w:t>
      </w:r>
      <w:r>
        <w:rPr>
          <w:rFonts w:ascii="Times New Roman"/>
          <w:szCs w:val="24"/>
        </w:rPr>
        <w:t>）；</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2</w:t>
      </w:r>
      <w:r>
        <w:rPr>
          <w:rFonts w:hint="eastAsia" w:ascii="Times New Roman"/>
          <w:szCs w:val="24"/>
        </w:rPr>
        <w:t>）</w:t>
      </w:r>
      <w:r>
        <w:rPr>
          <w:rFonts w:ascii="Times New Roman"/>
          <w:szCs w:val="24"/>
        </w:rPr>
        <w:t>《环境影响评价技术导则 大气环境》（</w:t>
      </w:r>
      <w:r>
        <w:rPr>
          <w:rFonts w:ascii="Times New Roman" w:hAnsi="Times New Roman"/>
          <w:szCs w:val="24"/>
        </w:rPr>
        <w:t>HJ2</w:t>
      </w:r>
      <w:r>
        <w:rPr>
          <w:rFonts w:ascii="Times New Roman"/>
          <w:szCs w:val="24"/>
        </w:rPr>
        <w:t>.</w:t>
      </w:r>
      <w:r>
        <w:rPr>
          <w:rFonts w:hint="eastAsia" w:ascii="Times New Roman" w:hAnsi="Times New Roman"/>
          <w:szCs w:val="24"/>
        </w:rPr>
        <w:t>2</w:t>
      </w:r>
      <w:r>
        <w:rPr>
          <w:rFonts w:ascii="Times New Roman"/>
          <w:szCs w:val="24"/>
        </w:rPr>
        <w:t>-</w:t>
      </w:r>
      <w:r>
        <w:rPr>
          <w:rFonts w:ascii="Times New Roman" w:hAnsi="Times New Roman"/>
          <w:szCs w:val="24"/>
        </w:rPr>
        <w:t>20</w:t>
      </w:r>
      <w:r>
        <w:rPr>
          <w:rFonts w:hint="eastAsia" w:ascii="Times New Roman" w:hAnsi="Times New Roman"/>
          <w:szCs w:val="24"/>
        </w:rPr>
        <w:t>1</w:t>
      </w:r>
      <w:r>
        <w:rPr>
          <w:rFonts w:ascii="Times New Roman" w:hAnsi="Times New Roman"/>
          <w:szCs w:val="24"/>
        </w:rPr>
        <w:t>8</w:t>
      </w:r>
      <w:r>
        <w:rPr>
          <w:rFonts w:ascii="Times New Roman"/>
          <w:szCs w:val="24"/>
        </w:rPr>
        <w:t>）；</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3</w:t>
      </w:r>
      <w:r>
        <w:rPr>
          <w:rFonts w:hint="eastAsia" w:ascii="Times New Roman"/>
          <w:szCs w:val="24"/>
        </w:rPr>
        <w:t>）</w:t>
      </w:r>
      <w:r>
        <w:rPr>
          <w:rFonts w:ascii="Times New Roman"/>
          <w:szCs w:val="24"/>
        </w:rPr>
        <w:t>《环境影响评价技术导则 地</w:t>
      </w:r>
      <w:r>
        <w:rPr>
          <w:rFonts w:hint="eastAsia"/>
          <w:szCs w:val="24"/>
        </w:rPr>
        <w:t>表</w:t>
      </w:r>
      <w:r>
        <w:rPr>
          <w:rFonts w:ascii="Times New Roman"/>
          <w:szCs w:val="24"/>
        </w:rPr>
        <w:t>水环境》（</w:t>
      </w:r>
      <w:r>
        <w:rPr>
          <w:rFonts w:ascii="Times New Roman" w:hAnsi="Times New Roman"/>
          <w:szCs w:val="24"/>
        </w:rPr>
        <w:t>HJ2</w:t>
      </w:r>
      <w:r>
        <w:rPr>
          <w:rFonts w:ascii="Times New Roman"/>
          <w:szCs w:val="24"/>
        </w:rPr>
        <w:t>.</w:t>
      </w:r>
      <w:r>
        <w:rPr>
          <w:rFonts w:ascii="Times New Roman" w:hAnsi="Times New Roman"/>
          <w:szCs w:val="24"/>
        </w:rPr>
        <w:t>3</w:t>
      </w:r>
      <w:r>
        <w:rPr>
          <w:rFonts w:ascii="Times New Roman"/>
          <w:szCs w:val="24"/>
        </w:rPr>
        <w:t>-</w:t>
      </w:r>
      <w:r>
        <w:rPr>
          <w:rFonts w:hint="eastAsia" w:ascii="Times New Roman" w:hAnsi="Times New Roman"/>
          <w:szCs w:val="24"/>
        </w:rPr>
        <w:t>2018</w:t>
      </w:r>
      <w:r>
        <w:rPr>
          <w:rFonts w:ascii="Times New Roman"/>
          <w:szCs w:val="24"/>
        </w:rPr>
        <w:t>）；</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4</w:t>
      </w:r>
      <w:r>
        <w:rPr>
          <w:rFonts w:hint="eastAsia" w:ascii="Times New Roman"/>
          <w:szCs w:val="24"/>
        </w:rPr>
        <w:t>）</w:t>
      </w:r>
      <w:r>
        <w:rPr>
          <w:rFonts w:ascii="Times New Roman"/>
          <w:szCs w:val="24"/>
        </w:rPr>
        <w:t>《环境影响评价技术导则 地下水环境》（</w:t>
      </w:r>
      <w:r>
        <w:rPr>
          <w:rFonts w:ascii="Times New Roman" w:hAnsi="Times New Roman"/>
          <w:szCs w:val="24"/>
        </w:rPr>
        <w:t>HJ610</w:t>
      </w:r>
      <w:r>
        <w:rPr>
          <w:rFonts w:ascii="Times New Roman"/>
          <w:szCs w:val="24"/>
        </w:rPr>
        <w:t>-</w:t>
      </w:r>
      <w:r>
        <w:rPr>
          <w:rFonts w:ascii="Times New Roman" w:hAnsi="Times New Roman"/>
          <w:szCs w:val="24"/>
        </w:rPr>
        <w:t>2016</w:t>
      </w:r>
      <w:r>
        <w:rPr>
          <w:rFonts w:ascii="Times New Roman"/>
          <w:szCs w:val="24"/>
        </w:rPr>
        <w:t>）；</w:t>
      </w:r>
    </w:p>
    <w:p>
      <w:pPr>
        <w:spacing w:line="460" w:lineRule="exact"/>
        <w:ind w:firstLine="480" w:firstLineChars="200"/>
        <w:rPr>
          <w:rFonts w:ascii="Times New Roman"/>
          <w:szCs w:val="24"/>
        </w:rPr>
      </w:pPr>
      <w:r>
        <w:rPr>
          <w:rFonts w:hint="eastAsia" w:ascii="Times New Roman"/>
          <w:szCs w:val="24"/>
        </w:rPr>
        <w:t>（</w:t>
      </w:r>
      <w:r>
        <w:rPr>
          <w:rFonts w:hint="eastAsia" w:ascii="Times New Roman" w:hAnsi="Times New Roman"/>
          <w:szCs w:val="24"/>
        </w:rPr>
        <w:t>5</w:t>
      </w:r>
      <w:r>
        <w:rPr>
          <w:rFonts w:hint="eastAsia" w:ascii="Times New Roman"/>
          <w:szCs w:val="24"/>
        </w:rPr>
        <w:t>）</w:t>
      </w:r>
      <w:r>
        <w:rPr>
          <w:rFonts w:ascii="Times New Roman"/>
          <w:szCs w:val="24"/>
        </w:rPr>
        <w:t>《环境影响评价技术导则 声环境》（</w:t>
      </w:r>
      <w:r>
        <w:rPr>
          <w:rFonts w:ascii="Times New Roman" w:hAnsi="Times New Roman"/>
          <w:szCs w:val="24"/>
        </w:rPr>
        <w:t>HJ2</w:t>
      </w:r>
      <w:r>
        <w:rPr>
          <w:rFonts w:ascii="Times New Roman"/>
          <w:szCs w:val="24"/>
        </w:rPr>
        <w:t>.</w:t>
      </w:r>
      <w:r>
        <w:rPr>
          <w:rFonts w:ascii="Times New Roman" w:hAnsi="Times New Roman"/>
          <w:szCs w:val="24"/>
        </w:rPr>
        <w:t>4</w:t>
      </w:r>
      <w:r>
        <w:rPr>
          <w:rFonts w:ascii="Times New Roman"/>
          <w:szCs w:val="24"/>
        </w:rPr>
        <w:t>-</w:t>
      </w:r>
      <w:r>
        <w:rPr>
          <w:rFonts w:ascii="Times New Roman" w:hAnsi="Times New Roman"/>
          <w:szCs w:val="24"/>
        </w:rPr>
        <w:t>20</w:t>
      </w:r>
      <w:r>
        <w:rPr>
          <w:rFonts w:hint="eastAsia" w:ascii="Times New Roman" w:hAnsi="Times New Roman"/>
          <w:szCs w:val="24"/>
          <w:lang w:val="en-US" w:eastAsia="zh-CN"/>
        </w:rPr>
        <w:t>21</w:t>
      </w:r>
      <w:r>
        <w:rPr>
          <w:rFonts w:ascii="Times New Roman"/>
          <w:szCs w:val="24"/>
        </w:rPr>
        <w:t>）；</w:t>
      </w:r>
    </w:p>
    <w:p>
      <w:pPr>
        <w:spacing w:line="460" w:lineRule="exact"/>
        <w:ind w:firstLine="480" w:firstLineChars="200"/>
        <w:rPr>
          <w:rFonts w:hint="eastAsia" w:ascii="Times New Roman"/>
          <w:szCs w:val="24"/>
        </w:rPr>
      </w:pPr>
      <w:r>
        <w:rPr>
          <w:rFonts w:hint="eastAsia" w:ascii="Times New Roman"/>
          <w:szCs w:val="24"/>
        </w:rPr>
        <w:t>（</w:t>
      </w:r>
      <w:r>
        <w:rPr>
          <w:rFonts w:hint="eastAsia" w:ascii="Times New Roman" w:hAnsi="Times New Roman"/>
          <w:szCs w:val="24"/>
        </w:rPr>
        <w:t>6</w:t>
      </w:r>
      <w:r>
        <w:rPr>
          <w:rFonts w:hint="eastAsia" w:ascii="Times New Roman"/>
          <w:szCs w:val="24"/>
        </w:rPr>
        <w:t>）《环境影响评价技术导则 土壤环境（试行）》（</w:t>
      </w:r>
      <w:r>
        <w:rPr>
          <w:rFonts w:hint="eastAsia" w:ascii="Times New Roman" w:hAnsi="Times New Roman"/>
          <w:szCs w:val="24"/>
        </w:rPr>
        <w:t>HJ964</w:t>
      </w:r>
      <w:r>
        <w:rPr>
          <w:rFonts w:hint="eastAsia" w:ascii="Times New Roman"/>
          <w:szCs w:val="24"/>
        </w:rPr>
        <w:t>-</w:t>
      </w:r>
      <w:r>
        <w:rPr>
          <w:rFonts w:hint="eastAsia" w:ascii="Times New Roman" w:hAnsi="Times New Roman"/>
          <w:szCs w:val="24"/>
        </w:rPr>
        <w:t>2018</w:t>
      </w:r>
      <w:r>
        <w:rPr>
          <w:rFonts w:hint="eastAsia" w:ascii="Times New Roman"/>
          <w:szCs w:val="24"/>
        </w:rPr>
        <w:t>）</w:t>
      </w:r>
    </w:p>
    <w:p>
      <w:pPr>
        <w:spacing w:line="460" w:lineRule="exact"/>
        <w:ind w:firstLine="480" w:firstLineChars="200"/>
        <w:rPr>
          <w:rFonts w:hint="eastAsia" w:ascii="Times New Roman"/>
          <w:szCs w:val="24"/>
        </w:rPr>
      </w:pPr>
      <w:r>
        <w:rPr>
          <w:rFonts w:hint="eastAsia" w:ascii="Times New Roman"/>
          <w:szCs w:val="24"/>
        </w:rPr>
        <w:t>（</w:t>
      </w:r>
      <w:r>
        <w:rPr>
          <w:rFonts w:hint="eastAsia" w:ascii="Times New Roman" w:hAnsi="Times New Roman"/>
          <w:szCs w:val="24"/>
        </w:rPr>
        <w:t>7</w:t>
      </w:r>
      <w:r>
        <w:rPr>
          <w:rFonts w:hint="eastAsia" w:ascii="Times New Roman"/>
          <w:szCs w:val="24"/>
        </w:rPr>
        <w:t>）</w:t>
      </w:r>
      <w:r>
        <w:rPr>
          <w:rFonts w:hint="eastAsia"/>
          <w:szCs w:val="24"/>
        </w:rPr>
        <w:t>《环境影响评价技术导则 生态影响》（</w:t>
      </w:r>
      <w:r>
        <w:rPr>
          <w:rFonts w:hint="eastAsia" w:ascii="Times New Roman" w:hAnsi="Times New Roman"/>
          <w:szCs w:val="24"/>
        </w:rPr>
        <w:t>HJ19</w:t>
      </w:r>
      <w:r>
        <w:rPr>
          <w:rFonts w:hint="eastAsia"/>
          <w:szCs w:val="24"/>
        </w:rPr>
        <w:t>-</w:t>
      </w:r>
      <w:r>
        <w:rPr>
          <w:rFonts w:hint="eastAsia" w:ascii="Times New Roman" w:hAnsi="Times New Roman"/>
          <w:szCs w:val="24"/>
        </w:rPr>
        <w:t>20</w:t>
      </w:r>
      <w:r>
        <w:rPr>
          <w:rFonts w:hint="eastAsia" w:ascii="Times New Roman" w:hAnsi="Times New Roman"/>
          <w:szCs w:val="24"/>
          <w:lang w:val="en-US" w:eastAsia="zh-CN"/>
        </w:rPr>
        <w:t>22</w:t>
      </w:r>
      <w:r>
        <w:rPr>
          <w:rFonts w:hint="eastAsia"/>
          <w:szCs w:val="24"/>
        </w:rPr>
        <w:t>）；</w:t>
      </w:r>
    </w:p>
    <w:p>
      <w:pPr>
        <w:spacing w:line="460" w:lineRule="exact"/>
        <w:ind w:firstLine="480" w:firstLineChars="200"/>
        <w:rPr>
          <w:rFonts w:ascii="Times New Roman"/>
          <w:szCs w:val="24"/>
        </w:rPr>
      </w:pPr>
      <w:r>
        <w:rPr>
          <w:rFonts w:hint="eastAsia"/>
          <w:szCs w:val="24"/>
        </w:rPr>
        <w:t>（</w:t>
      </w:r>
      <w:r>
        <w:rPr>
          <w:rFonts w:hint="eastAsia" w:ascii="Times New Roman" w:hAnsi="Times New Roman"/>
          <w:szCs w:val="24"/>
        </w:rPr>
        <w:t>8</w:t>
      </w:r>
      <w:r>
        <w:rPr>
          <w:rFonts w:hint="eastAsia"/>
          <w:szCs w:val="24"/>
        </w:rPr>
        <w:t>）</w:t>
      </w:r>
      <w:r>
        <w:rPr>
          <w:rFonts w:ascii="Times New Roman"/>
          <w:szCs w:val="24"/>
        </w:rPr>
        <w:t>《建设项目环境风险评价技术导则》（</w:t>
      </w:r>
      <w:r>
        <w:rPr>
          <w:rFonts w:ascii="Times New Roman" w:hAnsi="Times New Roman"/>
          <w:szCs w:val="24"/>
        </w:rPr>
        <w:t>HJ169</w:t>
      </w:r>
      <w:r>
        <w:rPr>
          <w:rFonts w:ascii="Times New Roman"/>
          <w:szCs w:val="24"/>
        </w:rPr>
        <w:t>-</w:t>
      </w:r>
      <w:r>
        <w:rPr>
          <w:rFonts w:ascii="Times New Roman" w:hAnsi="Times New Roman"/>
          <w:szCs w:val="24"/>
        </w:rPr>
        <w:t>20</w:t>
      </w:r>
      <w:r>
        <w:rPr>
          <w:rFonts w:hint="eastAsia" w:ascii="Times New Roman" w:hAnsi="Times New Roman"/>
          <w:szCs w:val="24"/>
        </w:rPr>
        <w:t>18</w:t>
      </w:r>
      <w:r>
        <w:rPr>
          <w:rFonts w:ascii="Times New Roman"/>
          <w:szCs w:val="24"/>
        </w:rPr>
        <w:t>）；</w:t>
      </w:r>
    </w:p>
    <w:p>
      <w:pPr>
        <w:spacing w:line="460" w:lineRule="exact"/>
        <w:ind w:firstLine="480" w:firstLineChars="200"/>
        <w:rPr>
          <w:rFonts w:hint="eastAsia" w:ascii="Times New Roman"/>
          <w:szCs w:val="24"/>
        </w:rPr>
      </w:pPr>
      <w:r>
        <w:rPr>
          <w:rFonts w:hint="eastAsia"/>
          <w:szCs w:val="24"/>
        </w:rPr>
        <w:t>（</w:t>
      </w:r>
      <w:r>
        <w:rPr>
          <w:rFonts w:hint="eastAsia" w:ascii="Times New Roman" w:hAnsi="Times New Roman"/>
          <w:szCs w:val="24"/>
        </w:rPr>
        <w:t>9</w:t>
      </w:r>
      <w:r>
        <w:rPr>
          <w:rFonts w:hint="eastAsia"/>
          <w:szCs w:val="24"/>
        </w:rPr>
        <w:t>）</w:t>
      </w:r>
      <w:r>
        <w:rPr>
          <w:rFonts w:ascii="Times New Roman"/>
          <w:szCs w:val="24"/>
        </w:rPr>
        <w:t>《大气污染治理工程技术导则》（</w:t>
      </w:r>
      <w:r>
        <w:rPr>
          <w:rFonts w:ascii="Times New Roman" w:hAnsi="Times New Roman"/>
          <w:szCs w:val="24"/>
        </w:rPr>
        <w:t>HJ2000</w:t>
      </w:r>
      <w:r>
        <w:rPr>
          <w:rFonts w:ascii="Times New Roman"/>
          <w:szCs w:val="24"/>
        </w:rPr>
        <w:t>-</w:t>
      </w:r>
      <w:r>
        <w:rPr>
          <w:rFonts w:ascii="Times New Roman" w:hAnsi="Times New Roman"/>
          <w:szCs w:val="24"/>
        </w:rPr>
        <w:t>201</w:t>
      </w:r>
      <w:r>
        <w:rPr>
          <w:rFonts w:hint="eastAsia" w:ascii="Times New Roman" w:hAnsi="Times New Roman"/>
          <w:szCs w:val="24"/>
        </w:rPr>
        <w:t>0</w:t>
      </w:r>
      <w:r>
        <w:rPr>
          <w:rFonts w:ascii="Times New Roman"/>
          <w:szCs w:val="24"/>
        </w:rPr>
        <w:t>）；</w:t>
      </w:r>
    </w:p>
    <w:p>
      <w:pPr>
        <w:spacing w:line="460" w:lineRule="exact"/>
        <w:ind w:firstLine="480" w:firstLineChars="200"/>
        <w:rPr>
          <w:rFonts w:ascii="Times New Roman"/>
          <w:szCs w:val="24"/>
        </w:rPr>
      </w:pPr>
      <w:r>
        <w:rPr>
          <w:rFonts w:hint="eastAsia"/>
          <w:szCs w:val="24"/>
        </w:rPr>
        <w:t>（</w:t>
      </w:r>
      <w:r>
        <w:rPr>
          <w:rFonts w:hint="eastAsia" w:ascii="Times New Roman" w:hAnsi="Times New Roman"/>
          <w:szCs w:val="24"/>
        </w:rPr>
        <w:t>10</w:t>
      </w:r>
      <w:r>
        <w:rPr>
          <w:rFonts w:hint="eastAsia"/>
          <w:szCs w:val="24"/>
        </w:rPr>
        <w:t>）《水污染治理工程技术导则》（</w:t>
      </w:r>
      <w:r>
        <w:rPr>
          <w:rFonts w:hint="eastAsia" w:ascii="Times New Roman" w:hAnsi="Times New Roman"/>
          <w:szCs w:val="24"/>
        </w:rPr>
        <w:t>HJ2015</w:t>
      </w:r>
      <w:r>
        <w:rPr>
          <w:rFonts w:hint="eastAsia"/>
          <w:szCs w:val="24"/>
        </w:rPr>
        <w:t>-</w:t>
      </w:r>
      <w:r>
        <w:rPr>
          <w:rFonts w:hint="eastAsia" w:ascii="Times New Roman" w:hAnsi="Times New Roman"/>
          <w:szCs w:val="24"/>
        </w:rPr>
        <w:t>2012</w:t>
      </w:r>
      <w:r>
        <w:rPr>
          <w:rFonts w:hint="eastAsia"/>
          <w:szCs w:val="24"/>
        </w:rPr>
        <w:t>）；</w:t>
      </w:r>
    </w:p>
    <w:p>
      <w:pPr>
        <w:spacing w:line="460" w:lineRule="exact"/>
        <w:ind w:firstLine="480" w:firstLineChars="200"/>
        <w:rPr>
          <w:rFonts w:hint="eastAsia" w:ascii="Times New Roman" w:eastAsia="宋体"/>
          <w:szCs w:val="24"/>
          <w:lang w:eastAsia="zh-CN"/>
        </w:rPr>
      </w:pPr>
      <w:r>
        <w:rPr>
          <w:rFonts w:hint="eastAsia" w:ascii="Times New Roman"/>
          <w:szCs w:val="24"/>
        </w:rPr>
        <w:t>（</w:t>
      </w:r>
      <w:r>
        <w:rPr>
          <w:rFonts w:hint="eastAsia" w:ascii="Times New Roman" w:hAnsi="Times New Roman"/>
          <w:szCs w:val="24"/>
        </w:rPr>
        <w:t>11</w:t>
      </w:r>
      <w:r>
        <w:rPr>
          <w:rFonts w:hint="eastAsia" w:ascii="Times New Roman"/>
          <w:szCs w:val="24"/>
        </w:rPr>
        <w:t>）</w:t>
      </w:r>
      <w:r>
        <w:rPr>
          <w:rFonts w:hint="eastAsia" w:ascii="Times New Roman"/>
          <w:szCs w:val="24"/>
          <w:lang w:eastAsia="zh-CN"/>
        </w:rPr>
        <w:t>《常用危险化学品贮存通则》（</w:t>
      </w:r>
      <w:r>
        <w:rPr>
          <w:rFonts w:hint="eastAsia" w:ascii="Times New Roman" w:hAnsi="Times New Roman"/>
          <w:szCs w:val="24"/>
          <w:lang w:val="en-US" w:eastAsia="zh-CN"/>
        </w:rPr>
        <w:t>GB15603</w:t>
      </w:r>
      <w:r>
        <w:rPr>
          <w:rFonts w:hint="eastAsia" w:ascii="Times New Roman"/>
          <w:szCs w:val="24"/>
          <w:lang w:val="en-US" w:eastAsia="zh-CN"/>
        </w:rPr>
        <w:t>-</w:t>
      </w:r>
      <w:r>
        <w:rPr>
          <w:rFonts w:hint="eastAsia" w:ascii="Times New Roman" w:hAnsi="Times New Roman"/>
          <w:szCs w:val="24"/>
          <w:lang w:val="en-US" w:eastAsia="zh-CN"/>
        </w:rPr>
        <w:t>1995</w:t>
      </w:r>
      <w:r>
        <w:rPr>
          <w:rFonts w:hint="eastAsia" w:ascii="Times New Roman"/>
          <w:szCs w:val="24"/>
          <w:lang w:eastAsia="zh-CN"/>
        </w:rPr>
        <w:t>）；</w:t>
      </w:r>
    </w:p>
    <w:p>
      <w:pPr>
        <w:spacing w:line="460" w:lineRule="exact"/>
        <w:ind w:firstLine="480" w:firstLineChars="200"/>
        <w:rPr>
          <w:rFonts w:hint="eastAsia" w:ascii="Times New Roman"/>
          <w:szCs w:val="24"/>
          <w:lang w:eastAsia="zh-CN"/>
        </w:rPr>
      </w:pPr>
      <w:r>
        <w:rPr>
          <w:rFonts w:hint="eastAsia" w:ascii="Times New Roman"/>
          <w:szCs w:val="24"/>
          <w:lang w:eastAsia="zh-CN"/>
        </w:rPr>
        <w:t>（</w:t>
      </w:r>
      <w:r>
        <w:rPr>
          <w:rFonts w:hint="eastAsia" w:ascii="Times New Roman" w:hAnsi="Times New Roman"/>
          <w:szCs w:val="24"/>
          <w:lang w:val="en-US" w:eastAsia="zh-CN"/>
        </w:rPr>
        <w:t>12</w:t>
      </w:r>
      <w:r>
        <w:rPr>
          <w:rFonts w:hint="eastAsia" w:ascii="Times New Roman"/>
          <w:szCs w:val="24"/>
          <w:lang w:eastAsia="zh-CN"/>
        </w:rPr>
        <w:t>）</w:t>
      </w:r>
      <w:r>
        <w:rPr>
          <w:rFonts w:hint="eastAsia"/>
          <w:szCs w:val="24"/>
        </w:rPr>
        <w:t>《石油化工工程防渗技术规范》（</w:t>
      </w:r>
      <w:r>
        <w:rPr>
          <w:rFonts w:hint="eastAsia" w:ascii="Times New Roman" w:hAnsi="Times New Roman"/>
          <w:szCs w:val="24"/>
        </w:rPr>
        <w:t>GB</w:t>
      </w:r>
      <w:r>
        <w:rPr>
          <w:rFonts w:hint="eastAsia"/>
          <w:szCs w:val="24"/>
        </w:rPr>
        <w:t>/</w:t>
      </w:r>
      <w:r>
        <w:rPr>
          <w:rFonts w:hint="eastAsia" w:ascii="Times New Roman" w:hAnsi="Times New Roman"/>
          <w:szCs w:val="24"/>
        </w:rPr>
        <w:t>T50934</w:t>
      </w:r>
      <w:r>
        <w:rPr>
          <w:rFonts w:hint="eastAsia"/>
          <w:szCs w:val="24"/>
        </w:rPr>
        <w:t>-</w:t>
      </w:r>
      <w:r>
        <w:rPr>
          <w:rFonts w:hint="eastAsia" w:ascii="Times New Roman" w:hAnsi="Times New Roman"/>
          <w:szCs w:val="24"/>
        </w:rPr>
        <w:t>2013</w:t>
      </w:r>
      <w:r>
        <w:rPr>
          <w:rFonts w:hint="eastAsia"/>
          <w:szCs w:val="24"/>
        </w:rPr>
        <w:t>）；</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13</w:t>
      </w:r>
      <w:r>
        <w:rPr>
          <w:rFonts w:hint="eastAsia" w:ascii="Times New Roman"/>
          <w:szCs w:val="24"/>
          <w:lang w:eastAsia="zh-CN"/>
        </w:rPr>
        <w:t>）</w:t>
      </w:r>
      <w:r>
        <w:rPr>
          <w:rFonts w:hint="eastAsia" w:ascii="Times New Roman"/>
          <w:szCs w:val="24"/>
        </w:rPr>
        <w:t>《危险化学品重大危险源辨识》（</w:t>
      </w:r>
      <w:r>
        <w:rPr>
          <w:rFonts w:hint="eastAsia" w:ascii="Times New Roman" w:hAnsi="Times New Roman"/>
          <w:szCs w:val="24"/>
        </w:rPr>
        <w:t>GB18218</w:t>
      </w:r>
      <w:r>
        <w:rPr>
          <w:rFonts w:hint="eastAsia" w:ascii="Times New Roman"/>
          <w:szCs w:val="24"/>
        </w:rPr>
        <w:t>-</w:t>
      </w:r>
      <w:r>
        <w:rPr>
          <w:rFonts w:hint="eastAsia" w:ascii="Times New Roman" w:hAnsi="Times New Roman"/>
          <w:szCs w:val="24"/>
        </w:rPr>
        <w:t>2018</w:t>
      </w:r>
      <w:r>
        <w:rPr>
          <w:rFonts w:hint="eastAsia" w:ascii="Times New Roman"/>
          <w:szCs w:val="24"/>
        </w:rPr>
        <w:t>）</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14</w:t>
      </w:r>
      <w:r>
        <w:rPr>
          <w:rFonts w:hint="eastAsia" w:ascii="Times New Roman"/>
          <w:szCs w:val="24"/>
          <w:lang w:eastAsia="zh-CN"/>
        </w:rPr>
        <w:t>）</w:t>
      </w:r>
      <w:r>
        <w:rPr>
          <w:rFonts w:ascii="Times New Roman"/>
          <w:color w:val="auto"/>
          <w:szCs w:val="24"/>
        </w:rPr>
        <w:t>《化工建设项目环境保护设施</w:t>
      </w:r>
      <w:r>
        <w:rPr>
          <w:rFonts w:hint="eastAsia" w:ascii="Times New Roman"/>
          <w:color w:val="auto"/>
          <w:szCs w:val="24"/>
          <w:lang w:eastAsia="zh-CN"/>
        </w:rPr>
        <w:t>标准</w:t>
      </w:r>
      <w:r>
        <w:rPr>
          <w:rFonts w:ascii="Times New Roman"/>
          <w:color w:val="auto"/>
          <w:szCs w:val="24"/>
        </w:rPr>
        <w:t>》（</w:t>
      </w:r>
      <w:r>
        <w:rPr>
          <w:rFonts w:ascii="Times New Roman" w:hAnsi="Times New Roman"/>
          <w:color w:val="auto"/>
          <w:szCs w:val="24"/>
        </w:rPr>
        <w:t>GB</w:t>
      </w:r>
      <w:r>
        <w:rPr>
          <w:rFonts w:ascii="Times New Roman"/>
          <w:color w:val="auto"/>
          <w:szCs w:val="24"/>
        </w:rPr>
        <w:t>/</w:t>
      </w:r>
      <w:r>
        <w:rPr>
          <w:rFonts w:ascii="Times New Roman" w:hAnsi="Times New Roman"/>
          <w:color w:val="auto"/>
          <w:szCs w:val="24"/>
        </w:rPr>
        <w:t>T50483</w:t>
      </w:r>
      <w:r>
        <w:rPr>
          <w:rFonts w:ascii="Times New Roman"/>
          <w:color w:val="auto"/>
          <w:szCs w:val="24"/>
        </w:rPr>
        <w:t>-</w:t>
      </w:r>
      <w:r>
        <w:rPr>
          <w:rFonts w:ascii="Times New Roman" w:hAnsi="Times New Roman"/>
          <w:color w:val="auto"/>
          <w:szCs w:val="24"/>
        </w:rPr>
        <w:t>2019</w:t>
      </w:r>
      <w:r>
        <w:rPr>
          <w:rFonts w:ascii="Times New Roman"/>
          <w:color w:val="auto"/>
          <w:szCs w:val="24"/>
        </w:rPr>
        <w:t>）</w:t>
      </w:r>
      <w:r>
        <w:rPr>
          <w:rFonts w:hint="eastAsia" w:ascii="Times New Roman"/>
          <w:color w:val="auto"/>
          <w:szCs w:val="24"/>
          <w:lang w:eastAsia="zh-CN"/>
        </w:rPr>
        <w:t>；</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15</w:t>
      </w:r>
      <w:r>
        <w:rPr>
          <w:rFonts w:hint="eastAsia" w:ascii="Times New Roman"/>
          <w:szCs w:val="24"/>
          <w:lang w:eastAsia="zh-CN"/>
        </w:rPr>
        <w:t>）</w:t>
      </w:r>
      <w:r>
        <w:rPr>
          <w:rFonts w:ascii="Times New Roman"/>
          <w:szCs w:val="24"/>
        </w:rPr>
        <w:t>《</w:t>
      </w:r>
      <w:r>
        <w:rPr>
          <w:rFonts w:hint="eastAsia"/>
          <w:szCs w:val="24"/>
        </w:rPr>
        <w:t>排污单位自行监测技术指南 总则</w:t>
      </w:r>
      <w:r>
        <w:rPr>
          <w:rFonts w:ascii="Times New Roman"/>
          <w:szCs w:val="24"/>
        </w:rPr>
        <w:t>》（</w:t>
      </w:r>
      <w:r>
        <w:rPr>
          <w:rFonts w:hint="eastAsia" w:ascii="Times New Roman" w:hAnsi="Times New Roman"/>
          <w:szCs w:val="24"/>
        </w:rPr>
        <w:t>HJ819</w:t>
      </w:r>
      <w:r>
        <w:rPr>
          <w:rFonts w:hint="eastAsia"/>
          <w:szCs w:val="24"/>
        </w:rPr>
        <w:t>-</w:t>
      </w:r>
      <w:r>
        <w:rPr>
          <w:rFonts w:hint="eastAsia" w:ascii="Times New Roman" w:hAnsi="Times New Roman"/>
          <w:szCs w:val="24"/>
        </w:rPr>
        <w:t>2017</w:t>
      </w:r>
      <w:r>
        <w:rPr>
          <w:rFonts w:ascii="Times New Roman"/>
          <w:szCs w:val="24"/>
        </w:rPr>
        <w:t>）</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16</w:t>
      </w:r>
      <w:r>
        <w:rPr>
          <w:rFonts w:hint="eastAsia" w:ascii="Times New Roman"/>
          <w:szCs w:val="24"/>
          <w:lang w:eastAsia="zh-CN"/>
        </w:rPr>
        <w:t>）</w:t>
      </w:r>
      <w:r>
        <w:rPr>
          <w:rFonts w:hint="eastAsia" w:ascii="Times New Roman"/>
          <w:color w:val="auto"/>
          <w:szCs w:val="24"/>
          <w:lang w:eastAsia="zh-CN"/>
        </w:rPr>
        <w:t>《</w:t>
      </w:r>
      <w:r>
        <w:rPr>
          <w:rFonts w:hint="eastAsia" w:ascii="Times New Roman" w:cs="Times New Roman"/>
          <w:color w:val="auto"/>
          <w:sz w:val="24"/>
          <w:szCs w:val="24"/>
          <w:lang w:val="en-US" w:eastAsia="zh-CN"/>
        </w:rPr>
        <w:t>工业企业土壤和地下水自行监测技术指南（试行）》（</w:t>
      </w:r>
      <w:r>
        <w:rPr>
          <w:rFonts w:hint="eastAsia" w:ascii="Times New Roman" w:hAnsi="Times New Roman" w:cs="Times New Roman"/>
          <w:color w:val="auto"/>
          <w:sz w:val="24"/>
          <w:szCs w:val="24"/>
          <w:lang w:val="en-US" w:eastAsia="zh-CN"/>
        </w:rPr>
        <w:t>HJ1209</w:t>
      </w:r>
      <w:r>
        <w:rPr>
          <w:rFonts w:hint="eastAsia" w:asci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2021</w:t>
      </w:r>
      <w:r>
        <w:rPr>
          <w:rFonts w:hint="eastAsia" w:ascii="Times New Roman" w:cs="Times New Roman"/>
          <w:color w:val="auto"/>
          <w:sz w:val="24"/>
          <w:szCs w:val="24"/>
          <w:lang w:val="en-US" w:eastAsia="zh-CN"/>
        </w:rPr>
        <w:t>）</w:t>
      </w:r>
      <w:r>
        <w:rPr>
          <w:rFonts w:hint="eastAsia" w:ascii="Times New Roman"/>
          <w:szCs w:val="24"/>
          <w:lang w:eastAsia="zh-CN"/>
        </w:rPr>
        <w:t>；</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17</w:t>
      </w:r>
      <w:r>
        <w:rPr>
          <w:rFonts w:hint="eastAsia" w:ascii="Times New Roman"/>
          <w:szCs w:val="24"/>
          <w:lang w:eastAsia="zh-CN"/>
        </w:rPr>
        <w:t>）</w:t>
      </w:r>
      <w:r>
        <w:rPr>
          <w:rFonts w:ascii="Times New Roman"/>
          <w:szCs w:val="24"/>
        </w:rPr>
        <w:t>《</w:t>
      </w:r>
      <w:r>
        <w:rPr>
          <w:rFonts w:hint="eastAsia"/>
          <w:szCs w:val="24"/>
        </w:rPr>
        <w:t>排污许可证申请与核发技术规范 总则</w:t>
      </w:r>
      <w:r>
        <w:rPr>
          <w:rFonts w:ascii="Times New Roman"/>
          <w:szCs w:val="24"/>
        </w:rPr>
        <w:t>》（</w:t>
      </w:r>
      <w:r>
        <w:rPr>
          <w:rFonts w:hint="eastAsia" w:ascii="Times New Roman" w:hAnsi="Times New Roman"/>
          <w:szCs w:val="24"/>
        </w:rPr>
        <w:t>HJ942</w:t>
      </w:r>
      <w:r>
        <w:rPr>
          <w:rFonts w:hint="eastAsia"/>
          <w:szCs w:val="24"/>
        </w:rPr>
        <w:t>-</w:t>
      </w:r>
      <w:r>
        <w:rPr>
          <w:rFonts w:hint="eastAsia" w:ascii="Times New Roman" w:hAnsi="Times New Roman"/>
          <w:szCs w:val="24"/>
        </w:rPr>
        <w:t>2018</w:t>
      </w:r>
      <w:r>
        <w:rPr>
          <w:rFonts w:ascii="Times New Roman"/>
          <w:szCs w:val="24"/>
        </w:rPr>
        <w:t>）</w:t>
      </w:r>
      <w:r>
        <w:rPr>
          <w:rFonts w:hint="eastAsia" w:ascii="Times New Roman"/>
          <w:szCs w:val="24"/>
          <w:lang w:eastAsia="zh-CN"/>
        </w:rPr>
        <w:t>；</w:t>
      </w:r>
    </w:p>
    <w:p>
      <w:pPr>
        <w:spacing w:line="460" w:lineRule="exact"/>
        <w:ind w:firstLine="480" w:firstLineChars="200"/>
        <w:rPr>
          <w:rFonts w:ascii="Times New Roman"/>
          <w:szCs w:val="24"/>
        </w:rPr>
      </w:pPr>
      <w:r>
        <w:rPr>
          <w:rFonts w:hint="eastAsia" w:ascii="Times New Roman"/>
          <w:szCs w:val="24"/>
          <w:lang w:eastAsia="zh-CN"/>
        </w:rPr>
        <w:t>（</w:t>
      </w:r>
      <w:r>
        <w:rPr>
          <w:rFonts w:hint="eastAsia" w:ascii="Times New Roman" w:hAnsi="Times New Roman"/>
          <w:szCs w:val="24"/>
          <w:lang w:val="en-US" w:eastAsia="zh-CN"/>
        </w:rPr>
        <w:t>18</w:t>
      </w:r>
      <w:r>
        <w:rPr>
          <w:rFonts w:hint="eastAsia" w:ascii="Times New Roman"/>
          <w:szCs w:val="24"/>
          <w:lang w:eastAsia="zh-CN"/>
        </w:rPr>
        <w:t>）</w:t>
      </w:r>
      <w:r>
        <w:rPr>
          <w:rFonts w:hint="eastAsia"/>
          <w:szCs w:val="24"/>
          <w:lang w:eastAsia="zh-CN"/>
        </w:rPr>
        <w:t>《污染源源强核算技术指南</w:t>
      </w:r>
      <w:r>
        <w:rPr>
          <w:rFonts w:hint="eastAsia"/>
          <w:szCs w:val="24"/>
          <w:lang w:val="en-US" w:eastAsia="zh-CN"/>
        </w:rPr>
        <w:t xml:space="preserve"> 准则</w:t>
      </w:r>
      <w:r>
        <w:rPr>
          <w:rFonts w:hint="eastAsia"/>
          <w:szCs w:val="24"/>
          <w:lang w:eastAsia="zh-CN"/>
        </w:rPr>
        <w:t>》（</w:t>
      </w:r>
      <w:r>
        <w:rPr>
          <w:rFonts w:hint="eastAsia" w:ascii="Times New Roman" w:hAnsi="Times New Roman"/>
          <w:szCs w:val="24"/>
          <w:lang w:val="en-US" w:eastAsia="zh-CN"/>
        </w:rPr>
        <w:t>HJ884</w:t>
      </w:r>
      <w:r>
        <w:rPr>
          <w:rFonts w:hint="eastAsia"/>
          <w:szCs w:val="24"/>
          <w:lang w:val="en-US" w:eastAsia="zh-CN"/>
        </w:rPr>
        <w:t>-</w:t>
      </w:r>
      <w:r>
        <w:rPr>
          <w:rFonts w:hint="eastAsia" w:ascii="Times New Roman" w:hAnsi="Times New Roman"/>
          <w:szCs w:val="24"/>
          <w:lang w:val="en-US" w:eastAsia="zh-CN"/>
        </w:rPr>
        <w:t>2018</w:t>
      </w:r>
      <w:r>
        <w:rPr>
          <w:rFonts w:hint="eastAsia"/>
          <w:szCs w:val="24"/>
          <w:lang w:eastAsia="zh-CN"/>
        </w:rPr>
        <w:t>）</w:t>
      </w:r>
      <w:r>
        <w:rPr>
          <w:rFonts w:ascii="Times New Roman"/>
          <w:szCs w:val="24"/>
        </w:rPr>
        <w:t>；</w:t>
      </w:r>
    </w:p>
    <w:p>
      <w:pPr>
        <w:spacing w:line="460" w:lineRule="exact"/>
        <w:ind w:firstLine="480" w:firstLineChars="200"/>
        <w:rPr>
          <w:rFonts w:hint="eastAsia" w:ascii="Times New Roman" w:eastAsia="宋体"/>
          <w:szCs w:val="24"/>
          <w:lang w:eastAsia="zh-CN"/>
        </w:rPr>
      </w:pPr>
      <w:r>
        <w:rPr>
          <w:rFonts w:hint="eastAsia"/>
          <w:szCs w:val="24"/>
        </w:rPr>
        <w:t>（</w:t>
      </w:r>
      <w:r>
        <w:rPr>
          <w:rFonts w:hint="eastAsia" w:ascii="Times New Roman" w:hAnsi="Times New Roman"/>
          <w:szCs w:val="24"/>
          <w:lang w:val="en-US" w:eastAsia="zh-CN"/>
        </w:rPr>
        <w:t>19</w:t>
      </w:r>
      <w:r>
        <w:rPr>
          <w:rFonts w:hint="eastAsia"/>
          <w:szCs w:val="24"/>
        </w:rPr>
        <w:t>）</w:t>
      </w:r>
      <w:r>
        <w:rPr>
          <w:rFonts w:hint="eastAsia" w:ascii="Times New Roman"/>
          <w:szCs w:val="24"/>
          <w:lang w:eastAsia="zh-CN"/>
        </w:rPr>
        <w:t>《地下水环境监测技术规范》（</w:t>
      </w:r>
      <w:r>
        <w:rPr>
          <w:rFonts w:hint="eastAsia" w:ascii="Times New Roman" w:hAnsi="Times New Roman"/>
          <w:szCs w:val="24"/>
          <w:lang w:val="en-US" w:eastAsia="zh-CN"/>
        </w:rPr>
        <w:t>HJ164</w:t>
      </w:r>
      <w:r>
        <w:rPr>
          <w:rFonts w:hint="eastAsia" w:ascii="Times New Roman"/>
          <w:szCs w:val="24"/>
          <w:lang w:val="en-US" w:eastAsia="zh-CN"/>
        </w:rPr>
        <w:t>-</w:t>
      </w:r>
      <w:r>
        <w:rPr>
          <w:rFonts w:hint="eastAsia" w:ascii="Times New Roman" w:hAnsi="Times New Roman"/>
          <w:szCs w:val="24"/>
          <w:lang w:val="en-US" w:eastAsia="zh-CN"/>
        </w:rPr>
        <w:t>2020</w:t>
      </w:r>
      <w:r>
        <w:rPr>
          <w:rFonts w:hint="eastAsia" w:ascii="Times New Roman"/>
          <w:szCs w:val="24"/>
          <w:lang w:eastAsia="zh-CN"/>
        </w:rPr>
        <w:t>）</w:t>
      </w:r>
      <w:r>
        <w:rPr>
          <w:rFonts w:hint="eastAsia"/>
          <w:szCs w:val="24"/>
          <w:lang w:eastAsia="zh-CN"/>
        </w:rPr>
        <w:t>；</w:t>
      </w:r>
    </w:p>
    <w:p>
      <w:pPr>
        <w:spacing w:line="460" w:lineRule="exact"/>
        <w:ind w:firstLine="480" w:firstLineChars="200"/>
        <w:rPr>
          <w:rFonts w:hint="eastAsia" w:ascii="Times New Roman"/>
          <w:szCs w:val="24"/>
        </w:rPr>
      </w:pPr>
      <w:r>
        <w:rPr>
          <w:rFonts w:hint="eastAsia" w:ascii="Times New Roman"/>
          <w:szCs w:val="24"/>
        </w:rPr>
        <w:t>（</w:t>
      </w:r>
      <w:r>
        <w:rPr>
          <w:rFonts w:hint="eastAsia" w:ascii="Times New Roman" w:hAnsi="Times New Roman"/>
          <w:szCs w:val="24"/>
          <w:lang w:val="en-US" w:eastAsia="zh-CN"/>
        </w:rPr>
        <w:t>20</w:t>
      </w:r>
      <w:r>
        <w:rPr>
          <w:rFonts w:hint="eastAsia" w:ascii="Times New Roman"/>
          <w:szCs w:val="24"/>
        </w:rPr>
        <w:t>）</w:t>
      </w:r>
      <w:r>
        <w:rPr>
          <w:rFonts w:hint="eastAsia" w:ascii="Times New Roman"/>
          <w:szCs w:val="24"/>
          <w:lang w:eastAsia="zh-CN"/>
        </w:rPr>
        <w:t>《土壤环境监测技术规范》（</w:t>
      </w:r>
      <w:r>
        <w:rPr>
          <w:rFonts w:hint="eastAsia" w:ascii="Times New Roman" w:hAnsi="Times New Roman"/>
          <w:szCs w:val="24"/>
          <w:lang w:val="en-US" w:eastAsia="zh-CN"/>
        </w:rPr>
        <w:t>HJ16</w:t>
      </w:r>
      <w:r>
        <w:rPr>
          <w:rFonts w:hint="eastAsia" w:ascii="Times New Roman"/>
          <w:szCs w:val="24"/>
          <w:lang w:val="en-US" w:eastAsia="zh-CN"/>
        </w:rPr>
        <w:t>-</w:t>
      </w:r>
      <w:r>
        <w:rPr>
          <w:rFonts w:hint="eastAsia" w:ascii="Times New Roman" w:hAnsi="Times New Roman"/>
          <w:szCs w:val="24"/>
          <w:lang w:val="en-US" w:eastAsia="zh-CN"/>
        </w:rPr>
        <w:t>2004</w:t>
      </w:r>
      <w:r>
        <w:rPr>
          <w:rFonts w:hint="eastAsia" w:ascii="Times New Roman"/>
          <w:szCs w:val="24"/>
          <w:lang w:eastAsia="zh-CN"/>
        </w:rPr>
        <w:t>）</w:t>
      </w:r>
      <w:r>
        <w:rPr>
          <w:rFonts w:hint="eastAsia" w:ascii="Times New Roman"/>
          <w:szCs w:val="24"/>
        </w:rPr>
        <w:t>；</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21</w:t>
      </w:r>
      <w:r>
        <w:rPr>
          <w:rFonts w:hint="eastAsia" w:ascii="Times New Roman"/>
          <w:szCs w:val="24"/>
          <w:lang w:eastAsia="zh-CN"/>
        </w:rPr>
        <w:t>）《危险废物贮存污染控制标准》（</w:t>
      </w:r>
      <w:r>
        <w:rPr>
          <w:rFonts w:hint="eastAsia" w:ascii="Times New Roman" w:hAnsi="Times New Roman"/>
          <w:szCs w:val="24"/>
          <w:lang w:val="en-US" w:eastAsia="zh-CN"/>
        </w:rPr>
        <w:t>GB18597</w:t>
      </w:r>
      <w:r>
        <w:rPr>
          <w:rFonts w:hint="eastAsia" w:ascii="Times New Roman"/>
          <w:szCs w:val="24"/>
          <w:lang w:val="en-US" w:eastAsia="zh-CN"/>
        </w:rPr>
        <w:t>-</w:t>
      </w:r>
      <w:r>
        <w:rPr>
          <w:rFonts w:hint="eastAsia" w:ascii="Times New Roman" w:hAnsi="Times New Roman"/>
          <w:szCs w:val="24"/>
          <w:lang w:val="en-US" w:eastAsia="zh-CN"/>
        </w:rPr>
        <w:t>2023</w:t>
      </w:r>
      <w:r>
        <w:rPr>
          <w:rFonts w:hint="eastAsia" w:ascii="Times New Roman"/>
          <w:szCs w:val="24"/>
          <w:lang w:eastAsia="zh-CN"/>
        </w:rPr>
        <w:t>）；</w:t>
      </w:r>
    </w:p>
    <w:p>
      <w:pPr>
        <w:spacing w:line="460" w:lineRule="exact"/>
        <w:ind w:firstLine="480" w:firstLineChars="200"/>
        <w:rPr>
          <w:rFonts w:hint="eastAsia" w:ascii="Times New Roman"/>
          <w:szCs w:val="24"/>
          <w:lang w:eastAsia="zh-CN"/>
        </w:rPr>
      </w:pPr>
      <w:r>
        <w:rPr>
          <w:rFonts w:hint="eastAsia" w:ascii="Times New Roman"/>
          <w:szCs w:val="24"/>
        </w:rPr>
        <w:t>（</w:t>
      </w:r>
      <w:r>
        <w:rPr>
          <w:rFonts w:hint="eastAsia" w:ascii="Times New Roman" w:hAnsi="Times New Roman"/>
          <w:szCs w:val="24"/>
          <w:lang w:val="en-US" w:eastAsia="zh-CN"/>
        </w:rPr>
        <w:t>22</w:t>
      </w:r>
      <w:r>
        <w:rPr>
          <w:rFonts w:hint="eastAsia" w:ascii="Times New Roman"/>
          <w:szCs w:val="24"/>
        </w:rPr>
        <w:t>）</w:t>
      </w:r>
      <w:r>
        <w:rPr>
          <w:rFonts w:ascii="Times New Roman"/>
          <w:szCs w:val="24"/>
        </w:rPr>
        <w:t>《</w:t>
      </w:r>
      <w:r>
        <w:rPr>
          <w:rFonts w:hint="eastAsia"/>
          <w:szCs w:val="24"/>
        </w:rPr>
        <w:t>危险废物鉴别标准</w:t>
      </w:r>
      <w:r>
        <w:rPr>
          <w:rFonts w:hint="eastAsia"/>
          <w:szCs w:val="24"/>
          <w:lang w:val="en-US" w:eastAsia="zh-CN"/>
        </w:rPr>
        <w:t xml:space="preserve"> 通则</w:t>
      </w:r>
      <w:r>
        <w:rPr>
          <w:rFonts w:ascii="Times New Roman"/>
          <w:szCs w:val="24"/>
        </w:rPr>
        <w:t>》（</w:t>
      </w:r>
      <w:r>
        <w:rPr>
          <w:rFonts w:hint="eastAsia" w:ascii="Times New Roman" w:hAnsi="Times New Roman"/>
          <w:szCs w:val="24"/>
          <w:lang w:val="en-US" w:eastAsia="zh-CN"/>
        </w:rPr>
        <w:t>GB5085</w:t>
      </w:r>
      <w:r>
        <w:rPr>
          <w:rFonts w:hint="eastAsia" w:ascii="Times New Roman"/>
          <w:szCs w:val="24"/>
          <w:lang w:val="en-US" w:eastAsia="zh-CN"/>
        </w:rPr>
        <w:t>.</w:t>
      </w:r>
      <w:r>
        <w:rPr>
          <w:rFonts w:hint="eastAsia" w:ascii="Times New Roman" w:hAnsi="Times New Roman"/>
          <w:szCs w:val="24"/>
          <w:lang w:val="en-US" w:eastAsia="zh-CN"/>
        </w:rPr>
        <w:t>7</w:t>
      </w:r>
      <w:r>
        <w:rPr>
          <w:rFonts w:hint="eastAsia" w:ascii="Times New Roman"/>
          <w:szCs w:val="24"/>
          <w:lang w:val="en-US" w:eastAsia="zh-CN"/>
        </w:rPr>
        <w:t>-</w:t>
      </w:r>
      <w:r>
        <w:rPr>
          <w:rFonts w:hint="eastAsia" w:ascii="Times New Roman" w:hAnsi="Times New Roman"/>
          <w:szCs w:val="24"/>
          <w:lang w:val="en-US" w:eastAsia="zh-CN"/>
        </w:rPr>
        <w:t>2019</w:t>
      </w:r>
      <w:r>
        <w:rPr>
          <w:rFonts w:ascii="Times New Roman"/>
          <w:szCs w:val="24"/>
        </w:rPr>
        <w:t>）</w:t>
      </w:r>
      <w:r>
        <w:rPr>
          <w:rFonts w:hint="eastAsia" w:ascii="Times New Roman"/>
          <w:szCs w:val="24"/>
          <w:lang w:eastAsia="zh-CN"/>
        </w:rPr>
        <w:t>；</w:t>
      </w:r>
    </w:p>
    <w:p>
      <w:pPr>
        <w:spacing w:line="460" w:lineRule="exact"/>
        <w:ind w:firstLine="480" w:firstLineChars="200"/>
        <w:rPr>
          <w:rFonts w:hint="eastAsia" w:ascii="Times New Roman"/>
          <w:szCs w:val="24"/>
          <w:lang w:eastAsia="zh-CN"/>
        </w:rPr>
      </w:pPr>
      <w:r>
        <w:rPr>
          <w:rFonts w:hint="eastAsia" w:ascii="Times New Roman"/>
          <w:szCs w:val="24"/>
          <w:lang w:eastAsia="zh-CN"/>
        </w:rPr>
        <w:t>（</w:t>
      </w:r>
      <w:r>
        <w:rPr>
          <w:rFonts w:hint="eastAsia" w:ascii="Times New Roman" w:hAnsi="Times New Roman"/>
          <w:szCs w:val="24"/>
          <w:lang w:val="en-US" w:eastAsia="zh-CN"/>
        </w:rPr>
        <w:t>23</w:t>
      </w:r>
      <w:r>
        <w:rPr>
          <w:rFonts w:hint="eastAsia" w:ascii="Times New Roman"/>
          <w:szCs w:val="24"/>
          <w:lang w:eastAsia="zh-CN"/>
        </w:rPr>
        <w:t>）《危险废物收集</w:t>
      </w:r>
      <w:r>
        <w:rPr>
          <w:rFonts w:hint="eastAsia" w:ascii="Times New Roman"/>
          <w:szCs w:val="24"/>
          <w:lang w:val="en-US" w:eastAsia="zh-CN"/>
        </w:rPr>
        <w:t xml:space="preserve"> 贮存 运输技术规范</w:t>
      </w:r>
      <w:r>
        <w:rPr>
          <w:rFonts w:hint="eastAsia" w:ascii="Times New Roman"/>
          <w:szCs w:val="24"/>
          <w:lang w:eastAsia="zh-CN"/>
        </w:rPr>
        <w:t>》（</w:t>
      </w:r>
      <w:r>
        <w:rPr>
          <w:rFonts w:hint="eastAsia" w:ascii="Times New Roman" w:hAnsi="Times New Roman"/>
          <w:szCs w:val="24"/>
          <w:lang w:val="en-US" w:eastAsia="zh-CN"/>
        </w:rPr>
        <w:t>HJ2025</w:t>
      </w:r>
      <w:r>
        <w:rPr>
          <w:rFonts w:hint="eastAsia" w:ascii="Times New Roman"/>
          <w:szCs w:val="24"/>
          <w:lang w:val="en-US" w:eastAsia="zh-CN"/>
        </w:rPr>
        <w:t>-</w:t>
      </w:r>
      <w:r>
        <w:rPr>
          <w:rFonts w:hint="eastAsia" w:ascii="Times New Roman" w:hAnsi="Times New Roman"/>
          <w:szCs w:val="24"/>
          <w:lang w:val="en-US" w:eastAsia="zh-CN"/>
        </w:rPr>
        <w:t>2012</w:t>
      </w:r>
      <w:r>
        <w:rPr>
          <w:rFonts w:hint="eastAsia" w:ascii="Times New Roman"/>
          <w:szCs w:val="24"/>
          <w:lang w:eastAsia="zh-CN"/>
        </w:rPr>
        <w:t>）；</w:t>
      </w:r>
    </w:p>
    <w:p>
      <w:pPr>
        <w:spacing w:line="460" w:lineRule="exact"/>
        <w:ind w:firstLine="480" w:firstLineChars="200"/>
        <w:rPr>
          <w:rFonts w:hint="eastAsia" w:ascii="Times New Roman"/>
          <w:szCs w:val="24"/>
          <w:lang w:eastAsia="zh-CN"/>
        </w:rPr>
      </w:pPr>
      <w:r>
        <w:rPr>
          <w:rFonts w:hint="eastAsia" w:ascii="Times New Roman"/>
          <w:szCs w:val="24"/>
          <w:lang w:eastAsia="zh-CN"/>
        </w:rPr>
        <w:t>（</w:t>
      </w:r>
      <w:r>
        <w:rPr>
          <w:rFonts w:hint="eastAsia" w:ascii="Times New Roman" w:hAnsi="Times New Roman"/>
          <w:szCs w:val="24"/>
          <w:lang w:val="en-US" w:eastAsia="zh-CN"/>
        </w:rPr>
        <w:t>24</w:t>
      </w:r>
      <w:r>
        <w:rPr>
          <w:rFonts w:hint="eastAsia" w:ascii="Times New Roman"/>
          <w:szCs w:val="24"/>
          <w:lang w:eastAsia="zh-CN"/>
        </w:rPr>
        <w:t>）《危险废物管理计划和管理台账制定技术导则》（</w:t>
      </w:r>
      <w:r>
        <w:rPr>
          <w:rFonts w:hint="eastAsia" w:ascii="Times New Roman" w:hAnsi="Times New Roman"/>
          <w:szCs w:val="24"/>
          <w:lang w:val="en-US" w:eastAsia="zh-CN"/>
        </w:rPr>
        <w:t>HJ1259</w:t>
      </w:r>
      <w:r>
        <w:rPr>
          <w:rFonts w:hint="eastAsia" w:ascii="Times New Roman"/>
          <w:szCs w:val="24"/>
          <w:lang w:val="en-US" w:eastAsia="zh-CN"/>
        </w:rPr>
        <w:t>-</w:t>
      </w:r>
      <w:r>
        <w:rPr>
          <w:rFonts w:hint="eastAsia" w:ascii="Times New Roman" w:hAnsi="Times New Roman"/>
          <w:szCs w:val="24"/>
          <w:lang w:val="en-US" w:eastAsia="zh-CN"/>
        </w:rPr>
        <w:t>2022</w:t>
      </w:r>
      <w:r>
        <w:rPr>
          <w:rFonts w:hint="eastAsia" w:ascii="Times New Roman"/>
          <w:szCs w:val="24"/>
          <w:lang w:eastAsia="zh-CN"/>
        </w:rPr>
        <w:t>）；</w:t>
      </w:r>
    </w:p>
    <w:p>
      <w:pPr>
        <w:spacing w:line="460" w:lineRule="exact"/>
        <w:ind w:firstLine="480" w:firstLineChars="200"/>
        <w:rPr>
          <w:rFonts w:hint="eastAsia" w:ascii="Times New Roman"/>
          <w:szCs w:val="24"/>
          <w:lang w:eastAsia="zh-CN"/>
        </w:rPr>
      </w:pPr>
      <w:r>
        <w:rPr>
          <w:rFonts w:hint="eastAsia" w:ascii="Times New Roman"/>
          <w:szCs w:val="24"/>
          <w:lang w:eastAsia="zh-CN"/>
        </w:rPr>
        <w:t>（</w:t>
      </w:r>
      <w:r>
        <w:rPr>
          <w:rFonts w:hint="eastAsia" w:ascii="Times New Roman" w:hAnsi="Times New Roman"/>
          <w:szCs w:val="24"/>
          <w:lang w:val="en-US" w:eastAsia="zh-CN"/>
        </w:rPr>
        <w:t>25</w:t>
      </w:r>
      <w:r>
        <w:rPr>
          <w:rFonts w:hint="eastAsia" w:ascii="Times New Roman"/>
          <w:szCs w:val="24"/>
          <w:lang w:eastAsia="zh-CN"/>
        </w:rPr>
        <w:t>）《固体废物处理处置工程技术导则》（</w:t>
      </w:r>
      <w:r>
        <w:rPr>
          <w:rFonts w:hint="eastAsia" w:ascii="Times New Roman" w:hAnsi="Times New Roman"/>
          <w:szCs w:val="24"/>
          <w:lang w:val="en-US" w:eastAsia="zh-CN"/>
        </w:rPr>
        <w:t>HJ2035</w:t>
      </w:r>
      <w:r>
        <w:rPr>
          <w:rFonts w:hint="eastAsia" w:ascii="Times New Roman"/>
          <w:szCs w:val="24"/>
          <w:lang w:val="en-US" w:eastAsia="zh-CN"/>
        </w:rPr>
        <w:t>-</w:t>
      </w:r>
      <w:r>
        <w:rPr>
          <w:rFonts w:hint="eastAsia" w:ascii="Times New Roman" w:hAnsi="Times New Roman"/>
          <w:szCs w:val="24"/>
          <w:lang w:val="en-US" w:eastAsia="zh-CN"/>
        </w:rPr>
        <w:t>2013</w:t>
      </w:r>
      <w:r>
        <w:rPr>
          <w:rFonts w:hint="eastAsia" w:ascii="Times New Roman"/>
          <w:szCs w:val="24"/>
          <w:lang w:eastAsia="zh-CN"/>
        </w:rPr>
        <w:t>）；</w:t>
      </w:r>
    </w:p>
    <w:p>
      <w:pPr>
        <w:spacing w:line="460" w:lineRule="exact"/>
        <w:ind w:firstLine="480" w:firstLineChars="200"/>
        <w:rPr>
          <w:rFonts w:hint="eastAsia"/>
          <w:szCs w:val="24"/>
          <w:lang w:eastAsia="zh-CN"/>
        </w:rPr>
      </w:pPr>
      <w:r>
        <w:rPr>
          <w:rFonts w:hint="eastAsia"/>
          <w:szCs w:val="24"/>
          <w:lang w:eastAsia="zh-CN"/>
        </w:rPr>
        <w:t>（</w:t>
      </w:r>
      <w:r>
        <w:rPr>
          <w:rFonts w:hint="eastAsia" w:ascii="Times New Roman" w:hAnsi="Times New Roman"/>
          <w:szCs w:val="24"/>
          <w:lang w:val="en-US" w:eastAsia="zh-CN"/>
        </w:rPr>
        <w:t>26</w:t>
      </w:r>
      <w:r>
        <w:rPr>
          <w:rFonts w:hint="eastAsia"/>
          <w:szCs w:val="24"/>
          <w:lang w:eastAsia="zh-CN"/>
        </w:rPr>
        <w:t>）《固体废物鉴别标准</w:t>
      </w:r>
      <w:r>
        <w:rPr>
          <w:rFonts w:hint="eastAsia"/>
          <w:szCs w:val="24"/>
          <w:lang w:val="en-US" w:eastAsia="zh-CN"/>
        </w:rPr>
        <w:t xml:space="preserve"> 通则</w:t>
      </w:r>
      <w:r>
        <w:rPr>
          <w:rFonts w:hint="eastAsia"/>
          <w:szCs w:val="24"/>
          <w:lang w:eastAsia="zh-CN"/>
        </w:rPr>
        <w:t>》（</w:t>
      </w:r>
      <w:r>
        <w:rPr>
          <w:rFonts w:hint="eastAsia" w:ascii="Times New Roman" w:hAnsi="Times New Roman"/>
          <w:szCs w:val="24"/>
          <w:lang w:val="en-US" w:eastAsia="zh-CN"/>
        </w:rPr>
        <w:t>GB34330</w:t>
      </w:r>
      <w:r>
        <w:rPr>
          <w:rFonts w:hint="eastAsia"/>
          <w:szCs w:val="24"/>
          <w:lang w:val="en-US" w:eastAsia="zh-CN"/>
        </w:rPr>
        <w:t>-</w:t>
      </w:r>
      <w:r>
        <w:rPr>
          <w:rFonts w:hint="eastAsia" w:ascii="Times New Roman" w:hAnsi="Times New Roman"/>
          <w:szCs w:val="24"/>
          <w:lang w:val="en-US" w:eastAsia="zh-CN"/>
        </w:rPr>
        <w:t>2017</w:t>
      </w:r>
      <w:r>
        <w:rPr>
          <w:rFonts w:hint="eastAsia"/>
          <w:szCs w:val="24"/>
          <w:lang w:eastAsia="zh-CN"/>
        </w:rPr>
        <w:t>）；</w:t>
      </w:r>
    </w:p>
    <w:p>
      <w:pPr>
        <w:spacing w:line="460" w:lineRule="exact"/>
        <w:ind w:firstLine="480" w:firstLineChars="200"/>
        <w:rPr>
          <w:rFonts w:hint="eastAsia"/>
          <w:szCs w:val="24"/>
        </w:rPr>
      </w:pPr>
      <w:r>
        <w:rPr>
          <w:rFonts w:hint="eastAsia"/>
          <w:szCs w:val="24"/>
          <w:lang w:eastAsia="zh-CN"/>
        </w:rPr>
        <w:t>（</w:t>
      </w:r>
      <w:r>
        <w:rPr>
          <w:rFonts w:hint="eastAsia" w:ascii="Times New Roman" w:hAnsi="Times New Roman"/>
          <w:szCs w:val="24"/>
          <w:lang w:val="en-US" w:eastAsia="zh-CN"/>
        </w:rPr>
        <w:t>27</w:t>
      </w:r>
      <w:r>
        <w:rPr>
          <w:rFonts w:hint="eastAsia"/>
          <w:szCs w:val="24"/>
          <w:lang w:eastAsia="zh-CN"/>
        </w:rPr>
        <w:t>）《危险废物识别标志设置技术规范》（</w:t>
      </w:r>
      <w:r>
        <w:rPr>
          <w:rFonts w:hint="eastAsia" w:ascii="Times New Roman" w:hAnsi="Times New Roman"/>
          <w:szCs w:val="24"/>
          <w:lang w:val="en-US" w:eastAsia="zh-CN"/>
        </w:rPr>
        <w:t>HJ1276</w:t>
      </w:r>
      <w:r>
        <w:rPr>
          <w:rFonts w:hint="eastAsia"/>
          <w:szCs w:val="24"/>
          <w:lang w:val="en-US" w:eastAsia="zh-CN"/>
        </w:rPr>
        <w:t>-</w:t>
      </w:r>
      <w:r>
        <w:rPr>
          <w:rFonts w:hint="eastAsia" w:ascii="Times New Roman" w:hAnsi="Times New Roman"/>
          <w:szCs w:val="24"/>
          <w:lang w:val="en-US" w:eastAsia="zh-CN"/>
        </w:rPr>
        <w:t>2022</w:t>
      </w:r>
      <w:r>
        <w:rPr>
          <w:rFonts w:hint="eastAsia"/>
          <w:szCs w:val="24"/>
          <w:lang w:eastAsia="zh-CN"/>
        </w:rPr>
        <w:t>）</w:t>
      </w:r>
      <w:r>
        <w:rPr>
          <w:rFonts w:hint="eastAsia"/>
          <w:szCs w:val="24"/>
        </w:rPr>
        <w:t>。</w:t>
      </w:r>
    </w:p>
    <w:p>
      <w:pPr>
        <w:pStyle w:val="5"/>
        <w:spacing w:before="156"/>
      </w:pPr>
      <w:r>
        <w:rPr>
          <w:rFonts w:ascii="Times New Roman" w:hAnsi="Times New Roman"/>
        </w:rPr>
        <w:t>2</w:t>
      </w:r>
      <w:r>
        <w:t>.</w:t>
      </w:r>
      <w:r>
        <w:rPr>
          <w:rFonts w:hint="eastAsia" w:ascii="Times New Roman" w:hAnsi="Times New Roman"/>
          <w:lang w:val="en-US" w:eastAsia="zh-CN"/>
        </w:rPr>
        <w:t>1</w:t>
      </w:r>
      <w:r>
        <w:t>.</w:t>
      </w:r>
      <w:r>
        <w:rPr>
          <w:rFonts w:hint="eastAsia" w:ascii="Times New Roman" w:hAnsi="Times New Roman"/>
        </w:rPr>
        <w:t>6</w:t>
      </w:r>
      <w:r>
        <w:t>有关的规划文件</w:t>
      </w:r>
    </w:p>
    <w:p>
      <w:pPr>
        <w:spacing w:line="460" w:lineRule="exact"/>
        <w:ind w:firstLine="480" w:firstLineChars="200"/>
        <w:rPr>
          <w:rFonts w:hint="default" w:ascii="Times New Roman" w:eastAsia="宋体"/>
          <w:szCs w:val="24"/>
          <w:lang w:val="en-US" w:eastAsia="zh-CN"/>
        </w:rPr>
      </w:pPr>
      <w:r>
        <w:rPr>
          <w:rFonts w:hint="eastAsia" w:ascii="Times New Roman"/>
          <w:szCs w:val="24"/>
        </w:rPr>
        <w:t>（</w:t>
      </w:r>
      <w:r>
        <w:rPr>
          <w:rFonts w:hint="eastAsia" w:ascii="Times New Roman" w:hAnsi="Times New Roman"/>
          <w:szCs w:val="24"/>
        </w:rPr>
        <w:t>1</w:t>
      </w:r>
      <w:r>
        <w:rPr>
          <w:rFonts w:hint="eastAsia" w:ascii="Times New Roman"/>
          <w:szCs w:val="24"/>
        </w:rPr>
        <w:t>）</w:t>
      </w:r>
      <w:r>
        <w:rPr>
          <w:rFonts w:hint="eastAsia" w:ascii="Times New Roman"/>
          <w:szCs w:val="24"/>
          <w:lang w:eastAsia="zh-CN"/>
        </w:rPr>
        <w:t>工业和信息化部关于印发《“十四五”工业绿色发展规划》的通知，工信部规</w:t>
      </w:r>
      <w:r>
        <w:rPr>
          <w:rFonts w:hint="eastAsia" w:ascii="Times New Roman"/>
          <w:szCs w:val="24"/>
          <w:lang w:val="en-US" w:eastAsia="zh-CN"/>
        </w:rPr>
        <w:t>[</w:t>
      </w:r>
      <w:r>
        <w:rPr>
          <w:rFonts w:hint="eastAsia" w:ascii="Times New Roman" w:hAnsi="Times New Roman"/>
          <w:szCs w:val="24"/>
          <w:lang w:val="en-US" w:eastAsia="zh-CN"/>
        </w:rPr>
        <w:t>2021</w:t>
      </w:r>
      <w:r>
        <w:rPr>
          <w:rFonts w:hint="eastAsia" w:ascii="Times New Roman"/>
          <w:szCs w:val="24"/>
          <w:lang w:val="en-US" w:eastAsia="zh-CN"/>
        </w:rPr>
        <w:t>]</w:t>
      </w:r>
      <w:r>
        <w:rPr>
          <w:rFonts w:hint="eastAsia" w:ascii="Times New Roman" w:hAnsi="Times New Roman"/>
          <w:szCs w:val="24"/>
          <w:lang w:val="en-US" w:eastAsia="zh-CN"/>
        </w:rPr>
        <w:t>178</w:t>
      </w:r>
      <w:r>
        <w:rPr>
          <w:rFonts w:hint="eastAsia" w:ascii="Times New Roman"/>
          <w:szCs w:val="24"/>
          <w:lang w:val="en-US" w:eastAsia="zh-CN"/>
        </w:rPr>
        <w:t>号；</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2</w:t>
      </w:r>
      <w:r>
        <w:rPr>
          <w:rFonts w:hint="eastAsia" w:ascii="Times New Roman"/>
          <w:szCs w:val="24"/>
          <w:lang w:eastAsia="zh-CN"/>
        </w:rPr>
        <w:t>）《新疆维吾尔自治区国民经济和社会发展第十四个五年规划和</w:t>
      </w:r>
      <w:r>
        <w:rPr>
          <w:rFonts w:hint="eastAsia" w:ascii="Times New Roman" w:hAnsi="Times New Roman"/>
          <w:szCs w:val="24"/>
          <w:lang w:val="en-US" w:eastAsia="zh-CN"/>
        </w:rPr>
        <w:t>2035</w:t>
      </w:r>
      <w:r>
        <w:rPr>
          <w:rFonts w:hint="eastAsia" w:ascii="Times New Roman"/>
          <w:szCs w:val="24"/>
          <w:lang w:val="en-US" w:eastAsia="zh-CN"/>
        </w:rPr>
        <w:t>年远景目标纲要</w:t>
      </w:r>
      <w:r>
        <w:rPr>
          <w:rFonts w:hint="eastAsia" w:ascii="Times New Roman"/>
          <w:szCs w:val="24"/>
          <w:lang w:eastAsia="zh-CN"/>
        </w:rPr>
        <w:t>》；</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3</w:t>
      </w:r>
      <w:r>
        <w:rPr>
          <w:rFonts w:hint="eastAsia" w:ascii="Times New Roman"/>
          <w:szCs w:val="24"/>
          <w:lang w:eastAsia="zh-CN"/>
        </w:rPr>
        <w:t>）《新疆维吾尔自治区主体功能区规划》；</w:t>
      </w:r>
    </w:p>
    <w:p>
      <w:pPr>
        <w:spacing w:line="460" w:lineRule="exact"/>
        <w:ind w:firstLine="480" w:firstLineChars="200"/>
        <w:rPr>
          <w:rFonts w:hint="eastAsia" w:ascii="Times New Roman" w:eastAsia="宋体"/>
          <w:szCs w:val="24"/>
          <w:lang w:eastAsia="zh-CN"/>
        </w:rPr>
      </w:pPr>
      <w:r>
        <w:rPr>
          <w:rFonts w:hint="eastAsia" w:ascii="Times New Roman"/>
          <w:szCs w:val="24"/>
          <w:lang w:eastAsia="zh-CN"/>
        </w:rPr>
        <w:t>（</w:t>
      </w:r>
      <w:r>
        <w:rPr>
          <w:rFonts w:hint="eastAsia" w:ascii="Times New Roman" w:hAnsi="Times New Roman"/>
          <w:szCs w:val="24"/>
          <w:lang w:val="en-US" w:eastAsia="zh-CN"/>
        </w:rPr>
        <w:t>4</w:t>
      </w:r>
      <w:r>
        <w:rPr>
          <w:rFonts w:hint="eastAsia" w:ascii="Times New Roman"/>
          <w:szCs w:val="24"/>
          <w:lang w:eastAsia="zh-CN"/>
        </w:rPr>
        <w:t>）《“十四五”原材料工业发展规划》；</w:t>
      </w:r>
    </w:p>
    <w:p>
      <w:pPr>
        <w:spacing w:line="460" w:lineRule="exact"/>
        <w:ind w:firstLine="480" w:firstLineChars="200"/>
        <w:rPr>
          <w:rFonts w:hint="eastAsia" w:ascii="Times New Roman"/>
          <w:szCs w:val="24"/>
          <w:lang w:val="en-US" w:eastAsia="zh-CN"/>
        </w:rPr>
      </w:pPr>
      <w:r>
        <w:rPr>
          <w:rFonts w:hint="eastAsia" w:ascii="Times New Roman"/>
          <w:szCs w:val="24"/>
          <w:lang w:eastAsia="zh-CN"/>
        </w:rPr>
        <w:t>（</w:t>
      </w:r>
      <w:r>
        <w:rPr>
          <w:rFonts w:hint="eastAsia" w:ascii="Times New Roman" w:hAnsi="Times New Roman"/>
          <w:szCs w:val="24"/>
          <w:lang w:val="en-US" w:eastAsia="zh-CN"/>
        </w:rPr>
        <w:t>5</w:t>
      </w:r>
      <w:r>
        <w:rPr>
          <w:rFonts w:hint="eastAsia" w:ascii="Times New Roman"/>
          <w:szCs w:val="24"/>
          <w:lang w:val="en-US" w:eastAsia="zh-CN"/>
        </w:rPr>
        <w:t>）</w:t>
      </w:r>
      <w:r>
        <w:rPr>
          <w:rFonts w:hint="eastAsia" w:ascii="Times New Roman"/>
          <w:szCs w:val="24"/>
          <w:lang w:eastAsia="zh-CN"/>
        </w:rPr>
        <w:t>《新疆生态环境保护“十四五”规划》</w:t>
      </w:r>
      <w:r>
        <w:rPr>
          <w:rFonts w:hint="eastAsia"/>
          <w:szCs w:val="24"/>
        </w:rPr>
        <w:t>；</w:t>
      </w:r>
    </w:p>
    <w:p>
      <w:pPr>
        <w:spacing w:line="460" w:lineRule="exact"/>
        <w:ind w:firstLine="480" w:firstLineChars="200"/>
        <w:rPr>
          <w:rFonts w:hint="eastAsia" w:ascii="Times New Roman"/>
          <w:szCs w:val="24"/>
          <w:lang w:val="en-US" w:eastAsia="zh-CN"/>
        </w:rPr>
      </w:pPr>
      <w:r>
        <w:rPr>
          <w:rFonts w:hint="eastAsia" w:ascii="Times New Roman"/>
          <w:szCs w:val="24"/>
          <w:lang w:val="en-US" w:eastAsia="zh-CN"/>
        </w:rPr>
        <w:t>（</w:t>
      </w:r>
      <w:r>
        <w:rPr>
          <w:rFonts w:hint="eastAsia" w:ascii="Times New Roman" w:hAnsi="Times New Roman"/>
          <w:szCs w:val="24"/>
          <w:lang w:val="en-US" w:eastAsia="zh-CN"/>
        </w:rPr>
        <w:t>6</w:t>
      </w:r>
      <w:r>
        <w:rPr>
          <w:rFonts w:hint="eastAsia" w:ascii="Times New Roman"/>
          <w:szCs w:val="24"/>
          <w:lang w:val="en-US" w:eastAsia="zh-CN"/>
        </w:rPr>
        <w:t>）《塔城地区国民经济和社会发展第十四个五年规划和</w:t>
      </w:r>
      <w:r>
        <w:rPr>
          <w:rFonts w:hint="eastAsia" w:ascii="Times New Roman" w:hAnsi="Times New Roman"/>
          <w:szCs w:val="24"/>
          <w:lang w:val="en-US" w:eastAsia="zh-CN"/>
        </w:rPr>
        <w:t>2035</w:t>
      </w:r>
      <w:r>
        <w:rPr>
          <w:rFonts w:hint="eastAsia" w:ascii="Times New Roman"/>
          <w:szCs w:val="24"/>
          <w:lang w:val="en-US" w:eastAsia="zh-CN"/>
        </w:rPr>
        <w:t>年远景目标纲要》；</w:t>
      </w:r>
    </w:p>
    <w:p>
      <w:pPr>
        <w:spacing w:line="460" w:lineRule="exact"/>
        <w:ind w:firstLine="480" w:firstLineChars="200"/>
        <w:rPr>
          <w:rFonts w:hint="eastAsia" w:ascii="Times New Roman" w:eastAsia="宋体"/>
          <w:szCs w:val="24"/>
          <w:lang w:eastAsia="zh-CN"/>
        </w:rPr>
      </w:pPr>
      <w:r>
        <w:rPr>
          <w:rFonts w:hint="eastAsia" w:ascii="Times New Roman"/>
          <w:szCs w:val="24"/>
          <w:lang w:val="en-US" w:eastAsia="zh-CN"/>
        </w:rPr>
        <w:t>（</w:t>
      </w:r>
      <w:r>
        <w:rPr>
          <w:rFonts w:hint="eastAsia" w:ascii="Times New Roman" w:hAnsi="Times New Roman"/>
          <w:szCs w:val="24"/>
          <w:lang w:val="en-US" w:eastAsia="zh-CN"/>
        </w:rPr>
        <w:t>7</w:t>
      </w:r>
      <w:r>
        <w:rPr>
          <w:rFonts w:hint="eastAsia" w:ascii="Times New Roman"/>
          <w:szCs w:val="24"/>
          <w:lang w:val="en-US" w:eastAsia="zh-CN"/>
        </w:rPr>
        <w:t>）《塔城地区生态环境保护“十四五”规划》；</w:t>
      </w:r>
    </w:p>
    <w:p>
      <w:pPr>
        <w:rPr>
          <w:rFonts w:hint="eastAsia"/>
        </w:rPr>
      </w:pPr>
      <w:r>
        <w:rPr>
          <w:rFonts w:hint="eastAsia"/>
        </w:rPr>
        <w:t>（</w:t>
      </w:r>
      <w:r>
        <w:rPr>
          <w:rFonts w:hint="eastAsia" w:ascii="Times New Roman" w:hAnsi="Times New Roman"/>
          <w:lang w:val="en-US" w:eastAsia="zh-CN"/>
        </w:rPr>
        <w:t>8</w:t>
      </w:r>
      <w:r>
        <w:rPr>
          <w:rFonts w:hint="eastAsia"/>
        </w:rPr>
        <w:t>）</w:t>
      </w:r>
      <w:r>
        <w:rPr>
          <w:rFonts w:ascii="宋体" w:hAnsi="宋体" w:eastAsia="宋体" w:cs="宋体"/>
          <w:color w:val="auto"/>
          <w:sz w:val="24"/>
          <w:szCs w:val="24"/>
        </w:rPr>
        <w:t>《乌苏</w:t>
      </w:r>
      <w:r>
        <w:rPr>
          <w:rFonts w:hint="eastAsia" w:cs="宋体"/>
          <w:color w:val="auto"/>
          <w:sz w:val="24"/>
          <w:szCs w:val="24"/>
          <w:lang w:eastAsia="zh-CN"/>
        </w:rPr>
        <w:t>工业园区</w:t>
      </w:r>
      <w:r>
        <w:rPr>
          <w:rFonts w:ascii="宋体" w:hAnsi="宋体" w:eastAsia="宋体" w:cs="宋体"/>
          <w:color w:val="auto"/>
          <w:sz w:val="24"/>
          <w:szCs w:val="24"/>
        </w:rPr>
        <w:t>总体规划（</w:t>
      </w:r>
      <w:r>
        <w:rPr>
          <w:rFonts w:ascii="Times New Roman" w:hAnsi="Times New Roman" w:eastAsia="宋体" w:cs="宋体"/>
          <w:color w:val="auto"/>
          <w:sz w:val="24"/>
          <w:szCs w:val="24"/>
        </w:rPr>
        <w:t>201</w:t>
      </w:r>
      <w:r>
        <w:rPr>
          <w:rFonts w:hint="eastAsia" w:ascii="Times New Roman" w:hAnsi="Times New Roman" w:cs="宋体"/>
          <w:color w:val="auto"/>
          <w:sz w:val="24"/>
          <w:szCs w:val="24"/>
          <w:lang w:val="en-US" w:eastAsia="zh-CN"/>
        </w:rPr>
        <w:t>6</w:t>
      </w:r>
      <w:r>
        <w:rPr>
          <w:rFonts w:ascii="宋体" w:hAnsi="宋体" w:eastAsia="宋体" w:cs="宋体"/>
          <w:color w:val="auto"/>
          <w:sz w:val="24"/>
          <w:szCs w:val="24"/>
        </w:rPr>
        <w:t>-</w:t>
      </w:r>
      <w:r>
        <w:rPr>
          <w:rFonts w:ascii="Times New Roman" w:hAnsi="Times New Roman" w:eastAsia="宋体" w:cs="宋体"/>
          <w:color w:val="auto"/>
          <w:sz w:val="24"/>
          <w:szCs w:val="24"/>
        </w:rPr>
        <w:t>203</w:t>
      </w:r>
      <w:r>
        <w:rPr>
          <w:rFonts w:hint="eastAsia" w:ascii="Times New Roman" w:hAnsi="Times New Roman" w:cs="宋体"/>
          <w:color w:val="auto"/>
          <w:sz w:val="24"/>
          <w:szCs w:val="24"/>
          <w:lang w:val="en-US" w:eastAsia="zh-CN"/>
        </w:rPr>
        <w:t>0</w:t>
      </w:r>
      <w:r>
        <w:rPr>
          <w:rFonts w:ascii="宋体" w:hAnsi="宋体" w:eastAsia="宋体" w:cs="宋体"/>
          <w:color w:val="auto"/>
          <w:sz w:val="24"/>
          <w:szCs w:val="24"/>
        </w:rPr>
        <w:t>）》</w:t>
      </w:r>
      <w:r>
        <w:rPr>
          <w:rFonts w:hint="eastAsia"/>
        </w:rPr>
        <w:t>。</w:t>
      </w:r>
    </w:p>
    <w:p>
      <w:pPr>
        <w:pStyle w:val="5"/>
        <w:spacing w:before="156" w:line="460" w:lineRule="exact"/>
      </w:pPr>
      <w:r>
        <w:rPr>
          <w:rFonts w:ascii="Times New Roman" w:hAnsi="Times New Roman"/>
        </w:rPr>
        <w:t>2</w:t>
      </w:r>
      <w:r>
        <w:t>.</w:t>
      </w:r>
      <w:r>
        <w:rPr>
          <w:rFonts w:hint="eastAsia" w:ascii="Times New Roman" w:hAnsi="Times New Roman"/>
          <w:lang w:val="en-US" w:eastAsia="zh-CN"/>
        </w:rPr>
        <w:t>1</w:t>
      </w:r>
      <w:r>
        <w:t>.</w:t>
      </w:r>
      <w:r>
        <w:rPr>
          <w:rFonts w:hint="eastAsia" w:ascii="Times New Roman" w:hAnsi="Times New Roman"/>
        </w:rPr>
        <w:t>7</w:t>
      </w:r>
      <w:r>
        <w:t>环评相关依据文件</w:t>
      </w:r>
    </w:p>
    <w:p>
      <w:r>
        <w:rPr>
          <w:rFonts w:hint="eastAsia"/>
        </w:rPr>
        <w:t>（</w:t>
      </w:r>
      <w:r>
        <w:rPr>
          <w:rFonts w:hint="eastAsia" w:ascii="Times New Roman" w:hAnsi="Times New Roman"/>
        </w:rPr>
        <w:t>1</w:t>
      </w:r>
      <w:r>
        <w:rPr>
          <w:rFonts w:hint="eastAsia"/>
        </w:rPr>
        <w:t>）</w:t>
      </w:r>
      <w:r>
        <w:rPr>
          <w:rFonts w:hint="eastAsia"/>
          <w:lang w:eastAsia="zh-CN"/>
        </w:rPr>
        <w:t>建设</w:t>
      </w:r>
      <w:r>
        <w:t>项目投资备案证；</w:t>
      </w:r>
    </w:p>
    <w:p>
      <w:r>
        <w:rPr>
          <w:rFonts w:hint="eastAsia"/>
        </w:rPr>
        <w:t>（</w:t>
      </w:r>
      <w:r>
        <w:rPr>
          <w:rFonts w:hint="eastAsia" w:ascii="Times New Roman" w:hAnsi="Times New Roman"/>
        </w:rPr>
        <w:t>2</w:t>
      </w:r>
      <w:r>
        <w:rPr>
          <w:rFonts w:hint="eastAsia"/>
        </w:rPr>
        <w:t>）</w:t>
      </w:r>
      <w:r>
        <w:t>项目</w:t>
      </w:r>
      <w:r>
        <w:rPr>
          <w:rFonts w:hint="eastAsia"/>
        </w:rPr>
        <w:t>环评</w:t>
      </w:r>
      <w:r>
        <w:t>委托书；</w:t>
      </w:r>
    </w:p>
    <w:p>
      <w:pPr>
        <w:rPr>
          <w:rFonts w:hint="eastAsia"/>
          <w:lang w:val="en-US" w:eastAsia="zh-CN"/>
        </w:rPr>
      </w:pPr>
      <w:r>
        <w:rPr>
          <w:rFonts w:hint="eastAsia"/>
        </w:rPr>
        <w:t>（</w:t>
      </w:r>
      <w:r>
        <w:rPr>
          <w:rFonts w:hint="eastAsia" w:ascii="Times New Roman" w:hAnsi="Times New Roman"/>
        </w:rPr>
        <w:t>3</w:t>
      </w:r>
      <w:r>
        <w:rPr>
          <w:rFonts w:hint="eastAsia"/>
        </w:rPr>
        <w:t>）</w:t>
      </w:r>
      <w:bookmarkEnd w:id="50"/>
      <w:bookmarkStart w:id="51" w:name="_Toc341867040"/>
      <w:bookmarkStart w:id="52" w:name="_Toc332975146"/>
      <w:bookmarkStart w:id="53" w:name="_Toc11266"/>
      <w:bookmarkStart w:id="54" w:name="_Toc323212159"/>
      <w:r>
        <w:rPr>
          <w:rFonts w:hint="eastAsia"/>
          <w:lang w:eastAsia="zh-CN"/>
        </w:rPr>
        <w:t>凯赛（乌苏）生物材料有限公司年产</w:t>
      </w:r>
      <w:r>
        <w:rPr>
          <w:rFonts w:hint="eastAsia" w:ascii="Times New Roman" w:hAnsi="Times New Roman"/>
          <w:lang w:val="en-US" w:eastAsia="zh-CN"/>
        </w:rPr>
        <w:t>10000</w:t>
      </w:r>
      <w:r>
        <w:rPr>
          <w:rFonts w:hint="eastAsia"/>
          <w:lang w:val="en-US" w:eastAsia="zh-CN"/>
        </w:rPr>
        <w:t>吨</w:t>
      </w:r>
      <w:r>
        <w:rPr>
          <w:rFonts w:hint="eastAsia" w:ascii="Times New Roman" w:hAnsi="Times New Roman"/>
          <w:lang w:val="en-US" w:eastAsia="zh-CN"/>
        </w:rPr>
        <w:t>PD</w:t>
      </w:r>
      <w:r>
        <w:rPr>
          <w:rFonts w:hint="eastAsia"/>
          <w:lang w:val="en-US" w:eastAsia="zh-CN"/>
        </w:rPr>
        <w:t>项目可行性研究报告；</w:t>
      </w:r>
    </w:p>
    <w:p>
      <w:pPr>
        <w:rPr>
          <w:rFonts w:hint="default"/>
          <w:lang w:val="en-US" w:eastAsia="zh-CN"/>
        </w:rPr>
      </w:pPr>
      <w:r>
        <w:rPr>
          <w:rFonts w:hint="eastAsia"/>
          <w:lang w:val="en-US" w:eastAsia="zh-CN"/>
        </w:rPr>
        <w:t>（</w:t>
      </w:r>
      <w:r>
        <w:rPr>
          <w:rFonts w:hint="eastAsia" w:ascii="Times New Roman" w:hAnsi="Times New Roman"/>
          <w:lang w:val="en-US" w:eastAsia="zh-CN"/>
        </w:rPr>
        <w:t>4</w:t>
      </w:r>
      <w:r>
        <w:rPr>
          <w:rFonts w:hint="eastAsia"/>
          <w:lang w:val="en-US" w:eastAsia="zh-CN"/>
        </w:rPr>
        <w:t>）凯赛（乌苏）生物材料有限公司年产</w:t>
      </w:r>
      <w:r>
        <w:rPr>
          <w:rFonts w:hint="eastAsia" w:ascii="Times New Roman" w:hAnsi="Times New Roman"/>
          <w:lang w:val="en-US" w:eastAsia="zh-CN"/>
        </w:rPr>
        <w:t>10</w:t>
      </w:r>
      <w:r>
        <w:rPr>
          <w:rFonts w:hint="eastAsia"/>
          <w:lang w:val="en-US" w:eastAsia="zh-CN"/>
        </w:rPr>
        <w:t>万吨生物基聚酰胺项目环境影响报告书；</w:t>
      </w:r>
    </w:p>
    <w:p>
      <w:pPr>
        <w:rPr>
          <w:rFonts w:hint="eastAsia"/>
          <w:lang w:val="en-US" w:eastAsia="zh-CN"/>
        </w:rPr>
      </w:pPr>
      <w:r>
        <w:rPr>
          <w:rFonts w:hint="eastAsia"/>
          <w:lang w:eastAsia="zh-CN"/>
        </w:rPr>
        <w:t>（</w:t>
      </w:r>
      <w:r>
        <w:rPr>
          <w:rFonts w:hint="eastAsia" w:ascii="Times New Roman" w:hAnsi="Times New Roman"/>
          <w:lang w:val="en-US" w:eastAsia="zh-CN"/>
        </w:rPr>
        <w:t>5</w:t>
      </w:r>
      <w:r>
        <w:rPr>
          <w:rFonts w:hint="eastAsia"/>
          <w:lang w:eastAsia="zh-CN"/>
        </w:rPr>
        <w:t>）凯赛（乌苏）生物材料有限公司年产</w:t>
      </w:r>
      <w:r>
        <w:rPr>
          <w:rFonts w:hint="eastAsia" w:ascii="Times New Roman" w:hAnsi="Times New Roman"/>
          <w:lang w:val="en-US" w:eastAsia="zh-CN"/>
        </w:rPr>
        <w:t>10</w:t>
      </w:r>
      <w:r>
        <w:rPr>
          <w:rFonts w:hint="eastAsia"/>
          <w:lang w:val="en-US" w:eastAsia="zh-CN"/>
        </w:rPr>
        <w:t>万吨生物基聚酰胺项目（一期工程）竣工环境保护验收监测报告；</w:t>
      </w:r>
    </w:p>
    <w:p>
      <w:r>
        <w:rPr>
          <w:rFonts w:hint="eastAsia"/>
          <w:lang w:val="en-US" w:eastAsia="zh-CN"/>
        </w:rPr>
        <w:t>（</w:t>
      </w:r>
      <w:r>
        <w:rPr>
          <w:rFonts w:hint="eastAsia" w:ascii="Times New Roman" w:hAnsi="Times New Roman"/>
          <w:lang w:val="en-US" w:eastAsia="zh-CN"/>
        </w:rPr>
        <w:t>6</w:t>
      </w:r>
      <w:r>
        <w:rPr>
          <w:rFonts w:hint="eastAsia"/>
          <w:lang w:val="en-US" w:eastAsia="zh-CN"/>
        </w:rPr>
        <w:t>）凯赛（乌苏）生物材料有限公司年产</w:t>
      </w:r>
      <w:r>
        <w:rPr>
          <w:rFonts w:hint="eastAsia" w:ascii="Times New Roman" w:hAnsi="Times New Roman"/>
          <w:lang w:val="en-US" w:eastAsia="zh-CN"/>
        </w:rPr>
        <w:t>10</w:t>
      </w:r>
      <w:r>
        <w:rPr>
          <w:rFonts w:hint="eastAsia"/>
          <w:lang w:val="en-US" w:eastAsia="zh-CN"/>
        </w:rPr>
        <w:t>万吨生物基聚酰胺项目环境影响后评价报告书</w:t>
      </w:r>
      <w:r>
        <w:rPr>
          <w:rFonts w:hint="eastAsia"/>
        </w:rPr>
        <w:t>。</w:t>
      </w:r>
    </w:p>
    <w:bookmarkEnd w:id="51"/>
    <w:bookmarkEnd w:id="52"/>
    <w:bookmarkEnd w:id="53"/>
    <w:bookmarkEnd w:id="54"/>
    <w:p>
      <w:pPr>
        <w:pStyle w:val="4"/>
        <w:spacing w:before="156" w:after="156"/>
        <w:rPr>
          <w:rFonts w:hint="eastAsia"/>
        </w:rPr>
      </w:pPr>
      <w:bookmarkStart w:id="55" w:name="_Toc28433"/>
      <w:bookmarkStart w:id="56" w:name="_Toc10886"/>
      <w:bookmarkStart w:id="57" w:name="_Toc341867044"/>
      <w:bookmarkStart w:id="58" w:name="_Toc29835"/>
      <w:bookmarkStart w:id="59" w:name="_Toc332975150"/>
      <w:bookmarkStart w:id="60" w:name="_Toc327373175"/>
      <w:r>
        <w:rPr>
          <w:rFonts w:hint="eastAsia" w:ascii="Times New Roman" w:hAnsi="Times New Roman"/>
        </w:rPr>
        <w:t>2</w:t>
      </w:r>
      <w:r>
        <w:rPr>
          <w:rFonts w:hint="eastAsia"/>
        </w:rPr>
        <w:t>.</w:t>
      </w:r>
      <w:r>
        <w:rPr>
          <w:rFonts w:hint="eastAsia" w:ascii="Times New Roman" w:hAnsi="Times New Roman"/>
          <w:lang w:val="en-US" w:eastAsia="zh-CN"/>
        </w:rPr>
        <w:t>2</w:t>
      </w:r>
      <w:r>
        <w:rPr>
          <w:rFonts w:hint="eastAsia"/>
        </w:rPr>
        <w:t>评价时段</w:t>
      </w:r>
      <w:bookmarkEnd w:id="55"/>
      <w:bookmarkEnd w:id="56"/>
    </w:p>
    <w:p>
      <w:pPr>
        <w:rPr>
          <w:rFonts w:hint="eastAsia"/>
        </w:rPr>
      </w:pPr>
      <w:r>
        <w:rPr>
          <w:rFonts w:hint="eastAsia"/>
        </w:rPr>
        <w:t>本项目</w:t>
      </w:r>
      <w:r>
        <w:rPr>
          <w:rFonts w:hint="eastAsia"/>
          <w:lang w:eastAsia="zh-CN"/>
        </w:rPr>
        <w:t>评价时段为施工期和运营期</w:t>
      </w:r>
      <w:r>
        <w:rPr>
          <w:rFonts w:hint="eastAsia"/>
        </w:rPr>
        <w:t>。</w:t>
      </w:r>
    </w:p>
    <w:p>
      <w:pPr>
        <w:pStyle w:val="4"/>
        <w:spacing w:before="156" w:after="156"/>
        <w:rPr>
          <w:rFonts w:hint="eastAsia"/>
        </w:rPr>
      </w:pPr>
      <w:bookmarkStart w:id="61" w:name="_Toc1180"/>
      <w:bookmarkStart w:id="62" w:name="_Toc5982"/>
      <w:bookmarkStart w:id="63" w:name="_Toc383"/>
      <w:r>
        <w:rPr>
          <w:rFonts w:hint="eastAsia" w:ascii="Times New Roman" w:hAnsi="Times New Roman"/>
        </w:rPr>
        <w:t>2</w:t>
      </w:r>
      <w:r>
        <w:t>.</w:t>
      </w:r>
      <w:bookmarkEnd w:id="61"/>
      <w:r>
        <w:rPr>
          <w:rFonts w:hint="eastAsia" w:ascii="Times New Roman" w:hAnsi="Times New Roman"/>
          <w:lang w:val="en-US" w:eastAsia="zh-CN"/>
        </w:rPr>
        <w:t>3</w:t>
      </w:r>
      <w:r>
        <w:rPr>
          <w:rFonts w:hint="eastAsia"/>
        </w:rPr>
        <w:t>环境功能区划</w:t>
      </w:r>
      <w:bookmarkEnd w:id="62"/>
      <w:bookmarkEnd w:id="63"/>
    </w:p>
    <w:p>
      <w:pPr>
        <w:rPr>
          <w:rFonts w:hint="eastAsia"/>
        </w:rPr>
      </w:pPr>
      <w:r>
        <w:rPr>
          <w:rFonts w:ascii="Times New Roman"/>
        </w:rPr>
        <w:t>根据</w:t>
      </w:r>
      <w:r>
        <w:rPr>
          <w:rFonts w:hint="eastAsia" w:ascii="Times New Roman" w:cs="Times New Roman"/>
          <w:color w:val="auto"/>
          <w:lang w:eastAsia="zh-CN"/>
        </w:rPr>
        <w:t>《</w:t>
      </w:r>
      <w:r>
        <w:rPr>
          <w:rFonts w:hint="eastAsia"/>
          <w:lang w:eastAsia="zh-CN"/>
        </w:rPr>
        <w:t>乌苏工业园区总体规划（</w:t>
      </w:r>
      <w:r>
        <w:rPr>
          <w:rFonts w:hint="eastAsia" w:ascii="Times New Roman" w:hAnsi="Times New Roman"/>
          <w:lang w:val="en-US" w:eastAsia="zh-CN"/>
        </w:rPr>
        <w:t>2018</w:t>
      </w:r>
      <w:r>
        <w:rPr>
          <w:rFonts w:hint="eastAsia"/>
          <w:lang w:val="en-US" w:eastAsia="zh-CN"/>
        </w:rPr>
        <w:t>-</w:t>
      </w:r>
      <w:r>
        <w:rPr>
          <w:rFonts w:hint="eastAsia" w:ascii="Times New Roman" w:hAnsi="Times New Roman"/>
          <w:lang w:val="en-US" w:eastAsia="zh-CN"/>
        </w:rPr>
        <w:t>2035</w:t>
      </w:r>
      <w:r>
        <w:rPr>
          <w:rFonts w:hint="eastAsia"/>
          <w:lang w:eastAsia="zh-CN"/>
        </w:rPr>
        <w:t>）</w:t>
      </w:r>
      <w:r>
        <w:rPr>
          <w:rFonts w:hint="eastAsia"/>
        </w:rPr>
        <w:t>环境影响报告书</w:t>
      </w:r>
      <w:r>
        <w:rPr>
          <w:rFonts w:hint="eastAsia" w:ascii="Times New Roman" w:cs="Times New Roman"/>
          <w:color w:val="auto"/>
          <w:lang w:eastAsia="zh-CN"/>
        </w:rPr>
        <w:t>》及审查意见</w:t>
      </w:r>
      <w:r>
        <w:rPr>
          <w:rFonts w:hint="eastAsia" w:hAnsi="宋体"/>
          <w:snapToGrid w:val="0"/>
        </w:rPr>
        <w:t>等资料</w:t>
      </w:r>
      <w:r>
        <w:rPr>
          <w:rFonts w:hint="eastAsia"/>
        </w:rPr>
        <w:t>，</w:t>
      </w:r>
      <w:r>
        <w:rPr>
          <w:rFonts w:ascii="Times New Roman"/>
        </w:rPr>
        <w:t>项目所在地</w:t>
      </w:r>
      <w:r>
        <w:rPr>
          <w:rFonts w:hint="eastAsia"/>
        </w:rPr>
        <w:t>主要</w:t>
      </w:r>
      <w:r>
        <w:rPr>
          <w:rFonts w:ascii="Times New Roman"/>
        </w:rPr>
        <w:t>环境功能</w:t>
      </w:r>
      <w:r>
        <w:rPr>
          <w:rFonts w:hint="eastAsia"/>
          <w:lang w:eastAsia="zh-CN"/>
        </w:rPr>
        <w:t>区划情况</w:t>
      </w:r>
      <w:r>
        <w:rPr>
          <w:rFonts w:hint="eastAsia"/>
        </w:rPr>
        <w:t>见表</w:t>
      </w:r>
      <w:r>
        <w:rPr>
          <w:rFonts w:hint="eastAsia" w:ascii="Times New Roman" w:hAnsi="Times New Roman"/>
        </w:rPr>
        <w:t>2</w:t>
      </w:r>
      <w:r>
        <w:rPr>
          <w:rFonts w:hint="eastAsia"/>
        </w:rPr>
        <w:t>.</w:t>
      </w:r>
      <w:r>
        <w:rPr>
          <w:rFonts w:hint="eastAsia" w:ascii="Times New Roman" w:hAnsi="Times New Roman"/>
          <w:lang w:val="en-US" w:eastAsia="zh-CN"/>
        </w:rPr>
        <w:t>3</w:t>
      </w:r>
      <w:r>
        <w:rPr>
          <w:rFonts w:hint="eastAsia"/>
        </w:rPr>
        <w:t>-</w:t>
      </w:r>
      <w:r>
        <w:rPr>
          <w:rFonts w:hint="eastAsia" w:ascii="Times New Roman" w:hAnsi="Times New Roman"/>
        </w:rPr>
        <w:t>1</w:t>
      </w:r>
      <w:r>
        <w:rPr>
          <w:rFonts w:hint="eastAsia"/>
        </w:rPr>
        <w:t>。新疆</w:t>
      </w:r>
      <w:r>
        <w:rPr>
          <w:rFonts w:hint="eastAsia"/>
          <w:lang w:eastAsia="zh-CN"/>
        </w:rPr>
        <w:t>生态</w:t>
      </w:r>
      <w:r>
        <w:rPr>
          <w:rFonts w:hint="eastAsia"/>
        </w:rPr>
        <w:t>功能区划总</w:t>
      </w:r>
      <w:r>
        <w:rPr>
          <w:rFonts w:hint="eastAsia"/>
          <w:color w:val="auto"/>
        </w:rPr>
        <w:t>图见图</w:t>
      </w:r>
      <w:r>
        <w:rPr>
          <w:rFonts w:hint="eastAsia" w:ascii="Times New Roman" w:hAnsi="Times New Roman"/>
          <w:color w:val="auto"/>
        </w:rPr>
        <w:t>2</w:t>
      </w:r>
      <w:r>
        <w:rPr>
          <w:rFonts w:hint="eastAsia"/>
          <w:color w:val="auto"/>
        </w:rPr>
        <w:t>.</w:t>
      </w:r>
      <w:r>
        <w:rPr>
          <w:rFonts w:hint="eastAsia" w:ascii="Times New Roman" w:hAnsi="Times New Roman"/>
          <w:color w:val="auto"/>
          <w:lang w:val="en-US" w:eastAsia="zh-CN"/>
        </w:rPr>
        <w:t>3</w:t>
      </w:r>
      <w:r>
        <w:rPr>
          <w:rFonts w:hint="eastAsia"/>
          <w:color w:val="auto"/>
        </w:rPr>
        <w:t>-</w:t>
      </w:r>
      <w:r>
        <w:rPr>
          <w:rFonts w:hint="eastAsia" w:ascii="Times New Roman" w:hAnsi="Times New Roman"/>
          <w:color w:val="auto"/>
        </w:rPr>
        <w:t>1</w:t>
      </w:r>
      <w:r>
        <w:rPr>
          <w:rFonts w:hint="eastAsia"/>
        </w:rP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3</w:t>
      </w:r>
      <w:r>
        <w:rPr>
          <w:rFonts w:hint="eastAsia"/>
        </w:rPr>
        <w:t>-</w:t>
      </w:r>
      <w:r>
        <w:rPr>
          <w:rFonts w:hint="eastAsia" w:ascii="Times New Roman" w:hAnsi="Times New Roman"/>
        </w:rPr>
        <w:t>1</w:t>
      </w:r>
      <w:r>
        <w:rPr>
          <w:rFonts w:hint="eastAsia"/>
        </w:rPr>
        <w:t xml:space="preserve">  项目所在区域环境功能</w:t>
      </w:r>
      <w:r>
        <w:rPr>
          <w:rFonts w:hint="eastAsia"/>
          <w:lang w:eastAsia="zh-CN"/>
        </w:rPr>
        <w:t>区划</w:t>
      </w:r>
      <w:r>
        <w:rPr>
          <w:rFonts w:hint="eastAsia"/>
        </w:rPr>
        <w:t>一览表</w:t>
      </w:r>
    </w:p>
    <w:tbl>
      <w:tblPr>
        <w:tblStyle w:val="81"/>
        <w:tblW w:w="92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054"/>
        <w:gridCol w:w="1211"/>
        <w:gridCol w:w="5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63" w:type="dxa"/>
            <w:noWrap w:val="0"/>
            <w:vAlign w:val="center"/>
          </w:tcPr>
          <w:p>
            <w:pPr>
              <w:spacing w:line="240" w:lineRule="auto"/>
              <w:ind w:firstLine="0"/>
              <w:jc w:val="center"/>
              <w:rPr>
                <w:rFonts w:hint="eastAsia"/>
                <w:sz w:val="21"/>
                <w:szCs w:val="21"/>
              </w:rPr>
            </w:pPr>
            <w:r>
              <w:rPr>
                <w:rFonts w:hint="eastAsia"/>
                <w:sz w:val="21"/>
                <w:szCs w:val="21"/>
              </w:rPr>
              <w:t>序号</w:t>
            </w:r>
          </w:p>
        </w:tc>
        <w:tc>
          <w:tcPr>
            <w:tcW w:w="2054" w:type="dxa"/>
            <w:noWrap w:val="0"/>
            <w:vAlign w:val="center"/>
          </w:tcPr>
          <w:p>
            <w:pPr>
              <w:spacing w:line="240" w:lineRule="auto"/>
              <w:ind w:firstLine="0"/>
              <w:jc w:val="center"/>
              <w:rPr>
                <w:rFonts w:hint="eastAsia"/>
                <w:sz w:val="21"/>
                <w:szCs w:val="21"/>
              </w:rPr>
            </w:pPr>
            <w:r>
              <w:rPr>
                <w:rFonts w:hint="eastAsia"/>
                <w:sz w:val="21"/>
                <w:szCs w:val="21"/>
              </w:rPr>
              <w:t>功能区类别</w:t>
            </w:r>
          </w:p>
        </w:tc>
        <w:tc>
          <w:tcPr>
            <w:tcW w:w="6483" w:type="dxa"/>
            <w:gridSpan w:val="2"/>
            <w:noWrap w:val="0"/>
            <w:vAlign w:val="center"/>
          </w:tcPr>
          <w:p>
            <w:pPr>
              <w:spacing w:line="240" w:lineRule="auto"/>
              <w:ind w:firstLine="0"/>
              <w:jc w:val="center"/>
              <w:rPr>
                <w:rFonts w:hint="eastAsia"/>
                <w:sz w:val="21"/>
                <w:szCs w:val="21"/>
              </w:rPr>
            </w:pPr>
            <w:r>
              <w:rPr>
                <w:rFonts w:hint="eastAsia"/>
                <w:sz w:val="21"/>
                <w:szCs w:val="21"/>
              </w:rPr>
              <w:t>项目区域功能区分类及执行标准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6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1</w:t>
            </w:r>
          </w:p>
        </w:tc>
        <w:tc>
          <w:tcPr>
            <w:tcW w:w="2054" w:type="dxa"/>
            <w:noWrap w:val="0"/>
            <w:vAlign w:val="center"/>
          </w:tcPr>
          <w:p>
            <w:pPr>
              <w:spacing w:line="240" w:lineRule="auto"/>
              <w:ind w:firstLine="0"/>
              <w:jc w:val="center"/>
              <w:rPr>
                <w:rFonts w:hint="eastAsia"/>
                <w:sz w:val="21"/>
                <w:szCs w:val="21"/>
              </w:rPr>
            </w:pPr>
            <w:r>
              <w:rPr>
                <w:rFonts w:hint="eastAsia"/>
                <w:sz w:val="21"/>
                <w:szCs w:val="21"/>
              </w:rPr>
              <w:t>水环境功能区</w:t>
            </w:r>
          </w:p>
        </w:tc>
        <w:tc>
          <w:tcPr>
            <w:tcW w:w="1211" w:type="dxa"/>
            <w:noWrap w:val="0"/>
            <w:vAlign w:val="center"/>
          </w:tcPr>
          <w:p>
            <w:pPr>
              <w:spacing w:line="240" w:lineRule="auto"/>
              <w:ind w:firstLine="0"/>
              <w:jc w:val="center"/>
              <w:rPr>
                <w:rFonts w:hint="eastAsia" w:eastAsia="宋体"/>
                <w:sz w:val="21"/>
                <w:szCs w:val="21"/>
                <w:lang w:eastAsia="zh-CN"/>
              </w:rPr>
            </w:pPr>
            <w:r>
              <w:rPr>
                <w:rFonts w:hint="eastAsia"/>
                <w:sz w:val="21"/>
                <w:szCs w:val="21"/>
                <w:lang w:val="en-US" w:eastAsia="zh-CN"/>
              </w:rPr>
              <w:t>/</w:t>
            </w:r>
          </w:p>
        </w:tc>
        <w:tc>
          <w:tcPr>
            <w:tcW w:w="5272" w:type="dxa"/>
            <w:noWrap w:val="0"/>
            <w:vAlign w:val="center"/>
          </w:tcPr>
          <w:p>
            <w:pPr>
              <w:spacing w:line="240" w:lineRule="auto"/>
              <w:ind w:firstLine="0"/>
              <w:jc w:val="center"/>
              <w:rPr>
                <w:rFonts w:hint="eastAsia"/>
                <w:sz w:val="21"/>
                <w:szCs w:val="21"/>
              </w:rPr>
            </w:pPr>
            <w:r>
              <w:rPr>
                <w:rFonts w:hint="eastAsia"/>
                <w:sz w:val="21"/>
                <w:szCs w:val="21"/>
              </w:rPr>
              <w:t>根据《新疆</w:t>
            </w:r>
            <w:r>
              <w:rPr>
                <w:rFonts w:hint="eastAsia"/>
                <w:sz w:val="21"/>
                <w:szCs w:val="21"/>
                <w:lang w:eastAsia="zh-CN"/>
              </w:rPr>
              <w:t>维吾尔自治区</w:t>
            </w:r>
            <w:r>
              <w:rPr>
                <w:rFonts w:hint="eastAsia"/>
                <w:sz w:val="21"/>
                <w:szCs w:val="21"/>
              </w:rPr>
              <w:t>水环境功能区划》</w:t>
            </w:r>
            <w:r>
              <w:rPr>
                <w:rFonts w:hint="eastAsia"/>
                <w:sz w:val="21"/>
                <w:szCs w:val="21"/>
                <w:lang w:eastAsia="zh-CN"/>
              </w:rPr>
              <w:t>及《乌苏工业园区总体规划（</w:t>
            </w:r>
            <w:r>
              <w:rPr>
                <w:rFonts w:hint="eastAsia" w:ascii="Times New Roman" w:hAnsi="Times New Roman"/>
                <w:sz w:val="21"/>
                <w:szCs w:val="21"/>
                <w:lang w:val="en-US" w:eastAsia="zh-CN"/>
              </w:rPr>
              <w:t>2018</w:t>
            </w:r>
            <w:r>
              <w:rPr>
                <w:rFonts w:hint="eastAsia"/>
                <w:sz w:val="21"/>
                <w:szCs w:val="21"/>
                <w:lang w:val="en-US" w:eastAsia="zh-CN"/>
              </w:rPr>
              <w:t>-</w:t>
            </w:r>
            <w:r>
              <w:rPr>
                <w:rFonts w:hint="eastAsia" w:ascii="Times New Roman" w:hAnsi="Times New Roman"/>
                <w:sz w:val="21"/>
                <w:szCs w:val="21"/>
                <w:lang w:val="en-US" w:eastAsia="zh-CN"/>
              </w:rPr>
              <w:t>2035</w:t>
            </w:r>
            <w:r>
              <w:rPr>
                <w:rFonts w:hint="eastAsia"/>
                <w:sz w:val="21"/>
                <w:szCs w:val="21"/>
                <w:lang w:eastAsia="zh-CN"/>
              </w:rPr>
              <w:t>）环境影响报告书》</w:t>
            </w:r>
            <w:r>
              <w:rPr>
                <w:rFonts w:hint="eastAsia" w:hAnsi="宋体"/>
                <w:snapToGrid w:val="0"/>
                <w:sz w:val="21"/>
                <w:szCs w:val="21"/>
              </w:rPr>
              <w:t>，</w:t>
            </w:r>
            <w:r>
              <w:rPr>
                <w:rFonts w:hint="eastAsia" w:hAnsi="宋体"/>
                <w:snapToGrid w:val="0"/>
                <w:sz w:val="21"/>
                <w:szCs w:val="21"/>
                <w:lang w:eastAsia="zh-CN"/>
              </w:rPr>
              <w:t>园区</w:t>
            </w:r>
            <w:r>
              <w:rPr>
                <w:rFonts w:hint="eastAsia" w:hAnsi="宋体"/>
                <w:snapToGrid w:val="0"/>
                <w:sz w:val="21"/>
                <w:szCs w:val="21"/>
              </w:rPr>
              <w:t>地下水执行《地下水质量标准》（</w:t>
            </w:r>
            <w:r>
              <w:rPr>
                <w:rFonts w:hint="eastAsia" w:ascii="Times New Roman" w:hAnsi="Times New Roman"/>
                <w:snapToGrid w:val="0"/>
                <w:sz w:val="21"/>
                <w:szCs w:val="21"/>
              </w:rPr>
              <w:t>GB</w:t>
            </w:r>
            <w:r>
              <w:rPr>
                <w:rFonts w:hint="eastAsia" w:hAnsi="宋体"/>
                <w:snapToGrid w:val="0"/>
                <w:sz w:val="21"/>
                <w:szCs w:val="21"/>
              </w:rPr>
              <w:t>/</w:t>
            </w:r>
            <w:r>
              <w:rPr>
                <w:rFonts w:hint="eastAsia" w:ascii="Times New Roman" w:hAnsi="Times New Roman"/>
                <w:snapToGrid w:val="0"/>
                <w:sz w:val="21"/>
                <w:szCs w:val="21"/>
              </w:rPr>
              <w:t>T14848</w:t>
            </w:r>
            <w:r>
              <w:rPr>
                <w:rFonts w:hint="eastAsia" w:hAnsi="宋体"/>
                <w:snapToGrid w:val="0"/>
                <w:sz w:val="21"/>
                <w:szCs w:val="21"/>
              </w:rPr>
              <w:t>-</w:t>
            </w:r>
            <w:r>
              <w:rPr>
                <w:rFonts w:hint="eastAsia" w:ascii="Times New Roman" w:hAnsi="Times New Roman"/>
                <w:snapToGrid w:val="0"/>
                <w:sz w:val="21"/>
                <w:szCs w:val="21"/>
              </w:rPr>
              <w:t>2017</w:t>
            </w:r>
            <w:r>
              <w:rPr>
                <w:rFonts w:hint="eastAsia" w:hAnsi="宋体"/>
                <w:snapToGrid w:val="0"/>
                <w:sz w:val="21"/>
                <w:szCs w:val="21"/>
              </w:rPr>
              <w:t>）Ⅲ类标准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w:t>
            </w:r>
          </w:p>
        </w:tc>
        <w:tc>
          <w:tcPr>
            <w:tcW w:w="2054" w:type="dxa"/>
            <w:noWrap w:val="0"/>
            <w:vAlign w:val="center"/>
          </w:tcPr>
          <w:p>
            <w:pPr>
              <w:spacing w:line="240" w:lineRule="auto"/>
              <w:ind w:firstLine="0"/>
              <w:jc w:val="center"/>
              <w:rPr>
                <w:rFonts w:hint="eastAsia"/>
                <w:sz w:val="21"/>
                <w:szCs w:val="21"/>
              </w:rPr>
            </w:pPr>
            <w:r>
              <w:rPr>
                <w:rFonts w:hint="eastAsia"/>
                <w:sz w:val="21"/>
                <w:szCs w:val="21"/>
              </w:rPr>
              <w:t>大气功能区</w:t>
            </w:r>
          </w:p>
        </w:tc>
        <w:tc>
          <w:tcPr>
            <w:tcW w:w="1211" w:type="dxa"/>
            <w:noWrap w:val="0"/>
            <w:vAlign w:val="center"/>
          </w:tcPr>
          <w:p>
            <w:pPr>
              <w:spacing w:line="240" w:lineRule="auto"/>
              <w:ind w:firstLine="0"/>
              <w:jc w:val="center"/>
              <w:rPr>
                <w:rFonts w:hint="eastAsia"/>
                <w:sz w:val="21"/>
                <w:szCs w:val="21"/>
              </w:rPr>
            </w:pPr>
            <w:r>
              <w:rPr>
                <w:rFonts w:hint="eastAsia"/>
                <w:sz w:val="21"/>
                <w:szCs w:val="21"/>
              </w:rPr>
              <w:t>二类区</w:t>
            </w:r>
          </w:p>
        </w:tc>
        <w:tc>
          <w:tcPr>
            <w:tcW w:w="5272" w:type="dxa"/>
            <w:noWrap w:val="0"/>
            <w:vAlign w:val="center"/>
          </w:tcPr>
          <w:p>
            <w:pPr>
              <w:spacing w:line="240" w:lineRule="auto"/>
              <w:ind w:firstLine="0"/>
              <w:jc w:val="center"/>
              <w:rPr>
                <w:rFonts w:hint="eastAsia"/>
                <w:sz w:val="21"/>
                <w:szCs w:val="21"/>
              </w:rPr>
            </w:pPr>
            <w:r>
              <w:rPr>
                <w:rFonts w:hint="eastAsia"/>
                <w:sz w:val="21"/>
                <w:szCs w:val="21"/>
              </w:rPr>
              <w:t>《环境空气质量标准》（</w:t>
            </w:r>
            <w:r>
              <w:rPr>
                <w:rFonts w:hint="eastAsia" w:ascii="Times New Roman" w:hAnsi="Times New Roman"/>
                <w:sz w:val="21"/>
                <w:szCs w:val="21"/>
              </w:rPr>
              <w:t>GB3095</w:t>
            </w:r>
            <w:r>
              <w:rPr>
                <w:rFonts w:hint="eastAsia"/>
                <w:sz w:val="21"/>
                <w:szCs w:val="21"/>
              </w:rPr>
              <w:t>-</w:t>
            </w:r>
            <w:r>
              <w:rPr>
                <w:rFonts w:hint="eastAsia" w:ascii="Times New Roman" w:hAnsi="Times New Roman"/>
                <w:sz w:val="21"/>
                <w:szCs w:val="21"/>
              </w:rPr>
              <w:t>2012</w:t>
            </w:r>
            <w:r>
              <w:rPr>
                <w:rFonts w:hint="eastAsia"/>
                <w:sz w:val="21"/>
                <w:szCs w:val="21"/>
              </w:rPr>
              <w:t>）二级标准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3</w:t>
            </w:r>
          </w:p>
        </w:tc>
        <w:tc>
          <w:tcPr>
            <w:tcW w:w="2054" w:type="dxa"/>
            <w:noWrap w:val="0"/>
            <w:vAlign w:val="center"/>
          </w:tcPr>
          <w:p>
            <w:pPr>
              <w:spacing w:line="240" w:lineRule="auto"/>
              <w:ind w:firstLine="0"/>
              <w:jc w:val="center"/>
              <w:rPr>
                <w:rFonts w:hint="eastAsia"/>
                <w:sz w:val="21"/>
                <w:szCs w:val="21"/>
              </w:rPr>
            </w:pPr>
            <w:r>
              <w:rPr>
                <w:rFonts w:hint="eastAsia"/>
                <w:sz w:val="21"/>
                <w:szCs w:val="21"/>
              </w:rPr>
              <w:t>环境噪声功能区</w:t>
            </w:r>
          </w:p>
        </w:tc>
        <w:tc>
          <w:tcPr>
            <w:tcW w:w="1211"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3</w:t>
            </w:r>
            <w:r>
              <w:rPr>
                <w:rFonts w:hint="eastAsia"/>
                <w:sz w:val="21"/>
                <w:szCs w:val="21"/>
              </w:rPr>
              <w:t>类区</w:t>
            </w:r>
          </w:p>
        </w:tc>
        <w:tc>
          <w:tcPr>
            <w:tcW w:w="5272" w:type="dxa"/>
            <w:noWrap w:val="0"/>
            <w:vAlign w:val="center"/>
          </w:tcPr>
          <w:p>
            <w:pPr>
              <w:spacing w:line="240" w:lineRule="auto"/>
              <w:ind w:firstLine="0"/>
              <w:jc w:val="center"/>
              <w:rPr>
                <w:rFonts w:hint="eastAsia"/>
                <w:sz w:val="21"/>
                <w:szCs w:val="21"/>
              </w:rPr>
            </w:pPr>
            <w:r>
              <w:rPr>
                <w:rFonts w:hint="eastAsia"/>
                <w:sz w:val="21"/>
                <w:szCs w:val="21"/>
              </w:rPr>
              <w:t>《声环境质量标准》（</w:t>
            </w:r>
            <w:r>
              <w:rPr>
                <w:rFonts w:hint="eastAsia" w:ascii="Times New Roman" w:hAnsi="Times New Roman"/>
                <w:sz w:val="21"/>
                <w:szCs w:val="21"/>
              </w:rPr>
              <w:t>GB3096</w:t>
            </w:r>
            <w:r>
              <w:rPr>
                <w:rFonts w:hint="eastAsia"/>
                <w:sz w:val="21"/>
                <w:szCs w:val="21"/>
              </w:rPr>
              <w:t>-</w:t>
            </w:r>
            <w:r>
              <w:rPr>
                <w:rFonts w:hint="eastAsia" w:ascii="Times New Roman" w:hAnsi="Times New Roman"/>
                <w:sz w:val="21"/>
                <w:szCs w:val="21"/>
              </w:rPr>
              <w:t>2008</w:t>
            </w:r>
            <w:r>
              <w:rPr>
                <w:rFonts w:hint="eastAsia"/>
                <w:sz w:val="21"/>
                <w:szCs w:val="21"/>
              </w:rPr>
              <w:t>）</w:t>
            </w:r>
            <w:r>
              <w:rPr>
                <w:rFonts w:hint="eastAsia" w:ascii="Times New Roman" w:hAnsi="Times New Roman"/>
                <w:sz w:val="21"/>
                <w:szCs w:val="21"/>
              </w:rPr>
              <w:t>3</w:t>
            </w:r>
            <w:r>
              <w:rPr>
                <w:rFonts w:hint="eastAsia"/>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66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4</w:t>
            </w:r>
          </w:p>
        </w:tc>
        <w:tc>
          <w:tcPr>
            <w:tcW w:w="2054" w:type="dxa"/>
            <w:noWrap w:val="0"/>
            <w:vAlign w:val="center"/>
          </w:tcPr>
          <w:p>
            <w:pPr>
              <w:spacing w:line="240" w:lineRule="auto"/>
              <w:ind w:firstLine="0"/>
              <w:jc w:val="center"/>
              <w:rPr>
                <w:rFonts w:hint="eastAsia"/>
                <w:sz w:val="21"/>
                <w:szCs w:val="21"/>
              </w:rPr>
            </w:pPr>
            <w:r>
              <w:rPr>
                <w:rFonts w:hint="eastAsia"/>
                <w:sz w:val="21"/>
                <w:szCs w:val="21"/>
              </w:rPr>
              <w:t>土壤环境功能区</w:t>
            </w:r>
          </w:p>
        </w:tc>
        <w:tc>
          <w:tcPr>
            <w:tcW w:w="1211" w:type="dxa"/>
            <w:noWrap w:val="0"/>
            <w:vAlign w:val="center"/>
          </w:tcPr>
          <w:p>
            <w:pPr>
              <w:spacing w:line="240" w:lineRule="auto"/>
              <w:ind w:firstLine="0"/>
              <w:jc w:val="center"/>
              <w:rPr>
                <w:rFonts w:hint="eastAsia" w:eastAsia="宋体"/>
                <w:sz w:val="21"/>
                <w:szCs w:val="21"/>
                <w:lang w:eastAsia="zh-CN"/>
              </w:rPr>
            </w:pPr>
            <w:r>
              <w:rPr>
                <w:rFonts w:hint="eastAsia"/>
                <w:sz w:val="21"/>
                <w:szCs w:val="21"/>
                <w:lang w:eastAsia="zh-CN"/>
              </w:rPr>
              <w:t>建设用地</w:t>
            </w:r>
          </w:p>
        </w:tc>
        <w:tc>
          <w:tcPr>
            <w:tcW w:w="5272" w:type="dxa"/>
            <w:noWrap w:val="0"/>
            <w:vAlign w:val="center"/>
          </w:tcPr>
          <w:p>
            <w:pPr>
              <w:spacing w:line="240" w:lineRule="auto"/>
              <w:ind w:firstLine="0"/>
              <w:jc w:val="center"/>
              <w:rPr>
                <w:rFonts w:hint="eastAsia"/>
                <w:sz w:val="21"/>
                <w:szCs w:val="21"/>
              </w:rPr>
            </w:pPr>
            <w:r>
              <w:rPr>
                <w:rFonts w:hint="eastAsia"/>
                <w:sz w:val="21"/>
                <w:szCs w:val="21"/>
              </w:rPr>
              <w:t>《土壤环境质量标准 建设用地土壤污染风险管控标准</w:t>
            </w:r>
            <w:r>
              <w:rPr>
                <w:rFonts w:hint="eastAsia"/>
                <w:sz w:val="21"/>
                <w:szCs w:val="21"/>
                <w:lang w:eastAsia="zh-CN"/>
              </w:rPr>
              <w:t>（试行）</w:t>
            </w:r>
            <w:r>
              <w:rPr>
                <w:rFonts w:hint="eastAsia"/>
                <w:sz w:val="21"/>
                <w:szCs w:val="21"/>
              </w:rPr>
              <w:t>》（</w:t>
            </w:r>
            <w:r>
              <w:rPr>
                <w:rFonts w:hint="eastAsia" w:ascii="Times New Roman" w:hAnsi="Times New Roman"/>
                <w:sz w:val="21"/>
                <w:szCs w:val="21"/>
              </w:rPr>
              <w:t>GB36600</w:t>
            </w:r>
            <w:r>
              <w:rPr>
                <w:rFonts w:hint="eastAsia"/>
                <w:sz w:val="21"/>
                <w:szCs w:val="21"/>
              </w:rPr>
              <w:t>-</w:t>
            </w:r>
            <w:r>
              <w:rPr>
                <w:rFonts w:hint="eastAsia" w:ascii="Times New Roman" w:hAnsi="Times New Roman"/>
                <w:sz w:val="21"/>
                <w:szCs w:val="21"/>
              </w:rPr>
              <w:t>2018</w:t>
            </w:r>
            <w:r>
              <w:rPr>
                <w:rFonts w:hint="eastAsia"/>
                <w:sz w:val="21"/>
                <w:szCs w:val="21"/>
              </w:rPr>
              <w:t>）</w:t>
            </w:r>
            <w:r>
              <w:rPr>
                <w:rFonts w:hint="eastAsia"/>
                <w:sz w:val="21"/>
                <w:szCs w:val="21"/>
                <w:lang w:eastAsia="zh-CN"/>
              </w:rPr>
              <w:t>表</w:t>
            </w:r>
            <w:r>
              <w:rPr>
                <w:rFonts w:hint="eastAsia" w:ascii="Times New Roman" w:hAnsi="Times New Roman"/>
                <w:sz w:val="21"/>
                <w:szCs w:val="21"/>
                <w:lang w:val="en-US" w:eastAsia="zh-CN"/>
              </w:rPr>
              <w:t>1</w:t>
            </w:r>
            <w:r>
              <w:rPr>
                <w:rFonts w:hint="eastAsia"/>
                <w:sz w:val="21"/>
                <w:szCs w:val="21"/>
              </w:rPr>
              <w:t>第二类用地筛选值</w:t>
            </w:r>
          </w:p>
        </w:tc>
      </w:tr>
    </w:tbl>
    <w:p>
      <w:pPr>
        <w:pStyle w:val="4"/>
        <w:spacing w:before="156" w:after="156"/>
        <w:rPr>
          <w:rFonts w:hint="eastAsia"/>
        </w:rPr>
      </w:pPr>
      <w:bookmarkStart w:id="64" w:name="_Toc8917"/>
      <w:bookmarkStart w:id="65" w:name="_Toc28727"/>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评价因子及评价标准</w:t>
      </w:r>
      <w:bookmarkEnd w:id="57"/>
      <w:bookmarkEnd w:id="58"/>
      <w:bookmarkEnd w:id="59"/>
      <w:bookmarkEnd w:id="60"/>
      <w:bookmarkEnd w:id="64"/>
      <w:bookmarkEnd w:id="65"/>
    </w:p>
    <w:p>
      <w:pPr>
        <w:pStyle w:val="5"/>
        <w:bidi w:val="0"/>
        <w:rPr>
          <w:rFonts w:hint="eastAsia"/>
        </w:rPr>
      </w:pPr>
      <w:bookmarkStart w:id="66" w:name="_Toc341867045"/>
      <w:bookmarkStart w:id="67" w:name="_Toc332975151"/>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1</w:t>
      </w:r>
      <w:bookmarkEnd w:id="66"/>
      <w:bookmarkEnd w:id="67"/>
      <w:r>
        <w:rPr>
          <w:rFonts w:hint="eastAsia"/>
        </w:rPr>
        <w:t>环境影响</w:t>
      </w:r>
      <w:r>
        <w:rPr>
          <w:rFonts w:hint="eastAsia"/>
          <w:lang w:eastAsia="zh-CN"/>
        </w:rPr>
        <w:t>因</w:t>
      </w:r>
      <w:r>
        <w:rPr>
          <w:rFonts w:hint="eastAsia"/>
        </w:rPr>
        <w:t>素识别</w:t>
      </w:r>
    </w:p>
    <w:p>
      <w:pPr>
        <w:pStyle w:val="6"/>
        <w:bidi w:val="0"/>
        <w:rPr>
          <w:rFonts w:hint="eastAsia"/>
        </w:rPr>
      </w:pPr>
      <w:bookmarkStart w:id="68" w:name="_Toc341867046"/>
      <w:bookmarkStart w:id="69" w:name="_Toc332975152"/>
      <w:r>
        <w:rPr>
          <w:rFonts w:hint="eastAsia" w:ascii="Times New Roman" w:hAnsi="Times New Roman"/>
        </w:rPr>
        <w:t>2</w:t>
      </w:r>
      <w:r>
        <w:rPr>
          <w:rFonts w:hint="eastAsia"/>
        </w:rPr>
        <w:t>.</w:t>
      </w:r>
      <w:r>
        <w:rPr>
          <w:rFonts w:hint="eastAsia" w:ascii="Times New Roman" w:hAnsi="Times New Roman"/>
        </w:rPr>
        <w:t>4</w:t>
      </w:r>
      <w:r>
        <w:rPr>
          <w:rFonts w:hint="eastAsia"/>
        </w:rPr>
        <w:t>.</w:t>
      </w:r>
      <w:r>
        <w:rPr>
          <w:rFonts w:hint="eastAsia" w:ascii="Times New Roman" w:hAnsi="Times New Roman"/>
        </w:rPr>
        <w:t>1</w:t>
      </w:r>
      <w:r>
        <w:rPr>
          <w:rFonts w:hint="eastAsia"/>
        </w:rPr>
        <w:t>.</w:t>
      </w:r>
      <w:r>
        <w:rPr>
          <w:rFonts w:hint="eastAsia" w:ascii="Times New Roman" w:hAnsi="Times New Roman"/>
        </w:rPr>
        <w:t>1</w:t>
      </w:r>
      <w:r>
        <w:rPr>
          <w:rFonts w:hint="eastAsia"/>
        </w:rPr>
        <w:t>施工期</w:t>
      </w:r>
    </w:p>
    <w:p>
      <w:r>
        <w:t>经分析，本项目施工期主要环境影响因素见表</w:t>
      </w:r>
      <w:r>
        <w:rPr>
          <w:rFonts w:hint="eastAsia" w:ascii="Times New Roman" w:hAnsi="Times New Roman"/>
        </w:rPr>
        <w:t>2</w:t>
      </w:r>
      <w:r>
        <w:rPr>
          <w:rFonts w:hint="eastAsia"/>
        </w:rPr>
        <w:t>.</w:t>
      </w:r>
      <w:r>
        <w:rPr>
          <w:rFonts w:ascii="Times New Roman" w:hAnsi="Times New Roman"/>
        </w:rPr>
        <w:t>4</w:t>
      </w:r>
      <w:r>
        <w:t>-</w:t>
      </w:r>
      <w:r>
        <w:rPr>
          <w:rFonts w:ascii="Times New Roman" w:hAnsi="Times New Roman"/>
        </w:rPr>
        <w:t>1</w:t>
      </w:r>
      <w:r>
        <w:t>。</w:t>
      </w:r>
    </w:p>
    <w:p>
      <w:pPr>
        <w:pStyle w:val="20"/>
        <w:spacing w:before="165" w:after="0"/>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rPr>
        <w:t>4</w:t>
      </w:r>
      <w:r>
        <w:rPr>
          <w:rFonts w:hint="eastAsia"/>
        </w:rPr>
        <w:t>-</w:t>
      </w:r>
      <w:r>
        <w:rPr>
          <w:rFonts w:hint="eastAsia" w:ascii="Times New Roman" w:hAnsi="Times New Roman"/>
        </w:rPr>
        <w:t>1</w:t>
      </w:r>
      <w:r>
        <w:rPr>
          <w:rFonts w:hint="eastAsia"/>
        </w:rPr>
        <w:t xml:space="preserve">  施工期主要环境影响因素</w:t>
      </w:r>
    </w:p>
    <w:tbl>
      <w:tblPr>
        <w:tblStyle w:val="80"/>
        <w:tblW w:w="9019"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87"/>
        <w:gridCol w:w="1523"/>
        <w:gridCol w:w="4573"/>
        <w:gridCol w:w="2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trPr>
        <w:tc>
          <w:tcPr>
            <w:tcW w:w="687"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序号</w:t>
            </w:r>
          </w:p>
        </w:tc>
        <w:tc>
          <w:tcPr>
            <w:tcW w:w="152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环境要素</w:t>
            </w: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产生影响的主要内容</w:t>
            </w:r>
          </w:p>
        </w:tc>
        <w:tc>
          <w:tcPr>
            <w:tcW w:w="2236"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主要影响因素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87" w:type="dxa"/>
            <w:vMerge w:val="restart"/>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ascii="Times New Roman" w:hAnsi="Times New Roman" w:eastAsia="宋体" w:cs="宋体"/>
                <w:b w:val="0"/>
                <w:bCs w:val="0"/>
              </w:rPr>
              <w:t>1</w:t>
            </w:r>
          </w:p>
        </w:tc>
        <w:tc>
          <w:tcPr>
            <w:tcW w:w="1523" w:type="dxa"/>
            <w:vMerge w:val="restart"/>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环境空气</w:t>
            </w: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土地平整、挖掘，土石方、建材储运等</w:t>
            </w:r>
          </w:p>
        </w:tc>
        <w:tc>
          <w:tcPr>
            <w:tcW w:w="2236"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扬尘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87" w:type="dxa"/>
            <w:vMerge w:val="continue"/>
            <w:noWrap w:val="0"/>
            <w:tcMar>
              <w:left w:w="0" w:type="dxa"/>
              <w:right w:w="0" w:type="dxa"/>
            </w:tcMar>
            <w:vAlign w:val="center"/>
          </w:tcPr>
          <w:p>
            <w:pPr>
              <w:pStyle w:val="927"/>
              <w:spacing w:before="0" w:after="0" w:line="240" w:lineRule="auto"/>
              <w:rPr>
                <w:rFonts w:hint="eastAsia" w:eastAsia="宋体" w:cs="宋体"/>
                <w:b w:val="0"/>
                <w:bCs w:val="0"/>
              </w:rPr>
            </w:pPr>
          </w:p>
        </w:tc>
        <w:tc>
          <w:tcPr>
            <w:tcW w:w="1523" w:type="dxa"/>
            <w:vMerge w:val="continue"/>
            <w:noWrap w:val="0"/>
            <w:tcMar>
              <w:left w:w="0" w:type="dxa"/>
              <w:right w:w="0" w:type="dxa"/>
            </w:tcMar>
            <w:vAlign w:val="center"/>
          </w:tcPr>
          <w:p>
            <w:pPr>
              <w:pStyle w:val="927"/>
              <w:spacing w:before="0" w:after="0" w:line="240" w:lineRule="auto"/>
              <w:rPr>
                <w:rFonts w:hint="eastAsia" w:eastAsia="宋体" w:cs="宋体"/>
                <w:b w:val="0"/>
                <w:bCs w:val="0"/>
              </w:rPr>
            </w:pP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施工车辆尾气等</w:t>
            </w:r>
          </w:p>
        </w:tc>
        <w:tc>
          <w:tcPr>
            <w:tcW w:w="2236" w:type="dxa"/>
            <w:noWrap w:val="0"/>
            <w:tcMar>
              <w:left w:w="0" w:type="dxa"/>
              <w:right w:w="0" w:type="dxa"/>
            </w:tcMar>
            <w:vAlign w:val="center"/>
          </w:tcPr>
          <w:p>
            <w:pPr>
              <w:pStyle w:val="927"/>
              <w:spacing w:before="0" w:after="0" w:line="240" w:lineRule="auto"/>
              <w:rPr>
                <w:rFonts w:hint="default" w:eastAsia="宋体" w:cs="宋体"/>
                <w:b w:val="0"/>
                <w:bCs w:val="0"/>
                <w:lang w:val="en-US" w:eastAsia="zh-CN"/>
              </w:rPr>
            </w:pPr>
            <w:r>
              <w:rPr>
                <w:rFonts w:hint="eastAsia" w:ascii="Times New Roman" w:hAnsi="Times New Roman" w:eastAsia="宋体" w:cs="宋体"/>
                <w:b w:val="0"/>
                <w:bCs w:val="0"/>
              </w:rPr>
              <w:t>NOx</w:t>
            </w:r>
            <w:r>
              <w:rPr>
                <w:rFonts w:hint="eastAsia" w:eastAsia="宋体" w:cs="宋体"/>
                <w:b w:val="0"/>
                <w:bCs w:val="0"/>
              </w:rPr>
              <w:t>、</w:t>
            </w:r>
            <w:r>
              <w:rPr>
                <w:rFonts w:hint="eastAsia" w:ascii="Times New Roman" w:hAnsi="Times New Roman" w:eastAsia="宋体" w:cs="宋体"/>
                <w:b w:val="0"/>
                <w:bCs w:val="0"/>
              </w:rPr>
              <w:t>SO</w:t>
            </w:r>
            <w:r>
              <w:rPr>
                <w:rFonts w:hint="eastAsia" w:ascii="Times New Roman" w:hAnsi="Times New Roman" w:eastAsia="宋体" w:cs="宋体"/>
                <w:b w:val="0"/>
                <w:bCs w:val="0"/>
                <w:vertAlign w:val="subscript"/>
              </w:rPr>
              <w:t>2</w:t>
            </w:r>
            <w:r>
              <w:rPr>
                <w:rFonts w:hint="eastAsia" w:ascii="Times New Roman" w:hAnsi="Times New Roman" w:eastAsia="宋体" w:cs="宋体"/>
                <w:b w:val="0"/>
                <w:bCs w:val="0"/>
                <w:vertAlign w:val="baseline"/>
                <w:lang w:eastAsia="zh-CN"/>
              </w:rPr>
              <w:t>、</w:t>
            </w:r>
            <w:r>
              <w:rPr>
                <w:rFonts w:hint="eastAsia" w:ascii="Times New Roman" w:hAnsi="Times New Roman" w:eastAsia="宋体" w:cs="宋体"/>
                <w:b w:val="0"/>
                <w:bCs w:val="0"/>
                <w:vertAlign w:val="baseline"/>
                <w:lang w:val="en-US" w:eastAsia="zh-CN"/>
              </w:rPr>
              <w:t>THC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87"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ascii="Times New Roman" w:hAnsi="Times New Roman" w:eastAsia="宋体" w:cs="宋体"/>
                <w:b w:val="0"/>
                <w:bCs w:val="0"/>
              </w:rPr>
              <w:t>2</w:t>
            </w:r>
          </w:p>
        </w:tc>
        <w:tc>
          <w:tcPr>
            <w:tcW w:w="152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水环境</w:t>
            </w: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施工废水、施工人员生活废水等</w:t>
            </w:r>
          </w:p>
        </w:tc>
        <w:tc>
          <w:tcPr>
            <w:tcW w:w="2236"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ascii="Times New Roman" w:hAnsi="Times New Roman" w:eastAsia="宋体" w:cs="宋体"/>
                <w:b w:val="0"/>
                <w:bCs w:val="0"/>
              </w:rPr>
              <w:t>COD</w:t>
            </w:r>
            <w:r>
              <w:rPr>
                <w:rFonts w:hint="eastAsia" w:eastAsia="宋体" w:cs="宋体"/>
                <w:b w:val="0"/>
                <w:bCs w:val="0"/>
              </w:rPr>
              <w:t>、</w:t>
            </w:r>
            <w:r>
              <w:rPr>
                <w:rFonts w:hint="eastAsia" w:ascii="Times New Roman" w:hAnsi="Times New Roman" w:eastAsia="宋体" w:cs="宋体"/>
                <w:b w:val="0"/>
                <w:bCs w:val="0"/>
              </w:rPr>
              <w:t>BOD</w:t>
            </w:r>
            <w:r>
              <w:rPr>
                <w:rFonts w:hint="eastAsia" w:eastAsia="宋体" w:cs="宋体"/>
                <w:b w:val="0"/>
                <w:bCs w:val="0"/>
              </w:rPr>
              <w:t>、</w:t>
            </w:r>
            <w:r>
              <w:rPr>
                <w:rFonts w:hint="eastAsia" w:ascii="Times New Roman" w:hAnsi="Times New Roman" w:eastAsia="宋体" w:cs="宋体"/>
                <w:b w:val="0"/>
                <w:bCs w:val="0"/>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687"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ascii="Times New Roman" w:hAnsi="Times New Roman" w:eastAsia="宋体" w:cs="宋体"/>
                <w:b w:val="0"/>
                <w:bCs w:val="0"/>
              </w:rPr>
              <w:t>3</w:t>
            </w:r>
          </w:p>
        </w:tc>
        <w:tc>
          <w:tcPr>
            <w:tcW w:w="152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声环境</w:t>
            </w: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施工机械、车辆作业噪声</w:t>
            </w:r>
          </w:p>
        </w:tc>
        <w:tc>
          <w:tcPr>
            <w:tcW w:w="2236"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687"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ascii="Times New Roman" w:hAnsi="Times New Roman" w:eastAsia="宋体" w:cs="宋体"/>
                <w:b w:val="0"/>
                <w:bCs w:val="0"/>
              </w:rPr>
              <w:t>4</w:t>
            </w:r>
          </w:p>
        </w:tc>
        <w:tc>
          <w:tcPr>
            <w:tcW w:w="152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固体废物</w:t>
            </w: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施工垃圾、生活垃圾</w:t>
            </w:r>
          </w:p>
        </w:tc>
        <w:tc>
          <w:tcPr>
            <w:tcW w:w="2236"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二次扬尘、占地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687" w:type="dxa"/>
            <w:vMerge w:val="restart"/>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ascii="Times New Roman" w:hAnsi="Times New Roman" w:eastAsia="宋体" w:cs="宋体"/>
                <w:b w:val="0"/>
                <w:bCs w:val="0"/>
              </w:rPr>
              <w:t>5</w:t>
            </w:r>
          </w:p>
        </w:tc>
        <w:tc>
          <w:tcPr>
            <w:tcW w:w="1523" w:type="dxa"/>
            <w:vMerge w:val="restart"/>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生态</w:t>
            </w: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土地平整、挖掘及工程占地</w:t>
            </w:r>
          </w:p>
        </w:tc>
        <w:tc>
          <w:tcPr>
            <w:tcW w:w="2236"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水土流失、植被破坏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687" w:type="dxa"/>
            <w:vMerge w:val="continue"/>
            <w:noWrap w:val="0"/>
            <w:tcMar>
              <w:left w:w="0" w:type="dxa"/>
              <w:right w:w="0" w:type="dxa"/>
            </w:tcMar>
            <w:vAlign w:val="center"/>
          </w:tcPr>
          <w:p>
            <w:pPr>
              <w:pStyle w:val="927"/>
              <w:spacing w:before="0" w:after="0" w:line="240" w:lineRule="auto"/>
              <w:rPr>
                <w:rFonts w:hint="eastAsia" w:eastAsia="宋体" w:cs="宋体"/>
                <w:b w:val="0"/>
                <w:bCs w:val="0"/>
              </w:rPr>
            </w:pPr>
          </w:p>
        </w:tc>
        <w:tc>
          <w:tcPr>
            <w:tcW w:w="1523" w:type="dxa"/>
            <w:vMerge w:val="continue"/>
            <w:noWrap w:val="0"/>
            <w:tcMar>
              <w:left w:w="0" w:type="dxa"/>
              <w:right w:w="0" w:type="dxa"/>
            </w:tcMar>
            <w:vAlign w:val="center"/>
          </w:tcPr>
          <w:p>
            <w:pPr>
              <w:pStyle w:val="927"/>
              <w:spacing w:before="0" w:after="0" w:line="240" w:lineRule="auto"/>
              <w:rPr>
                <w:rFonts w:hint="eastAsia" w:eastAsia="宋体" w:cs="宋体"/>
                <w:b w:val="0"/>
                <w:bCs w:val="0"/>
              </w:rPr>
            </w:pPr>
          </w:p>
        </w:tc>
        <w:tc>
          <w:tcPr>
            <w:tcW w:w="4573"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土石方、建材堆存</w:t>
            </w:r>
          </w:p>
        </w:tc>
        <w:tc>
          <w:tcPr>
            <w:tcW w:w="2236" w:type="dxa"/>
            <w:noWrap w:val="0"/>
            <w:tcMar>
              <w:left w:w="0" w:type="dxa"/>
              <w:right w:w="0" w:type="dxa"/>
            </w:tcMar>
            <w:vAlign w:val="center"/>
          </w:tcPr>
          <w:p>
            <w:pPr>
              <w:pStyle w:val="927"/>
              <w:spacing w:before="0" w:after="0" w:line="240" w:lineRule="auto"/>
              <w:rPr>
                <w:rFonts w:hint="eastAsia" w:eastAsia="宋体" w:cs="宋体"/>
                <w:b w:val="0"/>
                <w:bCs w:val="0"/>
              </w:rPr>
            </w:pPr>
            <w:r>
              <w:rPr>
                <w:rFonts w:hint="eastAsia" w:eastAsia="宋体" w:cs="宋体"/>
                <w:b w:val="0"/>
                <w:bCs w:val="0"/>
              </w:rPr>
              <w:t>占压土地等</w:t>
            </w:r>
          </w:p>
        </w:tc>
      </w:tr>
    </w:tbl>
    <w:p>
      <w:pPr>
        <w:pStyle w:val="6"/>
        <w:bidi w:val="0"/>
        <w:rPr>
          <w:rFonts w:hint="default"/>
          <w:lang w:val="en-US" w:eastAsia="zh-CN"/>
        </w:rPr>
      </w:pP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运营期</w:t>
      </w:r>
    </w:p>
    <w:p>
      <w:pPr>
        <w:ind w:firstLine="480"/>
        <w:rPr>
          <w:rFonts w:hint="eastAsia" w:ascii="Times New Roman" w:hAnsi="Times New Roman" w:eastAsia="宋体" w:cs="Times New Roman"/>
          <w:color w:val="auto"/>
          <w:lang w:eastAsia="zh-CN"/>
        </w:rPr>
      </w:pPr>
      <w:r>
        <w:rPr>
          <w:rFonts w:hint="eastAsia" w:ascii="Times New Roman" w:cs="Times New Roman"/>
          <w:color w:val="auto"/>
          <w:lang w:eastAsia="zh-CN"/>
        </w:rPr>
        <w:t>本项目运营期</w:t>
      </w:r>
      <w:r>
        <w:rPr>
          <w:rFonts w:hint="default" w:ascii="Times New Roman" w:hAnsi="Times New Roman" w:cs="Times New Roman"/>
          <w:color w:val="auto"/>
        </w:rPr>
        <w:t>环境影响要素识别见表</w:t>
      </w:r>
      <w:r>
        <w:rPr>
          <w:rFonts w:hint="default" w:ascii="Times New Roman" w:hAnsi="Times New Roman" w:cs="Times New Roman"/>
          <w:color w:val="auto"/>
        </w:rPr>
        <w:t>2</w:t>
      </w:r>
      <w:r>
        <w:rPr>
          <w:rFonts w:hint="default" w:ascii="Times New Roman" w:hAnsi="Times New Roman" w:cs="Times New Roman"/>
          <w:color w:val="auto"/>
        </w:rPr>
        <w:t>.</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w:t>
      </w:r>
    </w:p>
    <w:p>
      <w:pPr>
        <w:pStyle w:val="20"/>
        <w:spacing w:before="156"/>
        <w:rPr>
          <w:color w:val="auto"/>
        </w:rPr>
      </w:pPr>
      <w:r>
        <w:rPr>
          <w:rFonts w:hint="eastAsia"/>
          <w:color w:val="auto"/>
        </w:rPr>
        <w:t>表</w:t>
      </w:r>
      <w:r>
        <w:rPr>
          <w:rFonts w:hint="eastAsia" w:ascii="Times New Roman" w:hAnsi="Times New Roman"/>
          <w:color w:val="auto"/>
        </w:rPr>
        <w:t>2</w:t>
      </w:r>
      <w:r>
        <w:rPr>
          <w:rFonts w:hint="eastAsia"/>
          <w:color w:val="auto"/>
        </w:rPr>
        <w:t>.</w:t>
      </w:r>
      <w:r>
        <w:rPr>
          <w:rFonts w:hint="eastAsia" w:ascii="Times New Roman" w:hAnsi="Times New Roman"/>
          <w:color w:val="auto"/>
          <w:lang w:val="en-US" w:eastAsia="zh-CN"/>
        </w:rPr>
        <w:t>4</w:t>
      </w:r>
      <w:r>
        <w:rPr>
          <w:rFonts w:hint="eastAsia"/>
          <w:color w:val="auto"/>
        </w:rPr>
        <w:t>-</w:t>
      </w:r>
      <w:r>
        <w:rPr>
          <w:rFonts w:hint="eastAsia" w:ascii="Times New Roman" w:hAnsi="Times New Roman"/>
          <w:color w:val="auto"/>
          <w:lang w:val="en-US" w:eastAsia="zh-CN"/>
        </w:rPr>
        <w:t>2</w:t>
      </w:r>
      <w:r>
        <w:rPr>
          <w:rFonts w:hint="eastAsia"/>
          <w:color w:val="auto"/>
        </w:rPr>
        <w:t xml:space="preserve">  </w:t>
      </w:r>
      <w:r>
        <w:rPr>
          <w:rFonts w:hint="eastAsia"/>
          <w:color w:val="auto"/>
          <w:lang w:eastAsia="zh-CN"/>
        </w:rPr>
        <w:t>运营期</w:t>
      </w:r>
      <w:r>
        <w:rPr>
          <w:rFonts w:hint="eastAsia"/>
          <w:color w:val="auto"/>
        </w:rPr>
        <w:t>环境影响</w:t>
      </w:r>
      <w:r>
        <w:rPr>
          <w:rFonts w:hint="eastAsia"/>
          <w:color w:val="auto"/>
          <w:lang w:eastAsia="zh-CN"/>
        </w:rPr>
        <w:t>因</w:t>
      </w:r>
      <w:r>
        <w:rPr>
          <w:rFonts w:hint="eastAsia"/>
          <w:color w:val="auto"/>
        </w:rPr>
        <w:t>素识别表</w:t>
      </w:r>
    </w:p>
    <w:tbl>
      <w:tblPr>
        <w:tblStyle w:val="80"/>
        <w:tblW w:w="908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864"/>
        <w:gridCol w:w="1369"/>
        <w:gridCol w:w="1360"/>
        <w:gridCol w:w="1360"/>
        <w:gridCol w:w="1359"/>
        <w:gridCol w:w="1361"/>
        <w:gridCol w:w="14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51" w:hRule="atLeast"/>
          <w:jc w:val="center"/>
        </w:trPr>
        <w:tc>
          <w:tcPr>
            <w:tcW w:w="2233" w:type="dxa"/>
            <w:gridSpan w:val="2"/>
            <w:vMerge w:val="restart"/>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sz w:val="21"/>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19685</wp:posOffset>
                      </wp:positionV>
                      <wp:extent cx="1429385" cy="571500"/>
                      <wp:effectExtent l="3175" t="7620" r="15240" b="15240"/>
                      <wp:wrapNone/>
                      <wp:docPr id="244" name="直线 266"/>
                      <wp:cNvGraphicFramePr/>
                      <a:graphic xmlns:a="http://schemas.openxmlformats.org/drawingml/2006/main">
                        <a:graphicData uri="http://schemas.microsoft.com/office/word/2010/wordprocessingShape">
                          <wps:wsp>
                            <wps:cNvCnPr/>
                            <wps:spPr>
                              <a:xfrm>
                                <a:off x="0" y="0"/>
                                <a:ext cx="1429385" cy="57150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66" o:spid="_x0000_s1026" o:spt="20" style="position:absolute;left:0pt;margin-left:-2.7pt;margin-top:1.55pt;height:45pt;width:112.55pt;z-index:251664384;mso-width-relative:page;mso-height-relative:page;" filled="f" stroked="t" coordsize="21600,21600" o:gfxdata="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MBib1gAAAAcBAAAPAAAAAAAAAAEAIAAAACIAAABkcnMvZG93bnJldi54bWxQSwECFAAU&#10;AAAACACHTuJA65bRsPMBAADlAwAADgAAAAAAAAABACAAAAAlAQAAZHJzL2Uyb0RvYy54bWxQSwUG&#10;AAAAAAYABgBZAQAAigUAAAAA&#10;">
                      <v:fill on="f" focussize="0,0"/>
                      <v:stroke weight="1.25pt" color="#000000" joinstyle="round"/>
                      <v:imagedata o:title=""/>
                      <o:lock v:ext="edit" aspectratio="f"/>
                    </v:line>
                  </w:pict>
                </mc:Fallback>
              </mc:AlternateContent>
            </w:r>
            <w:r>
              <w:rPr>
                <w:rFonts w:hint="eastAsia"/>
                <w:sz w:val="21"/>
                <w:szCs w:val="16"/>
                <w:lang w:val="en-US" w:eastAsia="zh-CN"/>
              </w:rPr>
              <w:t xml:space="preserve">  </w:t>
            </w:r>
            <w:r>
              <w:rPr>
                <w:rFonts w:hint="eastAsia"/>
                <w:sz w:val="21"/>
                <w:szCs w:val="16"/>
              </w:rPr>
              <w:t>影响受体</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影响因素</w:t>
            </w:r>
          </w:p>
        </w:tc>
        <w:tc>
          <w:tcPr>
            <w:tcW w:w="6847" w:type="dxa"/>
            <w:gridSpan w:val="5"/>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自然环境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89" w:hRule="atLeast"/>
          <w:jc w:val="center"/>
        </w:trPr>
        <w:tc>
          <w:tcPr>
            <w:tcW w:w="2233" w:type="dxa"/>
            <w:gridSpan w:val="2"/>
            <w:vMerge w:val="continue"/>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环境空气</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地下水</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土壤环境</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声环境</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生态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20" w:hRule="atLeast"/>
          <w:jc w:val="center"/>
        </w:trPr>
        <w:tc>
          <w:tcPr>
            <w:tcW w:w="864" w:type="dxa"/>
            <w:vMerge w:val="restart"/>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运行期</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废水排放</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w:t>
            </w:r>
            <w:r>
              <w:rPr>
                <w:rFonts w:hint="eastAsia" w:ascii="Times New Roman" w:hAnsi="Times New Roman"/>
                <w:sz w:val="21"/>
                <w:szCs w:val="16"/>
              </w:rPr>
              <w:t>L1D</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w:t>
            </w:r>
            <w:r>
              <w:rPr>
                <w:rFonts w:hint="eastAsia" w:ascii="Times New Roman" w:hAnsi="Times New Roman"/>
                <w:sz w:val="21"/>
                <w:szCs w:val="16"/>
              </w:rPr>
              <w:t>L1D</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20" w:hRule="atLeast"/>
          <w:jc w:val="center"/>
        </w:trPr>
        <w:tc>
          <w:tcPr>
            <w:tcW w:w="864" w:type="dxa"/>
            <w:vMerge w:val="continue"/>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废气排放</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w:t>
            </w:r>
            <w:r>
              <w:rPr>
                <w:rFonts w:hint="eastAsia" w:ascii="Times New Roman" w:hAnsi="Times New Roman"/>
                <w:sz w:val="21"/>
                <w:szCs w:val="16"/>
              </w:rPr>
              <w:t>L1D</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w:t>
            </w:r>
            <w:r>
              <w:rPr>
                <w:rFonts w:hint="eastAsia" w:ascii="Times New Roman" w:hAnsi="Times New Roman"/>
                <w:sz w:val="21"/>
                <w:szCs w:val="16"/>
              </w:rPr>
              <w:t>L1D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20" w:hRule="atLeast"/>
          <w:jc w:val="center"/>
        </w:trPr>
        <w:tc>
          <w:tcPr>
            <w:tcW w:w="864" w:type="dxa"/>
            <w:vMerge w:val="continue"/>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噪声排放</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w:t>
            </w:r>
            <w:r>
              <w:rPr>
                <w:rFonts w:hint="eastAsia" w:ascii="Times New Roman" w:hAnsi="Times New Roman"/>
                <w:sz w:val="21"/>
                <w:szCs w:val="16"/>
              </w:rPr>
              <w:t>L2D</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sz w:val="21"/>
                <w:szCs w:val="16"/>
                <w:lang w:val="en-US" w:eastAsia="zh-CN"/>
              </w:rPr>
              <w:t>-</w:t>
            </w:r>
            <w:r>
              <w:rPr>
                <w:rFonts w:hint="eastAsia" w:ascii="Times New Roman" w:hAnsi="Times New Roman"/>
                <w:sz w:val="21"/>
                <w:szCs w:val="16"/>
                <w:lang w:val="en-US" w:eastAsia="zh-CN"/>
              </w:rPr>
              <w:t>L1D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20" w:hRule="atLeast"/>
          <w:jc w:val="center"/>
        </w:trPr>
        <w:tc>
          <w:tcPr>
            <w:tcW w:w="864" w:type="dxa"/>
            <w:vMerge w:val="continue"/>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固体废物</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w:t>
            </w:r>
            <w:r>
              <w:rPr>
                <w:rFonts w:hint="eastAsia" w:ascii="Times New Roman" w:hAnsi="Times New Roman"/>
                <w:sz w:val="21"/>
                <w:szCs w:val="16"/>
              </w:rPr>
              <w:t>L1D</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320" w:hRule="atLeast"/>
          <w:jc w:val="center"/>
        </w:trPr>
        <w:tc>
          <w:tcPr>
            <w:tcW w:w="864" w:type="dxa"/>
            <w:vMerge w:val="continue"/>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lang w:eastAsia="zh-CN"/>
              </w:rPr>
              <w:t>环境</w:t>
            </w:r>
            <w:r>
              <w:rPr>
                <w:rFonts w:hint="eastAsia"/>
                <w:sz w:val="21"/>
                <w:szCs w:val="16"/>
              </w:rPr>
              <w:t>风险</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w:t>
            </w:r>
            <w:r>
              <w:rPr>
                <w:rFonts w:hint="eastAsia" w:ascii="Times New Roman" w:hAnsi="Times New Roman"/>
                <w:sz w:val="21"/>
                <w:szCs w:val="16"/>
              </w:rPr>
              <w:t>S1D</w:t>
            </w:r>
          </w:p>
        </w:tc>
        <w:tc>
          <w:tcPr>
            <w:tcW w:w="13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lang w:val="en-US" w:eastAsia="zh-CN"/>
              </w:rPr>
            </w:pPr>
            <w:r>
              <w:rPr>
                <w:rFonts w:hint="eastAsia"/>
                <w:sz w:val="21"/>
                <w:szCs w:val="16"/>
              </w:rPr>
              <w:t>-</w:t>
            </w:r>
            <w:r>
              <w:rPr>
                <w:rFonts w:hint="eastAsia" w:ascii="Times New Roman" w:hAnsi="Times New Roman"/>
                <w:sz w:val="21"/>
                <w:szCs w:val="16"/>
              </w:rPr>
              <w:t>S</w:t>
            </w:r>
            <w:r>
              <w:rPr>
                <w:rFonts w:hint="eastAsia" w:ascii="Times New Roman" w:hAnsi="Times New Roman"/>
                <w:sz w:val="21"/>
                <w:szCs w:val="16"/>
                <w:lang w:val="en-US" w:eastAsia="zh-CN"/>
              </w:rPr>
              <w:t>2</w:t>
            </w:r>
            <w:r>
              <w:rPr>
                <w:rFonts w:hint="eastAsia" w:ascii="Times New Roman" w:hAnsi="Times New Roman"/>
                <w:sz w:val="21"/>
                <w:szCs w:val="16"/>
              </w:rPr>
              <w:t>D</w:t>
            </w:r>
          </w:p>
        </w:tc>
        <w:tc>
          <w:tcPr>
            <w:tcW w:w="13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w:t>
            </w:r>
            <w:r>
              <w:rPr>
                <w:rFonts w:hint="eastAsia" w:ascii="Times New Roman" w:hAnsi="Times New Roman"/>
                <w:sz w:val="21"/>
                <w:szCs w:val="16"/>
              </w:rPr>
              <w:t>S2D</w:t>
            </w:r>
          </w:p>
        </w:tc>
        <w:tc>
          <w:tcPr>
            <w:tcW w:w="13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rPr>
            </w:pPr>
            <w:r>
              <w:rPr>
                <w:rFonts w:hint="eastAsia"/>
                <w:sz w:val="21"/>
                <w:szCs w:val="16"/>
              </w:rPr>
              <w:t>-</w:t>
            </w:r>
            <w:r>
              <w:rPr>
                <w:rFonts w:hint="eastAsia" w:ascii="Times New Roman" w:hAnsi="Times New Roman"/>
                <w:sz w:val="21"/>
                <w:szCs w:val="16"/>
              </w:rPr>
              <w:t>S</w:t>
            </w:r>
            <w:r>
              <w:rPr>
                <w:rFonts w:hint="eastAsia" w:ascii="Times New Roman" w:hAnsi="Times New Roman"/>
                <w:sz w:val="21"/>
                <w:szCs w:val="16"/>
                <w:lang w:val="en-US" w:eastAsia="zh-CN"/>
              </w:rPr>
              <w:t>1</w:t>
            </w:r>
            <w:r>
              <w:rPr>
                <w:rFonts w:hint="eastAsia" w:ascii="Times New Roman" w:hAnsi="Times New Roman"/>
                <w:sz w:val="21"/>
                <w:szCs w:val="16"/>
              </w:rPr>
              <w:t>D</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w:t>
            </w:r>
            <w:r>
              <w:rPr>
                <w:rFonts w:hint="eastAsia" w:ascii="Times New Roman" w:hAnsi="Times New Roman"/>
                <w:sz w:val="21"/>
                <w:szCs w:val="16"/>
              </w:rPr>
              <w:t>S2D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662" w:hRule="atLeast"/>
          <w:jc w:val="center"/>
        </w:trPr>
        <w:tc>
          <w:tcPr>
            <w:tcW w:w="9080" w:type="dxa"/>
            <w:gridSpan w:val="7"/>
            <w:tcBorders>
              <w:top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sz w:val="21"/>
                <w:szCs w:val="16"/>
              </w:rPr>
            </w:pPr>
            <w:r>
              <w:rPr>
                <w:rFonts w:hint="eastAsia"/>
                <w:sz w:val="21"/>
                <w:szCs w:val="16"/>
              </w:rPr>
              <w:t>注：“+和-”分别表示有利、不利影响；“</w:t>
            </w:r>
            <w:r>
              <w:rPr>
                <w:rFonts w:hint="eastAsia" w:ascii="Times New Roman" w:hAnsi="Times New Roman"/>
                <w:sz w:val="21"/>
                <w:szCs w:val="16"/>
              </w:rPr>
              <w:t>L</w:t>
            </w:r>
            <w:r>
              <w:rPr>
                <w:rFonts w:hint="eastAsia"/>
                <w:sz w:val="21"/>
                <w:szCs w:val="16"/>
              </w:rPr>
              <w:t>和</w:t>
            </w:r>
            <w:r>
              <w:rPr>
                <w:rFonts w:hint="eastAsia" w:ascii="Times New Roman" w:hAnsi="Times New Roman"/>
                <w:sz w:val="21"/>
                <w:szCs w:val="16"/>
              </w:rPr>
              <w:t>S</w:t>
            </w:r>
            <w:r>
              <w:rPr>
                <w:rFonts w:hint="eastAsia"/>
                <w:sz w:val="21"/>
                <w:szCs w:val="16"/>
              </w:rPr>
              <w:t>”分别表示长期、短期影响；“</w:t>
            </w:r>
            <w:r>
              <w:rPr>
                <w:rFonts w:hint="eastAsia" w:ascii="Times New Roman" w:hAnsi="Times New Roman"/>
                <w:sz w:val="21"/>
                <w:szCs w:val="16"/>
              </w:rPr>
              <w:t>0</w:t>
            </w:r>
            <w:r>
              <w:rPr>
                <w:rFonts w:hint="eastAsia"/>
                <w:sz w:val="21"/>
                <w:szCs w:val="16"/>
              </w:rPr>
              <w:t>至</w:t>
            </w:r>
            <w:r>
              <w:rPr>
                <w:rFonts w:hint="eastAsia" w:ascii="Times New Roman" w:hAnsi="Times New Roman"/>
                <w:sz w:val="21"/>
                <w:szCs w:val="16"/>
              </w:rPr>
              <w:t>3</w:t>
            </w:r>
            <w:r>
              <w:rPr>
                <w:rFonts w:hint="eastAsia"/>
                <w:sz w:val="21"/>
                <w:szCs w:val="16"/>
              </w:rPr>
              <w:t>”分别表示无影响、轻微影响、中等影响、重大影响；“</w:t>
            </w:r>
            <w:r>
              <w:rPr>
                <w:rFonts w:hint="eastAsia" w:ascii="Times New Roman" w:hAnsi="Times New Roman"/>
                <w:sz w:val="21"/>
                <w:szCs w:val="16"/>
              </w:rPr>
              <w:t>D</w:t>
            </w:r>
            <w:r>
              <w:rPr>
                <w:rFonts w:hint="eastAsia"/>
                <w:sz w:val="21"/>
                <w:szCs w:val="16"/>
              </w:rPr>
              <w:t>和</w:t>
            </w:r>
            <w:r>
              <w:rPr>
                <w:rFonts w:hint="eastAsia" w:ascii="Times New Roman" w:hAnsi="Times New Roman"/>
                <w:sz w:val="21"/>
                <w:szCs w:val="16"/>
              </w:rPr>
              <w:t>I</w:t>
            </w:r>
            <w:r>
              <w:rPr>
                <w:rFonts w:hint="eastAsia"/>
                <w:sz w:val="21"/>
                <w:szCs w:val="16"/>
              </w:rPr>
              <w:t>”分别表示直接、间接影响。</w:t>
            </w:r>
          </w:p>
        </w:tc>
      </w:tr>
    </w:tbl>
    <w:p>
      <w:pPr>
        <w:pStyle w:val="5"/>
        <w:spacing w:before="156"/>
        <w:rPr>
          <w:rFonts w:hint="eastAsia" w:eastAsia="华文楷体"/>
          <w:lang w:eastAsia="zh-CN"/>
        </w:rPr>
      </w:pP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2</w:t>
      </w:r>
      <w:r>
        <w:rPr>
          <w:rFonts w:hint="eastAsia"/>
          <w:lang w:eastAsia="zh-CN"/>
        </w:rPr>
        <w:t>环境影响</w:t>
      </w:r>
      <w:r>
        <w:rPr>
          <w:rFonts w:hint="eastAsia"/>
        </w:rPr>
        <w:t>因子</w:t>
      </w:r>
      <w:r>
        <w:rPr>
          <w:rFonts w:hint="eastAsia"/>
          <w:lang w:eastAsia="zh-CN"/>
        </w:rPr>
        <w:t>筛选</w:t>
      </w:r>
    </w:p>
    <w:p>
      <w:pPr>
        <w:ind w:firstLine="480"/>
        <w:rPr>
          <w:rFonts w:hint="eastAsia"/>
        </w:rPr>
      </w:pPr>
      <w:r>
        <w:rPr>
          <w:rFonts w:hint="eastAsia"/>
        </w:rPr>
        <w:t>根据工程概况及相关评价因子的综合分析，对</w:t>
      </w:r>
      <w:r>
        <w:rPr>
          <w:rFonts w:hint="eastAsia"/>
          <w:lang w:eastAsia="zh-CN"/>
        </w:rPr>
        <w:t>本</w:t>
      </w:r>
      <w:r>
        <w:rPr>
          <w:rFonts w:hint="eastAsia"/>
        </w:rPr>
        <w:t>项目运营期可能产生的主要环境问题进行了识别，结果见表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lang w:val="en-US" w:eastAsia="zh-CN"/>
        </w:rPr>
        <w:t>3</w:t>
      </w:r>
      <w:r>
        <w:rPr>
          <w:rFonts w:hint="eastAsia"/>
        </w:rP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lang w:val="en-US" w:eastAsia="zh-CN"/>
        </w:rPr>
        <w:t>3</w:t>
      </w:r>
      <w:r>
        <w:rPr>
          <w:rFonts w:hint="eastAsia"/>
        </w:rPr>
        <w:t xml:space="preserve">  运营期主要环境影响因素识别</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96"/>
        <w:gridCol w:w="955"/>
        <w:gridCol w:w="1380"/>
        <w:gridCol w:w="2393"/>
        <w:gridCol w:w="3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2" w:hRule="atLeast"/>
        </w:trPr>
        <w:tc>
          <w:tcPr>
            <w:tcW w:w="1096" w:type="dxa"/>
            <w:noWrap w:val="0"/>
            <w:vAlign w:val="center"/>
          </w:tcPr>
          <w:p>
            <w:pPr>
              <w:autoSpaceDE w:val="0"/>
              <w:autoSpaceDN w:val="0"/>
              <w:adjustRightInd w:val="0"/>
              <w:snapToGrid w:val="0"/>
              <w:spacing w:line="240" w:lineRule="auto"/>
              <w:ind w:firstLine="0"/>
              <w:jc w:val="center"/>
              <w:rPr>
                <w:spacing w:val="-11"/>
                <w:sz w:val="21"/>
                <w:szCs w:val="21"/>
              </w:rPr>
            </w:pPr>
            <w:r>
              <w:rPr>
                <w:spacing w:val="-11"/>
                <w:sz w:val="21"/>
                <w:szCs w:val="21"/>
                <w:lang w:val="zh-CN"/>
              </w:rPr>
              <w:t>环境要素</w:t>
            </w:r>
          </w:p>
        </w:tc>
        <w:tc>
          <w:tcPr>
            <w:tcW w:w="2335" w:type="dxa"/>
            <w:gridSpan w:val="2"/>
            <w:noWrap w:val="0"/>
            <w:vAlign w:val="center"/>
          </w:tcPr>
          <w:p>
            <w:pPr>
              <w:autoSpaceDE w:val="0"/>
              <w:autoSpaceDN w:val="0"/>
              <w:adjustRightInd w:val="0"/>
              <w:snapToGrid w:val="0"/>
              <w:spacing w:line="240" w:lineRule="auto"/>
              <w:ind w:firstLine="0"/>
              <w:jc w:val="center"/>
              <w:rPr>
                <w:spacing w:val="-11"/>
              </w:rPr>
            </w:pPr>
            <w:r>
              <w:rPr>
                <w:rFonts w:hint="eastAsia"/>
                <w:spacing w:val="-11"/>
                <w:sz w:val="21"/>
                <w:szCs w:val="21"/>
                <w:lang w:val="zh-CN"/>
              </w:rPr>
              <w:t>污染</w:t>
            </w:r>
            <w:r>
              <w:rPr>
                <w:spacing w:val="-11"/>
                <w:sz w:val="21"/>
                <w:szCs w:val="21"/>
                <w:lang w:val="zh-CN"/>
              </w:rPr>
              <w:t>源</w:t>
            </w:r>
          </w:p>
        </w:tc>
        <w:tc>
          <w:tcPr>
            <w:tcW w:w="2393" w:type="dxa"/>
            <w:noWrap w:val="0"/>
            <w:vAlign w:val="center"/>
          </w:tcPr>
          <w:p>
            <w:pPr>
              <w:autoSpaceDE w:val="0"/>
              <w:autoSpaceDN w:val="0"/>
              <w:adjustRightInd w:val="0"/>
              <w:snapToGrid w:val="0"/>
              <w:spacing w:line="240" w:lineRule="auto"/>
              <w:ind w:firstLine="0"/>
              <w:jc w:val="center"/>
              <w:rPr>
                <w:spacing w:val="-11"/>
              </w:rPr>
            </w:pPr>
            <w:r>
              <w:rPr>
                <w:rFonts w:hint="eastAsia"/>
                <w:spacing w:val="-11"/>
                <w:sz w:val="21"/>
                <w:szCs w:val="21"/>
                <w:lang w:val="zh-CN"/>
              </w:rPr>
              <w:t>主要</w:t>
            </w:r>
            <w:r>
              <w:rPr>
                <w:spacing w:val="-11"/>
                <w:sz w:val="21"/>
                <w:szCs w:val="21"/>
                <w:lang w:val="zh-CN"/>
              </w:rPr>
              <w:t>影响因子</w:t>
            </w:r>
          </w:p>
        </w:tc>
        <w:tc>
          <w:tcPr>
            <w:tcW w:w="3190" w:type="dxa"/>
            <w:noWrap w:val="0"/>
            <w:vAlign w:val="center"/>
          </w:tcPr>
          <w:p>
            <w:pPr>
              <w:autoSpaceDE w:val="0"/>
              <w:autoSpaceDN w:val="0"/>
              <w:adjustRightInd w:val="0"/>
              <w:snapToGrid w:val="0"/>
              <w:spacing w:line="240" w:lineRule="auto"/>
              <w:ind w:firstLine="0"/>
              <w:jc w:val="center"/>
              <w:rPr>
                <w:rFonts w:hint="default" w:eastAsia="宋体"/>
                <w:spacing w:val="-11"/>
                <w:sz w:val="21"/>
                <w:szCs w:val="21"/>
                <w:lang w:val="en-US" w:eastAsia="zh-CN"/>
              </w:rPr>
            </w:pPr>
            <w:r>
              <w:rPr>
                <w:rFonts w:hint="eastAsia"/>
                <w:spacing w:val="-11"/>
                <w:sz w:val="21"/>
                <w:szCs w:val="21"/>
                <w:lang w:val="en-US" w:eastAsia="zh-CN"/>
              </w:rPr>
              <w:t>处理设施/措施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6" w:hRule="atLeast"/>
        </w:trPr>
        <w:tc>
          <w:tcPr>
            <w:tcW w:w="1096" w:type="dxa"/>
            <w:vMerge w:val="restart"/>
            <w:noWrap w:val="0"/>
            <w:vAlign w:val="center"/>
          </w:tcPr>
          <w:p>
            <w:pPr>
              <w:spacing w:line="240" w:lineRule="auto"/>
              <w:ind w:firstLine="0"/>
              <w:jc w:val="center"/>
              <w:rPr>
                <w:spacing w:val="-11"/>
                <w:sz w:val="21"/>
                <w:szCs w:val="21"/>
              </w:rPr>
            </w:pPr>
            <w:r>
              <w:rPr>
                <w:spacing w:val="-11"/>
                <w:sz w:val="21"/>
                <w:szCs w:val="21"/>
                <w:lang w:val="zh-CN"/>
              </w:rPr>
              <w:t>环境空气</w:t>
            </w:r>
          </w:p>
        </w:tc>
        <w:tc>
          <w:tcPr>
            <w:tcW w:w="2335" w:type="dxa"/>
            <w:gridSpan w:val="2"/>
            <w:noWrap w:val="0"/>
            <w:vAlign w:val="center"/>
          </w:tcPr>
          <w:p>
            <w:pPr>
              <w:snapToGrid w:val="0"/>
              <w:spacing w:line="240" w:lineRule="auto"/>
              <w:ind w:firstLine="0"/>
              <w:jc w:val="center"/>
              <w:rPr>
                <w:rFonts w:hint="default" w:eastAsia="宋体"/>
                <w:spacing w:val="-11"/>
                <w:sz w:val="21"/>
                <w:szCs w:val="21"/>
                <w:lang w:val="en-US" w:eastAsia="zh-CN"/>
              </w:rPr>
            </w:pPr>
            <w:r>
              <w:rPr>
                <w:rFonts w:hint="eastAsia"/>
                <w:spacing w:val="-11"/>
                <w:sz w:val="21"/>
                <w:szCs w:val="21"/>
                <w:lang w:val="en-US" w:eastAsia="zh-CN"/>
              </w:rPr>
              <w:t>生产工艺尾气</w:t>
            </w:r>
          </w:p>
        </w:tc>
        <w:tc>
          <w:tcPr>
            <w:tcW w:w="2393" w:type="dxa"/>
            <w:noWrap w:val="0"/>
            <w:vAlign w:val="center"/>
          </w:tcPr>
          <w:p>
            <w:pPr>
              <w:pStyle w:val="34"/>
              <w:snapToGrid w:val="0"/>
              <w:spacing w:line="240" w:lineRule="auto"/>
              <w:ind w:firstLine="0" w:firstLineChars="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NH</w:t>
            </w:r>
            <w:r>
              <w:rPr>
                <w:rFonts w:hint="eastAsia" w:ascii="Times New Roman" w:hAnsi="Times New Roman"/>
                <w:spacing w:val="-11"/>
                <w:sz w:val="21"/>
                <w:szCs w:val="21"/>
                <w:vertAlign w:val="subscript"/>
                <w:lang w:val="en-US" w:eastAsia="zh-CN"/>
              </w:rPr>
              <w:t>3</w:t>
            </w:r>
            <w:r>
              <w:rPr>
                <w:rFonts w:hint="eastAsia"/>
                <w:spacing w:val="-11"/>
                <w:sz w:val="21"/>
                <w:szCs w:val="21"/>
                <w:lang w:val="en-US" w:eastAsia="zh-CN"/>
              </w:rPr>
              <w:t>、</w:t>
            </w:r>
            <w:r>
              <w:rPr>
                <w:rFonts w:hint="eastAsia" w:ascii="Times New Roman" w:hAnsi="Times New Roman"/>
                <w:spacing w:val="-11"/>
                <w:sz w:val="21"/>
                <w:szCs w:val="21"/>
                <w:lang w:val="en-US" w:eastAsia="zh-CN"/>
              </w:rPr>
              <w:t>NMHC</w:t>
            </w:r>
          </w:p>
        </w:tc>
        <w:tc>
          <w:tcPr>
            <w:tcW w:w="3190" w:type="dxa"/>
            <w:noWrap w:val="0"/>
            <w:vAlign w:val="center"/>
          </w:tcPr>
          <w:p>
            <w:pPr>
              <w:autoSpaceDE w:val="0"/>
              <w:autoSpaceDN w:val="0"/>
              <w:adjustRightInd w:val="0"/>
              <w:snapToGrid w:val="0"/>
              <w:spacing w:line="240" w:lineRule="auto"/>
              <w:ind w:firstLine="0"/>
              <w:jc w:val="center"/>
              <w:rPr>
                <w:rFonts w:hint="default" w:eastAsia="宋体"/>
                <w:spacing w:val="-11"/>
                <w:sz w:val="21"/>
                <w:szCs w:val="21"/>
                <w:lang w:val="en-US" w:eastAsia="zh-CN"/>
              </w:rPr>
            </w:pPr>
            <w:r>
              <w:rPr>
                <w:rFonts w:hint="eastAsia"/>
                <w:spacing w:val="-11"/>
                <w:sz w:val="21"/>
                <w:szCs w:val="21"/>
                <w:lang w:eastAsia="zh-CN"/>
              </w:rPr>
              <w:t>一级水吸收</w:t>
            </w:r>
            <w:r>
              <w:rPr>
                <w:rFonts w:hint="eastAsia"/>
                <w:spacing w:val="-11"/>
                <w:sz w:val="21"/>
                <w:szCs w:val="21"/>
                <w:lang w:val="en-US" w:eastAsia="zh-CN"/>
              </w:rPr>
              <w:t>+二级酸吸收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51" w:hRule="atLeast"/>
        </w:trPr>
        <w:tc>
          <w:tcPr>
            <w:tcW w:w="1096" w:type="dxa"/>
            <w:vMerge w:val="continue"/>
            <w:noWrap w:val="0"/>
            <w:vAlign w:val="center"/>
          </w:tcPr>
          <w:p>
            <w:pPr>
              <w:spacing w:line="240" w:lineRule="auto"/>
              <w:ind w:firstLine="0"/>
              <w:jc w:val="center"/>
              <w:rPr>
                <w:spacing w:val="-11"/>
                <w:sz w:val="21"/>
                <w:szCs w:val="21"/>
                <w:lang w:val="zh-CN"/>
              </w:rPr>
            </w:pPr>
          </w:p>
        </w:tc>
        <w:tc>
          <w:tcPr>
            <w:tcW w:w="955" w:type="dxa"/>
            <w:noWrap w:val="0"/>
            <w:vAlign w:val="center"/>
          </w:tcPr>
          <w:p>
            <w:pPr>
              <w:snapToGrid w:val="0"/>
              <w:spacing w:line="240" w:lineRule="auto"/>
              <w:ind w:firstLine="0"/>
              <w:jc w:val="center"/>
              <w:rPr>
                <w:rFonts w:hint="eastAsia"/>
                <w:spacing w:val="-11"/>
                <w:sz w:val="21"/>
                <w:szCs w:val="21"/>
              </w:rPr>
            </w:pPr>
            <w:r>
              <w:rPr>
                <w:rFonts w:hint="eastAsia"/>
                <w:spacing w:val="-11"/>
                <w:sz w:val="21"/>
                <w:szCs w:val="21"/>
              </w:rPr>
              <w:t>其它无组织排放</w:t>
            </w:r>
          </w:p>
        </w:tc>
        <w:tc>
          <w:tcPr>
            <w:tcW w:w="1380" w:type="dxa"/>
            <w:noWrap w:val="0"/>
            <w:vAlign w:val="center"/>
          </w:tcPr>
          <w:p>
            <w:pPr>
              <w:snapToGrid w:val="0"/>
              <w:spacing w:line="240" w:lineRule="auto"/>
              <w:ind w:firstLine="0"/>
              <w:jc w:val="center"/>
              <w:rPr>
                <w:rFonts w:hint="default" w:eastAsia="宋体"/>
                <w:spacing w:val="-11"/>
                <w:sz w:val="21"/>
                <w:szCs w:val="21"/>
                <w:lang w:val="en-US" w:eastAsia="zh-CN"/>
              </w:rPr>
            </w:pPr>
            <w:r>
              <w:rPr>
                <w:rFonts w:hint="eastAsia"/>
                <w:spacing w:val="-11"/>
                <w:sz w:val="21"/>
                <w:szCs w:val="21"/>
                <w:lang w:val="en-US" w:eastAsia="zh-CN"/>
              </w:rPr>
              <w:t>罐区工作损失</w:t>
            </w:r>
          </w:p>
        </w:tc>
        <w:tc>
          <w:tcPr>
            <w:tcW w:w="2393" w:type="dxa"/>
            <w:noWrap w:val="0"/>
            <w:vAlign w:val="center"/>
          </w:tcPr>
          <w:p>
            <w:pPr>
              <w:pStyle w:val="34"/>
              <w:snapToGrid w:val="0"/>
              <w:spacing w:line="240" w:lineRule="auto"/>
              <w:ind w:firstLine="0" w:firstLineChars="0"/>
              <w:jc w:val="center"/>
              <w:rPr>
                <w:rFonts w:hint="default"/>
                <w:spacing w:val="-11"/>
                <w:sz w:val="21"/>
                <w:szCs w:val="21"/>
                <w:lang w:val="en-US" w:eastAsia="zh-CN"/>
              </w:rPr>
            </w:pPr>
            <w:r>
              <w:rPr>
                <w:rFonts w:hint="eastAsia" w:ascii="Times New Roman" w:hAnsi="Times New Roman"/>
                <w:spacing w:val="-11"/>
                <w:sz w:val="21"/>
                <w:szCs w:val="21"/>
                <w:lang w:val="en-US" w:eastAsia="zh-CN"/>
              </w:rPr>
              <w:t>NMHC</w:t>
            </w:r>
          </w:p>
        </w:tc>
        <w:tc>
          <w:tcPr>
            <w:tcW w:w="3190" w:type="dxa"/>
            <w:noWrap w:val="0"/>
            <w:vAlign w:val="center"/>
          </w:tcPr>
          <w:p>
            <w:pPr>
              <w:autoSpaceDE w:val="0"/>
              <w:autoSpaceDN w:val="0"/>
              <w:adjustRightInd w:val="0"/>
              <w:snapToGrid w:val="0"/>
              <w:spacing w:line="240" w:lineRule="auto"/>
              <w:ind w:firstLine="0"/>
              <w:jc w:val="center"/>
              <w:rPr>
                <w:rFonts w:hint="eastAsia"/>
                <w:spacing w:val="-11"/>
                <w:sz w:val="21"/>
                <w:szCs w:val="21"/>
                <w:lang w:val="zh-CN"/>
              </w:rPr>
            </w:pPr>
            <w:r>
              <w:rPr>
                <w:rFonts w:hint="eastAsia"/>
                <w:spacing w:val="-11"/>
                <w:sz w:val="21"/>
                <w:szCs w:val="21"/>
                <w:lang w:val="zh-CN"/>
              </w:rPr>
              <w:t>装置密闭、双鹤管气相平衡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8" w:hRule="atLeast"/>
        </w:trPr>
        <w:tc>
          <w:tcPr>
            <w:tcW w:w="1096" w:type="dxa"/>
            <w:vMerge w:val="restart"/>
            <w:noWrap w:val="0"/>
            <w:vAlign w:val="center"/>
          </w:tcPr>
          <w:p>
            <w:pPr>
              <w:snapToGrid w:val="0"/>
              <w:spacing w:line="240" w:lineRule="auto"/>
              <w:ind w:firstLine="0"/>
              <w:jc w:val="center"/>
              <w:rPr>
                <w:spacing w:val="-11"/>
                <w:sz w:val="21"/>
                <w:szCs w:val="21"/>
              </w:rPr>
            </w:pPr>
            <w:r>
              <w:rPr>
                <w:spacing w:val="-11"/>
                <w:sz w:val="21"/>
                <w:szCs w:val="21"/>
              </w:rPr>
              <w:t>水环境</w:t>
            </w:r>
          </w:p>
        </w:tc>
        <w:tc>
          <w:tcPr>
            <w:tcW w:w="2335" w:type="dxa"/>
            <w:gridSpan w:val="2"/>
            <w:noWrap w:val="0"/>
            <w:vAlign w:val="center"/>
          </w:tcPr>
          <w:p>
            <w:pPr>
              <w:snapToGrid w:val="0"/>
              <w:spacing w:line="240" w:lineRule="auto"/>
              <w:ind w:firstLine="0" w:firstLineChars="0"/>
              <w:jc w:val="center"/>
              <w:rPr>
                <w:rFonts w:hint="eastAsia" w:eastAsia="宋体"/>
                <w:spacing w:val="-11"/>
                <w:sz w:val="21"/>
                <w:szCs w:val="21"/>
                <w:lang w:eastAsia="zh-CN"/>
              </w:rPr>
            </w:pPr>
            <w:r>
              <w:rPr>
                <w:rFonts w:hint="eastAsia"/>
                <w:spacing w:val="-11"/>
                <w:sz w:val="21"/>
                <w:szCs w:val="21"/>
                <w:lang w:eastAsia="zh-CN"/>
              </w:rPr>
              <w:t>装置地面冲洗废水</w:t>
            </w:r>
          </w:p>
        </w:tc>
        <w:tc>
          <w:tcPr>
            <w:tcW w:w="2393" w:type="dxa"/>
            <w:noWrap w:val="0"/>
            <w:vAlign w:val="center"/>
          </w:tcPr>
          <w:p>
            <w:pPr>
              <w:autoSpaceDE w:val="0"/>
              <w:autoSpaceDN w:val="0"/>
              <w:adjustRightInd w:val="0"/>
              <w:snapToGrid w:val="0"/>
              <w:spacing w:line="240" w:lineRule="auto"/>
              <w:ind w:firstLine="0" w:firstLineChars="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COD</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SS</w:t>
            </w:r>
          </w:p>
        </w:tc>
        <w:tc>
          <w:tcPr>
            <w:tcW w:w="3190" w:type="dxa"/>
            <w:vMerge w:val="restart"/>
            <w:noWrap w:val="0"/>
            <w:vAlign w:val="center"/>
          </w:tcPr>
          <w:p>
            <w:pPr>
              <w:autoSpaceDE w:val="0"/>
              <w:autoSpaceDN w:val="0"/>
              <w:adjustRightInd w:val="0"/>
              <w:snapToGrid w:val="0"/>
              <w:spacing w:line="240" w:lineRule="auto"/>
              <w:ind w:firstLine="0"/>
              <w:jc w:val="center"/>
              <w:rPr>
                <w:rFonts w:hint="eastAsia" w:eastAsia="宋体"/>
                <w:spacing w:val="-11"/>
                <w:sz w:val="21"/>
                <w:szCs w:val="21"/>
                <w:lang w:eastAsia="zh-CN"/>
              </w:rPr>
            </w:pPr>
            <w:r>
              <w:rPr>
                <w:rFonts w:hint="eastAsia"/>
                <w:spacing w:val="-11"/>
                <w:sz w:val="21"/>
                <w:szCs w:val="21"/>
              </w:rPr>
              <w:t>污水处理站处理</w:t>
            </w:r>
            <w:r>
              <w:rPr>
                <w:rFonts w:hint="eastAsia"/>
                <w:spacing w:val="-11"/>
                <w:sz w:val="21"/>
                <w:szCs w:val="21"/>
                <w:lang w:eastAsia="zh-CN"/>
              </w:rPr>
              <w:t>达到《污水排入城镇下水道水质标准》（</w:t>
            </w:r>
            <w:r>
              <w:rPr>
                <w:rFonts w:hint="eastAsia" w:ascii="Times New Roman" w:hAnsi="Times New Roman"/>
                <w:spacing w:val="-11"/>
                <w:sz w:val="21"/>
                <w:szCs w:val="21"/>
                <w:lang w:val="en-US" w:eastAsia="zh-CN"/>
              </w:rPr>
              <w:t>GB</w:t>
            </w:r>
            <w:r>
              <w:rPr>
                <w:rFonts w:hint="eastAsia"/>
                <w:spacing w:val="-11"/>
                <w:sz w:val="21"/>
                <w:szCs w:val="21"/>
                <w:lang w:val="en-US" w:eastAsia="zh-CN"/>
              </w:rPr>
              <w:t>/</w:t>
            </w:r>
            <w:r>
              <w:rPr>
                <w:rFonts w:hint="eastAsia" w:ascii="Times New Roman" w:hAnsi="Times New Roman"/>
                <w:spacing w:val="-11"/>
                <w:sz w:val="21"/>
                <w:szCs w:val="21"/>
                <w:lang w:val="en-US" w:eastAsia="zh-CN"/>
              </w:rPr>
              <w:t>T31962</w:t>
            </w:r>
            <w:r>
              <w:rPr>
                <w:rFonts w:hint="eastAsia"/>
                <w:spacing w:val="-11"/>
                <w:sz w:val="21"/>
                <w:szCs w:val="21"/>
                <w:lang w:val="en-US" w:eastAsia="zh-CN"/>
              </w:rPr>
              <w:t>-</w:t>
            </w:r>
            <w:r>
              <w:rPr>
                <w:rFonts w:hint="eastAsia" w:ascii="Times New Roman" w:hAnsi="Times New Roman"/>
                <w:spacing w:val="-11"/>
                <w:sz w:val="21"/>
                <w:szCs w:val="21"/>
                <w:lang w:val="en-US" w:eastAsia="zh-CN"/>
              </w:rPr>
              <w:t>2015</w:t>
            </w:r>
            <w:r>
              <w:rPr>
                <w:rFonts w:hint="eastAsia"/>
                <w:spacing w:val="-11"/>
                <w:sz w:val="21"/>
                <w:szCs w:val="21"/>
                <w:lang w:eastAsia="zh-CN"/>
              </w:rPr>
              <w:t>）表</w:t>
            </w:r>
            <w:r>
              <w:rPr>
                <w:rFonts w:hint="eastAsia" w:ascii="Times New Roman" w:hAnsi="Times New Roman"/>
                <w:spacing w:val="-11"/>
                <w:sz w:val="21"/>
                <w:szCs w:val="21"/>
                <w:lang w:val="en-US" w:eastAsia="zh-CN"/>
              </w:rPr>
              <w:t>1B</w:t>
            </w:r>
            <w:r>
              <w:rPr>
                <w:rFonts w:hint="eastAsia"/>
                <w:spacing w:val="-11"/>
                <w:sz w:val="21"/>
                <w:szCs w:val="21"/>
                <w:lang w:val="en-US" w:eastAsia="zh-CN"/>
              </w:rPr>
              <w:t>级限值，</w:t>
            </w:r>
            <w:r>
              <w:rPr>
                <w:rFonts w:hint="eastAsia"/>
                <w:spacing w:val="-11"/>
                <w:sz w:val="21"/>
                <w:szCs w:val="21"/>
                <w:lang w:eastAsia="zh-CN"/>
              </w:rPr>
              <w:t>排园区管网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8" w:hRule="atLeast"/>
        </w:trPr>
        <w:tc>
          <w:tcPr>
            <w:tcW w:w="1096" w:type="dxa"/>
            <w:vMerge w:val="continue"/>
            <w:noWrap w:val="0"/>
            <w:vAlign w:val="center"/>
          </w:tcPr>
          <w:p>
            <w:pPr>
              <w:snapToGrid w:val="0"/>
              <w:spacing w:line="240" w:lineRule="auto"/>
              <w:ind w:firstLine="0"/>
              <w:jc w:val="center"/>
              <w:rPr>
                <w:spacing w:val="-11"/>
                <w:sz w:val="21"/>
                <w:szCs w:val="21"/>
              </w:rPr>
            </w:pPr>
          </w:p>
        </w:tc>
        <w:tc>
          <w:tcPr>
            <w:tcW w:w="2335" w:type="dxa"/>
            <w:gridSpan w:val="2"/>
            <w:noWrap w:val="0"/>
            <w:vAlign w:val="center"/>
          </w:tcPr>
          <w:p>
            <w:pPr>
              <w:snapToGrid w:val="0"/>
              <w:spacing w:line="240" w:lineRule="auto"/>
              <w:ind w:firstLine="0" w:firstLineChars="0"/>
              <w:jc w:val="center"/>
              <w:rPr>
                <w:rFonts w:hint="eastAsia" w:ascii="宋体" w:hAnsi="宋体" w:eastAsia="宋体" w:cs="Times New Roman"/>
                <w:spacing w:val="-11"/>
                <w:sz w:val="21"/>
                <w:szCs w:val="21"/>
                <w:lang w:val="en-US" w:eastAsia="zh-CN" w:bidi="ar-SA"/>
              </w:rPr>
            </w:pPr>
            <w:r>
              <w:rPr>
                <w:rFonts w:hint="eastAsia"/>
                <w:spacing w:val="-11"/>
                <w:sz w:val="21"/>
                <w:szCs w:val="21"/>
              </w:rPr>
              <w:t>生活污水</w:t>
            </w:r>
          </w:p>
        </w:tc>
        <w:tc>
          <w:tcPr>
            <w:tcW w:w="2393" w:type="dxa"/>
            <w:noWrap w:val="0"/>
            <w:vAlign w:val="center"/>
          </w:tcPr>
          <w:p>
            <w:pPr>
              <w:autoSpaceDE w:val="0"/>
              <w:autoSpaceDN w:val="0"/>
              <w:adjustRightInd w:val="0"/>
              <w:snapToGrid w:val="0"/>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ascii="Times New Roman" w:hAnsi="Times New Roman"/>
                <w:spacing w:val="-11"/>
                <w:sz w:val="21"/>
                <w:szCs w:val="21"/>
              </w:rPr>
              <w:t>COD</w:t>
            </w:r>
            <w:r>
              <w:rPr>
                <w:rFonts w:hint="eastAsia" w:ascii="Times New Roman"/>
                <w:spacing w:val="-11"/>
                <w:sz w:val="21"/>
                <w:szCs w:val="21"/>
              </w:rPr>
              <w:t>、</w:t>
            </w:r>
            <w:r>
              <w:rPr>
                <w:rFonts w:hint="eastAsia" w:ascii="Times New Roman" w:hAnsi="Times New Roman"/>
                <w:spacing w:val="-11"/>
                <w:sz w:val="21"/>
                <w:szCs w:val="21"/>
              </w:rPr>
              <w:t>NH</w:t>
            </w:r>
            <w:r>
              <w:rPr>
                <w:rFonts w:hint="eastAsia" w:ascii="Times New Roman" w:hAnsi="Times New Roman"/>
                <w:spacing w:val="-11"/>
                <w:sz w:val="21"/>
                <w:szCs w:val="21"/>
                <w:vertAlign w:val="subscript"/>
              </w:rPr>
              <w:t>3</w:t>
            </w:r>
            <w:r>
              <w:rPr>
                <w:rFonts w:hint="eastAsia"/>
                <w:spacing w:val="-11"/>
                <w:sz w:val="21"/>
                <w:szCs w:val="21"/>
              </w:rPr>
              <w:t>-</w:t>
            </w:r>
            <w:r>
              <w:rPr>
                <w:rFonts w:hint="eastAsia" w:ascii="Times New Roman" w:hAnsi="Times New Roman"/>
                <w:spacing w:val="-11"/>
                <w:sz w:val="21"/>
                <w:szCs w:val="21"/>
              </w:rPr>
              <w:t>N</w:t>
            </w:r>
            <w:r>
              <w:rPr>
                <w:rFonts w:hint="eastAsia" w:ascii="Times New Roman"/>
                <w:spacing w:val="-11"/>
                <w:sz w:val="21"/>
                <w:szCs w:val="21"/>
                <w:lang w:eastAsia="zh-CN"/>
              </w:rPr>
              <w:t>、</w:t>
            </w:r>
            <w:r>
              <w:rPr>
                <w:rFonts w:hint="eastAsia" w:ascii="Times New Roman" w:hAnsi="Times New Roman"/>
                <w:spacing w:val="-11"/>
                <w:sz w:val="21"/>
                <w:szCs w:val="21"/>
                <w:lang w:val="en-US" w:eastAsia="zh-CN"/>
              </w:rPr>
              <w:t>BOD</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SS</w:t>
            </w:r>
            <w:r>
              <w:rPr>
                <w:rFonts w:hint="eastAsia" w:ascii="Times New Roman"/>
                <w:spacing w:val="-11"/>
                <w:sz w:val="21"/>
                <w:szCs w:val="21"/>
                <w:lang w:val="en-US" w:eastAsia="zh-CN"/>
              </w:rPr>
              <w:t>等</w:t>
            </w:r>
          </w:p>
        </w:tc>
        <w:tc>
          <w:tcPr>
            <w:tcW w:w="3190" w:type="dxa"/>
            <w:vMerge w:val="continue"/>
            <w:noWrap w:val="0"/>
            <w:vAlign w:val="center"/>
          </w:tcPr>
          <w:p>
            <w:pPr>
              <w:autoSpaceDE w:val="0"/>
              <w:autoSpaceDN w:val="0"/>
              <w:adjustRightInd w:val="0"/>
              <w:snapToGrid w:val="0"/>
              <w:spacing w:line="240" w:lineRule="auto"/>
              <w:ind w:firstLine="0"/>
              <w:jc w:val="center"/>
              <w:rPr>
                <w:rFonts w:hint="eastAsia" w:eastAsia="宋体"/>
                <w:spacing w:val="-11"/>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8" w:hRule="atLeast"/>
        </w:trPr>
        <w:tc>
          <w:tcPr>
            <w:tcW w:w="1096" w:type="dxa"/>
            <w:vMerge w:val="restart"/>
            <w:noWrap w:val="0"/>
            <w:vAlign w:val="center"/>
          </w:tcPr>
          <w:p>
            <w:pPr>
              <w:autoSpaceDE w:val="0"/>
              <w:autoSpaceDN w:val="0"/>
              <w:adjustRightInd w:val="0"/>
              <w:snapToGrid w:val="0"/>
              <w:spacing w:line="240" w:lineRule="auto"/>
              <w:ind w:firstLine="0"/>
              <w:jc w:val="center"/>
              <w:rPr>
                <w:spacing w:val="-11"/>
                <w:sz w:val="21"/>
                <w:szCs w:val="21"/>
                <w:lang w:val="zh-CN"/>
              </w:rPr>
            </w:pPr>
            <w:r>
              <w:rPr>
                <w:spacing w:val="-11"/>
                <w:sz w:val="21"/>
                <w:szCs w:val="21"/>
              </w:rPr>
              <w:t>固体废物</w:t>
            </w:r>
          </w:p>
        </w:tc>
        <w:tc>
          <w:tcPr>
            <w:tcW w:w="2335" w:type="dxa"/>
            <w:gridSpan w:val="2"/>
            <w:noWrap w:val="0"/>
            <w:vAlign w:val="center"/>
          </w:tcPr>
          <w:p>
            <w:pPr>
              <w:autoSpaceDE w:val="0"/>
              <w:autoSpaceDN w:val="0"/>
              <w:adjustRightInd w:val="0"/>
              <w:snapToGrid w:val="0"/>
              <w:spacing w:line="240" w:lineRule="auto"/>
              <w:ind w:firstLine="0" w:firstLineChars="0"/>
              <w:jc w:val="center"/>
              <w:rPr>
                <w:rFonts w:hint="eastAsia" w:eastAsia="宋体"/>
                <w:spacing w:val="-11"/>
                <w:sz w:val="21"/>
                <w:szCs w:val="21"/>
                <w:lang w:eastAsia="zh-CN"/>
              </w:rPr>
            </w:pPr>
            <w:r>
              <w:rPr>
                <w:rFonts w:hint="eastAsia"/>
                <w:spacing w:val="-11"/>
                <w:sz w:val="21"/>
                <w:szCs w:val="21"/>
                <w:lang w:eastAsia="zh-CN"/>
              </w:rPr>
              <w:t>废催化剂</w:t>
            </w:r>
          </w:p>
        </w:tc>
        <w:tc>
          <w:tcPr>
            <w:tcW w:w="2393" w:type="dxa"/>
            <w:noWrap w:val="0"/>
            <w:vAlign w:val="center"/>
          </w:tcPr>
          <w:p>
            <w:pPr>
              <w:autoSpaceDE w:val="0"/>
              <w:autoSpaceDN w:val="0"/>
              <w:adjustRightInd w:val="0"/>
              <w:snapToGrid w:val="0"/>
              <w:spacing w:line="240" w:lineRule="auto"/>
              <w:ind w:firstLine="0" w:firstLineChars="0"/>
              <w:jc w:val="center"/>
              <w:rPr>
                <w:rFonts w:hint="default" w:ascii="Times New Roman"/>
                <w:spacing w:val="-11"/>
                <w:sz w:val="21"/>
                <w:szCs w:val="21"/>
                <w:lang w:val="en-US" w:eastAsia="zh-CN"/>
              </w:rPr>
            </w:pPr>
            <w:r>
              <w:rPr>
                <w:rFonts w:hint="eastAsia" w:ascii="Times New Roman" w:hAnsi="Times New Roman"/>
                <w:color w:val="auto"/>
                <w:spacing w:val="-11"/>
                <w:sz w:val="21"/>
                <w:szCs w:val="21"/>
                <w:lang w:val="en-US" w:eastAsia="zh-CN"/>
              </w:rPr>
              <w:t>危险废物</w:t>
            </w:r>
          </w:p>
        </w:tc>
        <w:tc>
          <w:tcPr>
            <w:tcW w:w="3190" w:type="dxa"/>
            <w:noWrap w:val="0"/>
            <w:vAlign w:val="center"/>
          </w:tcPr>
          <w:p>
            <w:pPr>
              <w:autoSpaceDE w:val="0"/>
              <w:autoSpaceDN w:val="0"/>
              <w:adjustRightInd w:val="0"/>
              <w:snapToGrid w:val="0"/>
              <w:spacing w:line="240" w:lineRule="auto"/>
              <w:ind w:firstLine="0" w:firstLineChars="0"/>
              <w:jc w:val="center"/>
              <w:rPr>
                <w:rFonts w:hint="eastAsia"/>
                <w:spacing w:val="-11"/>
                <w:sz w:val="21"/>
                <w:szCs w:val="21"/>
                <w:lang w:val="zh-CN"/>
              </w:rPr>
            </w:pPr>
            <w:r>
              <w:rPr>
                <w:rFonts w:hint="eastAsia"/>
                <w:color w:val="auto"/>
                <w:spacing w:val="-11"/>
                <w:sz w:val="21"/>
                <w:szCs w:val="21"/>
                <w:lang w:eastAsia="zh-CN"/>
              </w:rPr>
              <w:t>危险废物贮存库暂存，交有资质的单位处理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8" w:hRule="atLeast"/>
        </w:trPr>
        <w:tc>
          <w:tcPr>
            <w:tcW w:w="1096" w:type="dxa"/>
            <w:vMerge w:val="continue"/>
            <w:noWrap w:val="0"/>
            <w:vAlign w:val="center"/>
          </w:tcPr>
          <w:p>
            <w:pPr>
              <w:autoSpaceDE w:val="0"/>
              <w:autoSpaceDN w:val="0"/>
              <w:adjustRightInd w:val="0"/>
              <w:snapToGrid w:val="0"/>
              <w:spacing w:line="240" w:lineRule="auto"/>
              <w:ind w:firstLine="0"/>
              <w:jc w:val="center"/>
              <w:rPr>
                <w:spacing w:val="-11"/>
                <w:sz w:val="21"/>
                <w:szCs w:val="21"/>
              </w:rPr>
            </w:pPr>
          </w:p>
        </w:tc>
        <w:tc>
          <w:tcPr>
            <w:tcW w:w="2335" w:type="dxa"/>
            <w:gridSpan w:val="2"/>
            <w:noWrap w:val="0"/>
            <w:vAlign w:val="center"/>
          </w:tcPr>
          <w:p>
            <w:pPr>
              <w:autoSpaceDE w:val="0"/>
              <w:autoSpaceDN w:val="0"/>
              <w:adjustRightInd w:val="0"/>
              <w:snapToGrid w:val="0"/>
              <w:spacing w:line="240" w:lineRule="auto"/>
              <w:ind w:firstLine="0" w:firstLineChars="0"/>
              <w:jc w:val="center"/>
              <w:rPr>
                <w:rFonts w:hint="eastAsia" w:ascii="宋体" w:hAnsi="Times New Roman"/>
                <w:spacing w:val="-11"/>
                <w:sz w:val="21"/>
                <w:szCs w:val="21"/>
                <w:lang w:val="en-US" w:eastAsia="zh-CN" w:bidi="ar-SA"/>
              </w:rPr>
            </w:pPr>
            <w:r>
              <w:rPr>
                <w:rFonts w:hint="eastAsia"/>
                <w:spacing w:val="-11"/>
                <w:sz w:val="21"/>
                <w:szCs w:val="21"/>
                <w:lang w:val="zh-CN"/>
              </w:rPr>
              <w:t>员工</w:t>
            </w:r>
            <w:r>
              <w:rPr>
                <w:spacing w:val="-11"/>
                <w:sz w:val="21"/>
                <w:szCs w:val="21"/>
                <w:lang w:val="zh-CN"/>
              </w:rPr>
              <w:t>生活</w:t>
            </w:r>
            <w:r>
              <w:rPr>
                <w:rFonts w:hint="eastAsia"/>
                <w:spacing w:val="-11"/>
                <w:sz w:val="21"/>
                <w:szCs w:val="21"/>
                <w:lang w:val="zh-CN"/>
              </w:rPr>
              <w:t>办公</w:t>
            </w:r>
          </w:p>
        </w:tc>
        <w:tc>
          <w:tcPr>
            <w:tcW w:w="2393" w:type="dxa"/>
            <w:noWrap w:val="0"/>
            <w:vAlign w:val="center"/>
          </w:tcPr>
          <w:p>
            <w:pPr>
              <w:autoSpaceDE w:val="0"/>
              <w:autoSpaceDN w:val="0"/>
              <w:adjustRightInd w:val="0"/>
              <w:snapToGrid w:val="0"/>
              <w:spacing w:line="240" w:lineRule="auto"/>
              <w:ind w:firstLine="0" w:firstLineChars="0"/>
              <w:jc w:val="center"/>
              <w:rPr>
                <w:rFonts w:hint="eastAsia" w:ascii="宋体" w:hAnsi="Times New Roman"/>
                <w:spacing w:val="-11"/>
                <w:sz w:val="21"/>
                <w:szCs w:val="21"/>
                <w:lang w:val="en-US" w:eastAsia="zh-CN" w:bidi="ar-SA"/>
              </w:rPr>
            </w:pPr>
            <w:r>
              <w:rPr>
                <w:spacing w:val="-11"/>
                <w:sz w:val="21"/>
                <w:szCs w:val="21"/>
                <w:lang w:val="zh-CN"/>
              </w:rPr>
              <w:t>生活垃圾</w:t>
            </w:r>
          </w:p>
        </w:tc>
        <w:tc>
          <w:tcPr>
            <w:tcW w:w="3190" w:type="dxa"/>
            <w:noWrap w:val="0"/>
            <w:vAlign w:val="center"/>
          </w:tcPr>
          <w:p>
            <w:pPr>
              <w:autoSpaceDE w:val="0"/>
              <w:autoSpaceDN w:val="0"/>
              <w:adjustRightInd w:val="0"/>
              <w:snapToGrid w:val="0"/>
              <w:spacing w:line="240" w:lineRule="auto"/>
              <w:ind w:firstLine="0" w:firstLineChars="0"/>
              <w:jc w:val="center"/>
              <w:rPr>
                <w:rFonts w:hint="eastAsia" w:ascii="宋体" w:hAnsi="Times New Roman"/>
                <w:spacing w:val="-11"/>
                <w:sz w:val="21"/>
                <w:szCs w:val="21"/>
                <w:lang w:val="zh-CN" w:eastAsia="zh-CN" w:bidi="ar-SA"/>
              </w:rPr>
            </w:pPr>
            <w:r>
              <w:rPr>
                <w:rFonts w:hint="eastAsia"/>
                <w:spacing w:val="-11"/>
                <w:sz w:val="21"/>
                <w:szCs w:val="21"/>
                <w:lang w:val="zh-CN"/>
              </w:rPr>
              <w:t>委托园区环卫处理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1096" w:type="dxa"/>
            <w:noWrap w:val="0"/>
            <w:vAlign w:val="center"/>
          </w:tcPr>
          <w:p>
            <w:pPr>
              <w:autoSpaceDE w:val="0"/>
              <w:autoSpaceDN w:val="0"/>
              <w:adjustRightInd w:val="0"/>
              <w:snapToGrid w:val="0"/>
              <w:spacing w:line="240" w:lineRule="auto"/>
              <w:ind w:firstLine="0"/>
              <w:jc w:val="center"/>
              <w:rPr>
                <w:spacing w:val="-11"/>
                <w:sz w:val="21"/>
                <w:szCs w:val="21"/>
                <w:lang w:val="zh-CN"/>
              </w:rPr>
            </w:pPr>
            <w:r>
              <w:rPr>
                <w:spacing w:val="-11"/>
                <w:sz w:val="21"/>
                <w:szCs w:val="21"/>
              </w:rPr>
              <w:t>声环境</w:t>
            </w:r>
          </w:p>
        </w:tc>
        <w:tc>
          <w:tcPr>
            <w:tcW w:w="2335" w:type="dxa"/>
            <w:gridSpan w:val="2"/>
            <w:noWrap w:val="0"/>
            <w:vAlign w:val="center"/>
          </w:tcPr>
          <w:p>
            <w:pPr>
              <w:autoSpaceDE w:val="0"/>
              <w:autoSpaceDN w:val="0"/>
              <w:adjustRightInd w:val="0"/>
              <w:snapToGrid w:val="0"/>
              <w:spacing w:line="240" w:lineRule="auto"/>
              <w:ind w:firstLine="0"/>
              <w:jc w:val="center"/>
              <w:rPr>
                <w:spacing w:val="-11"/>
                <w:sz w:val="21"/>
                <w:szCs w:val="21"/>
              </w:rPr>
            </w:pPr>
            <w:r>
              <w:rPr>
                <w:rFonts w:hint="eastAsia"/>
                <w:spacing w:val="-11"/>
                <w:sz w:val="21"/>
                <w:szCs w:val="21"/>
                <w:lang w:eastAsia="zh-CN"/>
              </w:rPr>
              <w:t>真空泵</w:t>
            </w:r>
            <w:r>
              <w:rPr>
                <w:rFonts w:hint="eastAsia"/>
                <w:spacing w:val="-11"/>
                <w:sz w:val="21"/>
                <w:szCs w:val="21"/>
              </w:rPr>
              <w:t>、</w:t>
            </w:r>
            <w:r>
              <w:rPr>
                <w:spacing w:val="-11"/>
                <w:sz w:val="21"/>
                <w:szCs w:val="21"/>
              </w:rPr>
              <w:t>泵机、</w:t>
            </w:r>
            <w:r>
              <w:rPr>
                <w:rFonts w:hint="eastAsia"/>
                <w:spacing w:val="-11"/>
                <w:sz w:val="21"/>
                <w:szCs w:val="21"/>
              </w:rPr>
              <w:t>装置</w:t>
            </w:r>
            <w:r>
              <w:rPr>
                <w:spacing w:val="-11"/>
                <w:sz w:val="21"/>
                <w:szCs w:val="21"/>
              </w:rPr>
              <w:t>等</w:t>
            </w:r>
          </w:p>
        </w:tc>
        <w:tc>
          <w:tcPr>
            <w:tcW w:w="2393" w:type="dxa"/>
            <w:noWrap w:val="0"/>
            <w:vAlign w:val="center"/>
          </w:tcPr>
          <w:p>
            <w:pPr>
              <w:autoSpaceDE w:val="0"/>
              <w:autoSpaceDN w:val="0"/>
              <w:adjustRightInd w:val="0"/>
              <w:snapToGrid w:val="0"/>
              <w:spacing w:line="240" w:lineRule="auto"/>
              <w:ind w:firstLine="0"/>
              <w:jc w:val="center"/>
              <w:rPr>
                <w:rFonts w:hint="eastAsia" w:eastAsia="宋体"/>
                <w:spacing w:val="-11"/>
                <w:sz w:val="21"/>
                <w:szCs w:val="21"/>
                <w:lang w:val="en-US" w:eastAsia="zh-CN"/>
              </w:rPr>
            </w:pPr>
            <w:r>
              <w:rPr>
                <w:rFonts w:hint="eastAsia"/>
                <w:spacing w:val="-11"/>
                <w:sz w:val="21"/>
                <w:szCs w:val="21"/>
                <w:lang w:val="zh-CN"/>
              </w:rPr>
              <w:t>等效连续</w:t>
            </w:r>
            <w:r>
              <w:rPr>
                <w:rFonts w:hint="eastAsia" w:ascii="Times New Roman" w:hAnsi="Times New Roman"/>
                <w:spacing w:val="-11"/>
                <w:sz w:val="21"/>
                <w:szCs w:val="21"/>
                <w:lang w:val="en-US" w:eastAsia="zh-CN"/>
              </w:rPr>
              <w:t>A</w:t>
            </w:r>
            <w:r>
              <w:rPr>
                <w:rFonts w:hint="eastAsia"/>
                <w:spacing w:val="-11"/>
                <w:sz w:val="21"/>
                <w:szCs w:val="21"/>
                <w:lang w:val="en-US" w:eastAsia="zh-CN"/>
              </w:rPr>
              <w:t>声级</w:t>
            </w:r>
          </w:p>
        </w:tc>
        <w:tc>
          <w:tcPr>
            <w:tcW w:w="3190" w:type="dxa"/>
            <w:noWrap w:val="0"/>
            <w:vAlign w:val="center"/>
          </w:tcPr>
          <w:p>
            <w:pPr>
              <w:autoSpaceDE w:val="0"/>
              <w:autoSpaceDN w:val="0"/>
              <w:adjustRightInd w:val="0"/>
              <w:snapToGrid w:val="0"/>
              <w:spacing w:line="240" w:lineRule="auto"/>
              <w:ind w:firstLine="0"/>
              <w:jc w:val="center"/>
              <w:rPr>
                <w:rFonts w:hint="eastAsia" w:eastAsia="宋体"/>
                <w:spacing w:val="-11"/>
                <w:sz w:val="21"/>
                <w:szCs w:val="21"/>
                <w:lang w:eastAsia="zh-CN"/>
              </w:rPr>
            </w:pPr>
            <w:r>
              <w:rPr>
                <w:rFonts w:hint="eastAsia"/>
                <w:spacing w:val="-11"/>
                <w:sz w:val="21"/>
                <w:szCs w:val="21"/>
                <w:lang w:val="en-US" w:eastAsia="zh-CN"/>
              </w:rPr>
              <w:t>隔声、减振等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1096" w:type="dxa"/>
            <w:noWrap w:val="0"/>
            <w:vAlign w:val="center"/>
          </w:tcPr>
          <w:p>
            <w:pPr>
              <w:autoSpaceDE w:val="0"/>
              <w:autoSpaceDN w:val="0"/>
              <w:adjustRightInd w:val="0"/>
              <w:snapToGrid w:val="0"/>
              <w:spacing w:line="240" w:lineRule="auto"/>
              <w:ind w:firstLine="0"/>
              <w:jc w:val="center"/>
              <w:rPr>
                <w:rFonts w:hint="eastAsia" w:eastAsia="宋体"/>
                <w:spacing w:val="-11"/>
                <w:sz w:val="21"/>
                <w:szCs w:val="21"/>
                <w:lang w:eastAsia="zh-CN"/>
              </w:rPr>
            </w:pPr>
            <w:r>
              <w:rPr>
                <w:rFonts w:hint="eastAsia"/>
                <w:spacing w:val="-11"/>
                <w:sz w:val="21"/>
                <w:szCs w:val="21"/>
                <w:lang w:eastAsia="zh-CN"/>
              </w:rPr>
              <w:t>环境风险</w:t>
            </w:r>
          </w:p>
        </w:tc>
        <w:tc>
          <w:tcPr>
            <w:tcW w:w="2335" w:type="dxa"/>
            <w:gridSpan w:val="2"/>
            <w:noWrap w:val="0"/>
            <w:vAlign w:val="center"/>
          </w:tcPr>
          <w:p>
            <w:pPr>
              <w:autoSpaceDE w:val="0"/>
              <w:autoSpaceDN w:val="0"/>
              <w:adjustRightInd w:val="0"/>
              <w:snapToGrid w:val="0"/>
              <w:spacing w:line="240" w:lineRule="auto"/>
              <w:ind w:firstLine="0"/>
              <w:jc w:val="center"/>
              <w:rPr>
                <w:rFonts w:hint="eastAsia"/>
                <w:spacing w:val="-11"/>
                <w:sz w:val="21"/>
                <w:szCs w:val="21"/>
                <w:lang w:eastAsia="zh-CN"/>
              </w:rPr>
            </w:pPr>
            <w:r>
              <w:rPr>
                <w:rFonts w:hint="eastAsia"/>
                <w:spacing w:val="-11"/>
                <w:sz w:val="21"/>
                <w:szCs w:val="21"/>
                <w:lang w:eastAsia="zh-CN"/>
              </w:rPr>
              <w:t>储罐泄漏</w:t>
            </w:r>
          </w:p>
        </w:tc>
        <w:tc>
          <w:tcPr>
            <w:tcW w:w="2393" w:type="dxa"/>
            <w:noWrap w:val="0"/>
            <w:vAlign w:val="center"/>
          </w:tcPr>
          <w:p>
            <w:pPr>
              <w:autoSpaceDE w:val="0"/>
              <w:autoSpaceDN w:val="0"/>
              <w:adjustRightInd w:val="0"/>
              <w:snapToGrid w:val="0"/>
              <w:spacing w:line="240" w:lineRule="auto"/>
              <w:ind w:firstLine="0"/>
              <w:jc w:val="center"/>
              <w:rPr>
                <w:rFonts w:hint="eastAsia"/>
                <w:spacing w:val="-11"/>
                <w:sz w:val="21"/>
                <w:szCs w:val="21"/>
                <w:lang w:val="zh-CN"/>
              </w:rPr>
            </w:pPr>
            <w:r>
              <w:rPr>
                <w:rFonts w:hint="eastAsia" w:ascii="Times New Roman" w:hAnsi="Times New Roman"/>
                <w:spacing w:val="-11"/>
                <w:sz w:val="21"/>
                <w:szCs w:val="21"/>
                <w:lang w:val="zh-CN"/>
              </w:rPr>
              <w:t>PD</w:t>
            </w:r>
            <w:r>
              <w:rPr>
                <w:rFonts w:hint="eastAsia"/>
                <w:spacing w:val="-11"/>
                <w:sz w:val="21"/>
                <w:szCs w:val="21"/>
                <w:lang w:val="zh-CN"/>
              </w:rPr>
              <w:t>、</w:t>
            </w:r>
            <w:bookmarkStart w:id="70" w:name="OLE_LINK7"/>
            <w:r>
              <w:rPr>
                <w:rFonts w:hint="eastAsia"/>
                <w:spacing w:val="-11"/>
                <w:sz w:val="21"/>
                <w:szCs w:val="21"/>
                <w:lang w:val="zh-CN"/>
              </w:rPr>
              <w:t>氨（浓度≥</w:t>
            </w:r>
            <w:r>
              <w:rPr>
                <w:rFonts w:hint="eastAsia" w:ascii="Times New Roman" w:hAnsi="Times New Roman"/>
                <w:spacing w:val="-11"/>
                <w:sz w:val="21"/>
                <w:szCs w:val="21"/>
                <w:lang w:val="en-US" w:eastAsia="zh-CN"/>
              </w:rPr>
              <w:t>20</w:t>
            </w:r>
            <w:r>
              <w:rPr>
                <w:rFonts w:hint="eastAsia"/>
                <w:spacing w:val="-11"/>
                <w:sz w:val="21"/>
                <w:szCs w:val="21"/>
                <w:lang w:val="en-US" w:eastAsia="zh-CN"/>
              </w:rPr>
              <w:t>%</w:t>
            </w:r>
            <w:r>
              <w:rPr>
                <w:rFonts w:hint="eastAsia"/>
                <w:spacing w:val="-11"/>
                <w:sz w:val="21"/>
                <w:szCs w:val="21"/>
                <w:lang w:val="zh-CN"/>
              </w:rPr>
              <w:t>）</w:t>
            </w:r>
            <w:bookmarkEnd w:id="70"/>
          </w:p>
        </w:tc>
        <w:tc>
          <w:tcPr>
            <w:tcW w:w="3190" w:type="dxa"/>
            <w:noWrap w:val="0"/>
            <w:vAlign w:val="center"/>
          </w:tcPr>
          <w:p>
            <w:pPr>
              <w:autoSpaceDE w:val="0"/>
              <w:autoSpaceDN w:val="0"/>
              <w:adjustRightInd w:val="0"/>
              <w:snapToGrid w:val="0"/>
              <w:spacing w:line="240" w:lineRule="auto"/>
              <w:ind w:firstLine="0"/>
              <w:jc w:val="center"/>
              <w:rPr>
                <w:rFonts w:hint="eastAsia"/>
                <w:spacing w:val="-11"/>
                <w:sz w:val="21"/>
                <w:szCs w:val="21"/>
                <w:lang w:val="en-US" w:eastAsia="zh-CN"/>
              </w:rPr>
            </w:pPr>
            <w:r>
              <w:rPr>
                <w:rFonts w:hint="eastAsia"/>
                <w:spacing w:val="-11"/>
                <w:sz w:val="21"/>
                <w:szCs w:val="21"/>
                <w:lang w:val="en-US" w:eastAsia="zh-CN"/>
              </w:rPr>
              <w:t>分区防渗硬化，集中收集处理</w:t>
            </w:r>
          </w:p>
        </w:tc>
      </w:tr>
    </w:tbl>
    <w:p>
      <w:pPr>
        <w:pStyle w:val="5"/>
        <w:spacing w:before="156"/>
        <w:rPr>
          <w:rFonts w:hint="eastAsia"/>
        </w:rPr>
      </w:pP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3</w:t>
      </w:r>
      <w:r>
        <w:rPr>
          <w:rFonts w:hint="eastAsia"/>
        </w:rPr>
        <w:t>评价因子筛选</w:t>
      </w:r>
    </w:p>
    <w:p>
      <w:pPr>
        <w:ind w:firstLine="480"/>
        <w:rPr>
          <w:rFonts w:hint="eastAsia"/>
        </w:rPr>
      </w:pPr>
      <w:r>
        <w:rPr>
          <w:rFonts w:hint="eastAsia"/>
        </w:rPr>
        <w:t>本次项目环境影响评价因子筛选见表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4</w:t>
      </w:r>
      <w:r>
        <w:rPr>
          <w:rFonts w:hint="eastAsia"/>
        </w:rP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4</w:t>
      </w:r>
      <w:r>
        <w:rPr>
          <w:rFonts w:hint="eastAsia"/>
        </w:rPr>
        <w:t xml:space="preserve">  项目评价因子筛选一览表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73"/>
        <w:gridCol w:w="1104"/>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tcBorders>
              <w:top w:val="single" w:color="auto" w:sz="12" w:space="0"/>
              <w:left w:val="single" w:color="auto" w:sz="12"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序号</w:t>
            </w:r>
          </w:p>
        </w:tc>
        <w:tc>
          <w:tcPr>
            <w:tcW w:w="1173" w:type="dxa"/>
            <w:tcBorders>
              <w:top w:val="single" w:color="auto" w:sz="12"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环境要素</w:t>
            </w:r>
          </w:p>
        </w:tc>
        <w:tc>
          <w:tcPr>
            <w:tcW w:w="1104" w:type="dxa"/>
            <w:tcBorders>
              <w:top w:val="single" w:color="auto" w:sz="12"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专题设置</w:t>
            </w:r>
          </w:p>
        </w:tc>
        <w:tc>
          <w:tcPr>
            <w:tcW w:w="6258" w:type="dxa"/>
            <w:tcBorders>
              <w:top w:val="single" w:color="auto" w:sz="12" w:space="0"/>
              <w:bottom w:val="single" w:color="auto" w:sz="4" w:space="0"/>
              <w:right w:val="single" w:color="auto" w:sz="12" w:space="0"/>
            </w:tcBorders>
            <w:noWrap w:val="0"/>
            <w:vAlign w:val="center"/>
          </w:tcPr>
          <w:p>
            <w:pPr>
              <w:spacing w:line="240" w:lineRule="auto"/>
              <w:ind w:firstLine="0"/>
              <w:jc w:val="center"/>
              <w:rPr>
                <w:rFonts w:hint="eastAsia" w:hAnsi="宋体"/>
                <w:sz w:val="21"/>
                <w:szCs w:val="21"/>
              </w:rPr>
            </w:pPr>
            <w:r>
              <w:rPr>
                <w:rFonts w:hint="eastAsia" w:hAnsi="宋体"/>
                <w:sz w:val="21"/>
                <w:szCs w:val="21"/>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vMerge w:val="restart"/>
            <w:tcBorders>
              <w:top w:val="single" w:color="auto" w:sz="4" w:space="0"/>
              <w:left w:val="single" w:color="auto" w:sz="12" w:space="0"/>
              <w:bottom w:val="single" w:color="auto" w:sz="4" w:space="0"/>
            </w:tcBorders>
            <w:noWrap w:val="0"/>
            <w:vAlign w:val="center"/>
          </w:tcPr>
          <w:p>
            <w:pPr>
              <w:spacing w:line="240" w:lineRule="auto"/>
              <w:ind w:firstLine="0"/>
              <w:jc w:val="center"/>
              <w:rPr>
                <w:rFonts w:hint="eastAsia" w:hAnsi="宋体"/>
                <w:sz w:val="21"/>
                <w:szCs w:val="21"/>
              </w:rPr>
            </w:pPr>
            <w:r>
              <w:rPr>
                <w:rFonts w:hint="eastAsia" w:ascii="Times New Roman" w:hAnsi="Times New Roman"/>
                <w:sz w:val="21"/>
                <w:szCs w:val="21"/>
              </w:rPr>
              <w:t>1</w:t>
            </w:r>
          </w:p>
        </w:tc>
        <w:tc>
          <w:tcPr>
            <w:tcW w:w="1173" w:type="dxa"/>
            <w:vMerge w:val="restart"/>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环境空气</w:t>
            </w: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现状评价</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default" w:hAnsi="宋体" w:eastAsia="宋体"/>
                <w:sz w:val="21"/>
                <w:szCs w:val="21"/>
                <w:lang w:val="en-US" w:eastAsia="zh-CN"/>
              </w:rPr>
            </w:pPr>
            <w:r>
              <w:rPr>
                <w:rFonts w:hint="eastAsia" w:ascii="Times New Roman" w:hAnsi="Times New Roman"/>
                <w:sz w:val="21"/>
                <w:szCs w:val="21"/>
              </w:rPr>
              <w:t>PM</w:t>
            </w:r>
            <w:r>
              <w:rPr>
                <w:rFonts w:hint="eastAsia" w:ascii="Times New Roman" w:hAnsi="Times New Roman"/>
                <w:sz w:val="21"/>
                <w:szCs w:val="21"/>
                <w:vertAlign w:val="subscript"/>
              </w:rPr>
              <w:t>10</w:t>
            </w:r>
            <w:r>
              <w:rPr>
                <w:rFonts w:hint="eastAsia" w:hAnsi="宋体"/>
                <w:sz w:val="21"/>
                <w:szCs w:val="21"/>
              </w:rPr>
              <w:t>、</w:t>
            </w:r>
            <w:r>
              <w:rPr>
                <w:rFonts w:hint="eastAsia" w:ascii="Times New Roman" w:hAnsi="Times New Roman"/>
                <w:sz w:val="21"/>
                <w:szCs w:val="21"/>
              </w:rPr>
              <w:t>PM</w:t>
            </w:r>
            <w:r>
              <w:rPr>
                <w:rFonts w:hint="eastAsia" w:ascii="Times New Roman" w:hAnsi="Times New Roman"/>
                <w:sz w:val="21"/>
                <w:szCs w:val="21"/>
                <w:vertAlign w:val="subscript"/>
              </w:rPr>
              <w:t>2</w:t>
            </w:r>
            <w:r>
              <w:rPr>
                <w:rFonts w:hint="eastAsia" w:hAnsi="宋体"/>
                <w:sz w:val="21"/>
                <w:szCs w:val="21"/>
                <w:vertAlign w:val="subscript"/>
              </w:rPr>
              <w:t>.</w:t>
            </w:r>
            <w:r>
              <w:rPr>
                <w:rFonts w:hint="eastAsia" w:ascii="Times New Roman" w:hAnsi="Times New Roman"/>
                <w:sz w:val="21"/>
                <w:szCs w:val="21"/>
                <w:vertAlign w:val="subscript"/>
              </w:rPr>
              <w:t>5</w:t>
            </w:r>
            <w:r>
              <w:rPr>
                <w:rFonts w:hint="eastAsia" w:hAnsi="宋体"/>
                <w:sz w:val="21"/>
                <w:szCs w:val="21"/>
              </w:rPr>
              <w:t>、</w:t>
            </w:r>
            <w:r>
              <w:rPr>
                <w:rFonts w:hint="eastAsia" w:ascii="Times New Roman" w:hAnsi="Times New Roman"/>
                <w:sz w:val="21"/>
                <w:szCs w:val="21"/>
              </w:rPr>
              <w:t>SO</w:t>
            </w:r>
            <w:r>
              <w:rPr>
                <w:rFonts w:hint="eastAsia" w:ascii="Times New Roman" w:hAnsi="Times New Roman"/>
                <w:sz w:val="21"/>
                <w:szCs w:val="21"/>
                <w:vertAlign w:val="subscript"/>
              </w:rPr>
              <w:t>2</w:t>
            </w:r>
            <w:r>
              <w:rPr>
                <w:rFonts w:hint="eastAsia" w:hAnsi="宋体"/>
                <w:sz w:val="21"/>
                <w:szCs w:val="21"/>
              </w:rPr>
              <w:t>、</w:t>
            </w:r>
            <w:r>
              <w:rPr>
                <w:rFonts w:hint="eastAsia" w:ascii="Times New Roman" w:hAnsi="Times New Roman"/>
                <w:sz w:val="21"/>
                <w:szCs w:val="21"/>
              </w:rPr>
              <w:t>NO</w:t>
            </w:r>
            <w:r>
              <w:rPr>
                <w:rFonts w:hint="eastAsia" w:ascii="Times New Roman" w:hAnsi="Times New Roman"/>
                <w:sz w:val="21"/>
                <w:szCs w:val="21"/>
                <w:vertAlign w:val="subscript"/>
              </w:rPr>
              <w:t>2</w:t>
            </w:r>
            <w:r>
              <w:rPr>
                <w:rFonts w:hint="eastAsia" w:hAnsi="宋体"/>
                <w:sz w:val="21"/>
                <w:szCs w:val="21"/>
              </w:rPr>
              <w:t>、</w:t>
            </w:r>
            <w:r>
              <w:rPr>
                <w:rFonts w:hint="eastAsia" w:ascii="Times New Roman" w:hAnsi="Times New Roman"/>
                <w:sz w:val="21"/>
                <w:szCs w:val="21"/>
              </w:rPr>
              <w:t>CO</w:t>
            </w:r>
            <w:r>
              <w:rPr>
                <w:rFonts w:hint="eastAsia" w:hAnsi="宋体"/>
                <w:sz w:val="21"/>
                <w:szCs w:val="21"/>
              </w:rPr>
              <w:t>、</w:t>
            </w:r>
            <w:r>
              <w:rPr>
                <w:rFonts w:hint="eastAsia" w:ascii="Times New Roman" w:hAnsi="Times New Roman"/>
                <w:sz w:val="21"/>
                <w:szCs w:val="21"/>
              </w:rPr>
              <w:t>O</w:t>
            </w:r>
            <w:r>
              <w:rPr>
                <w:rFonts w:hint="eastAsia" w:ascii="Times New Roman" w:hAnsi="Times New Roman"/>
                <w:sz w:val="21"/>
                <w:szCs w:val="21"/>
                <w:vertAlign w:val="subscript"/>
              </w:rPr>
              <w:t>3</w:t>
            </w:r>
            <w:r>
              <w:rPr>
                <w:rFonts w:hint="eastAsia" w:hAnsi="宋体"/>
                <w:sz w:val="21"/>
                <w:szCs w:val="21"/>
              </w:rPr>
              <w:t>、</w:t>
            </w:r>
            <w:r>
              <w:rPr>
                <w:rFonts w:hint="eastAsia" w:ascii="Times New Roman" w:hAnsi="Times New Roman"/>
                <w:sz w:val="21"/>
                <w:szCs w:val="21"/>
              </w:rPr>
              <w:t>NH</w:t>
            </w:r>
            <w:r>
              <w:rPr>
                <w:rFonts w:hint="eastAsia" w:ascii="Times New Roman" w:hAnsi="Times New Roman"/>
                <w:sz w:val="21"/>
                <w:szCs w:val="21"/>
                <w:vertAlign w:val="subscript"/>
              </w:rPr>
              <w:t>3</w:t>
            </w:r>
            <w:r>
              <w:rPr>
                <w:rFonts w:hint="eastAsia"/>
                <w:sz w:val="21"/>
                <w:szCs w:val="21"/>
              </w:rPr>
              <w:t>、</w:t>
            </w:r>
            <w:r>
              <w:rPr>
                <w:rFonts w:hint="eastAsia" w:ascii="Times New Roman" w:hAnsi="Times New Roman"/>
                <w:sz w:val="21"/>
                <w:szCs w:val="21"/>
                <w:lang w:val="en-US" w:eastAsia="zh-CN"/>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vMerge w:val="continue"/>
            <w:tcBorders>
              <w:top w:val="single" w:color="auto" w:sz="4" w:space="0"/>
              <w:left w:val="single" w:color="auto" w:sz="12" w:space="0"/>
              <w:bottom w:val="single" w:color="auto" w:sz="4" w:space="0"/>
            </w:tcBorders>
            <w:noWrap w:val="0"/>
            <w:vAlign w:val="center"/>
          </w:tcPr>
          <w:p>
            <w:pPr>
              <w:spacing w:line="240" w:lineRule="auto"/>
              <w:ind w:firstLine="0"/>
              <w:jc w:val="center"/>
              <w:rPr>
                <w:rFonts w:hint="eastAsia" w:hAnsi="宋体"/>
                <w:sz w:val="21"/>
                <w:szCs w:val="21"/>
              </w:rPr>
            </w:pPr>
          </w:p>
        </w:tc>
        <w:tc>
          <w:tcPr>
            <w:tcW w:w="1173" w:type="dxa"/>
            <w:vMerge w:val="continue"/>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eastAsia="宋体"/>
                <w:sz w:val="21"/>
                <w:szCs w:val="21"/>
                <w:lang w:eastAsia="zh-CN"/>
              </w:rPr>
            </w:pPr>
            <w:r>
              <w:rPr>
                <w:rFonts w:hint="eastAsia" w:hAnsi="宋体"/>
                <w:sz w:val="21"/>
                <w:szCs w:val="21"/>
              </w:rPr>
              <w:t>影响</w:t>
            </w:r>
            <w:r>
              <w:rPr>
                <w:rFonts w:hint="eastAsia"/>
                <w:sz w:val="21"/>
                <w:szCs w:val="21"/>
                <w:lang w:eastAsia="zh-CN"/>
              </w:rPr>
              <w:t>分析</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default" w:hAnsi="宋体" w:eastAsia="宋体"/>
                <w:sz w:val="21"/>
                <w:szCs w:val="21"/>
                <w:lang w:val="en-US" w:eastAsia="zh-CN"/>
              </w:rPr>
            </w:pPr>
            <w:r>
              <w:rPr>
                <w:rFonts w:hint="eastAsia" w:ascii="Times New Roman" w:hAnsi="Times New Roman"/>
                <w:sz w:val="21"/>
                <w:szCs w:val="21"/>
                <w:lang w:val="en-US" w:eastAsia="zh-CN"/>
              </w:rPr>
              <w:t>NH</w:t>
            </w:r>
            <w:r>
              <w:rPr>
                <w:rFonts w:hint="eastAsia" w:ascii="Times New Roman" w:hAnsi="Times New Roman"/>
                <w:sz w:val="21"/>
                <w:szCs w:val="21"/>
                <w:vertAlign w:val="subscript"/>
                <w:lang w:val="en-US" w:eastAsia="zh-CN"/>
              </w:rPr>
              <w:t>3</w:t>
            </w:r>
            <w:r>
              <w:rPr>
                <w:rFonts w:hint="eastAsia" w:hAnsi="宋体"/>
                <w:sz w:val="21"/>
                <w:szCs w:val="21"/>
                <w:lang w:val="en-US" w:eastAsia="zh-CN"/>
              </w:rPr>
              <w:t>、</w:t>
            </w:r>
            <w:r>
              <w:rPr>
                <w:rFonts w:hint="eastAsia" w:ascii="Times New Roman" w:hAnsi="Times New Roman"/>
                <w:sz w:val="21"/>
                <w:szCs w:val="21"/>
                <w:lang w:val="en-US" w:eastAsia="zh-CN"/>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vMerge w:val="restart"/>
            <w:tcBorders>
              <w:top w:val="single" w:color="auto" w:sz="4" w:space="0"/>
              <w:left w:val="single" w:color="auto" w:sz="12" w:space="0"/>
              <w:bottom w:val="single" w:color="auto" w:sz="4" w:space="0"/>
            </w:tcBorders>
            <w:noWrap w:val="0"/>
            <w:vAlign w:val="center"/>
          </w:tcPr>
          <w:p>
            <w:pPr>
              <w:spacing w:line="240" w:lineRule="auto"/>
              <w:ind w:firstLine="0"/>
              <w:jc w:val="center"/>
              <w:rPr>
                <w:rFonts w:hint="eastAsia" w:hAnsi="宋体" w:eastAsia="宋体"/>
                <w:sz w:val="21"/>
                <w:szCs w:val="21"/>
                <w:lang w:eastAsia="zh-CN"/>
              </w:rPr>
            </w:pPr>
            <w:r>
              <w:rPr>
                <w:rFonts w:hint="eastAsia" w:ascii="Times New Roman" w:hAnsi="Times New Roman"/>
                <w:sz w:val="21"/>
                <w:szCs w:val="21"/>
                <w:lang w:val="en-US" w:eastAsia="zh-CN"/>
              </w:rPr>
              <w:t>2</w:t>
            </w:r>
          </w:p>
        </w:tc>
        <w:tc>
          <w:tcPr>
            <w:tcW w:w="1173" w:type="dxa"/>
            <w:vMerge w:val="restart"/>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地下水环境</w:t>
            </w: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现状评价</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eastAsia" w:hAnsi="宋体"/>
                <w:sz w:val="21"/>
                <w:szCs w:val="21"/>
              </w:rPr>
            </w:pPr>
            <w:r>
              <w:rPr>
                <w:rFonts w:hint="eastAsia" w:ascii="Times New Roman" w:hAnsi="Times New Roman"/>
                <w:spacing w:val="0"/>
                <w:w w:val="100"/>
                <w:sz w:val="21"/>
                <w:szCs w:val="20"/>
                <w:lang w:val="en-US" w:eastAsia="zh-CN"/>
              </w:rPr>
              <w:t>pH</w:t>
            </w:r>
            <w:r>
              <w:rPr>
                <w:rFonts w:hint="eastAsia"/>
                <w:spacing w:val="0"/>
                <w:w w:val="100"/>
                <w:sz w:val="21"/>
                <w:szCs w:val="20"/>
                <w:lang w:val="en-US" w:eastAsia="zh-CN"/>
              </w:rPr>
              <w:t>、氨氮、硝酸盐、亚硝酸盐氮、挥发酚、氰化物、砷、汞、铬（六价）、总硬度、色度、铅、氟化物、镉、铁、锰、溶解性总固体、耗氧量、硫酸盐、氯化物、总大肠菌群、细菌总数、钾离子、钠离子、钙离子、镁离子、碳酸根离子、碳酸氢根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 w:type="dxa"/>
            <w:vMerge w:val="continue"/>
            <w:tcBorders>
              <w:top w:val="single" w:color="auto" w:sz="4" w:space="0"/>
              <w:left w:val="single" w:color="auto" w:sz="12" w:space="0"/>
              <w:bottom w:val="single" w:color="auto" w:sz="4" w:space="0"/>
            </w:tcBorders>
            <w:noWrap w:val="0"/>
            <w:vAlign w:val="center"/>
          </w:tcPr>
          <w:p>
            <w:pPr>
              <w:spacing w:line="240" w:lineRule="auto"/>
              <w:ind w:firstLine="0"/>
              <w:jc w:val="center"/>
              <w:rPr>
                <w:rFonts w:hint="eastAsia" w:hAnsi="宋体"/>
                <w:sz w:val="21"/>
                <w:szCs w:val="21"/>
              </w:rPr>
            </w:pPr>
          </w:p>
        </w:tc>
        <w:tc>
          <w:tcPr>
            <w:tcW w:w="1173" w:type="dxa"/>
            <w:vMerge w:val="continue"/>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eastAsia="宋体"/>
                <w:sz w:val="21"/>
                <w:szCs w:val="21"/>
                <w:lang w:eastAsia="zh-CN"/>
              </w:rPr>
            </w:pPr>
            <w:r>
              <w:rPr>
                <w:rFonts w:hint="eastAsia" w:hAnsi="宋体"/>
                <w:sz w:val="21"/>
                <w:szCs w:val="21"/>
              </w:rPr>
              <w:t>影响</w:t>
            </w:r>
            <w:r>
              <w:rPr>
                <w:rFonts w:hint="eastAsia"/>
                <w:sz w:val="21"/>
                <w:szCs w:val="21"/>
                <w:lang w:eastAsia="zh-CN"/>
              </w:rPr>
              <w:t>评价</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default" w:hAnsi="宋体" w:eastAsia="宋体"/>
                <w:sz w:val="21"/>
                <w:szCs w:val="21"/>
                <w:lang w:val="en-US" w:eastAsia="zh-CN"/>
              </w:rPr>
            </w:pPr>
            <w:r>
              <w:rPr>
                <w:rFonts w:hint="eastAsia" w:ascii="Times New Roman" w:hAnsi="Times New Roman"/>
                <w:sz w:val="21"/>
                <w:szCs w:val="21"/>
                <w:lang w:val="en-US" w:eastAsia="zh-CN"/>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39" w:type="dxa"/>
            <w:vMerge w:val="restart"/>
            <w:tcBorders>
              <w:top w:val="single" w:color="auto" w:sz="4" w:space="0"/>
              <w:left w:val="single" w:color="auto" w:sz="12" w:space="0"/>
              <w:bottom w:val="single" w:color="auto" w:sz="4" w:space="0"/>
            </w:tcBorders>
            <w:noWrap w:val="0"/>
            <w:vAlign w:val="center"/>
          </w:tcPr>
          <w:p>
            <w:pPr>
              <w:spacing w:line="240" w:lineRule="auto"/>
              <w:ind w:firstLine="0"/>
              <w:jc w:val="center"/>
              <w:rPr>
                <w:rFonts w:hint="eastAsia" w:hAnsi="宋体" w:eastAsia="宋体"/>
                <w:sz w:val="21"/>
                <w:szCs w:val="21"/>
                <w:lang w:eastAsia="zh-CN"/>
              </w:rPr>
            </w:pPr>
            <w:r>
              <w:rPr>
                <w:rFonts w:hint="eastAsia" w:ascii="Times New Roman" w:hAnsi="Times New Roman"/>
                <w:sz w:val="21"/>
                <w:szCs w:val="21"/>
                <w:lang w:val="en-US" w:eastAsia="zh-CN"/>
              </w:rPr>
              <w:t>3</w:t>
            </w:r>
          </w:p>
        </w:tc>
        <w:tc>
          <w:tcPr>
            <w:tcW w:w="1173" w:type="dxa"/>
            <w:vMerge w:val="restart"/>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声环境</w:t>
            </w: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现状评价</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eastAsia" w:hAnsi="宋体"/>
                <w:sz w:val="21"/>
                <w:szCs w:val="21"/>
              </w:rPr>
            </w:pPr>
            <w:r>
              <w:rPr>
                <w:rFonts w:hint="eastAsia" w:hAnsi="宋体"/>
                <w:sz w:val="21"/>
                <w:szCs w:val="21"/>
              </w:rPr>
              <w:t>等效连续</w:t>
            </w:r>
            <w:r>
              <w:rPr>
                <w:rFonts w:hint="eastAsia" w:ascii="Times New Roman" w:hAnsi="Times New Roman"/>
                <w:sz w:val="21"/>
                <w:szCs w:val="21"/>
              </w:rPr>
              <w:t>A</w:t>
            </w:r>
            <w:r>
              <w:rPr>
                <w:rFonts w:hint="eastAsia" w:hAnsi="宋体"/>
                <w:sz w:val="21"/>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vMerge w:val="continue"/>
            <w:tcBorders>
              <w:top w:val="single" w:color="auto" w:sz="4" w:space="0"/>
              <w:left w:val="single" w:color="auto" w:sz="12" w:space="0"/>
              <w:bottom w:val="single" w:color="auto" w:sz="4" w:space="0"/>
            </w:tcBorders>
            <w:noWrap w:val="0"/>
            <w:vAlign w:val="center"/>
          </w:tcPr>
          <w:p>
            <w:pPr>
              <w:spacing w:line="240" w:lineRule="auto"/>
              <w:ind w:firstLine="0"/>
              <w:jc w:val="center"/>
              <w:rPr>
                <w:rFonts w:hint="eastAsia" w:hAnsi="宋体"/>
                <w:sz w:val="21"/>
                <w:szCs w:val="21"/>
              </w:rPr>
            </w:pPr>
          </w:p>
        </w:tc>
        <w:tc>
          <w:tcPr>
            <w:tcW w:w="1173" w:type="dxa"/>
            <w:vMerge w:val="continue"/>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影响评价</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eastAsia" w:hAnsi="宋体"/>
                <w:sz w:val="21"/>
                <w:szCs w:val="21"/>
              </w:rPr>
            </w:pPr>
            <w:r>
              <w:rPr>
                <w:rFonts w:hint="eastAsia" w:hAnsi="宋体"/>
                <w:sz w:val="21"/>
                <w:szCs w:val="21"/>
              </w:rPr>
              <w:t>等效连续</w:t>
            </w:r>
            <w:r>
              <w:rPr>
                <w:rFonts w:hint="eastAsia" w:ascii="Times New Roman" w:hAnsi="Times New Roman"/>
                <w:sz w:val="21"/>
                <w:szCs w:val="21"/>
              </w:rPr>
              <w:t>A</w:t>
            </w:r>
            <w:r>
              <w:rPr>
                <w:rFonts w:hint="eastAsia" w:hAnsi="宋体"/>
                <w:sz w:val="21"/>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vMerge w:val="restart"/>
            <w:tcBorders>
              <w:top w:val="single" w:color="auto" w:sz="4" w:space="0"/>
              <w:left w:val="single" w:color="auto" w:sz="12" w:space="0"/>
              <w:bottom w:val="single" w:color="auto" w:sz="4" w:space="0"/>
            </w:tcBorders>
            <w:noWrap w:val="0"/>
            <w:vAlign w:val="center"/>
          </w:tcPr>
          <w:p>
            <w:pPr>
              <w:spacing w:line="240" w:lineRule="auto"/>
              <w:ind w:firstLine="0"/>
              <w:jc w:val="center"/>
              <w:rPr>
                <w:rFonts w:hint="default" w:hAnsi="宋体" w:eastAsia="宋体"/>
                <w:sz w:val="21"/>
                <w:szCs w:val="21"/>
                <w:lang w:val="en-US" w:eastAsia="zh-CN"/>
              </w:rPr>
            </w:pPr>
            <w:r>
              <w:rPr>
                <w:rFonts w:hint="eastAsia" w:ascii="Times New Roman" w:hAnsi="Times New Roman"/>
                <w:sz w:val="21"/>
                <w:szCs w:val="21"/>
                <w:lang w:val="en-US" w:eastAsia="zh-CN"/>
              </w:rPr>
              <w:t>4</w:t>
            </w:r>
          </w:p>
        </w:tc>
        <w:tc>
          <w:tcPr>
            <w:tcW w:w="1173" w:type="dxa"/>
            <w:vMerge w:val="restart"/>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土壤环境</w:t>
            </w: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r>
              <w:rPr>
                <w:rFonts w:hint="eastAsia" w:hAnsi="宋体"/>
                <w:sz w:val="21"/>
                <w:szCs w:val="21"/>
              </w:rPr>
              <w:t>现状评价</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eastAsia" w:hAnsi="宋体" w:eastAsia="宋体"/>
                <w:sz w:val="21"/>
                <w:szCs w:val="21"/>
                <w:lang w:eastAsia="zh-CN"/>
              </w:rPr>
            </w:pPr>
            <w:r>
              <w:rPr>
                <w:rFonts w:hint="eastAsia" w:hAnsi="宋体"/>
                <w:sz w:val="21"/>
                <w:szCs w:val="21"/>
                <w:lang w:val="zh-CN"/>
              </w:rPr>
              <w:t>砷、镉、铬</w:t>
            </w:r>
            <w:r>
              <w:rPr>
                <w:rFonts w:hint="eastAsia" w:hAnsi="宋体"/>
                <w:sz w:val="21"/>
                <w:szCs w:val="21"/>
              </w:rPr>
              <w:t>（</w:t>
            </w:r>
            <w:r>
              <w:rPr>
                <w:rFonts w:hint="eastAsia" w:hAnsi="宋体"/>
                <w:sz w:val="21"/>
                <w:szCs w:val="21"/>
                <w:lang w:val="zh-CN"/>
              </w:rPr>
              <w:t>六价</w:t>
            </w:r>
            <w:r>
              <w:rPr>
                <w:rFonts w:hint="eastAsia" w:hAnsi="宋体"/>
                <w:sz w:val="21"/>
                <w:szCs w:val="21"/>
              </w:rPr>
              <w:t>）</w:t>
            </w:r>
            <w:r>
              <w:rPr>
                <w:rFonts w:hint="eastAsia" w:hAnsi="宋体"/>
                <w:sz w:val="21"/>
                <w:szCs w:val="21"/>
                <w:lang w:val="zh-CN"/>
              </w:rPr>
              <w:t>、铜、铅、汞、镍、四氯化碳、氯仿、氯甲烷、</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hAnsi="宋体"/>
                <w:sz w:val="21"/>
                <w:szCs w:val="21"/>
                <w:lang w:val="zh-CN"/>
              </w:rPr>
              <w:t>二氯乙烷、</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二氯乙烷、</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hAnsi="宋体"/>
                <w:sz w:val="21"/>
                <w:szCs w:val="21"/>
                <w:lang w:val="zh-CN"/>
              </w:rPr>
              <w:t>二氯乙烯、顺</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二氯乙烯、反</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二氯乙烯、二氯甲烷、</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二氯丙烷、</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四氯乙烷、</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四氯乙烷、四氯乙烯、</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hAnsi="宋体"/>
                <w:sz w:val="21"/>
                <w:szCs w:val="21"/>
                <w:lang w:val="zh-CN"/>
              </w:rPr>
              <w:t>三氯乙烷、</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三氯乙烷、三氯乙烯、</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ascii="Times New Roman" w:hAnsi="Times New Roman"/>
                <w:sz w:val="21"/>
                <w:szCs w:val="21"/>
              </w:rPr>
              <w:t>3</w:t>
            </w:r>
            <w:r>
              <w:rPr>
                <w:rFonts w:hint="eastAsia" w:hAnsi="宋体"/>
                <w:sz w:val="21"/>
                <w:szCs w:val="21"/>
              </w:rPr>
              <w:t>-</w:t>
            </w:r>
            <w:r>
              <w:rPr>
                <w:rFonts w:hint="eastAsia" w:hAnsi="宋体"/>
                <w:sz w:val="21"/>
                <w:szCs w:val="21"/>
                <w:lang w:val="zh-CN"/>
              </w:rPr>
              <w:t>三氯丙烷、氯乙烯、苯、氯苯、</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二氯苯、</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4</w:t>
            </w:r>
            <w:r>
              <w:rPr>
                <w:rFonts w:hint="eastAsia" w:hAnsi="宋体"/>
                <w:sz w:val="21"/>
                <w:szCs w:val="21"/>
              </w:rPr>
              <w:t>-</w:t>
            </w:r>
            <w:r>
              <w:rPr>
                <w:rFonts w:hint="eastAsia" w:hAnsi="宋体"/>
                <w:sz w:val="21"/>
                <w:szCs w:val="21"/>
                <w:lang w:val="zh-CN"/>
              </w:rPr>
              <w:t>二氯苯、乙苯、苯乙烯、甲苯、间二甲苯</w:t>
            </w:r>
            <w:r>
              <w:rPr>
                <w:rFonts w:hint="eastAsia" w:hAnsi="宋体"/>
                <w:sz w:val="21"/>
                <w:szCs w:val="21"/>
              </w:rPr>
              <w:t>+</w:t>
            </w:r>
            <w:r>
              <w:rPr>
                <w:rFonts w:hint="eastAsia" w:hAnsi="宋体"/>
                <w:sz w:val="21"/>
                <w:szCs w:val="21"/>
                <w:lang w:val="zh-CN"/>
              </w:rPr>
              <w:t>对二甲苯、邻二甲苯、硝基苯、苯胺、</w:t>
            </w:r>
            <w:r>
              <w:rPr>
                <w:rFonts w:hint="eastAsia" w:ascii="Times New Roman" w:hAnsi="Times New Roman"/>
                <w:sz w:val="21"/>
                <w:szCs w:val="21"/>
              </w:rPr>
              <w:t>2</w:t>
            </w:r>
            <w:r>
              <w:rPr>
                <w:rFonts w:hint="eastAsia" w:hAnsi="宋体"/>
                <w:sz w:val="21"/>
                <w:szCs w:val="21"/>
              </w:rPr>
              <w:t>-</w:t>
            </w:r>
            <w:r>
              <w:rPr>
                <w:rFonts w:hint="eastAsia" w:hAnsi="宋体"/>
                <w:sz w:val="21"/>
                <w:szCs w:val="21"/>
                <w:lang w:val="zh-CN"/>
              </w:rPr>
              <w:t>氯酚、苯并</w:t>
            </w:r>
            <w:r>
              <w:rPr>
                <w:rFonts w:hint="eastAsia" w:hAnsi="宋体"/>
                <w:sz w:val="21"/>
                <w:szCs w:val="21"/>
              </w:rPr>
              <w:t>[</w:t>
            </w:r>
            <w:r>
              <w:rPr>
                <w:rFonts w:hint="eastAsia" w:ascii="Times New Roman" w:hAnsi="Times New Roman"/>
                <w:sz w:val="21"/>
                <w:szCs w:val="21"/>
              </w:rPr>
              <w:t>a</w:t>
            </w:r>
            <w:r>
              <w:rPr>
                <w:rFonts w:hint="eastAsia" w:hAnsi="宋体"/>
                <w:sz w:val="21"/>
                <w:szCs w:val="21"/>
              </w:rPr>
              <w:t>]</w:t>
            </w:r>
            <w:r>
              <w:rPr>
                <w:rFonts w:hint="eastAsia" w:hAnsi="宋体"/>
                <w:sz w:val="21"/>
                <w:szCs w:val="21"/>
                <w:lang w:val="zh-CN"/>
              </w:rPr>
              <w:t>蒽、苯并</w:t>
            </w:r>
            <w:r>
              <w:rPr>
                <w:rFonts w:hint="eastAsia" w:hAnsi="宋体"/>
                <w:sz w:val="21"/>
                <w:szCs w:val="21"/>
              </w:rPr>
              <w:t>[</w:t>
            </w:r>
            <w:r>
              <w:rPr>
                <w:rFonts w:hint="eastAsia" w:ascii="Times New Roman" w:hAnsi="Times New Roman"/>
                <w:sz w:val="21"/>
                <w:szCs w:val="21"/>
              </w:rPr>
              <w:t>a</w:t>
            </w:r>
            <w:r>
              <w:rPr>
                <w:rFonts w:hint="eastAsia" w:hAnsi="宋体"/>
                <w:sz w:val="21"/>
                <w:szCs w:val="21"/>
              </w:rPr>
              <w:t>]</w:t>
            </w:r>
            <w:r>
              <w:rPr>
                <w:rFonts w:hint="eastAsia" w:hAnsi="宋体"/>
                <w:sz w:val="21"/>
                <w:szCs w:val="21"/>
                <w:lang w:val="zh-CN"/>
              </w:rPr>
              <w:t>芘、苯并</w:t>
            </w:r>
            <w:r>
              <w:rPr>
                <w:rFonts w:hint="eastAsia" w:hAnsi="宋体"/>
                <w:sz w:val="21"/>
                <w:szCs w:val="21"/>
              </w:rPr>
              <w:t>[</w:t>
            </w:r>
            <w:r>
              <w:rPr>
                <w:rFonts w:hint="eastAsia" w:ascii="Times New Roman" w:hAnsi="Times New Roman"/>
                <w:sz w:val="21"/>
                <w:szCs w:val="21"/>
              </w:rPr>
              <w:t>b</w:t>
            </w:r>
            <w:r>
              <w:rPr>
                <w:rFonts w:hint="eastAsia" w:hAnsi="宋体"/>
                <w:sz w:val="21"/>
                <w:szCs w:val="21"/>
              </w:rPr>
              <w:t>]荧蒽</w:t>
            </w:r>
            <w:r>
              <w:rPr>
                <w:rFonts w:hint="eastAsia" w:hAnsi="宋体"/>
                <w:sz w:val="21"/>
                <w:szCs w:val="21"/>
                <w:lang w:val="zh-CN"/>
              </w:rPr>
              <w:t>、苯并</w:t>
            </w:r>
            <w:r>
              <w:rPr>
                <w:rFonts w:hint="eastAsia" w:hAnsi="宋体"/>
                <w:sz w:val="21"/>
                <w:szCs w:val="21"/>
              </w:rPr>
              <w:t>[</w:t>
            </w:r>
            <w:r>
              <w:rPr>
                <w:rFonts w:hint="eastAsia" w:ascii="Times New Roman" w:hAnsi="Times New Roman"/>
                <w:sz w:val="21"/>
                <w:szCs w:val="21"/>
              </w:rPr>
              <w:t>k</w:t>
            </w:r>
            <w:r>
              <w:rPr>
                <w:rFonts w:hint="eastAsia" w:hAnsi="宋体"/>
                <w:sz w:val="21"/>
                <w:szCs w:val="21"/>
              </w:rPr>
              <w:t>]荧蒽、䓛、二苯并[</w:t>
            </w:r>
            <w:r>
              <w:rPr>
                <w:rFonts w:hint="eastAsia" w:ascii="Times New Roman" w:hAnsi="Times New Roman"/>
                <w:sz w:val="21"/>
                <w:szCs w:val="21"/>
              </w:rPr>
              <w:t>a</w:t>
            </w:r>
            <w:r>
              <w:rPr>
                <w:rFonts w:hint="eastAsia" w:hAnsi="宋体"/>
                <w:sz w:val="21"/>
                <w:szCs w:val="21"/>
              </w:rPr>
              <w:t>,</w:t>
            </w:r>
            <w:r>
              <w:rPr>
                <w:rFonts w:hint="eastAsia" w:ascii="Times New Roman" w:hAnsi="Times New Roman"/>
                <w:sz w:val="21"/>
                <w:szCs w:val="21"/>
              </w:rPr>
              <w:t>h</w:t>
            </w:r>
            <w:r>
              <w:rPr>
                <w:rFonts w:hint="eastAsia" w:hAnsi="宋体"/>
                <w:sz w:val="21"/>
                <w:szCs w:val="21"/>
              </w:rPr>
              <w:t>]蒽、茚并[</w:t>
            </w:r>
            <w:r>
              <w:rPr>
                <w:rFonts w:hint="eastAsia" w:ascii="Times New Roman" w:hAnsi="Times New Roman"/>
                <w:sz w:val="21"/>
                <w:szCs w:val="21"/>
              </w:rPr>
              <w:t>1</w:t>
            </w:r>
            <w:r>
              <w:rPr>
                <w:rFonts w:hint="eastAsia" w:hAnsi="宋体"/>
                <w:sz w:val="21"/>
                <w:szCs w:val="21"/>
              </w:rPr>
              <w:t>,</w:t>
            </w:r>
            <w:r>
              <w:rPr>
                <w:rFonts w:hint="eastAsia" w:ascii="Times New Roman" w:hAnsi="Times New Roman"/>
                <w:sz w:val="21"/>
                <w:szCs w:val="21"/>
              </w:rPr>
              <w:t>2</w:t>
            </w:r>
            <w:r>
              <w:rPr>
                <w:rFonts w:hint="eastAsia" w:hAnsi="宋体"/>
                <w:sz w:val="21"/>
                <w:szCs w:val="21"/>
              </w:rPr>
              <w:t>,</w:t>
            </w:r>
            <w:r>
              <w:rPr>
                <w:rFonts w:hint="eastAsia" w:ascii="Times New Roman" w:hAnsi="Times New Roman"/>
                <w:sz w:val="21"/>
                <w:szCs w:val="21"/>
              </w:rPr>
              <w:t>3</w:t>
            </w:r>
            <w:r>
              <w:rPr>
                <w:rFonts w:hint="eastAsia" w:hAnsi="宋体"/>
                <w:sz w:val="21"/>
                <w:szCs w:val="21"/>
              </w:rPr>
              <w:t>,-</w:t>
            </w:r>
            <w:r>
              <w:rPr>
                <w:rFonts w:hint="eastAsia" w:ascii="Times New Roman" w:hAnsi="Times New Roman"/>
                <w:sz w:val="21"/>
                <w:szCs w:val="21"/>
              </w:rPr>
              <w:t>cd</w:t>
            </w:r>
            <w:r>
              <w:rPr>
                <w:rFonts w:hint="eastAsia" w:hAnsi="宋体"/>
                <w:sz w:val="21"/>
                <w:szCs w:val="21"/>
              </w:rPr>
              <w:t>]芘、萘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vMerge w:val="continue"/>
            <w:tcBorders>
              <w:top w:val="single" w:color="auto" w:sz="4" w:space="0"/>
              <w:left w:val="single" w:color="auto" w:sz="12" w:space="0"/>
              <w:bottom w:val="single" w:color="auto" w:sz="4" w:space="0"/>
            </w:tcBorders>
            <w:noWrap w:val="0"/>
            <w:vAlign w:val="center"/>
          </w:tcPr>
          <w:p>
            <w:pPr>
              <w:spacing w:line="240" w:lineRule="auto"/>
              <w:ind w:firstLine="0"/>
              <w:jc w:val="center"/>
              <w:rPr>
                <w:rFonts w:hint="eastAsia" w:ascii="Times New Roman"/>
                <w:sz w:val="21"/>
                <w:szCs w:val="21"/>
                <w:lang w:val="en-US" w:eastAsia="zh-CN"/>
              </w:rPr>
            </w:pPr>
          </w:p>
        </w:tc>
        <w:tc>
          <w:tcPr>
            <w:tcW w:w="1173" w:type="dxa"/>
            <w:vMerge w:val="continue"/>
            <w:tcBorders>
              <w:top w:val="single" w:color="auto" w:sz="4" w:space="0"/>
              <w:bottom w:val="single" w:color="auto" w:sz="4" w:space="0"/>
            </w:tcBorders>
            <w:noWrap w:val="0"/>
            <w:vAlign w:val="center"/>
          </w:tcPr>
          <w:p>
            <w:pPr>
              <w:spacing w:line="240" w:lineRule="auto"/>
              <w:ind w:firstLine="0"/>
              <w:jc w:val="center"/>
              <w:rPr>
                <w:rFonts w:hint="eastAsia" w:hAnsi="宋体"/>
                <w:sz w:val="21"/>
                <w:szCs w:val="21"/>
              </w:rPr>
            </w:pPr>
          </w:p>
        </w:tc>
        <w:tc>
          <w:tcPr>
            <w:tcW w:w="1104" w:type="dxa"/>
            <w:tcBorders>
              <w:top w:val="single" w:color="auto" w:sz="4" w:space="0"/>
              <w:bottom w:val="single" w:color="auto" w:sz="4" w:space="0"/>
            </w:tcBorders>
            <w:noWrap w:val="0"/>
            <w:vAlign w:val="center"/>
          </w:tcPr>
          <w:p>
            <w:pPr>
              <w:spacing w:line="240" w:lineRule="auto"/>
              <w:ind w:firstLine="0"/>
              <w:jc w:val="center"/>
              <w:rPr>
                <w:rFonts w:hint="eastAsia" w:hAnsi="宋体" w:eastAsia="宋体"/>
                <w:color w:val="auto"/>
                <w:sz w:val="21"/>
                <w:szCs w:val="21"/>
                <w:lang w:eastAsia="zh-CN"/>
              </w:rPr>
            </w:pPr>
            <w:r>
              <w:rPr>
                <w:rFonts w:hint="eastAsia" w:hAnsi="宋体"/>
                <w:color w:val="auto"/>
                <w:sz w:val="21"/>
                <w:szCs w:val="21"/>
                <w:lang w:eastAsia="zh-CN"/>
              </w:rPr>
              <w:t>影响分析</w:t>
            </w:r>
          </w:p>
        </w:tc>
        <w:tc>
          <w:tcPr>
            <w:tcW w:w="6258" w:type="dxa"/>
            <w:tcBorders>
              <w:top w:val="single" w:color="auto" w:sz="4" w:space="0"/>
              <w:bottom w:val="single" w:color="auto" w:sz="4" w:space="0"/>
              <w:right w:val="single" w:color="auto" w:sz="12" w:space="0"/>
            </w:tcBorders>
            <w:noWrap w:val="0"/>
            <w:vAlign w:val="center"/>
          </w:tcPr>
          <w:p>
            <w:pPr>
              <w:spacing w:line="240" w:lineRule="auto"/>
              <w:ind w:firstLine="0"/>
              <w:rPr>
                <w:rFonts w:hint="default" w:hAnsi="宋体" w:eastAsia="宋体"/>
                <w:color w:val="auto"/>
                <w:sz w:val="21"/>
                <w:szCs w:val="21"/>
                <w:lang w:val="en-US" w:eastAsia="zh-CN"/>
              </w:rPr>
            </w:pPr>
            <w:r>
              <w:rPr>
                <w:rFonts w:hint="eastAsia" w:ascii="Times New Roman" w:hAnsi="Times New Roman"/>
                <w:color w:val="auto"/>
                <w:sz w:val="21"/>
                <w:szCs w:val="21"/>
                <w:lang w:val="en-US" w:eastAsia="zh-CN"/>
              </w:rPr>
              <w:t>Cu</w:t>
            </w:r>
            <w:r>
              <w:rPr>
                <w:rFonts w:hint="eastAsia"/>
                <w:color w:val="auto"/>
                <w:sz w:val="21"/>
                <w:szCs w:val="21"/>
                <w:lang w:val="en-US" w:eastAsia="zh-CN"/>
              </w:rPr>
              <w:t>、</w:t>
            </w:r>
            <w:r>
              <w:rPr>
                <w:rFonts w:hint="eastAsia" w:ascii="Times New Roman" w:hAnsi="Times New Roman"/>
                <w:color w:val="auto"/>
                <w:sz w:val="21"/>
                <w:szCs w:val="21"/>
                <w:lang w:val="en-US" w:eastAsia="zh-CN"/>
              </w:rPr>
              <w:t>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39" w:type="dxa"/>
            <w:tcBorders>
              <w:top w:val="single" w:color="auto" w:sz="4" w:space="0"/>
              <w:left w:val="single" w:color="auto" w:sz="12" w:space="0"/>
              <w:bottom w:val="single" w:color="auto" w:sz="12" w:space="0"/>
            </w:tcBorders>
            <w:noWrap w:val="0"/>
            <w:vAlign w:val="center"/>
          </w:tcPr>
          <w:p>
            <w:pPr>
              <w:spacing w:line="240" w:lineRule="auto"/>
              <w:ind w:firstLine="0"/>
              <w:jc w:val="center"/>
              <w:rPr>
                <w:rFonts w:hint="default" w:hAnsi="宋体" w:eastAsia="宋体"/>
                <w:sz w:val="21"/>
                <w:szCs w:val="21"/>
                <w:lang w:val="en-US" w:eastAsia="zh-CN"/>
              </w:rPr>
            </w:pPr>
            <w:r>
              <w:rPr>
                <w:rFonts w:hint="eastAsia" w:ascii="Times New Roman" w:hAnsi="Times New Roman"/>
                <w:sz w:val="21"/>
                <w:szCs w:val="21"/>
                <w:lang w:val="en-US" w:eastAsia="zh-CN"/>
              </w:rPr>
              <w:t>5</w:t>
            </w:r>
          </w:p>
        </w:tc>
        <w:tc>
          <w:tcPr>
            <w:tcW w:w="1173" w:type="dxa"/>
            <w:tcBorders>
              <w:top w:val="single" w:color="auto" w:sz="4" w:space="0"/>
              <w:bottom w:val="single" w:color="auto" w:sz="12" w:space="0"/>
            </w:tcBorders>
            <w:noWrap w:val="0"/>
            <w:vAlign w:val="center"/>
          </w:tcPr>
          <w:p>
            <w:pPr>
              <w:spacing w:line="240" w:lineRule="auto"/>
              <w:ind w:firstLine="0"/>
              <w:jc w:val="center"/>
              <w:rPr>
                <w:rFonts w:hint="eastAsia" w:hAnsi="宋体"/>
                <w:sz w:val="21"/>
                <w:szCs w:val="21"/>
              </w:rPr>
            </w:pPr>
            <w:r>
              <w:rPr>
                <w:rFonts w:hint="eastAsia" w:hAnsi="宋体"/>
                <w:sz w:val="21"/>
                <w:szCs w:val="21"/>
              </w:rPr>
              <w:t>环境风险</w:t>
            </w:r>
          </w:p>
        </w:tc>
        <w:tc>
          <w:tcPr>
            <w:tcW w:w="1104" w:type="dxa"/>
            <w:tcBorders>
              <w:top w:val="single" w:color="auto" w:sz="4" w:space="0"/>
              <w:bottom w:val="single" w:color="auto" w:sz="12" w:space="0"/>
            </w:tcBorders>
            <w:noWrap w:val="0"/>
            <w:vAlign w:val="center"/>
          </w:tcPr>
          <w:p>
            <w:pPr>
              <w:spacing w:line="240" w:lineRule="auto"/>
              <w:ind w:firstLine="0"/>
              <w:jc w:val="center"/>
              <w:rPr>
                <w:rFonts w:hint="eastAsia" w:hAnsi="宋体"/>
                <w:sz w:val="21"/>
                <w:szCs w:val="21"/>
              </w:rPr>
            </w:pPr>
            <w:r>
              <w:rPr>
                <w:rFonts w:hint="eastAsia" w:hAnsi="宋体"/>
                <w:sz w:val="21"/>
                <w:szCs w:val="21"/>
              </w:rPr>
              <w:t>影响评价</w:t>
            </w:r>
          </w:p>
        </w:tc>
        <w:tc>
          <w:tcPr>
            <w:tcW w:w="6258" w:type="dxa"/>
            <w:tcBorders>
              <w:top w:val="single" w:color="auto" w:sz="4" w:space="0"/>
              <w:bottom w:val="single" w:color="auto" w:sz="12" w:space="0"/>
              <w:right w:val="single" w:color="auto" w:sz="12" w:space="0"/>
            </w:tcBorders>
            <w:noWrap w:val="0"/>
            <w:vAlign w:val="center"/>
          </w:tcPr>
          <w:p>
            <w:pPr>
              <w:spacing w:line="240" w:lineRule="auto"/>
              <w:ind w:firstLine="0"/>
              <w:rPr>
                <w:rFonts w:hint="default" w:hAnsi="宋体" w:eastAsia="宋体"/>
                <w:sz w:val="21"/>
                <w:szCs w:val="21"/>
                <w:lang w:val="en-US" w:eastAsia="zh-CN"/>
              </w:rPr>
            </w:pPr>
            <w:r>
              <w:rPr>
                <w:rFonts w:hint="eastAsia" w:ascii="Times New Roman" w:hAnsi="Times New Roman"/>
                <w:sz w:val="21"/>
                <w:szCs w:val="21"/>
                <w:lang w:eastAsia="zh-CN"/>
              </w:rPr>
              <w:t>PD</w:t>
            </w:r>
            <w:r>
              <w:rPr>
                <w:rFonts w:hint="eastAsia"/>
                <w:sz w:val="21"/>
                <w:szCs w:val="21"/>
                <w:lang w:eastAsia="zh-CN"/>
              </w:rPr>
              <w:t>、</w:t>
            </w:r>
            <w:r>
              <w:rPr>
                <w:rFonts w:hint="eastAsia"/>
                <w:spacing w:val="-11"/>
                <w:sz w:val="21"/>
                <w:szCs w:val="21"/>
                <w:lang w:val="zh-CN"/>
              </w:rPr>
              <w:t>氨（浓度≥</w:t>
            </w:r>
            <w:r>
              <w:rPr>
                <w:rFonts w:hint="eastAsia" w:ascii="Times New Roman" w:hAnsi="Times New Roman"/>
                <w:spacing w:val="-11"/>
                <w:sz w:val="21"/>
                <w:szCs w:val="21"/>
                <w:lang w:val="en-US" w:eastAsia="zh-CN"/>
              </w:rPr>
              <w:t>20</w:t>
            </w:r>
            <w:r>
              <w:rPr>
                <w:rFonts w:hint="eastAsia"/>
                <w:spacing w:val="-11"/>
                <w:sz w:val="21"/>
                <w:szCs w:val="21"/>
                <w:lang w:val="en-US" w:eastAsia="zh-CN"/>
              </w:rPr>
              <w:t>%</w:t>
            </w:r>
            <w:r>
              <w:rPr>
                <w:rFonts w:hint="eastAsia"/>
                <w:spacing w:val="-11"/>
                <w:sz w:val="21"/>
                <w:szCs w:val="21"/>
                <w:lang w:val="zh-CN"/>
              </w:rPr>
              <w:t>）</w:t>
            </w:r>
          </w:p>
        </w:tc>
      </w:tr>
    </w:tbl>
    <w:p>
      <w:pPr>
        <w:pStyle w:val="5"/>
        <w:spacing w:before="156"/>
        <w:rPr>
          <w:rFonts w:hint="eastAsia"/>
        </w:rPr>
      </w:pP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4</w:t>
      </w:r>
      <w:r>
        <w:rPr>
          <w:rFonts w:hint="eastAsia"/>
        </w:rPr>
        <w:t>环境质量标准</w:t>
      </w:r>
      <w:bookmarkEnd w:id="68"/>
      <w:bookmarkEnd w:id="69"/>
    </w:p>
    <w:p>
      <w:pPr>
        <w:ind w:firstLine="480"/>
        <w:rPr>
          <w:rFonts w:hint="eastAsia"/>
        </w:rPr>
      </w:pPr>
      <w:r>
        <w:rPr>
          <w:rFonts w:hint="eastAsia"/>
        </w:rPr>
        <w:t>本次评价采用的环境质量标准详见表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5</w:t>
      </w:r>
      <w:r>
        <w:rPr>
          <w:rFonts w:hint="eastAsia"/>
        </w:rPr>
        <w:t>，土壤环境质量标准见表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6</w:t>
      </w:r>
      <w:r>
        <w:rPr>
          <w:rFonts w:hint="eastAsia"/>
        </w:rPr>
        <w:t>。</w:t>
      </w:r>
    </w:p>
    <w:p>
      <w:pPr>
        <w:pStyle w:val="20"/>
        <w:spacing w:before="0" w:beforeLines="0"/>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5</w:t>
      </w:r>
      <w:r>
        <w:rPr>
          <w:rFonts w:hint="eastAsia"/>
        </w:rPr>
        <w:tab/>
      </w:r>
      <w:r>
        <w:rPr>
          <w:rFonts w:hint="eastAsia"/>
        </w:rPr>
        <w:t xml:space="preserve">  环境质量标准</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300"/>
        <w:gridCol w:w="1384"/>
        <w:gridCol w:w="1233"/>
        <w:gridCol w:w="550"/>
        <w:gridCol w:w="800"/>
        <w:gridCol w:w="3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721"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环境</w:t>
            </w:r>
          </w:p>
          <w:p>
            <w:pPr>
              <w:spacing w:line="240" w:lineRule="auto"/>
              <w:ind w:firstLine="0"/>
              <w:jc w:val="center"/>
              <w:rPr>
                <w:rFonts w:ascii="Times New Roman"/>
                <w:spacing w:val="-11"/>
                <w:sz w:val="21"/>
                <w:szCs w:val="21"/>
              </w:rPr>
            </w:pPr>
            <w:r>
              <w:rPr>
                <w:rFonts w:ascii="Times New Roman"/>
                <w:spacing w:val="-11"/>
                <w:sz w:val="21"/>
                <w:szCs w:val="21"/>
              </w:rPr>
              <w:t>要素</w:t>
            </w:r>
          </w:p>
        </w:tc>
        <w:tc>
          <w:tcPr>
            <w:tcW w:w="1300"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项 目</w:t>
            </w:r>
          </w:p>
        </w:tc>
        <w:tc>
          <w:tcPr>
            <w:tcW w:w="3967" w:type="dxa"/>
            <w:gridSpan w:val="4"/>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标准值</w:t>
            </w:r>
          </w:p>
        </w:tc>
        <w:tc>
          <w:tcPr>
            <w:tcW w:w="3172" w:type="dxa"/>
            <w:vMerge w:val="restart"/>
            <w:noWrap w:val="0"/>
            <w:vAlign w:val="center"/>
          </w:tcPr>
          <w:p>
            <w:pPr>
              <w:spacing w:line="240" w:lineRule="auto"/>
              <w:ind w:firstLine="0"/>
              <w:jc w:val="center"/>
              <w:rPr>
                <w:rFonts w:hint="eastAsia" w:ascii="Times New Roman"/>
                <w:spacing w:val="-11"/>
                <w:sz w:val="21"/>
                <w:szCs w:val="21"/>
              </w:rPr>
            </w:pPr>
            <w:r>
              <w:rPr>
                <w:rFonts w:hint="eastAsia"/>
                <w:spacing w:val="-11"/>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ascii="Times New Roman"/>
                <w:spacing w:val="-11"/>
                <w:sz w:val="21"/>
                <w:szCs w:val="21"/>
              </w:rPr>
            </w:pPr>
          </w:p>
        </w:tc>
        <w:tc>
          <w:tcPr>
            <w:tcW w:w="1384" w:type="dxa"/>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单位</w:t>
            </w:r>
          </w:p>
        </w:tc>
        <w:tc>
          <w:tcPr>
            <w:tcW w:w="2583" w:type="dxa"/>
            <w:gridSpan w:val="3"/>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数值</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环境</w:t>
            </w:r>
          </w:p>
          <w:p>
            <w:pPr>
              <w:spacing w:line="240" w:lineRule="auto"/>
              <w:ind w:firstLine="0"/>
              <w:jc w:val="center"/>
              <w:rPr>
                <w:rFonts w:ascii="Times New Roman"/>
                <w:spacing w:val="-11"/>
                <w:sz w:val="21"/>
                <w:szCs w:val="21"/>
              </w:rPr>
            </w:pPr>
            <w:r>
              <w:rPr>
                <w:rFonts w:ascii="Times New Roman"/>
                <w:spacing w:val="-11"/>
                <w:sz w:val="21"/>
                <w:szCs w:val="21"/>
              </w:rPr>
              <w:t>空气</w:t>
            </w:r>
          </w:p>
        </w:tc>
        <w:tc>
          <w:tcPr>
            <w:tcW w:w="1300"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S</w:t>
            </w:r>
            <w:r>
              <w:rPr>
                <w:rFonts w:hint="eastAsia" w:ascii="Times New Roman" w:hAnsi="Times New Roman"/>
                <w:spacing w:val="-11"/>
                <w:sz w:val="21"/>
                <w:szCs w:val="21"/>
                <w:lang w:val="en-US" w:eastAsia="zh-CN"/>
              </w:rPr>
              <w:t>O</w:t>
            </w:r>
            <w:r>
              <w:rPr>
                <w:rFonts w:ascii="Times New Roman" w:hAnsi="Times New Roman"/>
                <w:spacing w:val="-11"/>
                <w:sz w:val="21"/>
                <w:szCs w:val="21"/>
                <w:vertAlign w:val="subscript"/>
              </w:rPr>
              <w:t>2</w:t>
            </w:r>
          </w:p>
        </w:tc>
        <w:tc>
          <w:tcPr>
            <w:tcW w:w="1384"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μg</w:t>
            </w:r>
            <w:r>
              <w:rPr>
                <w:rFonts w:ascii="Times New Roman"/>
                <w:spacing w:val="-11"/>
                <w:sz w:val="21"/>
                <w:szCs w:val="21"/>
              </w:rPr>
              <w:t>/</w:t>
            </w:r>
            <w:r>
              <w:rPr>
                <w:rFonts w:ascii="Times New Roman" w:hAnsi="Times New Roman"/>
                <w:spacing w:val="-11"/>
                <w:sz w:val="21"/>
                <w:szCs w:val="21"/>
              </w:rPr>
              <w:t>m</w:t>
            </w:r>
            <w:r>
              <w:rPr>
                <w:rFonts w:ascii="Times New Roman" w:hAnsi="Times New Roman"/>
                <w:spacing w:val="-11"/>
                <w:sz w:val="21"/>
                <w:szCs w:val="21"/>
                <w:vertAlign w:val="superscript"/>
              </w:rPr>
              <w:t>3</w:t>
            </w:r>
          </w:p>
        </w:tc>
        <w:tc>
          <w:tcPr>
            <w:tcW w:w="1783" w:type="dxa"/>
            <w:gridSpan w:val="2"/>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1</w:t>
            </w:r>
            <w:r>
              <w:rPr>
                <w:rFonts w:ascii="Times New Roman"/>
                <w:spacing w:val="-11"/>
                <w:sz w:val="21"/>
                <w:szCs w:val="21"/>
              </w:rPr>
              <w:t>小时平均</w:t>
            </w:r>
          </w:p>
        </w:tc>
        <w:tc>
          <w:tcPr>
            <w:tcW w:w="800" w:type="dxa"/>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500</w:t>
            </w:r>
          </w:p>
        </w:tc>
        <w:tc>
          <w:tcPr>
            <w:tcW w:w="3172"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《环境空气质量标准》(</w:t>
            </w:r>
            <w:r>
              <w:rPr>
                <w:rFonts w:ascii="Times New Roman" w:hAnsi="Times New Roman"/>
                <w:spacing w:val="-11"/>
                <w:sz w:val="21"/>
                <w:szCs w:val="21"/>
              </w:rPr>
              <w:t>GB3095</w:t>
            </w:r>
            <w:r>
              <w:rPr>
                <w:rFonts w:ascii="Times New Roman"/>
                <w:spacing w:val="-11"/>
                <w:sz w:val="21"/>
                <w:szCs w:val="21"/>
              </w:rPr>
              <w:t>-</w:t>
            </w:r>
            <w:r>
              <w:rPr>
                <w:rFonts w:ascii="Times New Roman" w:hAnsi="Times New Roman"/>
                <w:spacing w:val="-11"/>
                <w:sz w:val="21"/>
                <w:szCs w:val="21"/>
              </w:rPr>
              <w:t>2012</w:t>
            </w:r>
            <w:r>
              <w:rPr>
                <w:rFonts w:ascii="Times New Roman"/>
                <w:spacing w:val="-11"/>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ascii="Times New Roman"/>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24</w:t>
            </w:r>
            <w:r>
              <w:rPr>
                <w:rFonts w:ascii="Times New Roman"/>
                <w:spacing w:val="-11"/>
                <w:sz w:val="21"/>
                <w:szCs w:val="21"/>
              </w:rPr>
              <w:t>小时平均</w:t>
            </w:r>
          </w:p>
        </w:tc>
        <w:tc>
          <w:tcPr>
            <w:tcW w:w="800" w:type="dxa"/>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150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ascii="Times New Roman"/>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hint="eastAsia" w:ascii="Times New Roman"/>
                <w:spacing w:val="-11"/>
                <w:sz w:val="21"/>
                <w:szCs w:val="21"/>
              </w:rPr>
            </w:pPr>
            <w:r>
              <w:rPr>
                <w:rFonts w:hint="eastAsia" w:ascii="Times New Roman"/>
                <w:spacing w:val="-11"/>
                <w:sz w:val="21"/>
                <w:szCs w:val="21"/>
              </w:rPr>
              <w:t>年平均</w:t>
            </w:r>
          </w:p>
        </w:tc>
        <w:tc>
          <w:tcPr>
            <w:tcW w:w="800" w:type="dxa"/>
            <w:noWrap w:val="0"/>
            <w:vAlign w:val="center"/>
          </w:tcPr>
          <w:p>
            <w:pPr>
              <w:spacing w:line="240" w:lineRule="auto"/>
              <w:ind w:firstLine="0"/>
              <w:jc w:val="center"/>
              <w:rPr>
                <w:rFonts w:ascii="Times New Roman"/>
                <w:spacing w:val="-11"/>
                <w:sz w:val="21"/>
                <w:szCs w:val="21"/>
              </w:rPr>
            </w:pPr>
            <w:r>
              <w:rPr>
                <w:rFonts w:hint="eastAsia" w:ascii="Times New Roman" w:hAnsi="Times New Roman"/>
                <w:spacing w:val="-11"/>
                <w:sz w:val="21"/>
                <w:szCs w:val="21"/>
              </w:rPr>
              <w:t>60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NO</w:t>
            </w:r>
            <w:r>
              <w:rPr>
                <w:rFonts w:ascii="Times New Roman" w:hAnsi="Times New Roman"/>
                <w:spacing w:val="-11"/>
                <w:sz w:val="21"/>
                <w:szCs w:val="21"/>
                <w:vertAlign w:val="subscript"/>
              </w:rPr>
              <w:t>2</w:t>
            </w:r>
          </w:p>
        </w:tc>
        <w:tc>
          <w:tcPr>
            <w:tcW w:w="1384"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μg</w:t>
            </w:r>
            <w:r>
              <w:rPr>
                <w:rFonts w:ascii="Times New Roman"/>
                <w:spacing w:val="-11"/>
                <w:sz w:val="21"/>
                <w:szCs w:val="21"/>
              </w:rPr>
              <w:t>/</w:t>
            </w:r>
            <w:r>
              <w:rPr>
                <w:rFonts w:ascii="Times New Roman" w:hAnsi="Times New Roman"/>
                <w:spacing w:val="-11"/>
                <w:sz w:val="21"/>
                <w:szCs w:val="21"/>
              </w:rPr>
              <w:t>m</w:t>
            </w:r>
            <w:r>
              <w:rPr>
                <w:rFonts w:ascii="Times New Roman" w:hAnsi="Times New Roman"/>
                <w:spacing w:val="-11"/>
                <w:sz w:val="21"/>
                <w:szCs w:val="21"/>
                <w:vertAlign w:val="superscript"/>
              </w:rPr>
              <w:t>3</w:t>
            </w:r>
          </w:p>
        </w:tc>
        <w:tc>
          <w:tcPr>
            <w:tcW w:w="1783" w:type="dxa"/>
            <w:gridSpan w:val="2"/>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1</w:t>
            </w:r>
            <w:r>
              <w:rPr>
                <w:rFonts w:ascii="Times New Roman"/>
                <w:spacing w:val="-11"/>
                <w:sz w:val="21"/>
                <w:szCs w:val="21"/>
              </w:rPr>
              <w:t>小时平均</w:t>
            </w:r>
          </w:p>
        </w:tc>
        <w:tc>
          <w:tcPr>
            <w:tcW w:w="800" w:type="dxa"/>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200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ascii="Times New Roman"/>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24</w:t>
            </w:r>
            <w:r>
              <w:rPr>
                <w:rFonts w:ascii="Times New Roman"/>
                <w:spacing w:val="-11"/>
                <w:sz w:val="21"/>
                <w:szCs w:val="21"/>
              </w:rPr>
              <w:t>小时平均</w:t>
            </w:r>
          </w:p>
        </w:tc>
        <w:tc>
          <w:tcPr>
            <w:tcW w:w="800" w:type="dxa"/>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80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ascii="Times New Roman"/>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hint="eastAsia" w:ascii="Times New Roman"/>
                <w:spacing w:val="-11"/>
                <w:sz w:val="21"/>
                <w:szCs w:val="21"/>
              </w:rPr>
            </w:pPr>
            <w:r>
              <w:rPr>
                <w:rFonts w:hint="eastAsia" w:ascii="Times New Roman"/>
                <w:spacing w:val="-11"/>
                <w:sz w:val="21"/>
                <w:szCs w:val="21"/>
              </w:rPr>
              <w:t>年平均</w:t>
            </w:r>
          </w:p>
        </w:tc>
        <w:tc>
          <w:tcPr>
            <w:tcW w:w="800" w:type="dxa"/>
            <w:noWrap w:val="0"/>
            <w:vAlign w:val="center"/>
          </w:tcPr>
          <w:p>
            <w:pPr>
              <w:spacing w:line="240" w:lineRule="auto"/>
              <w:ind w:firstLine="0"/>
              <w:jc w:val="center"/>
              <w:rPr>
                <w:rFonts w:ascii="Times New Roman"/>
                <w:spacing w:val="-11"/>
                <w:sz w:val="21"/>
                <w:szCs w:val="21"/>
              </w:rPr>
            </w:pPr>
            <w:r>
              <w:rPr>
                <w:rFonts w:hint="eastAsia" w:ascii="Times New Roman" w:hAnsi="Times New Roman"/>
                <w:spacing w:val="-11"/>
                <w:sz w:val="21"/>
                <w:szCs w:val="21"/>
              </w:rPr>
              <w:t>40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PM</w:t>
            </w:r>
            <w:r>
              <w:rPr>
                <w:rFonts w:ascii="Times New Roman" w:hAnsi="Times New Roman"/>
                <w:spacing w:val="-11"/>
                <w:sz w:val="21"/>
                <w:szCs w:val="21"/>
                <w:vertAlign w:val="subscript"/>
              </w:rPr>
              <w:t>10</w:t>
            </w:r>
          </w:p>
        </w:tc>
        <w:tc>
          <w:tcPr>
            <w:tcW w:w="1384"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μg</w:t>
            </w:r>
            <w:r>
              <w:rPr>
                <w:rFonts w:ascii="Times New Roman"/>
                <w:spacing w:val="-11"/>
                <w:sz w:val="21"/>
                <w:szCs w:val="21"/>
              </w:rPr>
              <w:t>/</w:t>
            </w:r>
            <w:r>
              <w:rPr>
                <w:rFonts w:ascii="Times New Roman" w:hAnsi="Times New Roman"/>
                <w:spacing w:val="-11"/>
                <w:sz w:val="21"/>
                <w:szCs w:val="21"/>
              </w:rPr>
              <w:t>m</w:t>
            </w:r>
            <w:r>
              <w:rPr>
                <w:rFonts w:ascii="Times New Roman" w:hAnsi="Times New Roman"/>
                <w:spacing w:val="-11"/>
                <w:sz w:val="21"/>
                <w:szCs w:val="21"/>
                <w:vertAlign w:val="superscript"/>
              </w:rPr>
              <w:t>3</w:t>
            </w:r>
          </w:p>
        </w:tc>
        <w:tc>
          <w:tcPr>
            <w:tcW w:w="1783" w:type="dxa"/>
            <w:gridSpan w:val="2"/>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24</w:t>
            </w:r>
            <w:r>
              <w:rPr>
                <w:rFonts w:ascii="Times New Roman"/>
                <w:spacing w:val="-11"/>
                <w:sz w:val="21"/>
                <w:szCs w:val="21"/>
              </w:rPr>
              <w:t>小时平均</w:t>
            </w:r>
          </w:p>
        </w:tc>
        <w:tc>
          <w:tcPr>
            <w:tcW w:w="800" w:type="dxa"/>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150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ascii="Times New Roman"/>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hint="eastAsia" w:ascii="Times New Roman"/>
                <w:spacing w:val="-11"/>
                <w:sz w:val="21"/>
                <w:szCs w:val="21"/>
              </w:rPr>
            </w:pPr>
            <w:r>
              <w:rPr>
                <w:rFonts w:hint="eastAsia" w:ascii="Times New Roman"/>
                <w:spacing w:val="-11"/>
                <w:sz w:val="21"/>
                <w:szCs w:val="21"/>
              </w:rPr>
              <w:t>年平均</w:t>
            </w:r>
          </w:p>
        </w:tc>
        <w:tc>
          <w:tcPr>
            <w:tcW w:w="800" w:type="dxa"/>
            <w:noWrap w:val="0"/>
            <w:vAlign w:val="center"/>
          </w:tcPr>
          <w:p>
            <w:pPr>
              <w:spacing w:line="240" w:lineRule="auto"/>
              <w:ind w:firstLine="0"/>
              <w:jc w:val="center"/>
              <w:rPr>
                <w:rFonts w:ascii="Times New Roman"/>
                <w:spacing w:val="-11"/>
                <w:sz w:val="21"/>
                <w:szCs w:val="21"/>
              </w:rPr>
            </w:pPr>
            <w:r>
              <w:rPr>
                <w:rFonts w:hint="eastAsia" w:ascii="Times New Roman" w:hAnsi="Times New Roman"/>
                <w:spacing w:val="-11"/>
                <w:sz w:val="21"/>
                <w:szCs w:val="21"/>
              </w:rPr>
              <w:t>70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restart"/>
            <w:noWrap w:val="0"/>
            <w:vAlign w:val="center"/>
          </w:tcPr>
          <w:p>
            <w:pPr>
              <w:spacing w:line="240" w:lineRule="auto"/>
              <w:ind w:firstLine="0"/>
              <w:jc w:val="center"/>
              <w:rPr>
                <w:rFonts w:hint="eastAsia" w:ascii="Times New Roman"/>
                <w:spacing w:val="-11"/>
                <w:sz w:val="21"/>
                <w:szCs w:val="21"/>
              </w:rPr>
            </w:pPr>
            <w:r>
              <w:rPr>
                <w:rFonts w:hint="eastAsia" w:ascii="Times New Roman" w:hAnsi="Times New Roman"/>
                <w:spacing w:val="-11"/>
                <w:sz w:val="21"/>
                <w:szCs w:val="21"/>
              </w:rPr>
              <w:t>PM</w:t>
            </w:r>
            <w:r>
              <w:rPr>
                <w:rFonts w:hint="eastAsia" w:ascii="Times New Roman" w:hAnsi="Times New Roman"/>
                <w:spacing w:val="-11"/>
                <w:sz w:val="21"/>
                <w:szCs w:val="21"/>
                <w:vertAlign w:val="subscript"/>
              </w:rPr>
              <w:t>2</w:t>
            </w:r>
            <w:r>
              <w:rPr>
                <w:rFonts w:hint="eastAsia"/>
                <w:spacing w:val="-11"/>
                <w:sz w:val="21"/>
                <w:szCs w:val="21"/>
                <w:vertAlign w:val="subscript"/>
              </w:rPr>
              <w:t>.</w:t>
            </w:r>
            <w:r>
              <w:rPr>
                <w:rFonts w:hint="eastAsia" w:ascii="Times New Roman" w:hAnsi="Times New Roman"/>
                <w:spacing w:val="-11"/>
                <w:sz w:val="21"/>
                <w:szCs w:val="21"/>
                <w:vertAlign w:val="subscript"/>
              </w:rPr>
              <w:t>5</w:t>
            </w:r>
          </w:p>
        </w:tc>
        <w:tc>
          <w:tcPr>
            <w:tcW w:w="1384"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μg</w:t>
            </w:r>
            <w:r>
              <w:rPr>
                <w:rFonts w:ascii="Times New Roman"/>
                <w:spacing w:val="-11"/>
                <w:sz w:val="21"/>
                <w:szCs w:val="21"/>
              </w:rPr>
              <w:t>/</w:t>
            </w:r>
            <w:r>
              <w:rPr>
                <w:rFonts w:ascii="Times New Roman" w:hAnsi="Times New Roman"/>
                <w:spacing w:val="-11"/>
                <w:sz w:val="21"/>
                <w:szCs w:val="21"/>
              </w:rPr>
              <w:t>m</w:t>
            </w:r>
            <w:r>
              <w:rPr>
                <w:rFonts w:ascii="Times New Roman" w:hAnsi="Times New Roman"/>
                <w:spacing w:val="-11"/>
                <w:sz w:val="21"/>
                <w:szCs w:val="21"/>
                <w:vertAlign w:val="superscript"/>
              </w:rPr>
              <w:t>3</w:t>
            </w:r>
          </w:p>
        </w:tc>
        <w:tc>
          <w:tcPr>
            <w:tcW w:w="1783" w:type="dxa"/>
            <w:gridSpan w:val="2"/>
            <w:noWrap w:val="0"/>
            <w:vAlign w:val="center"/>
          </w:tcPr>
          <w:p>
            <w:pPr>
              <w:spacing w:line="240" w:lineRule="auto"/>
              <w:ind w:firstLine="0"/>
              <w:jc w:val="center"/>
              <w:rPr>
                <w:rFonts w:hint="eastAsia" w:ascii="Times New Roman"/>
                <w:spacing w:val="-11"/>
                <w:sz w:val="21"/>
                <w:szCs w:val="21"/>
              </w:rPr>
            </w:pPr>
            <w:r>
              <w:rPr>
                <w:rFonts w:hint="eastAsia" w:ascii="Times New Roman" w:hAnsi="Times New Roman"/>
                <w:spacing w:val="-11"/>
                <w:sz w:val="21"/>
                <w:szCs w:val="21"/>
              </w:rPr>
              <w:t>24</w:t>
            </w:r>
            <w:r>
              <w:rPr>
                <w:rFonts w:hint="eastAsia"/>
                <w:spacing w:val="-11"/>
                <w:sz w:val="21"/>
                <w:szCs w:val="21"/>
              </w:rPr>
              <w:t>小时评价</w:t>
            </w:r>
          </w:p>
        </w:tc>
        <w:tc>
          <w:tcPr>
            <w:tcW w:w="800" w:type="dxa"/>
            <w:noWrap w:val="0"/>
            <w:vAlign w:val="center"/>
          </w:tcPr>
          <w:p>
            <w:pPr>
              <w:spacing w:line="240" w:lineRule="auto"/>
              <w:ind w:firstLine="0"/>
              <w:jc w:val="center"/>
              <w:rPr>
                <w:rFonts w:hint="eastAsia" w:ascii="Times New Roman"/>
                <w:spacing w:val="-11"/>
                <w:sz w:val="21"/>
                <w:szCs w:val="21"/>
              </w:rPr>
            </w:pPr>
            <w:r>
              <w:rPr>
                <w:rFonts w:hint="eastAsia" w:ascii="Times New Roman" w:hAnsi="Times New Roman"/>
                <w:spacing w:val="-11"/>
                <w:sz w:val="21"/>
                <w:szCs w:val="21"/>
              </w:rPr>
              <w:t>75</w:t>
            </w:r>
          </w:p>
        </w:tc>
        <w:tc>
          <w:tcPr>
            <w:tcW w:w="3172" w:type="dxa"/>
            <w:vMerge w:val="continue"/>
            <w:noWrap w:val="0"/>
            <w:vAlign w:val="center"/>
          </w:tcPr>
          <w:p>
            <w:pPr>
              <w:spacing w:line="240" w:lineRule="auto"/>
              <w:ind w:firstLine="0"/>
              <w:jc w:val="center"/>
              <w:rPr>
                <w:rFonts w:hint="eastAsia"/>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hint="eastAsia" w:ascii="Times New Roman"/>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hint="eastAsia" w:ascii="Times New Roman"/>
                <w:spacing w:val="-11"/>
                <w:sz w:val="21"/>
                <w:szCs w:val="21"/>
              </w:rPr>
            </w:pPr>
            <w:r>
              <w:rPr>
                <w:rFonts w:hint="eastAsia" w:ascii="Times New Roman"/>
                <w:spacing w:val="-11"/>
                <w:sz w:val="21"/>
                <w:szCs w:val="21"/>
              </w:rPr>
              <w:t>年平均</w:t>
            </w:r>
          </w:p>
        </w:tc>
        <w:tc>
          <w:tcPr>
            <w:tcW w:w="800" w:type="dxa"/>
            <w:noWrap w:val="0"/>
            <w:vAlign w:val="center"/>
          </w:tcPr>
          <w:p>
            <w:pPr>
              <w:spacing w:line="240" w:lineRule="auto"/>
              <w:ind w:firstLine="0"/>
              <w:jc w:val="center"/>
              <w:rPr>
                <w:rFonts w:ascii="Times New Roman"/>
                <w:spacing w:val="-11"/>
                <w:sz w:val="21"/>
                <w:szCs w:val="21"/>
              </w:rPr>
            </w:pPr>
            <w:r>
              <w:rPr>
                <w:rFonts w:hint="eastAsia" w:ascii="Times New Roman" w:hAnsi="Times New Roman"/>
                <w:spacing w:val="-11"/>
                <w:sz w:val="21"/>
                <w:szCs w:val="21"/>
              </w:rPr>
              <w:t>35</w:t>
            </w:r>
          </w:p>
        </w:tc>
        <w:tc>
          <w:tcPr>
            <w:tcW w:w="3172" w:type="dxa"/>
            <w:vMerge w:val="continue"/>
            <w:noWrap w:val="0"/>
            <w:vAlign w:val="center"/>
          </w:tcPr>
          <w:p>
            <w:pPr>
              <w:spacing w:line="240" w:lineRule="auto"/>
              <w:ind w:firstLine="0"/>
              <w:jc w:val="center"/>
              <w:rPr>
                <w:rFonts w:hint="eastAsia"/>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restart"/>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CO</w:t>
            </w:r>
          </w:p>
        </w:tc>
        <w:tc>
          <w:tcPr>
            <w:tcW w:w="1384"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mg</w:t>
            </w:r>
            <w:r>
              <w:rPr>
                <w:rFonts w:ascii="Times New Roman"/>
                <w:spacing w:val="-11"/>
                <w:sz w:val="21"/>
                <w:szCs w:val="21"/>
              </w:rPr>
              <w:t>/</w:t>
            </w:r>
            <w:r>
              <w:rPr>
                <w:rFonts w:ascii="Times New Roman" w:hAnsi="Times New Roman"/>
                <w:spacing w:val="-11"/>
                <w:sz w:val="21"/>
                <w:szCs w:val="21"/>
              </w:rPr>
              <w:t>m</w:t>
            </w:r>
            <w:r>
              <w:rPr>
                <w:rFonts w:ascii="Times New Roman"/>
                <w:spacing w:val="-11"/>
                <w:sz w:val="21"/>
                <w:szCs w:val="21"/>
              </w:rPr>
              <w:t>³</w:t>
            </w:r>
          </w:p>
        </w:tc>
        <w:tc>
          <w:tcPr>
            <w:tcW w:w="1783" w:type="dxa"/>
            <w:gridSpan w:val="2"/>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1</w:t>
            </w:r>
            <w:r>
              <w:rPr>
                <w:rFonts w:ascii="Times New Roman" w:hAnsi="宋体"/>
                <w:spacing w:val="-11"/>
                <w:sz w:val="21"/>
                <w:szCs w:val="21"/>
              </w:rPr>
              <w:t>小时平均</w:t>
            </w:r>
          </w:p>
        </w:tc>
        <w:tc>
          <w:tcPr>
            <w:tcW w:w="800" w:type="dxa"/>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10</w:t>
            </w:r>
          </w:p>
        </w:tc>
        <w:tc>
          <w:tcPr>
            <w:tcW w:w="3172" w:type="dxa"/>
            <w:vMerge w:val="continue"/>
            <w:noWrap w:val="0"/>
            <w:vAlign w:val="center"/>
          </w:tcPr>
          <w:p>
            <w:pPr>
              <w:spacing w:line="240" w:lineRule="auto"/>
              <w:ind w:firstLine="0"/>
              <w:jc w:val="center"/>
              <w:rPr>
                <w:rFonts w:hint="eastAsia"/>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hint="eastAsia"/>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24</w:t>
            </w:r>
            <w:r>
              <w:rPr>
                <w:rFonts w:ascii="Times New Roman" w:hAnsi="宋体"/>
                <w:spacing w:val="-11"/>
                <w:sz w:val="21"/>
                <w:szCs w:val="21"/>
              </w:rPr>
              <w:t>小时平均</w:t>
            </w:r>
          </w:p>
        </w:tc>
        <w:tc>
          <w:tcPr>
            <w:tcW w:w="800" w:type="dxa"/>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4</w:t>
            </w:r>
          </w:p>
        </w:tc>
        <w:tc>
          <w:tcPr>
            <w:tcW w:w="3172" w:type="dxa"/>
            <w:vMerge w:val="continue"/>
            <w:noWrap w:val="0"/>
            <w:vAlign w:val="center"/>
          </w:tcPr>
          <w:p>
            <w:pPr>
              <w:spacing w:line="240" w:lineRule="auto"/>
              <w:ind w:firstLine="0"/>
              <w:jc w:val="center"/>
              <w:rPr>
                <w:rFonts w:hint="eastAsia"/>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restart"/>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O</w:t>
            </w:r>
            <w:r>
              <w:rPr>
                <w:rFonts w:ascii="Times New Roman" w:hAnsi="Times New Roman"/>
                <w:spacing w:val="-11"/>
                <w:sz w:val="21"/>
                <w:szCs w:val="21"/>
                <w:vertAlign w:val="subscript"/>
              </w:rPr>
              <w:t>3</w:t>
            </w:r>
          </w:p>
        </w:tc>
        <w:tc>
          <w:tcPr>
            <w:tcW w:w="1384"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μg</w:t>
            </w:r>
            <w:r>
              <w:rPr>
                <w:rFonts w:ascii="Times New Roman"/>
                <w:spacing w:val="-11"/>
                <w:sz w:val="21"/>
                <w:szCs w:val="21"/>
              </w:rPr>
              <w:t>/</w:t>
            </w:r>
            <w:r>
              <w:rPr>
                <w:rFonts w:ascii="Times New Roman" w:hAnsi="Times New Roman"/>
                <w:spacing w:val="-11"/>
                <w:sz w:val="21"/>
                <w:szCs w:val="21"/>
              </w:rPr>
              <w:t>m</w:t>
            </w:r>
            <w:r>
              <w:rPr>
                <w:rFonts w:ascii="Times New Roman"/>
                <w:spacing w:val="-11"/>
                <w:sz w:val="21"/>
                <w:szCs w:val="21"/>
              </w:rPr>
              <w:t>³</w:t>
            </w:r>
          </w:p>
        </w:tc>
        <w:tc>
          <w:tcPr>
            <w:tcW w:w="1783" w:type="dxa"/>
            <w:gridSpan w:val="2"/>
            <w:noWrap w:val="0"/>
            <w:vAlign w:val="center"/>
          </w:tcPr>
          <w:p>
            <w:pPr>
              <w:spacing w:line="240" w:lineRule="auto"/>
              <w:ind w:firstLine="0"/>
              <w:jc w:val="center"/>
              <w:rPr>
                <w:rFonts w:hint="eastAsia"/>
                <w:spacing w:val="-11"/>
                <w:sz w:val="21"/>
                <w:szCs w:val="21"/>
              </w:rPr>
            </w:pPr>
            <w:r>
              <w:rPr>
                <w:rFonts w:ascii="Times New Roman" w:hAnsi="宋体"/>
                <w:spacing w:val="-11"/>
                <w:sz w:val="21"/>
                <w:szCs w:val="21"/>
              </w:rPr>
              <w:t>日最大</w:t>
            </w:r>
            <w:r>
              <w:rPr>
                <w:rFonts w:ascii="Times New Roman" w:hAnsi="Times New Roman"/>
                <w:spacing w:val="-11"/>
                <w:sz w:val="21"/>
                <w:szCs w:val="21"/>
              </w:rPr>
              <w:t>8</w:t>
            </w:r>
            <w:r>
              <w:rPr>
                <w:rFonts w:ascii="Times New Roman" w:hAnsi="宋体"/>
                <w:spacing w:val="-11"/>
                <w:sz w:val="21"/>
                <w:szCs w:val="21"/>
              </w:rPr>
              <w:t>小时平均</w:t>
            </w:r>
          </w:p>
        </w:tc>
        <w:tc>
          <w:tcPr>
            <w:tcW w:w="800" w:type="dxa"/>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160</w:t>
            </w:r>
          </w:p>
        </w:tc>
        <w:tc>
          <w:tcPr>
            <w:tcW w:w="3172" w:type="dxa"/>
            <w:vMerge w:val="continue"/>
            <w:noWrap w:val="0"/>
            <w:vAlign w:val="center"/>
          </w:tcPr>
          <w:p>
            <w:pPr>
              <w:spacing w:line="240" w:lineRule="auto"/>
              <w:ind w:firstLine="0"/>
              <w:jc w:val="center"/>
              <w:rPr>
                <w:rFonts w:hint="eastAsia"/>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vMerge w:val="continue"/>
            <w:noWrap w:val="0"/>
            <w:vAlign w:val="center"/>
          </w:tcPr>
          <w:p>
            <w:pPr>
              <w:spacing w:line="240" w:lineRule="auto"/>
              <w:ind w:firstLine="0"/>
              <w:jc w:val="center"/>
              <w:rPr>
                <w:rFonts w:hint="eastAsia"/>
                <w:spacing w:val="-11"/>
                <w:sz w:val="21"/>
                <w:szCs w:val="21"/>
              </w:rPr>
            </w:pP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783" w:type="dxa"/>
            <w:gridSpan w:val="2"/>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1</w:t>
            </w:r>
            <w:r>
              <w:rPr>
                <w:rFonts w:ascii="Times New Roman" w:hAnsi="宋体"/>
                <w:spacing w:val="-11"/>
                <w:sz w:val="21"/>
                <w:szCs w:val="21"/>
              </w:rPr>
              <w:t>小时平均</w:t>
            </w:r>
          </w:p>
        </w:tc>
        <w:tc>
          <w:tcPr>
            <w:tcW w:w="800" w:type="dxa"/>
            <w:noWrap w:val="0"/>
            <w:vAlign w:val="center"/>
          </w:tcPr>
          <w:p>
            <w:pPr>
              <w:spacing w:line="240" w:lineRule="auto"/>
              <w:ind w:firstLine="0"/>
              <w:jc w:val="center"/>
              <w:rPr>
                <w:rFonts w:hint="eastAsia"/>
                <w:spacing w:val="-11"/>
                <w:sz w:val="21"/>
                <w:szCs w:val="21"/>
              </w:rPr>
            </w:pPr>
            <w:r>
              <w:rPr>
                <w:rFonts w:ascii="Times New Roman" w:hAnsi="Times New Roman"/>
                <w:spacing w:val="-11"/>
                <w:sz w:val="21"/>
                <w:szCs w:val="21"/>
              </w:rPr>
              <w:t>200</w:t>
            </w:r>
          </w:p>
        </w:tc>
        <w:tc>
          <w:tcPr>
            <w:tcW w:w="3172" w:type="dxa"/>
            <w:vMerge w:val="continue"/>
            <w:noWrap w:val="0"/>
            <w:vAlign w:val="center"/>
          </w:tcPr>
          <w:p>
            <w:pPr>
              <w:spacing w:line="240" w:lineRule="auto"/>
              <w:ind w:firstLine="0"/>
              <w:jc w:val="center"/>
              <w:rPr>
                <w:rFonts w:hint="eastAsia"/>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宋体" w:hAnsi="宋体" w:eastAsia="宋体" w:cs="Times New Roman"/>
                <w:spacing w:val="-11"/>
                <w:sz w:val="21"/>
                <w:szCs w:val="21"/>
                <w:lang w:val="en-US" w:eastAsia="zh-CN" w:bidi="ar-SA"/>
              </w:rPr>
            </w:pPr>
            <w:r>
              <w:rPr>
                <w:rFonts w:hint="eastAsia" w:ascii="Times New Roman" w:hAnsi="Times New Roman"/>
                <w:spacing w:val="-11"/>
                <w:sz w:val="21"/>
                <w:szCs w:val="21"/>
              </w:rPr>
              <w:t>NH</w:t>
            </w:r>
            <w:r>
              <w:rPr>
                <w:rFonts w:hint="eastAsia" w:ascii="Times New Roman" w:hAnsi="Times New Roman"/>
                <w:spacing w:val="-11"/>
                <w:sz w:val="21"/>
                <w:szCs w:val="21"/>
                <w:vertAlign w:val="subscript"/>
              </w:rPr>
              <w:t>3</w:t>
            </w:r>
          </w:p>
        </w:tc>
        <w:tc>
          <w:tcPr>
            <w:tcW w:w="1384" w:type="dxa"/>
            <w:noWrap w:val="0"/>
            <w:vAlign w:val="center"/>
          </w:tcPr>
          <w:p>
            <w:pPr>
              <w:spacing w:line="240" w:lineRule="auto"/>
              <w:ind w:firstLine="0" w:firstLineChars="0"/>
              <w:jc w:val="center"/>
              <w:rPr>
                <w:rFonts w:hint="eastAsia" w:ascii="宋体" w:hAnsi="宋体" w:eastAsia="宋体" w:cs="Times New Roman"/>
                <w:spacing w:val="-11"/>
                <w:sz w:val="21"/>
                <w:szCs w:val="21"/>
                <w:lang w:val="en-US" w:eastAsia="zh-CN" w:bidi="ar-SA"/>
              </w:rPr>
            </w:pPr>
            <w:r>
              <w:rPr>
                <w:rFonts w:ascii="Times New Roman" w:hAnsi="Times New Roman"/>
                <w:spacing w:val="-11"/>
                <w:sz w:val="21"/>
                <w:szCs w:val="21"/>
              </w:rPr>
              <w:t>μg</w:t>
            </w:r>
            <w:r>
              <w:rPr>
                <w:rFonts w:ascii="Times New Roman"/>
                <w:spacing w:val="-11"/>
                <w:sz w:val="21"/>
                <w:szCs w:val="21"/>
              </w:rPr>
              <w:t>/</w:t>
            </w:r>
            <w:r>
              <w:rPr>
                <w:rFonts w:ascii="Times New Roman" w:hAnsi="Times New Roman"/>
                <w:spacing w:val="-11"/>
                <w:sz w:val="21"/>
                <w:szCs w:val="21"/>
              </w:rPr>
              <w:t>m</w:t>
            </w:r>
            <w:r>
              <w:rPr>
                <w:rFonts w:ascii="Times New Roman" w:hAnsi="Times New Roman"/>
                <w:spacing w:val="-11"/>
                <w:sz w:val="21"/>
                <w:szCs w:val="21"/>
                <w:vertAlign w:val="superscript"/>
              </w:rPr>
              <w:t>3</w:t>
            </w:r>
          </w:p>
        </w:tc>
        <w:tc>
          <w:tcPr>
            <w:tcW w:w="1783" w:type="dxa"/>
            <w:gridSpan w:val="2"/>
            <w:noWrap w:val="0"/>
            <w:vAlign w:val="center"/>
          </w:tcPr>
          <w:p>
            <w:pPr>
              <w:spacing w:line="240" w:lineRule="auto"/>
              <w:ind w:firstLine="0" w:firstLineChars="0"/>
              <w:jc w:val="center"/>
              <w:rPr>
                <w:rFonts w:hint="eastAsia" w:ascii="宋体" w:hAnsi="宋体" w:eastAsia="宋体" w:cs="Times New Roman"/>
                <w:spacing w:val="-11"/>
                <w:sz w:val="21"/>
                <w:szCs w:val="21"/>
                <w:lang w:val="en-US" w:eastAsia="zh-CN" w:bidi="ar-SA"/>
              </w:rPr>
            </w:pPr>
            <w:r>
              <w:rPr>
                <w:rFonts w:hint="eastAsia" w:ascii="Times New Roman" w:hAnsi="Times New Roman"/>
                <w:spacing w:val="-11"/>
                <w:sz w:val="21"/>
                <w:szCs w:val="21"/>
              </w:rPr>
              <w:t>1</w:t>
            </w:r>
            <w:r>
              <w:rPr>
                <w:rFonts w:hint="eastAsia"/>
                <w:spacing w:val="-11"/>
                <w:sz w:val="21"/>
                <w:szCs w:val="21"/>
              </w:rPr>
              <w:t>小时平均</w:t>
            </w:r>
          </w:p>
        </w:tc>
        <w:tc>
          <w:tcPr>
            <w:tcW w:w="800" w:type="dxa"/>
            <w:noWrap w:val="0"/>
            <w:vAlign w:val="center"/>
          </w:tcPr>
          <w:p>
            <w:pPr>
              <w:spacing w:line="240" w:lineRule="auto"/>
              <w:ind w:firstLine="0" w:firstLineChars="0"/>
              <w:jc w:val="center"/>
              <w:rPr>
                <w:rFonts w:hint="default" w:ascii="宋体" w:hAnsi="宋体" w:eastAsia="宋体" w:cs="Times New Roman"/>
                <w:spacing w:val="-11"/>
                <w:sz w:val="21"/>
                <w:szCs w:val="21"/>
                <w:lang w:val="en-US" w:eastAsia="zh-CN" w:bidi="ar-SA"/>
              </w:rPr>
            </w:pPr>
            <w:r>
              <w:rPr>
                <w:rFonts w:hint="eastAsia" w:ascii="Times New Roman" w:hAnsi="Times New Roman"/>
                <w:spacing w:val="-11"/>
                <w:sz w:val="21"/>
                <w:szCs w:val="21"/>
              </w:rPr>
              <w:t>200</w:t>
            </w:r>
          </w:p>
        </w:tc>
        <w:tc>
          <w:tcPr>
            <w:tcW w:w="3172" w:type="dxa"/>
            <w:noWrap w:val="0"/>
            <w:vAlign w:val="center"/>
          </w:tcPr>
          <w:p>
            <w:pPr>
              <w:spacing w:line="240" w:lineRule="auto"/>
              <w:ind w:firstLine="0"/>
              <w:jc w:val="center"/>
              <w:rPr>
                <w:rFonts w:hint="eastAsia"/>
                <w:spacing w:val="-11"/>
                <w:sz w:val="21"/>
                <w:szCs w:val="21"/>
              </w:rPr>
            </w:pPr>
            <w:r>
              <w:rPr>
                <w:rFonts w:hint="eastAsia"/>
                <w:spacing w:val="-11"/>
                <w:sz w:val="21"/>
                <w:szCs w:val="21"/>
              </w:rPr>
              <w:t>《环境影响评价技术导则 大气环境》（</w:t>
            </w:r>
            <w:r>
              <w:rPr>
                <w:rFonts w:hint="eastAsia" w:ascii="Times New Roman" w:hAnsi="Times New Roman"/>
                <w:spacing w:val="-11"/>
                <w:sz w:val="21"/>
                <w:szCs w:val="21"/>
              </w:rPr>
              <w:t>HJ2</w:t>
            </w:r>
            <w:r>
              <w:rPr>
                <w:rFonts w:hint="eastAsia"/>
                <w:spacing w:val="-11"/>
                <w:sz w:val="21"/>
                <w:szCs w:val="21"/>
              </w:rPr>
              <w:t>.</w:t>
            </w:r>
            <w:r>
              <w:rPr>
                <w:rFonts w:hint="eastAsia" w:ascii="Times New Roman" w:hAnsi="Times New Roman"/>
                <w:spacing w:val="-11"/>
                <w:sz w:val="21"/>
                <w:szCs w:val="21"/>
              </w:rPr>
              <w:t>2</w:t>
            </w:r>
            <w:r>
              <w:rPr>
                <w:rFonts w:hint="eastAsia"/>
                <w:spacing w:val="-11"/>
                <w:sz w:val="21"/>
                <w:szCs w:val="21"/>
              </w:rPr>
              <w:t>-</w:t>
            </w:r>
            <w:r>
              <w:rPr>
                <w:rFonts w:hint="eastAsia" w:ascii="Times New Roman" w:hAnsi="Times New Roman"/>
                <w:spacing w:val="-11"/>
                <w:sz w:val="21"/>
                <w:szCs w:val="21"/>
              </w:rPr>
              <w:t>2018</w:t>
            </w:r>
            <w:r>
              <w:rPr>
                <w:rFonts w:hint="eastAsia"/>
                <w:spacing w:val="-11"/>
                <w:sz w:val="21"/>
                <w:szCs w:val="21"/>
              </w:rPr>
              <w:t>）附录</w:t>
            </w:r>
            <w:r>
              <w:rPr>
                <w:rFonts w:hint="eastAsia" w:ascii="Times New Roman" w:hAnsi="Times New Roman"/>
                <w:spacing w:val="-11"/>
                <w:sz w:val="21"/>
                <w:szCs w:val="21"/>
              </w:rPr>
              <w:t>D</w:t>
            </w:r>
            <w:r>
              <w:rPr>
                <w:rFonts w:hint="eastAsia"/>
                <w:spacing w:val="-11"/>
                <w:sz w:val="21"/>
                <w:szCs w:val="21"/>
              </w:rPr>
              <w:t>其</w:t>
            </w:r>
            <w:r>
              <w:rPr>
                <w:rFonts w:hint="eastAsia"/>
                <w:spacing w:val="-11"/>
                <w:sz w:val="21"/>
                <w:szCs w:val="21"/>
                <w:lang w:eastAsia="zh-CN"/>
              </w:rPr>
              <w:t>他</w:t>
            </w:r>
            <w:r>
              <w:rPr>
                <w:rFonts w:hint="eastAsia"/>
                <w:spacing w:val="-11"/>
                <w:sz w:val="21"/>
                <w:szCs w:val="21"/>
              </w:rPr>
              <w:t>污染物空气质量参考浓度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NMHC</w:t>
            </w:r>
          </w:p>
        </w:tc>
        <w:tc>
          <w:tcPr>
            <w:tcW w:w="1384" w:type="dxa"/>
            <w:noWrap w:val="0"/>
            <w:vAlign w:val="center"/>
          </w:tcPr>
          <w:p>
            <w:pPr>
              <w:spacing w:line="240" w:lineRule="auto"/>
              <w:ind w:firstLine="0" w:firstLineChars="0"/>
              <w:jc w:val="center"/>
              <w:rPr>
                <w:rFonts w:ascii="Times New Roman"/>
                <w:spacing w:val="-11"/>
                <w:sz w:val="21"/>
                <w:szCs w:val="21"/>
              </w:rPr>
            </w:pPr>
            <w:r>
              <w:rPr>
                <w:rFonts w:ascii="Times New Roman" w:hAnsi="Times New Roman"/>
                <w:spacing w:val="-11"/>
                <w:sz w:val="21"/>
                <w:szCs w:val="21"/>
              </w:rPr>
              <w:t>mg</w:t>
            </w:r>
            <w:r>
              <w:rPr>
                <w:rFonts w:ascii="Times New Roman"/>
                <w:spacing w:val="-11"/>
                <w:sz w:val="21"/>
                <w:szCs w:val="21"/>
              </w:rPr>
              <w:t>/</w:t>
            </w:r>
            <w:r>
              <w:rPr>
                <w:rFonts w:ascii="Times New Roman" w:hAnsi="Times New Roman"/>
                <w:spacing w:val="-11"/>
                <w:sz w:val="21"/>
                <w:szCs w:val="21"/>
              </w:rPr>
              <w:t>m</w:t>
            </w:r>
            <w:r>
              <w:rPr>
                <w:rFonts w:ascii="Times New Roman"/>
                <w:spacing w:val="-11"/>
                <w:sz w:val="21"/>
                <w:szCs w:val="21"/>
              </w:rPr>
              <w:t>³</w:t>
            </w:r>
          </w:p>
        </w:tc>
        <w:tc>
          <w:tcPr>
            <w:tcW w:w="1783" w:type="dxa"/>
            <w:gridSpan w:val="2"/>
            <w:noWrap w:val="0"/>
            <w:vAlign w:val="center"/>
          </w:tcPr>
          <w:p>
            <w:pPr>
              <w:spacing w:line="240" w:lineRule="auto"/>
              <w:ind w:firstLine="0" w:firstLineChars="0"/>
              <w:jc w:val="center"/>
              <w:rPr>
                <w:rFonts w:hint="eastAsia" w:ascii="Times New Roman"/>
                <w:spacing w:val="-11"/>
                <w:sz w:val="21"/>
                <w:szCs w:val="21"/>
              </w:rPr>
            </w:pPr>
            <w:r>
              <w:rPr>
                <w:rFonts w:ascii="Times New Roman" w:hAnsi="Times New Roman"/>
                <w:spacing w:val="-11"/>
                <w:sz w:val="21"/>
                <w:szCs w:val="21"/>
              </w:rPr>
              <w:t>1</w:t>
            </w:r>
            <w:r>
              <w:rPr>
                <w:rFonts w:ascii="Times New Roman" w:hAnsi="宋体"/>
                <w:spacing w:val="-11"/>
                <w:sz w:val="21"/>
                <w:szCs w:val="21"/>
              </w:rPr>
              <w:t>小时平均</w:t>
            </w:r>
          </w:p>
        </w:tc>
        <w:tc>
          <w:tcPr>
            <w:tcW w:w="800" w:type="dxa"/>
            <w:noWrap w:val="0"/>
            <w:vAlign w:val="center"/>
          </w:tcPr>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2</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0</w:t>
            </w:r>
          </w:p>
        </w:tc>
        <w:tc>
          <w:tcPr>
            <w:tcW w:w="3172" w:type="dxa"/>
            <w:noWrap w:val="0"/>
            <w:vAlign w:val="center"/>
          </w:tcPr>
          <w:p>
            <w:pPr>
              <w:spacing w:line="240" w:lineRule="auto"/>
              <w:ind w:firstLine="0"/>
              <w:jc w:val="center"/>
              <w:rPr>
                <w:rFonts w:hint="eastAsia"/>
                <w:spacing w:val="-11"/>
                <w:sz w:val="21"/>
                <w:szCs w:val="21"/>
              </w:rPr>
            </w:pPr>
            <w:r>
              <w:rPr>
                <w:rFonts w:hint="eastAsia" w:ascii="Times New Roman"/>
                <w:color w:val="auto"/>
                <w:spacing w:val="-11"/>
                <w:sz w:val="21"/>
                <w:szCs w:val="21"/>
              </w:rPr>
              <w:t>《大气污染物综合排放标准详解》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地下水</w:t>
            </w:r>
          </w:p>
        </w:tc>
        <w:tc>
          <w:tcPr>
            <w:tcW w:w="1300" w:type="dxa"/>
            <w:noWrap w:val="0"/>
            <w:vAlign w:val="center"/>
          </w:tcPr>
          <w:p>
            <w:pPr>
              <w:spacing w:line="240" w:lineRule="auto"/>
              <w:ind w:firstLine="0"/>
              <w:jc w:val="center"/>
              <w:rPr>
                <w:rFonts w:ascii="Times New Roman"/>
                <w:bCs/>
                <w:spacing w:val="-11"/>
                <w:sz w:val="21"/>
                <w:szCs w:val="21"/>
              </w:rPr>
            </w:pPr>
            <w:r>
              <w:rPr>
                <w:rFonts w:ascii="Times New Roman" w:hAnsi="Times New Roman"/>
                <w:bCs/>
                <w:spacing w:val="-11"/>
                <w:sz w:val="21"/>
                <w:szCs w:val="21"/>
              </w:rPr>
              <w:t>pH</w:t>
            </w:r>
            <w:r>
              <w:rPr>
                <w:rFonts w:ascii="Times New Roman"/>
                <w:bCs/>
                <w:spacing w:val="-11"/>
                <w:sz w:val="21"/>
                <w:szCs w:val="21"/>
              </w:rPr>
              <w:t>值</w:t>
            </w:r>
          </w:p>
        </w:tc>
        <w:tc>
          <w:tcPr>
            <w:tcW w:w="1384" w:type="dxa"/>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无量纲</w:t>
            </w:r>
          </w:p>
        </w:tc>
        <w:tc>
          <w:tcPr>
            <w:tcW w:w="2583" w:type="dxa"/>
            <w:gridSpan w:val="3"/>
            <w:noWrap w:val="0"/>
            <w:vAlign w:val="center"/>
          </w:tcPr>
          <w:p>
            <w:pPr>
              <w:spacing w:line="240" w:lineRule="auto"/>
              <w:ind w:firstLine="0"/>
              <w:jc w:val="center"/>
              <w:rPr>
                <w:rFonts w:ascii="Times New Roman"/>
                <w:bCs/>
                <w:spacing w:val="-11"/>
                <w:sz w:val="21"/>
                <w:szCs w:val="21"/>
              </w:rPr>
            </w:pPr>
            <w:r>
              <w:rPr>
                <w:rFonts w:ascii="Times New Roman" w:hAnsi="Times New Roman"/>
                <w:bCs/>
                <w:spacing w:val="-11"/>
                <w:sz w:val="21"/>
                <w:szCs w:val="21"/>
              </w:rPr>
              <w:t>6</w:t>
            </w:r>
            <w:r>
              <w:rPr>
                <w:rFonts w:ascii="Times New Roman"/>
                <w:bCs/>
                <w:spacing w:val="-11"/>
                <w:sz w:val="21"/>
                <w:szCs w:val="21"/>
              </w:rPr>
              <w:t>.</w:t>
            </w:r>
            <w:r>
              <w:rPr>
                <w:rFonts w:ascii="Times New Roman" w:hAnsi="Times New Roman"/>
                <w:bCs/>
                <w:spacing w:val="-11"/>
                <w:sz w:val="21"/>
                <w:szCs w:val="21"/>
              </w:rPr>
              <w:t>5</w:t>
            </w:r>
            <w:r>
              <w:rPr>
                <w:rFonts w:ascii="Times New Roman"/>
                <w:bCs/>
                <w:spacing w:val="-11"/>
                <w:sz w:val="21"/>
                <w:szCs w:val="21"/>
              </w:rPr>
              <w:t>～</w:t>
            </w:r>
            <w:r>
              <w:rPr>
                <w:rFonts w:ascii="Times New Roman" w:hAnsi="Times New Roman"/>
                <w:bCs/>
                <w:spacing w:val="-11"/>
                <w:sz w:val="21"/>
                <w:szCs w:val="21"/>
              </w:rPr>
              <w:t>8</w:t>
            </w:r>
            <w:r>
              <w:rPr>
                <w:rFonts w:ascii="Times New Roman"/>
                <w:bCs/>
                <w:spacing w:val="-11"/>
                <w:sz w:val="21"/>
                <w:szCs w:val="21"/>
              </w:rPr>
              <w:t>.</w:t>
            </w:r>
            <w:r>
              <w:rPr>
                <w:rFonts w:ascii="Times New Roman" w:hAnsi="Times New Roman"/>
                <w:bCs/>
                <w:spacing w:val="-11"/>
                <w:sz w:val="21"/>
                <w:szCs w:val="21"/>
              </w:rPr>
              <w:t>5</w:t>
            </w:r>
          </w:p>
        </w:tc>
        <w:tc>
          <w:tcPr>
            <w:tcW w:w="3172"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《地下水质量标准》(</w:t>
            </w:r>
            <w:r>
              <w:rPr>
                <w:rFonts w:ascii="Times New Roman" w:hAnsi="Times New Roman"/>
                <w:spacing w:val="-11"/>
                <w:sz w:val="21"/>
                <w:szCs w:val="21"/>
              </w:rPr>
              <w:t>GB</w:t>
            </w:r>
            <w:r>
              <w:rPr>
                <w:rFonts w:ascii="Times New Roman"/>
                <w:spacing w:val="-11"/>
                <w:sz w:val="21"/>
                <w:szCs w:val="21"/>
              </w:rPr>
              <w:t>／</w:t>
            </w:r>
            <w:r>
              <w:rPr>
                <w:rFonts w:ascii="Times New Roman" w:hAnsi="Times New Roman"/>
                <w:spacing w:val="-11"/>
                <w:sz w:val="21"/>
                <w:szCs w:val="21"/>
              </w:rPr>
              <w:t>T14848</w:t>
            </w:r>
            <w:r>
              <w:rPr>
                <w:rFonts w:ascii="Times New Roman"/>
                <w:spacing w:val="-11"/>
                <w:sz w:val="21"/>
                <w:szCs w:val="21"/>
              </w:rPr>
              <w:t>-</w:t>
            </w:r>
            <w:r>
              <w:rPr>
                <w:rFonts w:hint="eastAsia" w:ascii="Times New Roman" w:hAnsi="Times New Roman"/>
                <w:spacing w:val="-11"/>
                <w:sz w:val="21"/>
                <w:szCs w:val="21"/>
              </w:rPr>
              <w:t>2017</w:t>
            </w:r>
            <w:r>
              <w:rPr>
                <w:rFonts w:ascii="Times New Roman"/>
                <w:spacing w:val="-11"/>
                <w:sz w:val="21"/>
                <w:szCs w:val="21"/>
              </w:rPr>
              <w:t>)</w:t>
            </w:r>
          </w:p>
          <w:p>
            <w:pPr>
              <w:spacing w:line="240" w:lineRule="auto"/>
              <w:ind w:firstLine="0"/>
              <w:jc w:val="center"/>
              <w:rPr>
                <w:rFonts w:hint="eastAsia" w:ascii="Times New Roman"/>
                <w:bCs/>
                <w:spacing w:val="-11"/>
                <w:sz w:val="21"/>
                <w:szCs w:val="21"/>
              </w:rPr>
            </w:pPr>
            <w:r>
              <w:rPr>
                <w:rFonts w:ascii="Times New Roman"/>
                <w:spacing w:val="-11"/>
                <w:sz w:val="21"/>
                <w:szCs w:val="21"/>
              </w:rPr>
              <w:t>中Ⅲ类标准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ascii="Times New Roman"/>
                <w:bCs/>
                <w:spacing w:val="-11"/>
                <w:sz w:val="21"/>
                <w:szCs w:val="21"/>
              </w:rPr>
              <w:t>氨氮</w:t>
            </w:r>
          </w:p>
        </w:tc>
        <w:tc>
          <w:tcPr>
            <w:tcW w:w="1384" w:type="dxa"/>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0</w:t>
            </w:r>
            <w:r>
              <w:rPr>
                <w:rFonts w:ascii="Times New Roman"/>
                <w:spacing w:val="-11"/>
                <w:sz w:val="21"/>
                <w:szCs w:val="21"/>
              </w:rPr>
              <w:t>.</w:t>
            </w:r>
            <w:r>
              <w:rPr>
                <w:rFonts w:hint="eastAsia" w:ascii="Times New Roman" w:hAnsi="Times New Roman"/>
                <w:spacing w:val="-11"/>
                <w:sz w:val="21"/>
                <w:szCs w:val="21"/>
              </w:rPr>
              <w:t>50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ascii="Times New Roman"/>
                <w:spacing w:val="-11"/>
                <w:sz w:val="21"/>
                <w:szCs w:val="21"/>
              </w:rPr>
              <w:t>硝酸盐</w:t>
            </w:r>
            <w:r>
              <w:rPr>
                <w:rFonts w:hint="eastAsia"/>
                <w:spacing w:val="-11"/>
                <w:sz w:val="21"/>
                <w:szCs w:val="21"/>
              </w:rPr>
              <w:t>氮</w:t>
            </w:r>
          </w:p>
        </w:tc>
        <w:tc>
          <w:tcPr>
            <w:tcW w:w="1384" w:type="dxa"/>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20</w:t>
            </w:r>
            <w:r>
              <w:rPr>
                <w:rFonts w:hint="eastAsia"/>
                <w:spacing w:val="-11"/>
                <w:sz w:val="21"/>
                <w:szCs w:val="21"/>
              </w:rPr>
              <w:t>.</w:t>
            </w:r>
            <w:r>
              <w:rPr>
                <w:rFonts w:hint="eastAsia" w:ascii="Times New Roman" w:hAnsi="Times New Roman"/>
                <w:spacing w:val="-11"/>
                <w:sz w:val="21"/>
                <w:szCs w:val="21"/>
              </w:rPr>
              <w:t>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ascii="Times New Roman"/>
                <w:bCs/>
                <w:spacing w:val="-11"/>
                <w:sz w:val="21"/>
                <w:szCs w:val="21"/>
              </w:rPr>
              <w:t>亚硝酸盐</w:t>
            </w:r>
            <w:r>
              <w:rPr>
                <w:rFonts w:hint="eastAsia"/>
                <w:bCs/>
                <w:spacing w:val="-11"/>
                <w:sz w:val="21"/>
                <w:szCs w:val="21"/>
              </w:rPr>
              <w:t>氮</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1</w:t>
            </w:r>
            <w:r>
              <w:rPr>
                <w:rFonts w:hint="eastAsia"/>
                <w:spacing w:val="-11"/>
                <w:sz w:val="21"/>
                <w:szCs w:val="21"/>
              </w:rPr>
              <w:t>.</w:t>
            </w:r>
            <w:r>
              <w:rPr>
                <w:rFonts w:hint="eastAsia" w:ascii="Times New Roman" w:hAnsi="Times New Roman"/>
                <w:spacing w:val="-11"/>
                <w:sz w:val="21"/>
                <w:szCs w:val="21"/>
              </w:rPr>
              <w:t>00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ascii="Times New Roman"/>
                <w:bCs/>
                <w:spacing w:val="-11"/>
                <w:sz w:val="21"/>
                <w:szCs w:val="21"/>
              </w:rPr>
              <w:t>挥发酚</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0</w:t>
            </w:r>
            <w:r>
              <w:rPr>
                <w:rFonts w:ascii="Times New Roman"/>
                <w:spacing w:val="-11"/>
                <w:sz w:val="21"/>
                <w:szCs w:val="21"/>
              </w:rPr>
              <w:t>.</w:t>
            </w:r>
            <w:r>
              <w:rPr>
                <w:rFonts w:ascii="Times New Roman" w:hAnsi="Times New Roman"/>
                <w:spacing w:val="-11"/>
                <w:sz w:val="21"/>
                <w:szCs w:val="21"/>
              </w:rPr>
              <w:t>002</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ascii="Times New Roman"/>
                <w:bCs/>
                <w:spacing w:val="-11"/>
                <w:sz w:val="21"/>
                <w:szCs w:val="21"/>
              </w:rPr>
              <w:t>氰化物</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0</w:t>
            </w:r>
            <w:r>
              <w:rPr>
                <w:rFonts w:ascii="Times New Roman"/>
                <w:spacing w:val="-11"/>
                <w:sz w:val="21"/>
                <w:szCs w:val="21"/>
              </w:rPr>
              <w:t>.</w:t>
            </w:r>
            <w:r>
              <w:rPr>
                <w:rFonts w:ascii="Times New Roman" w:hAnsi="Times New Roman"/>
                <w:spacing w:val="-11"/>
                <w:sz w:val="21"/>
                <w:szCs w:val="21"/>
              </w:rPr>
              <w:t>05</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宋体" w:hAnsi="宋体" w:eastAsia="宋体" w:cs="Times New Roman"/>
                <w:bCs/>
                <w:spacing w:val="-11"/>
                <w:sz w:val="21"/>
                <w:szCs w:val="21"/>
                <w:lang w:val="en-US" w:eastAsia="zh-CN" w:bidi="ar-SA"/>
              </w:rPr>
            </w:pPr>
            <w:r>
              <w:rPr>
                <w:rFonts w:hint="eastAsia"/>
                <w:bCs/>
                <w:spacing w:val="-11"/>
                <w:sz w:val="21"/>
                <w:szCs w:val="21"/>
              </w:rPr>
              <w:t>砷</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01</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hint="eastAsia"/>
                <w:bCs/>
                <w:spacing w:val="-11"/>
                <w:sz w:val="21"/>
                <w:szCs w:val="21"/>
              </w:rPr>
              <w:t>汞</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001</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宋体" w:hAnsi="宋体" w:eastAsia="宋体" w:cs="Times New Roman"/>
                <w:bCs/>
                <w:spacing w:val="-11"/>
                <w:sz w:val="21"/>
                <w:szCs w:val="21"/>
                <w:lang w:val="en-US" w:eastAsia="zh-CN" w:bidi="ar-SA"/>
              </w:rPr>
            </w:pPr>
            <w:r>
              <w:rPr>
                <w:rFonts w:ascii="Times New Roman"/>
                <w:bCs/>
                <w:spacing w:val="-11"/>
                <w:sz w:val="21"/>
                <w:szCs w:val="21"/>
              </w:rPr>
              <w:t>六价铬</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0</w:t>
            </w:r>
            <w:r>
              <w:rPr>
                <w:rFonts w:ascii="Times New Roman"/>
                <w:spacing w:val="-11"/>
                <w:sz w:val="21"/>
                <w:szCs w:val="21"/>
              </w:rPr>
              <w:t>.</w:t>
            </w:r>
            <w:r>
              <w:rPr>
                <w:rFonts w:ascii="Times New Roman" w:hAnsi="Times New Roman"/>
                <w:spacing w:val="-11"/>
                <w:sz w:val="21"/>
                <w:szCs w:val="21"/>
              </w:rPr>
              <w:t>05</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jc w:val="center"/>
              <w:rPr>
                <w:rFonts w:hint="eastAsia" w:ascii="Times New Roman" w:eastAsia="宋体"/>
                <w:bCs/>
                <w:spacing w:val="-11"/>
                <w:sz w:val="21"/>
                <w:szCs w:val="21"/>
                <w:lang w:eastAsia="zh-CN"/>
              </w:rPr>
            </w:pPr>
            <w:r>
              <w:rPr>
                <w:rFonts w:hint="eastAsia" w:ascii="Times New Roman"/>
                <w:bCs/>
                <w:spacing w:val="-11"/>
                <w:sz w:val="21"/>
                <w:szCs w:val="21"/>
                <w:lang w:eastAsia="zh-CN"/>
              </w:rPr>
              <w:t>总硬度</w:t>
            </w:r>
          </w:p>
        </w:tc>
        <w:tc>
          <w:tcPr>
            <w:tcW w:w="1384" w:type="dxa"/>
            <w:noWrap w:val="0"/>
            <w:vAlign w:val="center"/>
          </w:tcPr>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jc w:val="center"/>
              <w:rPr>
                <w:rFonts w:hint="default" w:ascii="Times New Roman" w:eastAsia="宋体"/>
                <w:bCs/>
                <w:spacing w:val="-11"/>
                <w:sz w:val="21"/>
                <w:szCs w:val="21"/>
                <w:lang w:val="en-US" w:eastAsia="zh-CN"/>
              </w:rPr>
            </w:pPr>
            <w:bookmarkStart w:id="71" w:name="OLE_LINK1"/>
            <w:r>
              <w:rPr>
                <w:rFonts w:ascii="Times New Roman"/>
                <w:spacing w:val="-11"/>
                <w:sz w:val="21"/>
                <w:szCs w:val="21"/>
              </w:rPr>
              <w:t>≤</w:t>
            </w:r>
            <w:bookmarkEnd w:id="71"/>
            <w:r>
              <w:rPr>
                <w:rFonts w:hint="eastAsia" w:ascii="Times New Roman" w:hAnsi="Times New Roman"/>
                <w:spacing w:val="-11"/>
                <w:sz w:val="21"/>
                <w:szCs w:val="21"/>
                <w:lang w:val="en-US" w:eastAsia="zh-CN"/>
              </w:rPr>
              <w:t>450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jc w:val="center"/>
              <w:rPr>
                <w:rFonts w:hint="eastAsia" w:ascii="Times New Roman"/>
                <w:bCs/>
                <w:spacing w:val="-11"/>
                <w:sz w:val="21"/>
                <w:szCs w:val="21"/>
                <w:lang w:eastAsia="zh-CN"/>
              </w:rPr>
            </w:pPr>
            <w:r>
              <w:rPr>
                <w:rFonts w:hint="eastAsia" w:ascii="Times New Roman"/>
                <w:bCs/>
                <w:spacing w:val="-11"/>
                <w:sz w:val="21"/>
                <w:szCs w:val="21"/>
                <w:lang w:eastAsia="zh-CN"/>
              </w:rPr>
              <w:t>色度</w:t>
            </w:r>
          </w:p>
        </w:tc>
        <w:tc>
          <w:tcPr>
            <w:tcW w:w="1384" w:type="dxa"/>
            <w:noWrap w:val="0"/>
            <w:vAlign w:val="center"/>
          </w:tcPr>
          <w:p>
            <w:pPr>
              <w:spacing w:line="240" w:lineRule="auto"/>
              <w:ind w:firstLine="0"/>
              <w:jc w:val="center"/>
              <w:rPr>
                <w:rFonts w:hint="eastAsia" w:ascii="Times New Roman"/>
                <w:spacing w:val="-11"/>
                <w:sz w:val="21"/>
                <w:szCs w:val="21"/>
                <w:lang w:val="en-US" w:eastAsia="zh-CN"/>
              </w:rPr>
            </w:pPr>
            <w:r>
              <w:rPr>
                <w:rFonts w:hint="eastAsia" w:ascii="Times New Roman"/>
                <w:bCs/>
                <w:spacing w:val="-11"/>
                <w:sz w:val="21"/>
                <w:szCs w:val="21"/>
                <w:lang w:eastAsia="zh-CN"/>
              </w:rPr>
              <w:t>铂钴色度单位</w:t>
            </w:r>
          </w:p>
        </w:tc>
        <w:tc>
          <w:tcPr>
            <w:tcW w:w="2583" w:type="dxa"/>
            <w:gridSpan w:val="3"/>
            <w:noWrap w:val="0"/>
            <w:vAlign w:val="center"/>
          </w:tcPr>
          <w:p>
            <w:pPr>
              <w:spacing w:line="240" w:lineRule="auto"/>
              <w:ind w:firstLine="0"/>
              <w:jc w:val="center"/>
              <w:rPr>
                <w:rFonts w:hint="default" w:ascii="Times New Roman" w:eastAsia="宋体"/>
                <w:spacing w:val="-11"/>
                <w:sz w:val="21"/>
                <w:szCs w:val="21"/>
                <w:lang w:val="en-US" w:eastAsia="zh-CN"/>
              </w:rPr>
            </w:pPr>
            <w:r>
              <w:rPr>
                <w:rFonts w:ascii="Times New Roman"/>
                <w:spacing w:val="-11"/>
                <w:sz w:val="21"/>
                <w:szCs w:val="21"/>
              </w:rPr>
              <w:t>≤</w:t>
            </w:r>
            <w:r>
              <w:rPr>
                <w:rFonts w:hint="eastAsia" w:ascii="Times New Roman" w:hAnsi="Times New Roman"/>
                <w:spacing w:val="-11"/>
                <w:sz w:val="21"/>
                <w:szCs w:val="21"/>
                <w:lang w:val="en-US" w:eastAsia="zh-CN"/>
              </w:rPr>
              <w:t>15</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宋体" w:hAnsi="宋体" w:eastAsia="宋体" w:cs="Times New Roman"/>
                <w:bCs/>
                <w:spacing w:val="-11"/>
                <w:sz w:val="21"/>
                <w:szCs w:val="21"/>
                <w:lang w:val="en-US" w:eastAsia="zh-CN" w:bidi="ar-SA"/>
              </w:rPr>
            </w:pPr>
            <w:r>
              <w:rPr>
                <w:rFonts w:hint="eastAsia"/>
                <w:bCs/>
                <w:spacing w:val="-11"/>
                <w:sz w:val="21"/>
                <w:szCs w:val="21"/>
              </w:rPr>
              <w:t>铅</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01</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hint="eastAsia" w:ascii="Times New Roman"/>
                <w:bCs/>
                <w:spacing w:val="-11"/>
                <w:sz w:val="21"/>
                <w:szCs w:val="21"/>
              </w:rPr>
              <w:t>氟化物</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1</w:t>
            </w:r>
            <w:r>
              <w:rPr>
                <w:rFonts w:hint="eastAsia" w:ascii="Times New Roman"/>
                <w:spacing w:val="-11"/>
                <w:sz w:val="21"/>
                <w:szCs w:val="21"/>
              </w:rPr>
              <w:t>.</w:t>
            </w:r>
            <w:r>
              <w:rPr>
                <w:rFonts w:hint="eastAsia" w:ascii="Times New Roman" w:hAnsi="Times New Roman"/>
                <w:spacing w:val="-11"/>
                <w:sz w:val="21"/>
                <w:szCs w:val="21"/>
              </w:rPr>
              <w:t>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宋体" w:hAnsi="宋体" w:eastAsia="宋体" w:cs="Times New Roman"/>
                <w:bCs/>
                <w:spacing w:val="-11"/>
                <w:sz w:val="21"/>
                <w:szCs w:val="21"/>
                <w:lang w:val="en-US" w:eastAsia="zh-CN" w:bidi="ar-SA"/>
              </w:rPr>
            </w:pPr>
            <w:r>
              <w:rPr>
                <w:rFonts w:ascii="Times New Roman"/>
                <w:bCs/>
                <w:spacing w:val="-11"/>
                <w:sz w:val="21"/>
                <w:szCs w:val="21"/>
              </w:rPr>
              <w:t>镉</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0</w:t>
            </w:r>
            <w:r>
              <w:rPr>
                <w:rFonts w:ascii="Times New Roman"/>
                <w:spacing w:val="-11"/>
                <w:sz w:val="21"/>
                <w:szCs w:val="21"/>
              </w:rPr>
              <w:t>.</w:t>
            </w:r>
            <w:r>
              <w:rPr>
                <w:rFonts w:ascii="Times New Roman" w:hAnsi="Times New Roman"/>
                <w:spacing w:val="-11"/>
                <w:sz w:val="21"/>
                <w:szCs w:val="21"/>
              </w:rPr>
              <w:t>0</w:t>
            </w:r>
            <w:r>
              <w:rPr>
                <w:rFonts w:hint="eastAsia" w:ascii="Times New Roman" w:hAnsi="Times New Roman"/>
                <w:spacing w:val="-11"/>
                <w:sz w:val="21"/>
                <w:szCs w:val="21"/>
              </w:rPr>
              <w:t>05</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hint="eastAsia"/>
                <w:bCs/>
                <w:spacing w:val="-11"/>
                <w:sz w:val="21"/>
                <w:szCs w:val="21"/>
              </w:rPr>
              <w:t>铁</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3</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hint="eastAsia"/>
                <w:bCs/>
                <w:spacing w:val="-11"/>
                <w:sz w:val="21"/>
                <w:szCs w:val="21"/>
              </w:rPr>
              <w:t>锰</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10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ascii="Times New Roman"/>
                <w:bCs/>
                <w:spacing w:val="-11"/>
                <w:sz w:val="21"/>
                <w:szCs w:val="21"/>
              </w:rPr>
              <w:t>溶解性总固体</w:t>
            </w:r>
          </w:p>
        </w:tc>
        <w:tc>
          <w:tcPr>
            <w:tcW w:w="1384" w:type="dxa"/>
            <w:noWrap w:val="0"/>
            <w:vAlign w:val="center"/>
          </w:tcPr>
          <w:p>
            <w:pPr>
              <w:spacing w:line="240" w:lineRule="auto"/>
              <w:ind w:firstLine="0" w:firstLineChars="0"/>
              <w:jc w:val="center"/>
              <w:rPr>
                <w:rFonts w:hint="eastAsia"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1000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hint="eastAsia"/>
                <w:bCs/>
                <w:spacing w:val="-11"/>
                <w:sz w:val="21"/>
                <w:szCs w:val="21"/>
              </w:rPr>
              <w:t>耗氧量</w:t>
            </w:r>
          </w:p>
        </w:tc>
        <w:tc>
          <w:tcPr>
            <w:tcW w:w="1384" w:type="dxa"/>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3</w:t>
            </w:r>
            <w:r>
              <w:rPr>
                <w:rFonts w:hint="eastAsia"/>
                <w:spacing w:val="-11"/>
                <w:sz w:val="21"/>
                <w:szCs w:val="21"/>
              </w:rPr>
              <w:t>.</w:t>
            </w:r>
            <w:r>
              <w:rPr>
                <w:rFonts w:hint="eastAsia" w:ascii="Times New Roman" w:hAnsi="Times New Roman"/>
                <w:spacing w:val="-11"/>
                <w:sz w:val="21"/>
                <w:szCs w:val="21"/>
              </w:rPr>
              <w:t>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ascii="Times New Roman"/>
                <w:bCs/>
                <w:spacing w:val="-11"/>
                <w:sz w:val="21"/>
                <w:szCs w:val="21"/>
              </w:rPr>
              <w:t>硫酸盐</w:t>
            </w:r>
          </w:p>
        </w:tc>
        <w:tc>
          <w:tcPr>
            <w:tcW w:w="1384" w:type="dxa"/>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250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ascii="Times New Roman"/>
                <w:bCs/>
                <w:spacing w:val="-11"/>
                <w:sz w:val="21"/>
                <w:szCs w:val="21"/>
              </w:rPr>
              <w:t>氯化物</w:t>
            </w:r>
          </w:p>
        </w:tc>
        <w:tc>
          <w:tcPr>
            <w:tcW w:w="1384" w:type="dxa"/>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ascii="Times New Roman" w:hAnsi="Times New Roman"/>
                <w:spacing w:val="-11"/>
                <w:sz w:val="21"/>
                <w:szCs w:val="21"/>
              </w:rPr>
              <w:t>250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ascii="Times New Roman" w:hAnsi="宋体" w:eastAsia="宋体" w:cs="Times New Roman"/>
                <w:bCs/>
                <w:spacing w:val="-11"/>
                <w:sz w:val="21"/>
                <w:szCs w:val="21"/>
                <w:lang w:val="en-US" w:eastAsia="zh-CN" w:bidi="ar-SA"/>
              </w:rPr>
            </w:pPr>
            <w:r>
              <w:rPr>
                <w:rFonts w:hint="eastAsia"/>
                <w:bCs/>
                <w:spacing w:val="-11"/>
                <w:sz w:val="21"/>
                <w:szCs w:val="21"/>
              </w:rPr>
              <w:t>总大肠菌群</w:t>
            </w:r>
          </w:p>
        </w:tc>
        <w:tc>
          <w:tcPr>
            <w:tcW w:w="1384" w:type="dxa"/>
            <w:noWrap w:val="0"/>
            <w:vAlign w:val="center"/>
          </w:tcPr>
          <w:p>
            <w:pPr>
              <w:spacing w:line="240" w:lineRule="auto"/>
              <w:ind w:firstLine="0" w:firstLineChars="0"/>
              <w:jc w:val="center"/>
              <w:rPr>
                <w:rFonts w:hint="default"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MPN</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100mL</w:t>
            </w:r>
          </w:p>
        </w:tc>
        <w:tc>
          <w:tcPr>
            <w:tcW w:w="2583" w:type="dxa"/>
            <w:gridSpan w:val="3"/>
            <w:noWrap w:val="0"/>
            <w:vAlign w:val="center"/>
          </w:tcPr>
          <w:p>
            <w:pPr>
              <w:spacing w:line="240" w:lineRule="auto"/>
              <w:ind w:firstLine="0" w:firstLineChars="0"/>
              <w:jc w:val="center"/>
              <w:rPr>
                <w:rFonts w:ascii="Times New Roman" w:hAnsi="宋体" w:eastAsia="宋体" w:cs="Times New Roman"/>
                <w:spacing w:val="-11"/>
                <w:sz w:val="21"/>
                <w:szCs w:val="21"/>
                <w:lang w:val="en-US" w:eastAsia="zh-CN" w:bidi="ar-SA"/>
              </w:rPr>
            </w:pPr>
            <w:r>
              <w:rPr>
                <w:rFonts w:ascii="Times New Roman"/>
                <w:spacing w:val="-11"/>
                <w:sz w:val="21"/>
                <w:szCs w:val="21"/>
              </w:rPr>
              <w:t>≤</w:t>
            </w:r>
            <w:r>
              <w:rPr>
                <w:rFonts w:hint="eastAsia" w:ascii="Times New Roman" w:hAnsi="Times New Roman"/>
                <w:spacing w:val="-11"/>
                <w:sz w:val="21"/>
                <w:szCs w:val="21"/>
              </w:rPr>
              <w:t>3</w:t>
            </w:r>
            <w:r>
              <w:rPr>
                <w:rFonts w:hint="eastAsia"/>
                <w:spacing w:val="-11"/>
                <w:sz w:val="21"/>
                <w:szCs w:val="21"/>
              </w:rPr>
              <w:t>.</w:t>
            </w:r>
            <w:r>
              <w:rPr>
                <w:rFonts w:hint="eastAsia" w:ascii="Times New Roman" w:hAnsi="Times New Roman"/>
                <w:spacing w:val="-11"/>
                <w:sz w:val="21"/>
                <w:szCs w:val="21"/>
              </w:rPr>
              <w:t>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spacing w:line="240" w:lineRule="auto"/>
              <w:ind w:firstLine="0" w:firstLineChars="0"/>
              <w:jc w:val="center"/>
              <w:rPr>
                <w:rFonts w:hint="eastAsia" w:ascii="Times New Roman" w:hAnsi="宋体" w:eastAsia="宋体" w:cs="Times New Roman"/>
                <w:bCs/>
                <w:spacing w:val="-11"/>
                <w:sz w:val="21"/>
                <w:szCs w:val="21"/>
                <w:lang w:val="en-US" w:eastAsia="zh-CN" w:bidi="ar-SA"/>
              </w:rPr>
            </w:pPr>
            <w:r>
              <w:rPr>
                <w:rFonts w:hint="eastAsia" w:ascii="Times New Roman" w:cs="Times New Roman"/>
                <w:bCs/>
                <w:spacing w:val="-11"/>
                <w:sz w:val="21"/>
                <w:szCs w:val="21"/>
                <w:lang w:val="en-US" w:eastAsia="zh-CN" w:bidi="ar-SA"/>
              </w:rPr>
              <w:t>细菌总数</w:t>
            </w:r>
          </w:p>
        </w:tc>
        <w:tc>
          <w:tcPr>
            <w:tcW w:w="1384" w:type="dxa"/>
            <w:noWrap w:val="0"/>
            <w:vAlign w:val="center"/>
          </w:tcPr>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CFU</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mL</w:t>
            </w:r>
          </w:p>
        </w:tc>
        <w:tc>
          <w:tcPr>
            <w:tcW w:w="2583" w:type="dxa"/>
            <w:gridSpan w:val="3"/>
            <w:noWrap w:val="0"/>
            <w:vAlign w:val="center"/>
          </w:tcPr>
          <w:p>
            <w:pPr>
              <w:spacing w:line="240" w:lineRule="auto"/>
              <w:ind w:firstLine="0" w:firstLineChars="0"/>
              <w:jc w:val="center"/>
              <w:rPr>
                <w:rFonts w:ascii="Times New Roman"/>
                <w:spacing w:val="-11"/>
                <w:sz w:val="21"/>
                <w:szCs w:val="21"/>
              </w:rPr>
            </w:pPr>
            <w:r>
              <w:rPr>
                <w:rFonts w:ascii="Times New Roman"/>
                <w:spacing w:val="-11"/>
                <w:sz w:val="21"/>
                <w:szCs w:val="21"/>
              </w:rPr>
              <w:t>≤</w:t>
            </w:r>
            <w:r>
              <w:rPr>
                <w:rFonts w:hint="eastAsia" w:ascii="Times New Roman" w:hAnsi="Times New Roman"/>
                <w:spacing w:val="-11"/>
                <w:sz w:val="21"/>
                <w:szCs w:val="21"/>
                <w:lang w:val="en-US" w:eastAsia="zh-CN"/>
              </w:rPr>
              <w:t>100</w:t>
            </w:r>
          </w:p>
        </w:tc>
        <w:tc>
          <w:tcPr>
            <w:tcW w:w="3172" w:type="dxa"/>
            <w:vMerge w:val="continue"/>
            <w:noWrap w:val="0"/>
            <w:vAlign w:val="center"/>
          </w:tcPr>
          <w:p>
            <w:pPr>
              <w:spacing w:line="240" w:lineRule="auto"/>
              <w:ind w:firstLine="0"/>
              <w:jc w:val="center"/>
              <w:rPr>
                <w:rFonts w:ascii="Times New Roman"/>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声环境</w:t>
            </w:r>
          </w:p>
        </w:tc>
        <w:tc>
          <w:tcPr>
            <w:tcW w:w="1300" w:type="dxa"/>
            <w:noWrap w:val="0"/>
            <w:vAlign w:val="center"/>
          </w:tcPr>
          <w:p>
            <w:pPr>
              <w:tabs>
                <w:tab w:val="left" w:pos="360"/>
                <w:tab w:val="center" w:pos="4153"/>
              </w:tabs>
              <w:spacing w:line="240" w:lineRule="auto"/>
              <w:ind w:firstLine="0"/>
              <w:jc w:val="center"/>
              <w:rPr>
                <w:rFonts w:ascii="Times New Roman"/>
                <w:spacing w:val="-11"/>
                <w:sz w:val="21"/>
                <w:szCs w:val="21"/>
              </w:rPr>
            </w:pPr>
            <w:r>
              <w:rPr>
                <w:rFonts w:ascii="Times New Roman"/>
                <w:bCs/>
                <w:spacing w:val="-11"/>
                <w:sz w:val="21"/>
                <w:szCs w:val="21"/>
              </w:rPr>
              <w:t>功能区类别</w:t>
            </w:r>
          </w:p>
        </w:tc>
        <w:tc>
          <w:tcPr>
            <w:tcW w:w="1384" w:type="dxa"/>
            <w:vMerge w:val="restart"/>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dB</w:t>
            </w:r>
            <w:r>
              <w:rPr>
                <w:rFonts w:ascii="Times New Roman"/>
                <w:spacing w:val="-11"/>
                <w:sz w:val="21"/>
                <w:szCs w:val="21"/>
              </w:rPr>
              <w:t>（</w:t>
            </w:r>
            <w:r>
              <w:rPr>
                <w:rFonts w:ascii="Times New Roman" w:hAnsi="Times New Roman"/>
                <w:spacing w:val="-11"/>
                <w:sz w:val="21"/>
                <w:szCs w:val="21"/>
              </w:rPr>
              <w:t>A</w:t>
            </w:r>
            <w:r>
              <w:rPr>
                <w:rFonts w:ascii="Times New Roman"/>
                <w:spacing w:val="-11"/>
                <w:sz w:val="21"/>
                <w:szCs w:val="21"/>
              </w:rPr>
              <w:t>）</w:t>
            </w:r>
          </w:p>
        </w:tc>
        <w:tc>
          <w:tcPr>
            <w:tcW w:w="1233" w:type="dxa"/>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昼间</w:t>
            </w:r>
          </w:p>
        </w:tc>
        <w:tc>
          <w:tcPr>
            <w:tcW w:w="1350" w:type="dxa"/>
            <w:gridSpan w:val="2"/>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夜间</w:t>
            </w:r>
          </w:p>
        </w:tc>
        <w:tc>
          <w:tcPr>
            <w:tcW w:w="3172" w:type="dxa"/>
            <w:vMerge w:val="restart"/>
            <w:noWrap w:val="0"/>
            <w:vAlign w:val="center"/>
          </w:tcPr>
          <w:p>
            <w:pPr>
              <w:spacing w:line="240" w:lineRule="auto"/>
              <w:ind w:firstLine="0"/>
              <w:jc w:val="center"/>
              <w:rPr>
                <w:rFonts w:ascii="Times New Roman"/>
                <w:spacing w:val="-11"/>
                <w:sz w:val="21"/>
                <w:szCs w:val="21"/>
              </w:rPr>
            </w:pPr>
            <w:r>
              <w:rPr>
                <w:rFonts w:ascii="Times New Roman"/>
                <w:spacing w:val="-11"/>
                <w:sz w:val="21"/>
                <w:szCs w:val="21"/>
              </w:rPr>
              <w:t>《声环境质量标准》(</w:t>
            </w:r>
            <w:r>
              <w:rPr>
                <w:rFonts w:ascii="Times New Roman" w:hAnsi="Times New Roman"/>
                <w:spacing w:val="-11"/>
                <w:sz w:val="21"/>
                <w:szCs w:val="21"/>
              </w:rPr>
              <w:t>GB3096</w:t>
            </w:r>
            <w:r>
              <w:rPr>
                <w:rFonts w:ascii="Times New Roman"/>
                <w:spacing w:val="-11"/>
                <w:sz w:val="21"/>
                <w:szCs w:val="21"/>
              </w:rPr>
              <w:t>-</w:t>
            </w:r>
            <w:r>
              <w:rPr>
                <w:rFonts w:ascii="Times New Roman" w:hAnsi="Times New Roman"/>
                <w:spacing w:val="-11"/>
                <w:sz w:val="21"/>
                <w:szCs w:val="21"/>
              </w:rPr>
              <w:t>2008</w:t>
            </w:r>
            <w:r>
              <w:rPr>
                <w:rFonts w:ascii="Times New Roman"/>
                <w:spacing w:val="-1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1" w:type="dxa"/>
            <w:vMerge w:val="continue"/>
            <w:noWrap w:val="0"/>
            <w:vAlign w:val="center"/>
          </w:tcPr>
          <w:p>
            <w:pPr>
              <w:spacing w:line="240" w:lineRule="auto"/>
              <w:ind w:firstLine="0"/>
              <w:jc w:val="center"/>
              <w:rPr>
                <w:rFonts w:ascii="Times New Roman"/>
                <w:spacing w:val="-11"/>
                <w:sz w:val="21"/>
                <w:szCs w:val="21"/>
              </w:rPr>
            </w:pPr>
          </w:p>
        </w:tc>
        <w:tc>
          <w:tcPr>
            <w:tcW w:w="1300" w:type="dxa"/>
            <w:noWrap w:val="0"/>
            <w:vAlign w:val="center"/>
          </w:tcPr>
          <w:p>
            <w:pPr>
              <w:tabs>
                <w:tab w:val="left" w:pos="360"/>
                <w:tab w:val="center" w:pos="4153"/>
              </w:tabs>
              <w:spacing w:line="240" w:lineRule="auto"/>
              <w:ind w:firstLine="0"/>
              <w:jc w:val="center"/>
              <w:rPr>
                <w:rFonts w:ascii="Times New Roman"/>
                <w:spacing w:val="-11"/>
                <w:sz w:val="21"/>
                <w:szCs w:val="21"/>
              </w:rPr>
            </w:pPr>
            <w:r>
              <w:rPr>
                <w:rFonts w:ascii="Times New Roman" w:hAnsi="Times New Roman"/>
                <w:spacing w:val="-11"/>
                <w:sz w:val="21"/>
                <w:szCs w:val="21"/>
              </w:rPr>
              <w:t>3</w:t>
            </w:r>
            <w:r>
              <w:rPr>
                <w:rFonts w:ascii="Times New Roman"/>
                <w:spacing w:val="-11"/>
                <w:sz w:val="21"/>
                <w:szCs w:val="21"/>
              </w:rPr>
              <w:t>类</w:t>
            </w:r>
          </w:p>
        </w:tc>
        <w:tc>
          <w:tcPr>
            <w:tcW w:w="1384" w:type="dxa"/>
            <w:vMerge w:val="continue"/>
            <w:noWrap w:val="0"/>
            <w:vAlign w:val="center"/>
          </w:tcPr>
          <w:p>
            <w:pPr>
              <w:spacing w:line="240" w:lineRule="auto"/>
              <w:ind w:firstLine="0"/>
              <w:jc w:val="center"/>
              <w:rPr>
                <w:rFonts w:ascii="Times New Roman"/>
                <w:spacing w:val="-11"/>
                <w:sz w:val="21"/>
                <w:szCs w:val="21"/>
              </w:rPr>
            </w:pPr>
          </w:p>
        </w:tc>
        <w:tc>
          <w:tcPr>
            <w:tcW w:w="1233" w:type="dxa"/>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65</w:t>
            </w:r>
          </w:p>
        </w:tc>
        <w:tc>
          <w:tcPr>
            <w:tcW w:w="1350" w:type="dxa"/>
            <w:gridSpan w:val="2"/>
            <w:noWrap w:val="0"/>
            <w:vAlign w:val="center"/>
          </w:tcPr>
          <w:p>
            <w:pPr>
              <w:spacing w:line="240" w:lineRule="auto"/>
              <w:ind w:firstLine="0"/>
              <w:jc w:val="center"/>
              <w:rPr>
                <w:rFonts w:ascii="Times New Roman"/>
                <w:spacing w:val="-11"/>
                <w:sz w:val="21"/>
                <w:szCs w:val="21"/>
              </w:rPr>
            </w:pPr>
            <w:r>
              <w:rPr>
                <w:rFonts w:ascii="Times New Roman" w:hAnsi="Times New Roman"/>
                <w:spacing w:val="-11"/>
                <w:sz w:val="21"/>
                <w:szCs w:val="21"/>
              </w:rPr>
              <w:t>55</w:t>
            </w:r>
          </w:p>
        </w:tc>
        <w:tc>
          <w:tcPr>
            <w:tcW w:w="3172" w:type="dxa"/>
            <w:vMerge w:val="continue"/>
            <w:noWrap w:val="0"/>
            <w:vAlign w:val="center"/>
          </w:tcPr>
          <w:p>
            <w:pPr>
              <w:spacing w:line="240" w:lineRule="auto"/>
              <w:ind w:firstLine="0"/>
              <w:jc w:val="center"/>
              <w:rPr>
                <w:rFonts w:ascii="Times New Roman"/>
                <w:spacing w:val="-11"/>
                <w:sz w:val="21"/>
                <w:szCs w:val="21"/>
              </w:rPr>
            </w:pPr>
          </w:p>
        </w:tc>
      </w:tr>
    </w:tbl>
    <w:p>
      <w:pPr>
        <w:pStyle w:val="20"/>
        <w:spacing w:before="0" w:beforeLines="0"/>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6</w:t>
      </w:r>
      <w:r>
        <w:rPr>
          <w:rFonts w:hint="eastAsia"/>
        </w:rPr>
        <w:t xml:space="preserve">  土壤环境质量标准（</w:t>
      </w:r>
      <w:r>
        <w:rPr>
          <w:rFonts w:hint="eastAsia" w:ascii="Times New Roman" w:hAnsi="Times New Roman"/>
        </w:rPr>
        <w:t>GB36600</w:t>
      </w:r>
      <w:r>
        <w:rPr>
          <w:rFonts w:hint="eastAsia"/>
        </w:rPr>
        <w:t>-</w:t>
      </w:r>
      <w:r>
        <w:rPr>
          <w:rFonts w:hint="eastAsia" w:ascii="Times New Roman" w:hAnsi="Times New Roman"/>
        </w:rPr>
        <w:t>2018</w:t>
      </w:r>
      <w:r>
        <w:rPr>
          <w:rFonts w:hint="eastAsia"/>
        </w:rPr>
        <w:t>）  单位：</w:t>
      </w:r>
      <w:r>
        <w:rPr>
          <w:rFonts w:hint="eastAsia" w:ascii="Times New Roman" w:hAnsi="Times New Roman"/>
        </w:rPr>
        <w:t>mg</w:t>
      </w:r>
      <w:r>
        <w:rPr>
          <w:rFonts w:hint="eastAsia"/>
        </w:rPr>
        <w:t>/</w:t>
      </w:r>
      <w:r>
        <w:rPr>
          <w:rFonts w:hint="eastAsia" w:ascii="Times New Roman" w:hAnsi="Times New Roman"/>
        </w:rPr>
        <w:t>kg</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968"/>
        <w:gridCol w:w="1816"/>
        <w:gridCol w:w="803"/>
        <w:gridCol w:w="2164"/>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top w:val="single" w:color="auto" w:sz="12" w:space="0"/>
              <w:lef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序号</w:t>
            </w:r>
          </w:p>
        </w:tc>
        <w:tc>
          <w:tcPr>
            <w:tcW w:w="1968" w:type="dxa"/>
            <w:tcBorders>
              <w:top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污染物项目</w:t>
            </w:r>
          </w:p>
        </w:tc>
        <w:tc>
          <w:tcPr>
            <w:tcW w:w="1816" w:type="dxa"/>
            <w:tcBorders>
              <w:top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第二类用地</w:t>
            </w:r>
          </w:p>
          <w:p>
            <w:pPr>
              <w:spacing w:line="240" w:lineRule="auto"/>
              <w:ind w:firstLine="0"/>
              <w:jc w:val="center"/>
              <w:rPr>
                <w:rFonts w:hint="eastAsia"/>
                <w:sz w:val="21"/>
                <w:szCs w:val="21"/>
              </w:rPr>
            </w:pPr>
            <w:r>
              <w:rPr>
                <w:rFonts w:hint="eastAsia"/>
                <w:sz w:val="21"/>
                <w:szCs w:val="21"/>
              </w:rPr>
              <w:t>筛选值</w:t>
            </w:r>
          </w:p>
        </w:tc>
        <w:tc>
          <w:tcPr>
            <w:tcW w:w="803" w:type="dxa"/>
            <w:tcBorders>
              <w:top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序号</w:t>
            </w:r>
          </w:p>
        </w:tc>
        <w:tc>
          <w:tcPr>
            <w:tcW w:w="2164" w:type="dxa"/>
            <w:tcBorders>
              <w:top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污染物项目</w:t>
            </w:r>
          </w:p>
        </w:tc>
        <w:tc>
          <w:tcPr>
            <w:tcW w:w="1620" w:type="dxa"/>
            <w:tcBorders>
              <w:top w:val="single" w:color="auto" w:sz="12" w:space="0"/>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第二类用地</w:t>
            </w:r>
          </w:p>
          <w:p>
            <w:pPr>
              <w:spacing w:line="240" w:lineRule="auto"/>
              <w:ind w:firstLine="0"/>
              <w:jc w:val="center"/>
              <w:rPr>
                <w:rFonts w:hint="eastAsia"/>
                <w:sz w:val="21"/>
                <w:szCs w:val="21"/>
              </w:rPr>
            </w:pPr>
            <w:r>
              <w:rPr>
                <w:rFonts w:hint="eastAsia"/>
                <w:sz w:val="21"/>
                <w:szCs w:val="21"/>
              </w:rP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6"/>
            <w:tcBorders>
              <w:left w:val="single" w:color="auto" w:sz="12" w:space="0"/>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砷</w:t>
            </w:r>
          </w:p>
        </w:tc>
        <w:tc>
          <w:tcPr>
            <w:tcW w:w="1816" w:type="dxa"/>
            <w:noWrap w:val="0"/>
            <w:vAlign w:val="center"/>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60</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5</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铅</w:t>
            </w:r>
          </w:p>
        </w:tc>
        <w:tc>
          <w:tcPr>
            <w:tcW w:w="1620" w:type="dxa"/>
            <w:tcBorders>
              <w:right w:val="single" w:color="auto" w:sz="12" w:space="0"/>
            </w:tcBorders>
            <w:noWrap w:val="0"/>
            <w:vAlign w:val="center"/>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2</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镉</w:t>
            </w:r>
          </w:p>
        </w:tc>
        <w:tc>
          <w:tcPr>
            <w:tcW w:w="1816" w:type="dxa"/>
            <w:noWrap w:val="0"/>
            <w:vAlign w:val="center"/>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65</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6</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汞</w:t>
            </w:r>
          </w:p>
        </w:tc>
        <w:tc>
          <w:tcPr>
            <w:tcW w:w="1620" w:type="dxa"/>
            <w:tcBorders>
              <w:right w:val="single" w:color="auto" w:sz="12" w:space="0"/>
            </w:tcBorders>
            <w:noWrap w:val="0"/>
            <w:vAlign w:val="center"/>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3</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铬（六价）</w:t>
            </w:r>
          </w:p>
        </w:tc>
        <w:tc>
          <w:tcPr>
            <w:tcW w:w="1816" w:type="dxa"/>
            <w:noWrap w:val="0"/>
            <w:vAlign w:val="center"/>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w:t>
            </w:r>
            <w:r>
              <w:rPr>
                <w:rFonts w:hint="eastAsia"/>
                <w:sz w:val="21"/>
                <w:szCs w:val="21"/>
              </w:rPr>
              <w:t>.</w:t>
            </w:r>
            <w:r>
              <w:rPr>
                <w:rFonts w:hint="eastAsia" w:ascii="Times New Roman" w:hAnsi="Times New Roman"/>
                <w:sz w:val="21"/>
                <w:szCs w:val="21"/>
              </w:rPr>
              <w:t>7</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7</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镍</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4</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铜</w:t>
            </w:r>
          </w:p>
        </w:tc>
        <w:tc>
          <w:tcPr>
            <w:tcW w:w="1816" w:type="dxa"/>
            <w:noWrap w:val="0"/>
            <w:vAlign w:val="center"/>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18000</w:t>
            </w:r>
          </w:p>
        </w:tc>
        <w:tc>
          <w:tcPr>
            <w:tcW w:w="803" w:type="dxa"/>
            <w:noWrap w:val="0"/>
            <w:vAlign w:val="center"/>
          </w:tcPr>
          <w:p>
            <w:pPr>
              <w:spacing w:line="240" w:lineRule="auto"/>
              <w:ind w:firstLine="0"/>
              <w:jc w:val="center"/>
              <w:rPr>
                <w:rFonts w:hint="eastAsia"/>
                <w:sz w:val="21"/>
                <w:szCs w:val="21"/>
              </w:rPr>
            </w:pPr>
          </w:p>
        </w:tc>
        <w:tc>
          <w:tcPr>
            <w:tcW w:w="2164" w:type="dxa"/>
            <w:noWrap w:val="0"/>
            <w:vAlign w:val="center"/>
          </w:tcPr>
          <w:p>
            <w:pPr>
              <w:spacing w:line="240" w:lineRule="auto"/>
              <w:ind w:firstLine="0"/>
              <w:jc w:val="center"/>
              <w:rPr>
                <w:rFonts w:hint="eastAsia"/>
                <w:sz w:val="21"/>
                <w:szCs w:val="21"/>
              </w:rPr>
            </w:pPr>
          </w:p>
        </w:tc>
        <w:tc>
          <w:tcPr>
            <w:tcW w:w="1620" w:type="dxa"/>
            <w:tcBorders>
              <w:right w:val="single" w:color="auto" w:sz="12" w:space="0"/>
            </w:tcBorders>
            <w:noWrap w:val="0"/>
            <w:vAlign w:val="center"/>
          </w:tcPr>
          <w:p>
            <w:pPr>
              <w:spacing w:line="240" w:lineRule="auto"/>
              <w:ind w:firstLine="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6"/>
            <w:tcBorders>
              <w:left w:val="single" w:color="auto" w:sz="12" w:space="0"/>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8</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四氯化碳</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w:t>
            </w:r>
            <w:r>
              <w:rPr>
                <w:rFonts w:hint="eastAsia"/>
                <w:sz w:val="21"/>
                <w:szCs w:val="21"/>
              </w:rPr>
              <w:t>.</w:t>
            </w:r>
            <w:r>
              <w:rPr>
                <w:rFonts w:hint="eastAsia" w:ascii="Times New Roman" w:hAnsi="Times New Roman"/>
                <w:sz w:val="21"/>
                <w:szCs w:val="21"/>
              </w:rPr>
              <w:t>8</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22</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hAnsi="宋体"/>
                <w:sz w:val="21"/>
                <w:szCs w:val="21"/>
              </w:rPr>
              <w:t>三氯乙烷</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w:t>
            </w:r>
            <w:r>
              <w:rPr>
                <w:rFonts w:hint="eastAsia"/>
                <w:sz w:val="21"/>
                <w:szCs w:val="21"/>
              </w:rPr>
              <w:t>.</w:t>
            </w:r>
            <w:r>
              <w:rPr>
                <w:rFonts w:hint="eastAsia" w:ascii="Times New Roman" w:hAnsi="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9</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氯仿</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9</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23</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三氯乙烯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w:t>
            </w:r>
            <w:r>
              <w:rPr>
                <w:rFonts w:hint="eastAsia"/>
                <w:sz w:val="21"/>
                <w:szCs w:val="21"/>
              </w:rPr>
              <w:t>.</w:t>
            </w:r>
            <w:r>
              <w:rPr>
                <w:rFonts w:hint="eastAsia" w:ascii="Times New Roman" w:hAnsi="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10</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氯甲烷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37</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24</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ascii="Times New Roman" w:hAnsi="Times New Roman"/>
                <w:sz w:val="21"/>
                <w:szCs w:val="21"/>
              </w:rPr>
              <w:t>3</w:t>
            </w:r>
            <w:r>
              <w:rPr>
                <w:sz w:val="21"/>
                <w:szCs w:val="21"/>
              </w:rPr>
              <w:t>-</w:t>
            </w:r>
            <w:r>
              <w:rPr>
                <w:rFonts w:hAnsi="宋体"/>
                <w:sz w:val="21"/>
                <w:szCs w:val="21"/>
              </w:rPr>
              <w:t>三氯丙烷</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11</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hAnsi="宋体"/>
                <w:sz w:val="21"/>
                <w:szCs w:val="21"/>
              </w:rPr>
              <w:t>二氯乙烷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9</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25</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氯乙烯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0</w:t>
            </w:r>
            <w:r>
              <w:rPr>
                <w:rFonts w:hint="eastAsia"/>
                <w:sz w:val="21"/>
                <w:szCs w:val="21"/>
              </w:rPr>
              <w:t>.</w:t>
            </w:r>
            <w:r>
              <w:rPr>
                <w:rFonts w:hint="eastAsia" w:ascii="Times New Roman" w:hAnsi="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12</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hAnsi="宋体"/>
                <w:sz w:val="21"/>
                <w:szCs w:val="21"/>
              </w:rPr>
              <w:t>二氯乙烷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26</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13</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hAnsi="宋体"/>
                <w:sz w:val="21"/>
                <w:szCs w:val="21"/>
              </w:rPr>
              <w:t>二氯乙烯</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66</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27</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氯苯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14</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顺</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hAnsi="宋体"/>
                <w:sz w:val="21"/>
                <w:szCs w:val="21"/>
              </w:rPr>
              <w:t>二氯乙烯</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596</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28</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hAnsi="宋体"/>
                <w:sz w:val="21"/>
                <w:szCs w:val="21"/>
              </w:rPr>
              <w:t>二氯苯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15</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反</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hAnsi="宋体"/>
                <w:sz w:val="21"/>
                <w:szCs w:val="21"/>
              </w:rPr>
              <w:t>二氯乙烯</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54</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29</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4</w:t>
            </w:r>
            <w:r>
              <w:rPr>
                <w:sz w:val="21"/>
                <w:szCs w:val="21"/>
              </w:rPr>
              <w:t>-</w:t>
            </w:r>
            <w:r>
              <w:rPr>
                <w:rFonts w:hAnsi="宋体"/>
                <w:sz w:val="21"/>
                <w:szCs w:val="21"/>
              </w:rPr>
              <w:t>二氯苯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16</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二氯甲烷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616</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30</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乙苯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17</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hAnsi="宋体"/>
                <w:sz w:val="21"/>
                <w:szCs w:val="21"/>
              </w:rPr>
              <w:t>二氯丙烷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31</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苯乙烯</w:t>
            </w:r>
          </w:p>
        </w:tc>
        <w:tc>
          <w:tcPr>
            <w:tcW w:w="1620" w:type="dxa"/>
            <w:tcBorders>
              <w:right w:val="single" w:color="auto" w:sz="12" w:space="0"/>
            </w:tcBorders>
            <w:noWrap w:val="0"/>
            <w:vAlign w:val="center"/>
          </w:tcPr>
          <w:p>
            <w:pPr>
              <w:spacing w:line="240" w:lineRule="auto"/>
              <w:ind w:firstLine="0"/>
              <w:jc w:val="center"/>
              <w:rPr>
                <w:rFonts w:hint="eastAsia"/>
                <w:sz w:val="21"/>
                <w:szCs w:val="21"/>
              </w:rPr>
            </w:pPr>
            <w:r>
              <w:rPr>
                <w:rFonts w:hAnsi="宋体"/>
                <w:sz w:val="21"/>
                <w:szCs w:val="21"/>
              </w:rPr>
              <w:t>≤</w:t>
            </w:r>
            <w:r>
              <w:rPr>
                <w:rFonts w:ascii="Times New Roman" w:hAnsi="Times New Roman"/>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18</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hAnsi="宋体"/>
                <w:sz w:val="21"/>
                <w:szCs w:val="21"/>
              </w:rPr>
              <w:t>四氯乙烷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10</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32</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甲苯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19</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ascii="Times New Roman" w:hAnsi="Times New Roman"/>
                <w:sz w:val="21"/>
                <w:szCs w:val="21"/>
              </w:rPr>
              <w:t>2</w:t>
            </w:r>
            <w:r>
              <w:rPr>
                <w:sz w:val="21"/>
                <w:szCs w:val="21"/>
              </w:rPr>
              <w:t>-</w:t>
            </w:r>
            <w:r>
              <w:rPr>
                <w:rFonts w:hAnsi="宋体"/>
                <w:sz w:val="21"/>
                <w:szCs w:val="21"/>
              </w:rPr>
              <w:t>四氯乙烷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6</w:t>
            </w:r>
            <w:r>
              <w:rPr>
                <w:rFonts w:hint="eastAsia"/>
                <w:sz w:val="21"/>
                <w:szCs w:val="21"/>
              </w:rPr>
              <w:t>.</w:t>
            </w:r>
            <w:r>
              <w:rPr>
                <w:rFonts w:hint="eastAsia" w:ascii="Times New Roman" w:hAnsi="Times New Roman"/>
                <w:sz w:val="21"/>
                <w:szCs w:val="21"/>
              </w:rPr>
              <w:t>8</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33</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间二甲苯</w:t>
            </w:r>
            <w:r>
              <w:rPr>
                <w:sz w:val="21"/>
                <w:szCs w:val="21"/>
              </w:rPr>
              <w:t>+</w:t>
            </w:r>
            <w:r>
              <w:rPr>
                <w:rFonts w:hAnsi="宋体"/>
                <w:sz w:val="21"/>
                <w:szCs w:val="21"/>
              </w:rPr>
              <w:t>对二甲苯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20</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四氯乙烯</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53</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34</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邻二甲苯</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21</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1</w:t>
            </w:r>
            <w:r>
              <w:rPr>
                <w:sz w:val="21"/>
                <w:szCs w:val="21"/>
              </w:rPr>
              <w:t>-</w:t>
            </w:r>
            <w:r>
              <w:rPr>
                <w:rFonts w:hAnsi="宋体"/>
                <w:sz w:val="21"/>
                <w:szCs w:val="21"/>
              </w:rPr>
              <w:t>三氯乙烷</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840</w:t>
            </w:r>
          </w:p>
        </w:tc>
        <w:tc>
          <w:tcPr>
            <w:tcW w:w="803" w:type="dxa"/>
            <w:noWrap w:val="0"/>
            <w:vAlign w:val="center"/>
          </w:tcPr>
          <w:p>
            <w:pPr>
              <w:spacing w:line="240" w:lineRule="auto"/>
              <w:ind w:firstLine="0"/>
              <w:jc w:val="center"/>
              <w:rPr>
                <w:rFonts w:hint="eastAsia"/>
                <w:sz w:val="21"/>
                <w:szCs w:val="21"/>
              </w:rPr>
            </w:pPr>
          </w:p>
        </w:tc>
        <w:tc>
          <w:tcPr>
            <w:tcW w:w="2164" w:type="dxa"/>
            <w:noWrap w:val="0"/>
            <w:vAlign w:val="center"/>
          </w:tcPr>
          <w:p>
            <w:pPr>
              <w:spacing w:line="240" w:lineRule="auto"/>
              <w:ind w:firstLine="0"/>
              <w:jc w:val="center"/>
              <w:rPr>
                <w:rFonts w:hint="eastAsia"/>
                <w:sz w:val="21"/>
                <w:szCs w:val="21"/>
              </w:rPr>
            </w:pPr>
          </w:p>
        </w:tc>
        <w:tc>
          <w:tcPr>
            <w:tcW w:w="1620" w:type="dxa"/>
            <w:tcBorders>
              <w:right w:val="single" w:color="auto" w:sz="12" w:space="0"/>
            </w:tcBorders>
            <w:noWrap w:val="0"/>
            <w:vAlign w:val="center"/>
          </w:tcPr>
          <w:p>
            <w:pPr>
              <w:spacing w:line="240" w:lineRule="auto"/>
              <w:ind w:firstLine="0"/>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6"/>
            <w:tcBorders>
              <w:left w:val="single" w:color="auto" w:sz="12" w:space="0"/>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35</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硝基苯</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76</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41</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苯并</w:t>
            </w:r>
            <w:r>
              <w:rPr>
                <w:sz w:val="21"/>
                <w:szCs w:val="21"/>
              </w:rPr>
              <w:t>[</w:t>
            </w:r>
            <w:r>
              <w:rPr>
                <w:rFonts w:ascii="Times New Roman" w:hAnsi="Times New Roman"/>
                <w:sz w:val="21"/>
                <w:szCs w:val="21"/>
              </w:rPr>
              <w:t>k</w:t>
            </w:r>
            <w:r>
              <w:rPr>
                <w:sz w:val="21"/>
                <w:szCs w:val="21"/>
              </w:rPr>
              <w:t>]</w:t>
            </w:r>
            <w:r>
              <w:rPr>
                <w:rFonts w:hAnsi="宋体"/>
                <w:sz w:val="21"/>
                <w:szCs w:val="21"/>
              </w:rPr>
              <w:t>荧蒽</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36</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苯胺</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260</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42</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䓛</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37</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ascii="Times New Roman" w:hAnsi="Times New Roman"/>
                <w:sz w:val="21"/>
                <w:szCs w:val="21"/>
              </w:rPr>
              <w:t>2</w:t>
            </w:r>
            <w:r>
              <w:rPr>
                <w:sz w:val="21"/>
                <w:szCs w:val="21"/>
              </w:rPr>
              <w:t>-</w:t>
            </w:r>
            <w:r>
              <w:rPr>
                <w:rFonts w:hAnsi="宋体"/>
                <w:sz w:val="21"/>
                <w:szCs w:val="21"/>
              </w:rPr>
              <w:t>氯酚</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2256</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43</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二苯并</w:t>
            </w:r>
            <w:r>
              <w:rPr>
                <w:sz w:val="21"/>
                <w:szCs w:val="21"/>
              </w:rPr>
              <w:t>[</w:t>
            </w:r>
            <w:r>
              <w:rPr>
                <w:rFonts w:ascii="Times New Roman" w:hAnsi="Times New Roman"/>
                <w:sz w:val="21"/>
                <w:szCs w:val="21"/>
              </w:rPr>
              <w:t>a</w:t>
            </w:r>
            <w:r>
              <w:rPr>
                <w:sz w:val="21"/>
                <w:szCs w:val="21"/>
              </w:rPr>
              <w:t>,</w:t>
            </w:r>
            <w:r>
              <w:rPr>
                <w:rFonts w:ascii="Times New Roman" w:hAnsi="Times New Roman"/>
                <w:sz w:val="21"/>
                <w:szCs w:val="21"/>
              </w:rPr>
              <w:t>h</w:t>
            </w:r>
            <w:r>
              <w:rPr>
                <w:sz w:val="21"/>
                <w:szCs w:val="21"/>
              </w:rPr>
              <w:t>]</w:t>
            </w:r>
            <w:r>
              <w:rPr>
                <w:rFonts w:hAnsi="宋体"/>
                <w:sz w:val="21"/>
                <w:szCs w:val="21"/>
              </w:rPr>
              <w:t>蒽</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38</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苯并</w:t>
            </w:r>
            <w:r>
              <w:rPr>
                <w:sz w:val="21"/>
                <w:szCs w:val="21"/>
              </w:rPr>
              <w:t>[</w:t>
            </w:r>
            <w:r>
              <w:rPr>
                <w:rFonts w:ascii="Times New Roman" w:hAnsi="Times New Roman"/>
                <w:sz w:val="21"/>
                <w:szCs w:val="21"/>
              </w:rPr>
              <w:t>a</w:t>
            </w:r>
            <w:r>
              <w:rPr>
                <w:sz w:val="21"/>
                <w:szCs w:val="21"/>
              </w:rPr>
              <w:t>]</w:t>
            </w:r>
            <w:r>
              <w:rPr>
                <w:rFonts w:hAnsi="宋体"/>
                <w:sz w:val="21"/>
                <w:szCs w:val="21"/>
              </w:rPr>
              <w:t>蒽</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15</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44</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茚并</w:t>
            </w:r>
            <w:r>
              <w:rPr>
                <w:sz w:val="21"/>
                <w:szCs w:val="21"/>
              </w:rPr>
              <w:t>[</w:t>
            </w:r>
            <w:r>
              <w:rPr>
                <w:rFonts w:ascii="Times New Roman" w:hAnsi="Times New Roman"/>
                <w:sz w:val="21"/>
                <w:szCs w:val="21"/>
              </w:rPr>
              <w:t>1</w:t>
            </w:r>
            <w:r>
              <w:rPr>
                <w:sz w:val="21"/>
                <w:szCs w:val="21"/>
              </w:rPr>
              <w:t>,</w:t>
            </w:r>
            <w:r>
              <w:rPr>
                <w:rFonts w:ascii="Times New Roman" w:hAnsi="Times New Roman"/>
                <w:sz w:val="21"/>
                <w:szCs w:val="21"/>
              </w:rPr>
              <w:t>2</w:t>
            </w:r>
            <w:r>
              <w:rPr>
                <w:sz w:val="21"/>
                <w:szCs w:val="21"/>
              </w:rPr>
              <w:t>,</w:t>
            </w:r>
            <w:r>
              <w:rPr>
                <w:rFonts w:ascii="Times New Roman" w:hAnsi="Times New Roman"/>
                <w:sz w:val="21"/>
                <w:szCs w:val="21"/>
              </w:rPr>
              <w:t>3</w:t>
            </w:r>
            <w:r>
              <w:rPr>
                <w:sz w:val="21"/>
                <w:szCs w:val="21"/>
              </w:rPr>
              <w:t>,-</w:t>
            </w:r>
            <w:r>
              <w:rPr>
                <w:rFonts w:ascii="Times New Roman" w:hAnsi="Times New Roman"/>
                <w:sz w:val="21"/>
                <w:szCs w:val="21"/>
              </w:rPr>
              <w:t>cd</w:t>
            </w:r>
            <w:r>
              <w:rPr>
                <w:sz w:val="21"/>
                <w:szCs w:val="21"/>
              </w:rPr>
              <w:t>]</w:t>
            </w:r>
            <w:r>
              <w:rPr>
                <w:rFonts w:hAnsi="宋体"/>
                <w:sz w:val="21"/>
                <w:szCs w:val="21"/>
              </w:rPr>
              <w:t>芘</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39</w:t>
            </w:r>
          </w:p>
        </w:tc>
        <w:tc>
          <w:tcPr>
            <w:tcW w:w="1968"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苯并</w:t>
            </w:r>
            <w:r>
              <w:rPr>
                <w:sz w:val="21"/>
                <w:szCs w:val="21"/>
              </w:rPr>
              <w:t>[</w:t>
            </w:r>
            <w:r>
              <w:rPr>
                <w:rFonts w:ascii="Times New Roman" w:hAnsi="Times New Roman"/>
                <w:sz w:val="21"/>
                <w:szCs w:val="21"/>
              </w:rPr>
              <w:t>a</w:t>
            </w:r>
            <w:r>
              <w:rPr>
                <w:sz w:val="21"/>
                <w:szCs w:val="21"/>
              </w:rPr>
              <w:t>]</w:t>
            </w:r>
            <w:r>
              <w:rPr>
                <w:rFonts w:hAnsi="宋体"/>
                <w:sz w:val="21"/>
                <w:szCs w:val="21"/>
              </w:rPr>
              <w:t>芘</w:t>
            </w:r>
          </w:p>
        </w:tc>
        <w:tc>
          <w:tcPr>
            <w:tcW w:w="1816" w:type="dxa"/>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5</w:t>
            </w:r>
          </w:p>
        </w:tc>
        <w:tc>
          <w:tcPr>
            <w:tcW w:w="803" w:type="dxa"/>
            <w:noWrap w:val="0"/>
            <w:vAlign w:val="center"/>
          </w:tcPr>
          <w:p>
            <w:pPr>
              <w:spacing w:line="240" w:lineRule="auto"/>
              <w:ind w:firstLine="0"/>
              <w:jc w:val="center"/>
              <w:rPr>
                <w:rFonts w:hint="eastAsia"/>
                <w:sz w:val="21"/>
                <w:szCs w:val="21"/>
              </w:rPr>
            </w:pPr>
            <w:r>
              <w:rPr>
                <w:rFonts w:hint="eastAsia" w:ascii="Times New Roman" w:hAnsi="Times New Roman"/>
                <w:sz w:val="21"/>
                <w:szCs w:val="21"/>
              </w:rPr>
              <w:t>45</w:t>
            </w:r>
          </w:p>
        </w:tc>
        <w:tc>
          <w:tcPr>
            <w:tcW w:w="2164" w:type="dxa"/>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萘</w:t>
            </w:r>
          </w:p>
        </w:tc>
        <w:tc>
          <w:tcPr>
            <w:tcW w:w="1620" w:type="dxa"/>
            <w:tcBorders>
              <w:right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tcBorders>
              <w:left w:val="single" w:color="auto" w:sz="12" w:space="0"/>
              <w:bottom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40</w:t>
            </w:r>
          </w:p>
        </w:tc>
        <w:tc>
          <w:tcPr>
            <w:tcW w:w="1968" w:type="dxa"/>
            <w:tcBorders>
              <w:bottom w:val="single" w:color="auto" w:sz="12" w:space="0"/>
            </w:tcBorders>
            <w:noWrap w:val="0"/>
            <w:vAlign w:val="center"/>
          </w:tcPr>
          <w:p>
            <w:pPr>
              <w:tabs>
                <w:tab w:val="left" w:pos="360"/>
                <w:tab w:val="center" w:pos="4153"/>
              </w:tabs>
              <w:spacing w:line="240" w:lineRule="auto"/>
              <w:ind w:firstLine="0"/>
              <w:jc w:val="center"/>
              <w:rPr>
                <w:rFonts w:hint="eastAsia"/>
                <w:sz w:val="21"/>
                <w:szCs w:val="21"/>
              </w:rPr>
            </w:pPr>
            <w:r>
              <w:rPr>
                <w:rFonts w:hAnsi="宋体"/>
                <w:sz w:val="21"/>
                <w:szCs w:val="21"/>
              </w:rPr>
              <w:t>苯并</w:t>
            </w:r>
            <w:r>
              <w:rPr>
                <w:sz w:val="21"/>
                <w:szCs w:val="21"/>
              </w:rPr>
              <w:t>[</w:t>
            </w:r>
            <w:r>
              <w:rPr>
                <w:rFonts w:ascii="Times New Roman" w:hAnsi="Times New Roman"/>
                <w:sz w:val="21"/>
                <w:szCs w:val="21"/>
              </w:rPr>
              <w:t>b</w:t>
            </w:r>
            <w:r>
              <w:rPr>
                <w:sz w:val="21"/>
                <w:szCs w:val="21"/>
              </w:rPr>
              <w:t>]</w:t>
            </w:r>
            <w:r>
              <w:rPr>
                <w:rFonts w:hAnsi="宋体"/>
                <w:sz w:val="21"/>
                <w:szCs w:val="21"/>
              </w:rPr>
              <w:t>荧蒽</w:t>
            </w:r>
          </w:p>
        </w:tc>
        <w:tc>
          <w:tcPr>
            <w:tcW w:w="1816" w:type="dxa"/>
            <w:tcBorders>
              <w:bottom w:val="single" w:color="auto" w:sz="12" w:space="0"/>
            </w:tcBorders>
            <w:noWrap w:val="0"/>
            <w:vAlign w:val="top"/>
          </w:tcPr>
          <w:p>
            <w:pPr>
              <w:spacing w:line="240" w:lineRule="auto"/>
              <w:ind w:firstLine="0"/>
              <w:jc w:val="center"/>
              <w:rPr>
                <w:rFonts w:hint="eastAsia"/>
                <w:sz w:val="21"/>
                <w:szCs w:val="21"/>
              </w:rPr>
            </w:pPr>
            <w:r>
              <w:rPr>
                <w:rFonts w:hAnsi="宋体"/>
                <w:sz w:val="21"/>
                <w:szCs w:val="21"/>
              </w:rPr>
              <w:t>≤</w:t>
            </w:r>
            <w:r>
              <w:rPr>
                <w:rFonts w:hint="eastAsia" w:ascii="Times New Roman" w:hAnsi="Times New Roman"/>
                <w:sz w:val="21"/>
                <w:szCs w:val="21"/>
              </w:rPr>
              <w:t>15</w:t>
            </w:r>
          </w:p>
        </w:tc>
        <w:tc>
          <w:tcPr>
            <w:tcW w:w="803" w:type="dxa"/>
            <w:tcBorders>
              <w:bottom w:val="single" w:color="auto" w:sz="12" w:space="0"/>
            </w:tcBorders>
            <w:noWrap w:val="0"/>
            <w:vAlign w:val="center"/>
          </w:tcPr>
          <w:p>
            <w:pPr>
              <w:spacing w:line="240" w:lineRule="auto"/>
              <w:ind w:firstLine="0"/>
              <w:jc w:val="center"/>
              <w:rPr>
                <w:rFonts w:hint="default" w:eastAsia="宋体"/>
                <w:sz w:val="21"/>
                <w:szCs w:val="21"/>
                <w:lang w:val="en-US" w:eastAsia="zh-CN"/>
              </w:rPr>
            </w:pPr>
          </w:p>
        </w:tc>
        <w:tc>
          <w:tcPr>
            <w:tcW w:w="2164" w:type="dxa"/>
            <w:tcBorders>
              <w:bottom w:val="single" w:color="auto" w:sz="12" w:space="0"/>
            </w:tcBorders>
            <w:noWrap w:val="0"/>
            <w:vAlign w:val="center"/>
          </w:tcPr>
          <w:p>
            <w:pPr>
              <w:spacing w:line="240" w:lineRule="auto"/>
              <w:ind w:firstLine="0"/>
              <w:jc w:val="center"/>
              <w:rPr>
                <w:rFonts w:hint="eastAsia" w:eastAsia="宋体"/>
                <w:sz w:val="21"/>
                <w:szCs w:val="21"/>
                <w:lang w:eastAsia="zh-CN"/>
              </w:rPr>
            </w:pPr>
          </w:p>
        </w:tc>
        <w:tc>
          <w:tcPr>
            <w:tcW w:w="1620" w:type="dxa"/>
            <w:tcBorders>
              <w:bottom w:val="single" w:color="auto" w:sz="12" w:space="0"/>
              <w:right w:val="single" w:color="auto" w:sz="12" w:space="0"/>
            </w:tcBorders>
            <w:noWrap w:val="0"/>
            <w:vAlign w:val="center"/>
          </w:tcPr>
          <w:p>
            <w:pPr>
              <w:spacing w:line="240" w:lineRule="auto"/>
              <w:ind w:firstLine="0"/>
              <w:jc w:val="center"/>
              <w:rPr>
                <w:rFonts w:hint="default" w:eastAsia="宋体"/>
                <w:sz w:val="21"/>
                <w:szCs w:val="21"/>
                <w:lang w:val="en-US" w:eastAsia="zh-CN"/>
              </w:rPr>
            </w:pPr>
          </w:p>
        </w:tc>
      </w:tr>
    </w:tbl>
    <w:p>
      <w:pPr>
        <w:pStyle w:val="5"/>
        <w:spacing w:before="156"/>
        <w:rPr>
          <w:rFonts w:hint="eastAsia"/>
        </w:rPr>
      </w:pP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5</w:t>
      </w:r>
      <w:r>
        <w:rPr>
          <w:rFonts w:hint="eastAsia"/>
        </w:rPr>
        <w:t>污染物排放标准</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rPr>
      </w:pPr>
      <w:r>
        <w:rPr>
          <w:rFonts w:hint="eastAsia"/>
        </w:rPr>
        <w:t>根据本项目污染</w:t>
      </w:r>
      <w:r>
        <w:rPr>
          <w:rFonts w:hint="eastAsia"/>
          <w:lang w:eastAsia="zh-CN"/>
        </w:rPr>
        <w:t>源</w:t>
      </w:r>
      <w:r>
        <w:rPr>
          <w:rFonts w:hint="eastAsia"/>
        </w:rPr>
        <w:t>排放特征，</w:t>
      </w:r>
      <w:r>
        <w:rPr>
          <w:rFonts w:hint="eastAsia"/>
          <w:lang w:eastAsia="zh-CN"/>
        </w:rPr>
        <w:t>涉及的主要</w:t>
      </w:r>
      <w:r>
        <w:rPr>
          <w:rFonts w:hint="eastAsia"/>
        </w:rPr>
        <w:t>污染物排放标准详见表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7</w:t>
      </w:r>
      <w:r>
        <w:rPr>
          <w:rFonts w:hint="eastAsia"/>
        </w:rP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7</w:t>
      </w:r>
      <w:r>
        <w:rPr>
          <w:rFonts w:hint="eastAsia"/>
        </w:rPr>
        <w:t xml:space="preserve">  </w:t>
      </w:r>
      <w:r>
        <w:rPr>
          <w:rFonts w:hint="eastAsia"/>
          <w:lang w:eastAsia="zh-CN"/>
        </w:rPr>
        <w:t>主要</w:t>
      </w:r>
      <w:r>
        <w:rPr>
          <w:rFonts w:hint="eastAsia"/>
        </w:rPr>
        <w:t>污染物排放标准</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073"/>
        <w:gridCol w:w="733"/>
        <w:gridCol w:w="1200"/>
        <w:gridCol w:w="1695"/>
        <w:gridCol w:w="1865"/>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606" w:type="dxa"/>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lang w:val="zh-CN"/>
              </w:rPr>
              <w:t>污染</w:t>
            </w:r>
            <w:r>
              <w:rPr>
                <w:rFonts w:hint="eastAsia" w:hAnsi="宋体"/>
                <w:color w:val="000000"/>
                <w:spacing w:val="-11"/>
                <w:sz w:val="21"/>
                <w:szCs w:val="21"/>
                <w:lang w:val="zh-CN"/>
              </w:rPr>
              <w:t>源</w:t>
            </w:r>
            <w:r>
              <w:rPr>
                <w:rFonts w:hint="eastAsia" w:hAnsi="宋体"/>
                <w:color w:val="000000"/>
                <w:spacing w:val="-11"/>
                <w:sz w:val="21"/>
                <w:szCs w:val="21"/>
              </w:rPr>
              <w:t>（</w:t>
            </w:r>
            <w:r>
              <w:rPr>
                <w:rFonts w:hAnsi="宋体"/>
                <w:color w:val="000000"/>
                <w:spacing w:val="-11"/>
                <w:sz w:val="21"/>
                <w:szCs w:val="21"/>
                <w:lang w:val="zh-CN"/>
              </w:rPr>
              <w:t>类型</w:t>
            </w:r>
            <w:r>
              <w:rPr>
                <w:rFonts w:hint="eastAsia" w:hAnsi="宋体"/>
                <w:color w:val="000000"/>
                <w:spacing w:val="-11"/>
                <w:sz w:val="21"/>
                <w:szCs w:val="21"/>
              </w:rPr>
              <w:t>）</w:t>
            </w:r>
          </w:p>
        </w:tc>
        <w:tc>
          <w:tcPr>
            <w:tcW w:w="1073" w:type="dxa"/>
            <w:noWrap w:val="0"/>
            <w:vAlign w:val="center"/>
          </w:tcPr>
          <w:p>
            <w:pPr>
              <w:spacing w:line="240" w:lineRule="auto"/>
              <w:ind w:firstLine="0"/>
              <w:jc w:val="center"/>
              <w:rPr>
                <w:rFonts w:hAnsi="宋体"/>
                <w:color w:val="000000"/>
                <w:spacing w:val="-11"/>
                <w:sz w:val="21"/>
                <w:szCs w:val="21"/>
                <w:lang w:val="zh-CN"/>
              </w:rPr>
            </w:pPr>
            <w:r>
              <w:rPr>
                <w:rFonts w:hint="eastAsia"/>
                <w:color w:val="000000"/>
                <w:spacing w:val="-11"/>
                <w:sz w:val="21"/>
                <w:szCs w:val="21"/>
                <w:lang w:val="zh-CN"/>
              </w:rPr>
              <w:t>主要</w:t>
            </w:r>
            <w:r>
              <w:rPr>
                <w:rFonts w:hAnsi="宋体"/>
                <w:color w:val="000000"/>
                <w:spacing w:val="-11"/>
                <w:sz w:val="21"/>
                <w:szCs w:val="21"/>
                <w:lang w:val="zh-CN"/>
              </w:rPr>
              <w:t>污染物</w:t>
            </w:r>
          </w:p>
        </w:tc>
        <w:tc>
          <w:tcPr>
            <w:tcW w:w="1933" w:type="dxa"/>
            <w:gridSpan w:val="2"/>
            <w:noWrap w:val="0"/>
            <w:vAlign w:val="center"/>
          </w:tcPr>
          <w:p>
            <w:pPr>
              <w:ind w:firstLine="0"/>
              <w:jc w:val="center"/>
              <w:rPr>
                <w:rFonts w:hint="eastAsia"/>
                <w:spacing w:val="-11"/>
                <w:sz w:val="21"/>
                <w:szCs w:val="21"/>
                <w:lang w:val="zh-CN"/>
              </w:rPr>
            </w:pPr>
            <w:r>
              <w:rPr>
                <w:spacing w:val="-11"/>
                <w:sz w:val="21"/>
                <w:szCs w:val="21"/>
              </w:rPr>
              <w:t>污染物排放限值</w:t>
            </w:r>
          </w:p>
        </w:tc>
        <w:tc>
          <w:tcPr>
            <w:tcW w:w="3560" w:type="dxa"/>
            <w:gridSpan w:val="2"/>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rPr>
              <w:t>标准来源</w:t>
            </w:r>
          </w:p>
        </w:tc>
        <w:tc>
          <w:tcPr>
            <w:tcW w:w="1002" w:type="dxa"/>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lang w:val="zh-CN"/>
              </w:rPr>
              <w:t>监控位置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606" w:type="dxa"/>
            <w:vMerge w:val="restart"/>
            <w:noWrap w:val="0"/>
            <w:vAlign w:val="center"/>
          </w:tcPr>
          <w:p>
            <w:pPr>
              <w:spacing w:line="240" w:lineRule="auto"/>
              <w:ind w:firstLine="0"/>
              <w:jc w:val="center"/>
              <w:rPr>
                <w:rFonts w:hint="default" w:hAnsi="宋体" w:eastAsia="宋体"/>
                <w:color w:val="000000"/>
                <w:spacing w:val="-11"/>
                <w:sz w:val="21"/>
                <w:szCs w:val="21"/>
                <w:lang w:val="en-US" w:eastAsia="zh-CN"/>
              </w:rPr>
            </w:pPr>
            <w:r>
              <w:rPr>
                <w:rFonts w:hint="eastAsia" w:ascii="Times New Roman" w:hAnsi="Times New Roman"/>
                <w:color w:val="000000"/>
                <w:spacing w:val="-11"/>
                <w:sz w:val="21"/>
                <w:szCs w:val="21"/>
                <w:lang w:val="en-US" w:eastAsia="zh-CN"/>
              </w:rPr>
              <w:t>PD</w:t>
            </w:r>
            <w:r>
              <w:rPr>
                <w:rFonts w:hint="eastAsia" w:ascii="Times New Roman"/>
                <w:color w:val="000000"/>
                <w:spacing w:val="-11"/>
                <w:sz w:val="21"/>
                <w:szCs w:val="21"/>
                <w:lang w:val="en-US" w:eastAsia="zh-CN"/>
              </w:rPr>
              <w:t>反应器、成品塔+一级水吸收+二级酸吸收</w:t>
            </w:r>
          </w:p>
        </w:tc>
        <w:tc>
          <w:tcPr>
            <w:tcW w:w="1073" w:type="dxa"/>
            <w:noWrap w:val="0"/>
            <w:vAlign w:val="center"/>
          </w:tcPr>
          <w:p>
            <w:pPr>
              <w:tabs>
                <w:tab w:val="left" w:pos="360"/>
                <w:tab w:val="left" w:pos="1620"/>
              </w:tabs>
              <w:snapToGrid w:val="0"/>
              <w:spacing w:line="240" w:lineRule="auto"/>
              <w:ind w:firstLine="0"/>
              <w:jc w:val="center"/>
              <w:rPr>
                <w:rFonts w:hint="default" w:hAnsi="宋体" w:eastAsia="宋体"/>
                <w:color w:val="auto"/>
                <w:spacing w:val="-11"/>
                <w:sz w:val="21"/>
                <w:szCs w:val="21"/>
                <w:lang w:val="en-US" w:eastAsia="zh-CN"/>
              </w:rPr>
            </w:pPr>
            <w:r>
              <w:rPr>
                <w:rFonts w:hint="eastAsia" w:ascii="Times New Roman" w:hAnsi="Times New Roman"/>
                <w:color w:val="auto"/>
                <w:spacing w:val="-11"/>
                <w:sz w:val="21"/>
                <w:szCs w:val="21"/>
                <w:lang w:val="en-US" w:eastAsia="zh-CN"/>
              </w:rPr>
              <w:t>NH</w:t>
            </w:r>
            <w:r>
              <w:rPr>
                <w:rFonts w:hint="eastAsia" w:ascii="Times New Roman" w:hAnsi="Times New Roman"/>
                <w:color w:val="auto"/>
                <w:spacing w:val="-11"/>
                <w:sz w:val="21"/>
                <w:szCs w:val="21"/>
                <w:vertAlign w:val="subscript"/>
                <w:lang w:val="en-US" w:eastAsia="zh-CN"/>
              </w:rPr>
              <w:t>3</w:t>
            </w:r>
          </w:p>
        </w:tc>
        <w:tc>
          <w:tcPr>
            <w:tcW w:w="1933" w:type="dxa"/>
            <w:gridSpan w:val="2"/>
            <w:noWrap w:val="0"/>
            <w:vAlign w:val="center"/>
          </w:tcPr>
          <w:p>
            <w:pPr>
              <w:tabs>
                <w:tab w:val="left" w:pos="360"/>
                <w:tab w:val="left" w:pos="1620"/>
              </w:tabs>
              <w:snapToGrid w:val="0"/>
              <w:spacing w:line="240" w:lineRule="auto"/>
              <w:ind w:firstLine="0"/>
              <w:jc w:val="center"/>
              <w:rPr>
                <w:rFonts w:hint="eastAsia"/>
                <w:color w:val="auto"/>
                <w:spacing w:val="-11"/>
                <w:sz w:val="21"/>
                <w:szCs w:val="21"/>
              </w:rPr>
            </w:pPr>
            <w:r>
              <w:rPr>
                <w:rFonts w:hint="eastAsia" w:ascii="Times New Roman" w:hAnsi="Times New Roman"/>
                <w:color w:val="auto"/>
                <w:spacing w:val="-11"/>
                <w:sz w:val="21"/>
                <w:szCs w:val="21"/>
                <w:lang w:val="en-US" w:eastAsia="zh-CN"/>
              </w:rPr>
              <w:t>4</w:t>
            </w:r>
            <w:r>
              <w:rPr>
                <w:rFonts w:hint="eastAsia" w:ascii="Times New Roman"/>
                <w:color w:val="auto"/>
                <w:spacing w:val="-11"/>
                <w:sz w:val="21"/>
                <w:szCs w:val="21"/>
                <w:lang w:val="en-US" w:eastAsia="zh-CN"/>
              </w:rPr>
              <w:t>.</w:t>
            </w:r>
            <w:r>
              <w:rPr>
                <w:rFonts w:hint="eastAsia" w:ascii="Times New Roman" w:hAnsi="Times New Roman"/>
                <w:color w:val="auto"/>
                <w:spacing w:val="-11"/>
                <w:sz w:val="21"/>
                <w:szCs w:val="21"/>
                <w:lang w:val="en-US" w:eastAsia="zh-CN"/>
              </w:rPr>
              <w:t>9kg</w:t>
            </w:r>
            <w:r>
              <w:rPr>
                <w:rFonts w:hint="eastAsia" w:ascii="Times New Roman"/>
                <w:color w:val="auto"/>
                <w:spacing w:val="-11"/>
                <w:sz w:val="21"/>
                <w:szCs w:val="21"/>
                <w:lang w:val="en-US" w:eastAsia="zh-CN"/>
              </w:rPr>
              <w:t>/</w:t>
            </w:r>
            <w:r>
              <w:rPr>
                <w:rFonts w:hint="eastAsia" w:ascii="Times New Roman" w:hAnsi="Times New Roman"/>
                <w:color w:val="auto"/>
                <w:spacing w:val="-11"/>
                <w:sz w:val="21"/>
                <w:szCs w:val="21"/>
                <w:lang w:val="en-US" w:eastAsia="zh-CN"/>
              </w:rPr>
              <w:t>h</w:t>
            </w:r>
          </w:p>
        </w:tc>
        <w:tc>
          <w:tcPr>
            <w:tcW w:w="3560" w:type="dxa"/>
            <w:gridSpan w:val="2"/>
            <w:noWrap w:val="0"/>
            <w:vAlign w:val="center"/>
          </w:tcPr>
          <w:p>
            <w:pPr>
              <w:spacing w:line="240" w:lineRule="auto"/>
              <w:ind w:firstLine="0"/>
              <w:jc w:val="center"/>
              <w:rPr>
                <w:rFonts w:hint="eastAsia" w:hAnsi="宋体" w:eastAsia="宋体"/>
                <w:color w:val="auto"/>
                <w:spacing w:val="-11"/>
                <w:sz w:val="21"/>
                <w:szCs w:val="21"/>
                <w:lang w:eastAsia="zh-CN"/>
              </w:rPr>
            </w:pPr>
            <w:r>
              <w:rPr>
                <w:rFonts w:hint="eastAsia"/>
                <w:color w:val="auto"/>
                <w:spacing w:val="-11"/>
                <w:sz w:val="21"/>
                <w:szCs w:val="21"/>
                <w:lang w:eastAsia="zh-CN"/>
              </w:rPr>
              <w:t>《恶臭污染物排放标准》</w:t>
            </w:r>
          </w:p>
        </w:tc>
        <w:tc>
          <w:tcPr>
            <w:tcW w:w="1002" w:type="dxa"/>
            <w:vMerge w:val="restart"/>
            <w:noWrap w:val="0"/>
            <w:vAlign w:val="center"/>
          </w:tcPr>
          <w:p>
            <w:pPr>
              <w:spacing w:line="240" w:lineRule="auto"/>
              <w:ind w:firstLine="0"/>
              <w:jc w:val="center"/>
              <w:rPr>
                <w:rFonts w:hint="eastAsia" w:hAnsi="宋体" w:eastAsia="宋体"/>
                <w:color w:val="000000"/>
                <w:spacing w:val="-11"/>
                <w:sz w:val="21"/>
                <w:szCs w:val="21"/>
                <w:lang w:val="zh-CN" w:eastAsia="zh-CN"/>
              </w:rPr>
            </w:pPr>
            <w:r>
              <w:rPr>
                <w:rFonts w:hint="eastAsia" w:ascii="Times New Roman" w:hAnsi="Times New Roman"/>
                <w:color w:val="000000"/>
                <w:spacing w:val="-11"/>
                <w:sz w:val="21"/>
                <w:szCs w:val="21"/>
                <w:lang w:val="en-US" w:eastAsia="zh-CN"/>
              </w:rPr>
              <w:t>15</w:t>
            </w:r>
            <w:r>
              <w:rPr>
                <w:rFonts w:hint="eastAsia" w:ascii="Times New Roman" w:hAnsi="Times New Roman"/>
                <w:color w:val="000000"/>
                <w:spacing w:val="-11"/>
                <w:sz w:val="21"/>
                <w:szCs w:val="21"/>
              </w:rPr>
              <w:t>m</w:t>
            </w:r>
            <w:r>
              <w:rPr>
                <w:rFonts w:hint="eastAsia" w:hAnsi="宋体"/>
                <w:color w:val="000000"/>
                <w:spacing w:val="-11"/>
                <w:sz w:val="21"/>
                <w:szCs w:val="21"/>
              </w:rPr>
              <w:t>高</w:t>
            </w:r>
            <w:r>
              <w:rPr>
                <w:rFonts w:hint="eastAsia"/>
                <w:color w:val="000000"/>
                <w:spacing w:val="-11"/>
                <w:sz w:val="21"/>
                <w:szCs w:val="21"/>
                <w:lang w:eastAsia="zh-CN"/>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606" w:type="dxa"/>
            <w:vMerge w:val="continue"/>
            <w:noWrap w:val="0"/>
            <w:vAlign w:val="center"/>
          </w:tcPr>
          <w:p>
            <w:pPr>
              <w:spacing w:line="240" w:lineRule="auto"/>
              <w:ind w:firstLine="0"/>
              <w:jc w:val="center"/>
              <w:rPr>
                <w:rFonts w:hAnsi="宋体"/>
                <w:color w:val="000000"/>
                <w:spacing w:val="-11"/>
                <w:sz w:val="21"/>
                <w:szCs w:val="21"/>
              </w:rPr>
            </w:pPr>
          </w:p>
        </w:tc>
        <w:tc>
          <w:tcPr>
            <w:tcW w:w="1073" w:type="dxa"/>
            <w:noWrap w:val="0"/>
            <w:vAlign w:val="center"/>
          </w:tcPr>
          <w:p>
            <w:pPr>
              <w:snapToGrid w:val="0"/>
              <w:spacing w:line="240" w:lineRule="auto"/>
              <w:ind w:firstLine="0"/>
              <w:jc w:val="center"/>
              <w:rPr>
                <w:rFonts w:hint="default" w:hAnsi="宋体" w:eastAsia="宋体"/>
                <w:color w:val="auto"/>
                <w:spacing w:val="-11"/>
                <w:sz w:val="21"/>
                <w:szCs w:val="21"/>
                <w:lang w:val="en-US" w:eastAsia="zh-CN"/>
              </w:rPr>
            </w:pPr>
            <w:r>
              <w:rPr>
                <w:rFonts w:hint="eastAsia" w:ascii="Times New Roman" w:hAnsi="Times New Roman"/>
                <w:color w:val="auto"/>
                <w:spacing w:val="-11"/>
                <w:sz w:val="21"/>
                <w:szCs w:val="21"/>
                <w:lang w:val="en-US" w:eastAsia="zh-CN"/>
              </w:rPr>
              <w:t>NMHC</w:t>
            </w:r>
          </w:p>
        </w:tc>
        <w:tc>
          <w:tcPr>
            <w:tcW w:w="1933" w:type="dxa"/>
            <w:gridSpan w:val="2"/>
            <w:noWrap w:val="0"/>
            <w:vAlign w:val="center"/>
          </w:tcPr>
          <w:p>
            <w:pPr>
              <w:snapToGrid w:val="0"/>
              <w:spacing w:line="240" w:lineRule="auto"/>
              <w:ind w:firstLine="0"/>
              <w:jc w:val="center"/>
              <w:rPr>
                <w:rFonts w:hint="default" w:hAnsi="宋体" w:eastAsia="宋体"/>
                <w:color w:val="auto"/>
                <w:spacing w:val="-11"/>
                <w:sz w:val="21"/>
                <w:szCs w:val="21"/>
                <w:lang w:val="en-US" w:eastAsia="zh-CN"/>
              </w:rPr>
            </w:pPr>
            <w:r>
              <w:rPr>
                <w:rFonts w:hint="eastAsia" w:ascii="Times New Roman" w:hAnsi="Times New Roman"/>
                <w:color w:val="auto"/>
                <w:spacing w:val="-11"/>
                <w:sz w:val="21"/>
                <w:szCs w:val="21"/>
                <w:lang w:val="en-US" w:eastAsia="zh-CN"/>
              </w:rPr>
              <w:t>120mg</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m</w:t>
            </w:r>
            <w:r>
              <w:rPr>
                <w:rFonts w:hint="eastAsia"/>
                <w:color w:val="auto"/>
                <w:spacing w:val="-11"/>
                <w:sz w:val="21"/>
                <w:szCs w:val="21"/>
                <w:lang w:val="en-US" w:eastAsia="zh-CN"/>
              </w:rPr>
              <w:t>³，</w:t>
            </w:r>
            <w:r>
              <w:rPr>
                <w:rFonts w:hint="eastAsia" w:ascii="Times New Roman" w:hAnsi="Times New Roman"/>
                <w:color w:val="auto"/>
                <w:spacing w:val="-11"/>
                <w:sz w:val="21"/>
                <w:szCs w:val="21"/>
                <w:lang w:val="en-US" w:eastAsia="zh-CN"/>
              </w:rPr>
              <w:t>10kg</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h</w:t>
            </w:r>
          </w:p>
        </w:tc>
        <w:tc>
          <w:tcPr>
            <w:tcW w:w="3560" w:type="dxa"/>
            <w:gridSpan w:val="2"/>
            <w:noWrap w:val="0"/>
            <w:vAlign w:val="center"/>
          </w:tcPr>
          <w:p>
            <w:pPr>
              <w:spacing w:line="240" w:lineRule="auto"/>
              <w:ind w:firstLine="0"/>
              <w:jc w:val="center"/>
              <w:rPr>
                <w:rFonts w:hint="default" w:hAnsi="宋体" w:eastAsia="宋体"/>
                <w:color w:val="auto"/>
                <w:spacing w:val="-11"/>
                <w:sz w:val="21"/>
                <w:szCs w:val="21"/>
                <w:lang w:val="en-US" w:eastAsia="zh-CN"/>
              </w:rPr>
            </w:pPr>
            <w:r>
              <w:rPr>
                <w:rFonts w:hint="eastAsia"/>
                <w:color w:val="auto"/>
                <w:spacing w:val="-11"/>
                <w:sz w:val="21"/>
                <w:szCs w:val="21"/>
                <w:lang w:eastAsia="zh-CN"/>
              </w:rPr>
              <w:t>《大气污染物综合排放标准》（</w:t>
            </w:r>
            <w:r>
              <w:rPr>
                <w:rFonts w:hint="eastAsia" w:ascii="Times New Roman" w:hAnsi="Times New Roman"/>
                <w:color w:val="auto"/>
                <w:spacing w:val="-11"/>
                <w:sz w:val="21"/>
                <w:szCs w:val="21"/>
                <w:lang w:val="en-US" w:eastAsia="zh-CN"/>
              </w:rPr>
              <w:t>GB16297</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1996</w:t>
            </w:r>
            <w:r>
              <w:rPr>
                <w:rFonts w:hint="eastAsia"/>
                <w:color w:val="auto"/>
                <w:spacing w:val="-11"/>
                <w:sz w:val="21"/>
                <w:szCs w:val="21"/>
                <w:lang w:eastAsia="zh-CN"/>
              </w:rPr>
              <w:t>）表</w:t>
            </w:r>
            <w:r>
              <w:rPr>
                <w:rFonts w:hint="eastAsia" w:ascii="Times New Roman" w:hAnsi="Times New Roman"/>
                <w:color w:val="auto"/>
                <w:spacing w:val="-11"/>
                <w:sz w:val="21"/>
                <w:szCs w:val="21"/>
                <w:lang w:val="en-US" w:eastAsia="zh-CN"/>
              </w:rPr>
              <w:t>2</w:t>
            </w:r>
            <w:r>
              <w:rPr>
                <w:rFonts w:hint="eastAsia"/>
                <w:color w:val="auto"/>
                <w:spacing w:val="-11"/>
                <w:sz w:val="21"/>
                <w:szCs w:val="21"/>
                <w:lang w:val="en-US" w:eastAsia="zh-CN"/>
              </w:rPr>
              <w:t>二级</w:t>
            </w:r>
          </w:p>
        </w:tc>
        <w:tc>
          <w:tcPr>
            <w:tcW w:w="1002" w:type="dxa"/>
            <w:vMerge w:val="continue"/>
            <w:noWrap w:val="0"/>
            <w:vAlign w:val="center"/>
          </w:tcPr>
          <w:p>
            <w:pPr>
              <w:spacing w:line="240" w:lineRule="auto"/>
              <w:ind w:firstLine="0"/>
              <w:jc w:val="center"/>
              <w:rPr>
                <w:rFonts w:hAnsi="宋体"/>
                <w:color w:val="000000"/>
                <w:spacing w:val="-11"/>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6" w:type="dxa"/>
            <w:vMerge w:val="restart"/>
            <w:noWrap w:val="0"/>
            <w:vAlign w:val="center"/>
          </w:tcPr>
          <w:p>
            <w:pPr>
              <w:tabs>
                <w:tab w:val="left" w:pos="360"/>
                <w:tab w:val="left" w:pos="1620"/>
              </w:tabs>
              <w:snapToGrid w:val="0"/>
              <w:spacing w:line="240" w:lineRule="auto"/>
              <w:ind w:firstLine="0"/>
              <w:jc w:val="center"/>
              <w:rPr>
                <w:rFonts w:hint="eastAsia" w:hAnsi="宋体" w:eastAsia="宋体"/>
                <w:color w:val="000000"/>
                <w:spacing w:val="-11"/>
                <w:sz w:val="21"/>
                <w:szCs w:val="21"/>
                <w:lang w:eastAsia="zh-CN"/>
              </w:rPr>
            </w:pPr>
            <w:r>
              <w:rPr>
                <w:rFonts w:hint="eastAsia"/>
                <w:color w:val="000000"/>
                <w:spacing w:val="-11"/>
                <w:sz w:val="21"/>
                <w:szCs w:val="21"/>
                <w:lang w:eastAsia="zh-CN"/>
              </w:rPr>
              <w:t>全厂</w:t>
            </w:r>
          </w:p>
        </w:tc>
        <w:tc>
          <w:tcPr>
            <w:tcW w:w="1073" w:type="dxa"/>
            <w:noWrap w:val="0"/>
            <w:vAlign w:val="center"/>
          </w:tcPr>
          <w:p>
            <w:pPr>
              <w:spacing w:line="240" w:lineRule="auto"/>
              <w:ind w:firstLine="0" w:firstLineChars="0"/>
              <w:jc w:val="center"/>
              <w:rPr>
                <w:rFonts w:hint="eastAsia" w:ascii="宋体" w:hAnsi="宋体" w:eastAsia="宋体" w:cs="Times New Roman"/>
                <w:color w:val="000000"/>
                <w:spacing w:val="-11"/>
                <w:sz w:val="21"/>
                <w:szCs w:val="21"/>
                <w:lang w:val="en-US" w:eastAsia="zh-CN" w:bidi="ar-SA"/>
              </w:rPr>
            </w:pPr>
            <w:r>
              <w:rPr>
                <w:rFonts w:hint="eastAsia" w:ascii="Times New Roman" w:hAnsi="Times New Roman"/>
                <w:color w:val="000000"/>
                <w:spacing w:val="-11"/>
                <w:sz w:val="21"/>
                <w:szCs w:val="21"/>
                <w:lang w:val="en-US" w:eastAsia="zh-CN"/>
              </w:rPr>
              <w:t>NH</w:t>
            </w:r>
            <w:r>
              <w:rPr>
                <w:rFonts w:hint="eastAsia" w:ascii="Times New Roman" w:hAnsi="Times New Roman"/>
                <w:color w:val="000000"/>
                <w:spacing w:val="-11"/>
                <w:sz w:val="21"/>
                <w:szCs w:val="21"/>
                <w:vertAlign w:val="subscript"/>
                <w:lang w:val="en-US" w:eastAsia="zh-CN"/>
              </w:rPr>
              <w:t>3</w:t>
            </w:r>
          </w:p>
        </w:tc>
        <w:tc>
          <w:tcPr>
            <w:tcW w:w="1933" w:type="dxa"/>
            <w:gridSpan w:val="2"/>
            <w:noWrap w:val="0"/>
            <w:vAlign w:val="center"/>
          </w:tcPr>
          <w:p>
            <w:pPr>
              <w:spacing w:line="240" w:lineRule="auto"/>
              <w:ind w:firstLine="0" w:firstLineChars="0"/>
              <w:jc w:val="center"/>
              <w:rPr>
                <w:rFonts w:hint="eastAsia" w:ascii="宋体" w:hAnsi="宋体" w:eastAsia="宋体" w:cs="Times New Roman"/>
                <w:color w:val="000000"/>
                <w:spacing w:val="-11"/>
                <w:sz w:val="21"/>
                <w:szCs w:val="21"/>
                <w:lang w:val="en-US" w:eastAsia="zh-CN" w:bidi="ar-SA"/>
              </w:rPr>
            </w:pPr>
            <w:r>
              <w:rPr>
                <w:rFonts w:hint="eastAsia" w:ascii="Times New Roman" w:hAnsi="Times New Roman"/>
                <w:color w:val="000000"/>
                <w:spacing w:val="-11"/>
                <w:sz w:val="21"/>
                <w:szCs w:val="21"/>
                <w:lang w:val="en-US" w:eastAsia="zh-CN"/>
              </w:rPr>
              <w:t>1</w:t>
            </w:r>
            <w:r>
              <w:rPr>
                <w:rFonts w:hint="eastAsia" w:hAnsi="宋体"/>
                <w:color w:val="000000"/>
                <w:spacing w:val="-11"/>
                <w:sz w:val="21"/>
                <w:szCs w:val="21"/>
                <w:lang w:val="en-US" w:eastAsia="zh-CN"/>
              </w:rPr>
              <w:t>.</w:t>
            </w:r>
            <w:r>
              <w:rPr>
                <w:rFonts w:hint="eastAsia" w:ascii="Times New Roman" w:hAnsi="Times New Roman"/>
                <w:color w:val="000000"/>
                <w:spacing w:val="-11"/>
                <w:sz w:val="21"/>
                <w:szCs w:val="21"/>
                <w:lang w:val="en-US" w:eastAsia="zh-CN"/>
              </w:rPr>
              <w:t>5mg</w:t>
            </w:r>
            <w:r>
              <w:rPr>
                <w:rFonts w:hint="eastAsia" w:hAnsi="宋体"/>
                <w:color w:val="000000"/>
                <w:spacing w:val="-11"/>
                <w:sz w:val="21"/>
                <w:szCs w:val="21"/>
                <w:lang w:val="en-US" w:eastAsia="zh-CN"/>
              </w:rPr>
              <w:t>/</w:t>
            </w:r>
            <w:r>
              <w:rPr>
                <w:rFonts w:hint="eastAsia" w:ascii="Times New Roman" w:hAnsi="Times New Roman"/>
                <w:color w:val="000000"/>
                <w:spacing w:val="-11"/>
                <w:sz w:val="21"/>
                <w:szCs w:val="21"/>
                <w:lang w:val="en-US" w:eastAsia="zh-CN"/>
              </w:rPr>
              <w:t>m</w:t>
            </w:r>
            <w:r>
              <w:rPr>
                <w:rFonts w:hint="eastAsia" w:hAnsi="宋体"/>
                <w:color w:val="000000"/>
                <w:spacing w:val="-11"/>
                <w:sz w:val="21"/>
                <w:szCs w:val="21"/>
                <w:lang w:val="en-US" w:eastAsia="zh-CN"/>
              </w:rPr>
              <w:t>³</w:t>
            </w:r>
          </w:p>
        </w:tc>
        <w:tc>
          <w:tcPr>
            <w:tcW w:w="3560" w:type="dxa"/>
            <w:gridSpan w:val="2"/>
            <w:noWrap w:val="0"/>
            <w:vAlign w:val="center"/>
          </w:tcPr>
          <w:p>
            <w:pPr>
              <w:tabs>
                <w:tab w:val="left" w:pos="360"/>
                <w:tab w:val="left" w:pos="1620"/>
              </w:tabs>
              <w:snapToGrid w:val="0"/>
              <w:spacing w:line="240" w:lineRule="auto"/>
              <w:ind w:firstLine="0"/>
              <w:jc w:val="center"/>
              <w:rPr>
                <w:rFonts w:hint="eastAsia" w:hAnsi="宋体" w:eastAsia="宋体"/>
                <w:color w:val="000000"/>
                <w:spacing w:val="-11"/>
                <w:sz w:val="21"/>
                <w:szCs w:val="21"/>
                <w:lang w:eastAsia="zh-CN"/>
              </w:rPr>
            </w:pPr>
            <w:r>
              <w:rPr>
                <w:rFonts w:hint="eastAsia" w:hAnsi="宋体"/>
                <w:color w:val="000000"/>
                <w:spacing w:val="-11"/>
                <w:sz w:val="21"/>
                <w:szCs w:val="21"/>
              </w:rPr>
              <w:t>《</w:t>
            </w:r>
            <w:r>
              <w:rPr>
                <w:rFonts w:hint="eastAsia" w:hAnsi="宋体"/>
                <w:color w:val="000000"/>
                <w:spacing w:val="-11"/>
                <w:sz w:val="21"/>
                <w:szCs w:val="21"/>
                <w:lang w:eastAsia="zh-CN"/>
              </w:rPr>
              <w:t>恶臭污染物</w:t>
            </w:r>
            <w:r>
              <w:rPr>
                <w:rFonts w:hint="eastAsia" w:hAnsi="宋体"/>
                <w:color w:val="000000"/>
                <w:spacing w:val="-11"/>
                <w:sz w:val="21"/>
                <w:szCs w:val="21"/>
              </w:rPr>
              <w:t>排放标准》（</w:t>
            </w:r>
            <w:r>
              <w:rPr>
                <w:rFonts w:hint="eastAsia" w:ascii="Times New Roman" w:hAnsi="Times New Roman"/>
                <w:color w:val="000000"/>
                <w:spacing w:val="-11"/>
                <w:sz w:val="21"/>
                <w:szCs w:val="21"/>
              </w:rPr>
              <w:t>GB1</w:t>
            </w:r>
            <w:r>
              <w:rPr>
                <w:rFonts w:hint="eastAsia" w:ascii="Times New Roman" w:hAnsi="Times New Roman"/>
                <w:color w:val="000000"/>
                <w:spacing w:val="-11"/>
                <w:sz w:val="21"/>
                <w:szCs w:val="21"/>
                <w:lang w:val="en-US" w:eastAsia="zh-CN"/>
              </w:rPr>
              <w:t>4554</w:t>
            </w:r>
            <w:r>
              <w:rPr>
                <w:rFonts w:hint="eastAsia" w:ascii="Times New Roman"/>
                <w:color w:val="000000"/>
                <w:spacing w:val="-11"/>
                <w:sz w:val="21"/>
                <w:szCs w:val="21"/>
                <w:lang w:val="en-US" w:eastAsia="zh-CN"/>
              </w:rPr>
              <w:t>-</w:t>
            </w:r>
            <w:r>
              <w:rPr>
                <w:rFonts w:hint="eastAsia" w:ascii="Times New Roman" w:hAnsi="Times New Roman"/>
                <w:color w:val="000000"/>
                <w:spacing w:val="-11"/>
                <w:sz w:val="21"/>
                <w:szCs w:val="21"/>
                <w:lang w:val="en-US" w:eastAsia="zh-CN"/>
              </w:rPr>
              <w:t>93</w:t>
            </w:r>
            <w:r>
              <w:rPr>
                <w:rFonts w:hint="eastAsia" w:hAnsi="宋体"/>
                <w:color w:val="000000"/>
                <w:spacing w:val="-11"/>
                <w:sz w:val="21"/>
                <w:szCs w:val="21"/>
              </w:rPr>
              <w:t>）表</w:t>
            </w:r>
            <w:r>
              <w:rPr>
                <w:rFonts w:hint="eastAsia" w:ascii="Times New Roman" w:hAnsi="Times New Roman"/>
                <w:color w:val="000000"/>
                <w:spacing w:val="-11"/>
                <w:sz w:val="21"/>
                <w:szCs w:val="21"/>
                <w:lang w:val="en-US" w:eastAsia="zh-CN"/>
              </w:rPr>
              <w:t>1</w:t>
            </w:r>
            <w:r>
              <w:rPr>
                <w:rFonts w:hint="eastAsia" w:ascii="Times New Roman"/>
                <w:color w:val="000000"/>
                <w:spacing w:val="-11"/>
                <w:sz w:val="21"/>
                <w:szCs w:val="21"/>
                <w:lang w:val="en-US" w:eastAsia="zh-CN"/>
              </w:rPr>
              <w:t>恶臭污染物厂界标准值新扩改建二级</w:t>
            </w:r>
          </w:p>
        </w:tc>
        <w:tc>
          <w:tcPr>
            <w:tcW w:w="1002" w:type="dxa"/>
            <w:vMerge w:val="restart"/>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lang w:val="zh-CN"/>
              </w:rPr>
            </w:pPr>
            <w:r>
              <w:rPr>
                <w:rFonts w:hint="eastAsia" w:hAnsi="宋体"/>
                <w:color w:val="000000"/>
                <w:spacing w:val="-11"/>
                <w:sz w:val="21"/>
                <w:szCs w:val="21"/>
                <w:lang w:val="zh-CN"/>
              </w:rPr>
              <w:t>厂界标准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6"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c>
          <w:tcPr>
            <w:tcW w:w="1073" w:type="dxa"/>
            <w:noWrap w:val="0"/>
            <w:vAlign w:val="center"/>
          </w:tcPr>
          <w:p>
            <w:pPr>
              <w:spacing w:line="240" w:lineRule="auto"/>
              <w:ind w:firstLine="0" w:firstLineChars="0"/>
              <w:jc w:val="center"/>
              <w:rPr>
                <w:rFonts w:hint="eastAsia" w:ascii="宋体" w:hAnsi="宋体" w:eastAsia="宋体" w:cs="Times New Roman"/>
                <w:color w:val="000000"/>
                <w:spacing w:val="-11"/>
                <w:sz w:val="21"/>
                <w:szCs w:val="21"/>
                <w:lang w:val="en-US" w:eastAsia="zh-CN" w:bidi="ar-SA"/>
              </w:rPr>
            </w:pPr>
            <w:r>
              <w:rPr>
                <w:rFonts w:hint="eastAsia" w:ascii="Times New Roman" w:hAnsi="Times New Roman"/>
                <w:color w:val="000000"/>
                <w:spacing w:val="-11"/>
                <w:sz w:val="21"/>
                <w:szCs w:val="21"/>
                <w:lang w:val="en-US" w:eastAsia="zh-CN"/>
              </w:rPr>
              <w:t>NMHC</w:t>
            </w:r>
          </w:p>
        </w:tc>
        <w:tc>
          <w:tcPr>
            <w:tcW w:w="1933" w:type="dxa"/>
            <w:gridSpan w:val="2"/>
            <w:noWrap w:val="0"/>
            <w:vAlign w:val="center"/>
          </w:tcPr>
          <w:p>
            <w:pPr>
              <w:spacing w:line="240" w:lineRule="auto"/>
              <w:ind w:firstLine="0" w:firstLineChars="0"/>
              <w:jc w:val="center"/>
              <w:rPr>
                <w:rFonts w:hint="default" w:ascii="宋体" w:hAnsi="宋体" w:eastAsia="宋体" w:cs="Times New Roman"/>
                <w:color w:val="000000"/>
                <w:spacing w:val="-11"/>
                <w:sz w:val="21"/>
                <w:szCs w:val="21"/>
                <w:lang w:val="en-US" w:eastAsia="zh-CN" w:bidi="ar-SA"/>
              </w:rPr>
            </w:pPr>
            <w:r>
              <w:rPr>
                <w:rFonts w:hint="eastAsia" w:ascii="Times New Roman" w:hAnsi="Times New Roman"/>
                <w:color w:val="000000"/>
                <w:spacing w:val="-11"/>
                <w:sz w:val="21"/>
                <w:szCs w:val="21"/>
                <w:lang w:val="en-US" w:eastAsia="zh-CN"/>
              </w:rPr>
              <w:t>4</w:t>
            </w:r>
            <w:r>
              <w:rPr>
                <w:rFonts w:hint="eastAsia"/>
                <w:color w:val="000000"/>
                <w:spacing w:val="-11"/>
                <w:sz w:val="21"/>
                <w:szCs w:val="21"/>
                <w:lang w:val="en-US" w:eastAsia="zh-CN"/>
              </w:rPr>
              <w:t>.</w:t>
            </w:r>
            <w:r>
              <w:rPr>
                <w:rFonts w:hint="eastAsia" w:ascii="Times New Roman" w:hAnsi="Times New Roman"/>
                <w:color w:val="000000"/>
                <w:spacing w:val="-11"/>
                <w:sz w:val="21"/>
                <w:szCs w:val="21"/>
                <w:lang w:val="en-US" w:eastAsia="zh-CN"/>
              </w:rPr>
              <w:t>0mg</w:t>
            </w:r>
            <w:r>
              <w:rPr>
                <w:rFonts w:hint="eastAsia"/>
                <w:color w:val="000000"/>
                <w:spacing w:val="-11"/>
                <w:sz w:val="21"/>
                <w:szCs w:val="21"/>
                <w:lang w:val="en-US" w:eastAsia="zh-CN"/>
              </w:rPr>
              <w:t>/</w:t>
            </w:r>
            <w:r>
              <w:rPr>
                <w:rFonts w:hint="eastAsia" w:ascii="Times New Roman" w:hAnsi="Times New Roman"/>
                <w:color w:val="000000"/>
                <w:spacing w:val="-11"/>
                <w:sz w:val="21"/>
                <w:szCs w:val="21"/>
                <w:lang w:val="en-US" w:eastAsia="zh-CN"/>
              </w:rPr>
              <w:t>m</w:t>
            </w:r>
            <w:r>
              <w:rPr>
                <w:rFonts w:hint="eastAsia"/>
                <w:color w:val="000000"/>
                <w:spacing w:val="-11"/>
                <w:sz w:val="21"/>
                <w:szCs w:val="21"/>
                <w:lang w:val="en-US" w:eastAsia="zh-CN"/>
              </w:rPr>
              <w:t>³</w:t>
            </w:r>
          </w:p>
        </w:tc>
        <w:tc>
          <w:tcPr>
            <w:tcW w:w="3560" w:type="dxa"/>
            <w:gridSpan w:val="2"/>
            <w:noWrap w:val="0"/>
            <w:vAlign w:val="center"/>
          </w:tcPr>
          <w:p>
            <w:pPr>
              <w:tabs>
                <w:tab w:val="left" w:pos="360"/>
                <w:tab w:val="left" w:pos="1620"/>
              </w:tabs>
              <w:snapToGrid w:val="0"/>
              <w:spacing w:line="240" w:lineRule="auto"/>
              <w:ind w:firstLine="0"/>
              <w:jc w:val="center"/>
              <w:rPr>
                <w:rFonts w:hint="default" w:hAnsi="宋体" w:eastAsia="宋体"/>
                <w:color w:val="000000"/>
                <w:spacing w:val="-11"/>
                <w:sz w:val="21"/>
                <w:szCs w:val="21"/>
                <w:lang w:val="en-US" w:eastAsia="zh-CN"/>
              </w:rPr>
            </w:pPr>
            <w:r>
              <w:rPr>
                <w:rFonts w:hint="eastAsia"/>
                <w:color w:val="000000"/>
                <w:spacing w:val="-11"/>
                <w:sz w:val="21"/>
                <w:szCs w:val="21"/>
                <w:lang w:eastAsia="zh-CN"/>
              </w:rPr>
              <w:t>《合成树脂工业污染物排放标准》（</w:t>
            </w:r>
            <w:r>
              <w:rPr>
                <w:rFonts w:hint="eastAsia" w:ascii="Times New Roman" w:hAnsi="Times New Roman"/>
                <w:color w:val="000000"/>
                <w:spacing w:val="-11"/>
                <w:sz w:val="21"/>
                <w:szCs w:val="21"/>
                <w:lang w:val="en-US" w:eastAsia="zh-CN"/>
              </w:rPr>
              <w:t>GB31572</w:t>
            </w:r>
            <w:r>
              <w:rPr>
                <w:rFonts w:hint="eastAsia"/>
                <w:color w:val="000000"/>
                <w:spacing w:val="-11"/>
                <w:sz w:val="21"/>
                <w:szCs w:val="21"/>
                <w:lang w:val="en-US" w:eastAsia="zh-CN"/>
              </w:rPr>
              <w:t>-</w:t>
            </w:r>
            <w:r>
              <w:rPr>
                <w:rFonts w:hint="eastAsia" w:ascii="Times New Roman" w:hAnsi="Times New Roman"/>
                <w:color w:val="000000"/>
                <w:spacing w:val="-11"/>
                <w:sz w:val="21"/>
                <w:szCs w:val="21"/>
                <w:lang w:val="en-US" w:eastAsia="zh-CN"/>
              </w:rPr>
              <w:t>2015</w:t>
            </w:r>
            <w:r>
              <w:rPr>
                <w:rFonts w:hint="eastAsia"/>
                <w:color w:val="000000"/>
                <w:spacing w:val="-11"/>
                <w:sz w:val="21"/>
                <w:szCs w:val="21"/>
                <w:lang w:eastAsia="zh-CN"/>
              </w:rPr>
              <w:t>）表</w:t>
            </w:r>
            <w:r>
              <w:rPr>
                <w:rFonts w:hint="eastAsia" w:ascii="Times New Roman" w:hAnsi="Times New Roman"/>
                <w:color w:val="000000"/>
                <w:spacing w:val="-11"/>
                <w:sz w:val="21"/>
                <w:szCs w:val="21"/>
                <w:lang w:val="en-US" w:eastAsia="zh-CN"/>
              </w:rPr>
              <w:t>6</w:t>
            </w:r>
          </w:p>
        </w:tc>
        <w:tc>
          <w:tcPr>
            <w:tcW w:w="1002"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6"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c>
          <w:tcPr>
            <w:tcW w:w="1073" w:type="dxa"/>
            <w:vMerge w:val="restart"/>
            <w:noWrap w:val="0"/>
            <w:vAlign w:val="center"/>
          </w:tcPr>
          <w:p>
            <w:pPr>
              <w:spacing w:line="240" w:lineRule="auto"/>
              <w:ind w:firstLine="0" w:firstLineChars="0"/>
              <w:jc w:val="center"/>
              <w:rPr>
                <w:rFonts w:hint="default"/>
                <w:color w:val="000000"/>
                <w:spacing w:val="-11"/>
                <w:sz w:val="21"/>
                <w:szCs w:val="21"/>
                <w:lang w:val="en-US" w:eastAsia="zh-CN"/>
              </w:rPr>
            </w:pPr>
            <w:r>
              <w:rPr>
                <w:rFonts w:hint="eastAsia" w:ascii="Times New Roman" w:hAnsi="Times New Roman"/>
                <w:color w:val="000000"/>
                <w:spacing w:val="-11"/>
                <w:sz w:val="21"/>
                <w:szCs w:val="21"/>
                <w:lang w:val="en-US" w:eastAsia="zh-CN"/>
              </w:rPr>
              <w:t>NMHC</w:t>
            </w:r>
          </w:p>
        </w:tc>
        <w:tc>
          <w:tcPr>
            <w:tcW w:w="1933" w:type="dxa"/>
            <w:gridSpan w:val="2"/>
            <w:noWrap w:val="0"/>
            <w:vAlign w:val="center"/>
          </w:tcPr>
          <w:p>
            <w:pPr>
              <w:tabs>
                <w:tab w:val="left" w:pos="360"/>
                <w:tab w:val="left" w:pos="1620"/>
              </w:tabs>
              <w:snapToGrid w:val="0"/>
              <w:spacing w:line="240" w:lineRule="auto"/>
              <w:ind w:firstLine="0" w:firstLineChars="0"/>
              <w:jc w:val="center"/>
              <w:rPr>
                <w:rFonts w:hint="eastAsia" w:ascii="Times New Roman" w:hAnsi="宋体" w:eastAsia="宋体" w:cs="Times New Roman"/>
                <w:color w:val="000000"/>
                <w:spacing w:val="-11"/>
                <w:sz w:val="21"/>
                <w:szCs w:val="21"/>
                <w:lang w:val="en-US" w:eastAsia="zh-CN" w:bidi="ar-SA"/>
              </w:rPr>
            </w:pPr>
            <w:r>
              <w:rPr>
                <w:rFonts w:hint="eastAsia" w:ascii="Times New Roman" w:hAnsi="Times New Roman"/>
                <w:color w:val="000000"/>
                <w:spacing w:val="-11"/>
                <w:sz w:val="21"/>
                <w:szCs w:val="21"/>
              </w:rPr>
              <w:t>6mg</w:t>
            </w:r>
            <w:r>
              <w:rPr>
                <w:rFonts w:hint="eastAsia" w:ascii="Times New Roman"/>
                <w:color w:val="000000"/>
                <w:spacing w:val="-11"/>
                <w:sz w:val="21"/>
                <w:szCs w:val="21"/>
              </w:rPr>
              <w:t>/</w:t>
            </w:r>
            <w:r>
              <w:rPr>
                <w:rFonts w:hint="eastAsia" w:ascii="Times New Roman" w:hAnsi="Times New Roman"/>
                <w:color w:val="000000"/>
                <w:spacing w:val="-11"/>
                <w:sz w:val="21"/>
                <w:szCs w:val="21"/>
              </w:rPr>
              <w:t>m</w:t>
            </w:r>
            <w:r>
              <w:rPr>
                <w:rFonts w:hint="eastAsia" w:ascii="Times New Roman"/>
                <w:color w:val="000000"/>
                <w:spacing w:val="-11"/>
                <w:sz w:val="21"/>
                <w:szCs w:val="21"/>
              </w:rPr>
              <w:t>³</w:t>
            </w:r>
          </w:p>
        </w:tc>
        <w:tc>
          <w:tcPr>
            <w:tcW w:w="1695" w:type="dxa"/>
            <w:noWrap w:val="0"/>
            <w:vAlign w:val="center"/>
          </w:tcPr>
          <w:p>
            <w:pPr>
              <w:tabs>
                <w:tab w:val="left" w:pos="360"/>
                <w:tab w:val="left" w:pos="1620"/>
              </w:tabs>
              <w:snapToGrid w:val="0"/>
              <w:spacing w:line="240" w:lineRule="auto"/>
              <w:ind w:firstLine="0" w:firstLineChars="0"/>
              <w:jc w:val="center"/>
              <w:rPr>
                <w:rFonts w:hint="default" w:ascii="Times New Roman" w:hAnsi="宋体" w:eastAsia="宋体" w:cs="Times New Roman"/>
                <w:color w:val="000000"/>
                <w:spacing w:val="-11"/>
                <w:sz w:val="21"/>
                <w:szCs w:val="21"/>
                <w:lang w:val="en-US" w:eastAsia="zh-CN" w:bidi="ar-SA"/>
              </w:rPr>
            </w:pPr>
            <w:r>
              <w:rPr>
                <w:rFonts w:hint="eastAsia" w:ascii="Times New Roman"/>
                <w:color w:val="000000"/>
                <w:spacing w:val="-11"/>
                <w:sz w:val="21"/>
                <w:szCs w:val="21"/>
              </w:rPr>
              <w:t>监控点处</w:t>
            </w:r>
            <w:r>
              <w:rPr>
                <w:rFonts w:hint="eastAsia" w:ascii="Times New Roman" w:hAnsi="Times New Roman"/>
                <w:color w:val="000000"/>
                <w:spacing w:val="-11"/>
                <w:sz w:val="21"/>
                <w:szCs w:val="21"/>
              </w:rPr>
              <w:t>1h</w:t>
            </w:r>
            <w:r>
              <w:rPr>
                <w:rFonts w:hint="eastAsia" w:ascii="Times New Roman"/>
                <w:color w:val="000000"/>
                <w:spacing w:val="-11"/>
                <w:sz w:val="21"/>
                <w:szCs w:val="21"/>
              </w:rPr>
              <w:t>平均浓度值</w:t>
            </w:r>
          </w:p>
        </w:tc>
        <w:tc>
          <w:tcPr>
            <w:tcW w:w="1865" w:type="dxa"/>
            <w:vMerge w:val="restart"/>
            <w:noWrap w:val="0"/>
            <w:vAlign w:val="center"/>
          </w:tcPr>
          <w:p>
            <w:pPr>
              <w:tabs>
                <w:tab w:val="left" w:pos="360"/>
                <w:tab w:val="left" w:pos="1620"/>
              </w:tabs>
              <w:snapToGrid w:val="0"/>
              <w:spacing w:line="240" w:lineRule="auto"/>
              <w:ind w:firstLine="0" w:firstLineChars="0"/>
              <w:jc w:val="center"/>
              <w:rPr>
                <w:rFonts w:hint="default" w:ascii="宋体" w:hAnsi="宋体" w:eastAsia="宋体" w:cs="Times New Roman"/>
                <w:color w:val="000000"/>
                <w:spacing w:val="-11"/>
                <w:sz w:val="21"/>
                <w:szCs w:val="21"/>
                <w:lang w:val="en-US" w:eastAsia="zh-CN" w:bidi="ar-SA"/>
              </w:rPr>
            </w:pPr>
            <w:r>
              <w:rPr>
                <w:rFonts w:hint="eastAsia" w:ascii="Times New Roman"/>
                <w:color w:val="000000"/>
                <w:spacing w:val="-11"/>
                <w:sz w:val="21"/>
                <w:szCs w:val="21"/>
              </w:rPr>
              <w:t>《挥发性有机物无组织排放控制标准》（</w:t>
            </w:r>
            <w:r>
              <w:rPr>
                <w:rFonts w:hint="eastAsia" w:ascii="Times New Roman" w:hAnsi="Times New Roman"/>
                <w:color w:val="000000"/>
                <w:spacing w:val="-11"/>
                <w:sz w:val="21"/>
                <w:szCs w:val="21"/>
              </w:rPr>
              <w:t>GB37822</w:t>
            </w:r>
            <w:r>
              <w:rPr>
                <w:rFonts w:hint="eastAsia" w:ascii="Times New Roman"/>
                <w:color w:val="000000"/>
                <w:spacing w:val="-11"/>
                <w:sz w:val="21"/>
                <w:szCs w:val="21"/>
              </w:rPr>
              <w:t>-</w:t>
            </w:r>
            <w:r>
              <w:rPr>
                <w:rFonts w:hint="eastAsia" w:ascii="Times New Roman" w:hAnsi="Times New Roman"/>
                <w:color w:val="000000"/>
                <w:spacing w:val="-11"/>
                <w:sz w:val="21"/>
                <w:szCs w:val="21"/>
              </w:rPr>
              <w:t>2019</w:t>
            </w:r>
            <w:r>
              <w:rPr>
                <w:rFonts w:hint="eastAsia" w:ascii="Times New Roman"/>
                <w:color w:val="000000"/>
                <w:spacing w:val="-11"/>
                <w:sz w:val="21"/>
                <w:szCs w:val="21"/>
              </w:rPr>
              <w:t>）表</w:t>
            </w:r>
            <w:r>
              <w:rPr>
                <w:rFonts w:hint="eastAsia" w:ascii="Times New Roman" w:hAnsi="Times New Roman"/>
                <w:color w:val="000000"/>
                <w:spacing w:val="-11"/>
                <w:sz w:val="21"/>
                <w:szCs w:val="21"/>
              </w:rPr>
              <w:t>A</w:t>
            </w:r>
            <w:r>
              <w:rPr>
                <w:rFonts w:hint="eastAsia" w:ascii="Times New Roman"/>
                <w:color w:val="000000"/>
                <w:spacing w:val="-11"/>
                <w:sz w:val="21"/>
                <w:szCs w:val="21"/>
              </w:rPr>
              <w:t>.</w:t>
            </w:r>
            <w:r>
              <w:rPr>
                <w:rFonts w:hint="eastAsia" w:ascii="Times New Roman" w:hAnsi="Times New Roman"/>
                <w:color w:val="000000"/>
                <w:spacing w:val="-11"/>
                <w:sz w:val="21"/>
                <w:szCs w:val="21"/>
              </w:rPr>
              <w:t>1</w:t>
            </w:r>
          </w:p>
        </w:tc>
        <w:tc>
          <w:tcPr>
            <w:tcW w:w="1002" w:type="dxa"/>
            <w:vMerge w:val="restart"/>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lang w:val="zh-CN"/>
              </w:rPr>
            </w:pPr>
            <w:r>
              <w:rPr>
                <w:rFonts w:hint="eastAsia"/>
                <w:color w:val="000000"/>
                <w:spacing w:val="-11"/>
                <w:sz w:val="21"/>
                <w:szCs w:val="21"/>
                <w:lang w:val="zh-CN"/>
              </w:rPr>
              <w:t>厂房外，厂界内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6"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c>
          <w:tcPr>
            <w:tcW w:w="1073" w:type="dxa"/>
            <w:vMerge w:val="continue"/>
            <w:noWrap w:val="0"/>
            <w:vAlign w:val="center"/>
          </w:tcPr>
          <w:p>
            <w:pPr>
              <w:spacing w:line="240" w:lineRule="auto"/>
              <w:ind w:firstLine="0" w:firstLineChars="0"/>
              <w:jc w:val="center"/>
              <w:rPr>
                <w:rFonts w:hint="eastAsia"/>
                <w:color w:val="000000"/>
                <w:spacing w:val="-11"/>
                <w:sz w:val="21"/>
                <w:szCs w:val="21"/>
                <w:lang w:val="en-US" w:eastAsia="zh-CN"/>
              </w:rPr>
            </w:pPr>
          </w:p>
        </w:tc>
        <w:tc>
          <w:tcPr>
            <w:tcW w:w="1933" w:type="dxa"/>
            <w:gridSpan w:val="2"/>
            <w:noWrap w:val="0"/>
            <w:vAlign w:val="center"/>
          </w:tcPr>
          <w:p>
            <w:pPr>
              <w:tabs>
                <w:tab w:val="left" w:pos="360"/>
                <w:tab w:val="left" w:pos="1620"/>
              </w:tabs>
              <w:snapToGrid w:val="0"/>
              <w:spacing w:line="240" w:lineRule="auto"/>
              <w:ind w:firstLine="0" w:firstLineChars="0"/>
              <w:jc w:val="center"/>
              <w:rPr>
                <w:rFonts w:hint="eastAsia" w:ascii="Times New Roman" w:hAnsi="宋体" w:eastAsia="宋体" w:cs="Times New Roman"/>
                <w:color w:val="000000"/>
                <w:spacing w:val="-11"/>
                <w:sz w:val="21"/>
                <w:szCs w:val="21"/>
                <w:lang w:val="en-US" w:eastAsia="zh-CN" w:bidi="ar-SA"/>
              </w:rPr>
            </w:pPr>
            <w:r>
              <w:rPr>
                <w:rFonts w:hint="eastAsia" w:ascii="Times New Roman" w:hAnsi="Times New Roman"/>
                <w:color w:val="000000"/>
                <w:spacing w:val="-11"/>
                <w:sz w:val="21"/>
                <w:szCs w:val="21"/>
              </w:rPr>
              <w:t>20mg</w:t>
            </w:r>
            <w:r>
              <w:rPr>
                <w:rFonts w:hint="eastAsia" w:ascii="Times New Roman"/>
                <w:color w:val="000000"/>
                <w:spacing w:val="-11"/>
                <w:sz w:val="21"/>
                <w:szCs w:val="21"/>
              </w:rPr>
              <w:t>/</w:t>
            </w:r>
            <w:r>
              <w:rPr>
                <w:rFonts w:hint="eastAsia" w:ascii="Times New Roman" w:hAnsi="Times New Roman"/>
                <w:color w:val="000000"/>
                <w:spacing w:val="-11"/>
                <w:sz w:val="21"/>
                <w:szCs w:val="21"/>
              </w:rPr>
              <w:t>m</w:t>
            </w:r>
            <w:r>
              <w:rPr>
                <w:rFonts w:hint="eastAsia" w:ascii="Times New Roman"/>
                <w:color w:val="000000"/>
                <w:spacing w:val="-11"/>
                <w:sz w:val="21"/>
                <w:szCs w:val="21"/>
              </w:rPr>
              <w:t>³</w:t>
            </w:r>
          </w:p>
        </w:tc>
        <w:tc>
          <w:tcPr>
            <w:tcW w:w="1695" w:type="dxa"/>
            <w:noWrap w:val="0"/>
            <w:vAlign w:val="center"/>
          </w:tcPr>
          <w:p>
            <w:pPr>
              <w:tabs>
                <w:tab w:val="left" w:pos="360"/>
                <w:tab w:val="left" w:pos="1620"/>
              </w:tabs>
              <w:snapToGrid w:val="0"/>
              <w:spacing w:line="240" w:lineRule="auto"/>
              <w:ind w:firstLine="0" w:firstLineChars="0"/>
              <w:jc w:val="center"/>
              <w:rPr>
                <w:rFonts w:hint="default" w:ascii="Times New Roman" w:hAnsi="宋体" w:eastAsia="宋体" w:cs="Times New Roman"/>
                <w:color w:val="000000"/>
                <w:spacing w:val="-11"/>
                <w:sz w:val="21"/>
                <w:szCs w:val="21"/>
                <w:lang w:val="en-US" w:eastAsia="zh-CN" w:bidi="ar-SA"/>
              </w:rPr>
            </w:pPr>
            <w:r>
              <w:rPr>
                <w:rFonts w:hint="eastAsia" w:ascii="Times New Roman"/>
                <w:color w:val="000000"/>
                <w:spacing w:val="-11"/>
                <w:sz w:val="21"/>
                <w:szCs w:val="21"/>
              </w:rPr>
              <w:t>监控点处任意一次浓度值</w:t>
            </w:r>
          </w:p>
        </w:tc>
        <w:tc>
          <w:tcPr>
            <w:tcW w:w="1865" w:type="dxa"/>
            <w:vMerge w:val="continue"/>
            <w:noWrap w:val="0"/>
            <w:vAlign w:val="center"/>
          </w:tcPr>
          <w:p>
            <w:pPr>
              <w:tabs>
                <w:tab w:val="left" w:pos="360"/>
                <w:tab w:val="left" w:pos="1620"/>
              </w:tabs>
              <w:snapToGrid w:val="0"/>
              <w:spacing w:line="240" w:lineRule="auto"/>
              <w:ind w:firstLine="0"/>
              <w:jc w:val="center"/>
              <w:rPr>
                <w:rFonts w:hint="default" w:hAnsi="宋体" w:eastAsia="宋体"/>
                <w:color w:val="000000"/>
                <w:spacing w:val="-11"/>
                <w:sz w:val="21"/>
                <w:szCs w:val="21"/>
                <w:lang w:val="en-US" w:eastAsia="zh-CN"/>
              </w:rPr>
            </w:pPr>
          </w:p>
        </w:tc>
        <w:tc>
          <w:tcPr>
            <w:tcW w:w="1002"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06" w:type="dxa"/>
            <w:vMerge w:val="restart"/>
            <w:noWrap w:val="0"/>
            <w:vAlign w:val="center"/>
          </w:tcPr>
          <w:p>
            <w:pPr>
              <w:tabs>
                <w:tab w:val="left" w:pos="360"/>
                <w:tab w:val="left" w:pos="1620"/>
              </w:tabs>
              <w:snapToGrid w:val="0"/>
              <w:spacing w:line="240" w:lineRule="auto"/>
              <w:ind w:firstLine="0"/>
              <w:jc w:val="center"/>
              <w:rPr>
                <w:rFonts w:hint="eastAsia" w:hAnsi="宋体" w:eastAsia="宋体"/>
                <w:color w:val="000000"/>
                <w:spacing w:val="-11"/>
                <w:sz w:val="21"/>
                <w:szCs w:val="21"/>
                <w:lang w:eastAsia="zh-CN"/>
              </w:rPr>
            </w:pPr>
            <w:r>
              <w:rPr>
                <w:rFonts w:hint="eastAsia"/>
                <w:spacing w:val="-11"/>
                <w:sz w:val="21"/>
                <w:szCs w:val="21"/>
                <w:lang w:eastAsia="zh-CN"/>
              </w:rPr>
              <w:t>装置地面冲洗废水</w:t>
            </w:r>
            <w:r>
              <w:rPr>
                <w:rFonts w:hint="eastAsia" w:hAnsi="宋体"/>
                <w:spacing w:val="-11"/>
                <w:sz w:val="21"/>
                <w:szCs w:val="21"/>
              </w:rPr>
              <w:t>、</w:t>
            </w:r>
            <w:r>
              <w:rPr>
                <w:rFonts w:hint="eastAsia"/>
                <w:spacing w:val="-11"/>
                <w:sz w:val="21"/>
                <w:szCs w:val="21"/>
                <w:lang w:eastAsia="zh-CN"/>
              </w:rPr>
              <w:t>生活污水经污水站处理</w:t>
            </w:r>
          </w:p>
        </w:tc>
        <w:tc>
          <w:tcPr>
            <w:tcW w:w="1073" w:type="dxa"/>
            <w:noWrap w:val="0"/>
            <w:vAlign w:val="center"/>
          </w:tcPr>
          <w:p>
            <w:pPr>
              <w:spacing w:line="240" w:lineRule="auto"/>
              <w:ind w:firstLine="0" w:firstLineChars="0"/>
              <w:jc w:val="center"/>
              <w:rPr>
                <w:rFonts w:hint="default" w:ascii="Times New Roman" w:hAnsi="Times New Roman"/>
                <w:spacing w:val="-11"/>
                <w:sz w:val="21"/>
                <w:szCs w:val="21"/>
                <w:lang w:val="en-US" w:eastAsia="zh-CN"/>
              </w:rPr>
            </w:pPr>
            <w:r>
              <w:rPr>
                <w:rFonts w:hint="eastAsia" w:ascii="Times New Roman" w:hAnsi="Times New Roman"/>
                <w:spacing w:val="-11"/>
                <w:sz w:val="21"/>
                <w:szCs w:val="21"/>
                <w:lang w:val="en-US" w:eastAsia="zh-CN"/>
              </w:rPr>
              <w:t>pH</w:t>
            </w:r>
          </w:p>
        </w:tc>
        <w:tc>
          <w:tcPr>
            <w:tcW w:w="1933" w:type="dxa"/>
            <w:gridSpan w:val="2"/>
            <w:noWrap w:val="0"/>
            <w:vAlign w:val="center"/>
          </w:tcPr>
          <w:p>
            <w:pPr>
              <w:spacing w:line="240" w:lineRule="auto"/>
              <w:ind w:firstLine="0" w:firstLineChars="0"/>
              <w:jc w:val="center"/>
              <w:rPr>
                <w:rFonts w:hint="default" w:ascii="Times New Roman" w:hAnsi="Times New Roman"/>
                <w:spacing w:val="-11"/>
                <w:sz w:val="21"/>
                <w:szCs w:val="21"/>
                <w:lang w:val="en-US" w:eastAsia="zh-CN"/>
              </w:rPr>
            </w:pPr>
            <w:r>
              <w:rPr>
                <w:rFonts w:hint="eastAsia" w:ascii="Times New Roman" w:hAnsi="Times New Roman"/>
                <w:spacing w:val="-11"/>
                <w:sz w:val="21"/>
                <w:szCs w:val="21"/>
                <w:lang w:val="en-US" w:eastAsia="zh-CN"/>
              </w:rPr>
              <w:t>6</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5</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9</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5</w:t>
            </w:r>
          </w:p>
        </w:tc>
        <w:tc>
          <w:tcPr>
            <w:tcW w:w="3560" w:type="dxa"/>
            <w:gridSpan w:val="2"/>
            <w:vMerge w:val="restart"/>
            <w:noWrap w:val="0"/>
            <w:vAlign w:val="center"/>
          </w:tcPr>
          <w:p>
            <w:pPr>
              <w:tabs>
                <w:tab w:val="left" w:pos="360"/>
                <w:tab w:val="left" w:pos="1620"/>
              </w:tabs>
              <w:snapToGrid w:val="0"/>
              <w:spacing w:line="240" w:lineRule="auto"/>
              <w:ind w:firstLine="0"/>
              <w:jc w:val="center"/>
              <w:rPr>
                <w:rFonts w:hint="eastAsia"/>
                <w:spacing w:val="-11"/>
                <w:sz w:val="21"/>
                <w:szCs w:val="21"/>
                <w:lang w:val="en-US" w:eastAsia="zh-CN"/>
              </w:rPr>
            </w:pPr>
            <w:r>
              <w:rPr>
                <w:rFonts w:hint="eastAsia" w:hAnsi="宋体"/>
                <w:spacing w:val="-11"/>
                <w:sz w:val="21"/>
                <w:szCs w:val="21"/>
                <w:lang w:eastAsia="zh-CN"/>
              </w:rPr>
              <w:t>《</w:t>
            </w:r>
            <w:r>
              <w:rPr>
                <w:rFonts w:hint="eastAsia"/>
                <w:spacing w:val="-11"/>
                <w:sz w:val="21"/>
                <w:szCs w:val="21"/>
                <w:lang w:eastAsia="zh-CN"/>
              </w:rPr>
              <w:t>污水排入城镇下水道水质标准</w:t>
            </w:r>
            <w:r>
              <w:rPr>
                <w:rFonts w:hint="eastAsia" w:hAnsi="宋体"/>
                <w:spacing w:val="-11"/>
                <w:sz w:val="21"/>
                <w:szCs w:val="21"/>
                <w:lang w:eastAsia="zh-CN"/>
              </w:rPr>
              <w:t>》（</w:t>
            </w:r>
            <w:r>
              <w:rPr>
                <w:rFonts w:hint="eastAsia" w:ascii="Times New Roman" w:hAnsi="Times New Roman"/>
                <w:spacing w:val="-11"/>
                <w:sz w:val="21"/>
                <w:szCs w:val="21"/>
                <w:lang w:val="en-US" w:eastAsia="zh-CN"/>
              </w:rPr>
              <w:t>GB</w:t>
            </w:r>
            <w:r>
              <w:rPr>
                <w:rFonts w:hint="eastAsia"/>
                <w:spacing w:val="-11"/>
                <w:sz w:val="21"/>
                <w:szCs w:val="21"/>
                <w:lang w:val="en-US" w:eastAsia="zh-CN"/>
              </w:rPr>
              <w:t>/</w:t>
            </w:r>
            <w:r>
              <w:rPr>
                <w:rFonts w:hint="eastAsia" w:ascii="Times New Roman" w:hAnsi="Times New Roman"/>
                <w:spacing w:val="-11"/>
                <w:sz w:val="21"/>
                <w:szCs w:val="21"/>
                <w:lang w:val="en-US" w:eastAsia="zh-CN"/>
              </w:rPr>
              <w:t>T31962</w:t>
            </w:r>
            <w:r>
              <w:rPr>
                <w:rFonts w:hint="eastAsia"/>
                <w:spacing w:val="-11"/>
                <w:sz w:val="21"/>
                <w:szCs w:val="21"/>
                <w:lang w:val="en-US" w:eastAsia="zh-CN"/>
              </w:rPr>
              <w:t>-</w:t>
            </w:r>
            <w:r>
              <w:rPr>
                <w:rFonts w:hint="eastAsia" w:ascii="Times New Roman" w:hAnsi="Times New Roman"/>
                <w:spacing w:val="-11"/>
                <w:sz w:val="21"/>
                <w:szCs w:val="21"/>
                <w:lang w:val="en-US" w:eastAsia="zh-CN"/>
              </w:rPr>
              <w:t>2015</w:t>
            </w:r>
            <w:r>
              <w:rPr>
                <w:rFonts w:hint="eastAsia" w:hAnsi="宋体"/>
                <w:spacing w:val="-11"/>
                <w:sz w:val="21"/>
                <w:szCs w:val="21"/>
                <w:lang w:eastAsia="zh-CN"/>
              </w:rPr>
              <w:t>）表</w:t>
            </w:r>
            <w:r>
              <w:rPr>
                <w:rFonts w:hint="eastAsia" w:ascii="Times New Roman" w:hAnsi="Times New Roman"/>
                <w:spacing w:val="-11"/>
                <w:sz w:val="21"/>
                <w:szCs w:val="21"/>
                <w:lang w:val="en-US" w:eastAsia="zh-CN"/>
              </w:rPr>
              <w:t>1B</w:t>
            </w:r>
            <w:r>
              <w:rPr>
                <w:rFonts w:hint="eastAsia"/>
                <w:spacing w:val="-11"/>
                <w:sz w:val="21"/>
                <w:szCs w:val="21"/>
                <w:lang w:val="en-US" w:eastAsia="zh-CN"/>
              </w:rPr>
              <w:t>级限值</w:t>
            </w:r>
          </w:p>
          <w:p>
            <w:pPr>
              <w:tabs>
                <w:tab w:val="left" w:pos="360"/>
                <w:tab w:val="left" w:pos="1620"/>
              </w:tabs>
              <w:snapToGrid w:val="0"/>
              <w:spacing w:line="240" w:lineRule="auto"/>
              <w:ind w:firstLine="0"/>
              <w:jc w:val="center"/>
              <w:rPr>
                <w:rFonts w:hint="default" w:hAnsi="宋体" w:eastAsia="宋体"/>
                <w:spacing w:val="-11"/>
                <w:sz w:val="21"/>
                <w:szCs w:val="21"/>
                <w:lang w:val="en-US" w:eastAsia="zh-CN"/>
              </w:rPr>
            </w:pPr>
            <w:r>
              <w:rPr>
                <w:rFonts w:hint="eastAsia"/>
                <w:spacing w:val="-11"/>
                <w:sz w:val="21"/>
                <w:szCs w:val="21"/>
                <w:lang w:val="en-US" w:eastAsia="zh-CN"/>
              </w:rPr>
              <w:t>（园区污水处理厂纳污水质标准）</w:t>
            </w:r>
          </w:p>
        </w:tc>
        <w:tc>
          <w:tcPr>
            <w:tcW w:w="1002" w:type="dxa"/>
            <w:vMerge w:val="restart"/>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r>
              <w:rPr>
                <w:rFonts w:hint="eastAsia"/>
                <w:color w:val="000000"/>
                <w:spacing w:val="-11"/>
                <w:sz w:val="21"/>
                <w:szCs w:val="21"/>
                <w:lang w:eastAsia="zh-CN"/>
              </w:rPr>
              <w:t>厂内废水总排口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06" w:type="dxa"/>
            <w:vMerge w:val="continue"/>
            <w:noWrap w:val="0"/>
            <w:vAlign w:val="center"/>
          </w:tcPr>
          <w:p>
            <w:pPr>
              <w:tabs>
                <w:tab w:val="left" w:pos="360"/>
                <w:tab w:val="left" w:pos="1620"/>
              </w:tabs>
              <w:snapToGrid w:val="0"/>
              <w:spacing w:line="240" w:lineRule="auto"/>
              <w:ind w:firstLine="0"/>
              <w:jc w:val="center"/>
              <w:rPr>
                <w:rFonts w:hint="eastAsia" w:hAnsi="宋体" w:eastAsia="宋体"/>
                <w:color w:val="000000"/>
                <w:spacing w:val="-11"/>
                <w:sz w:val="21"/>
                <w:szCs w:val="21"/>
                <w:lang w:eastAsia="zh-CN"/>
              </w:rPr>
            </w:pPr>
          </w:p>
        </w:tc>
        <w:tc>
          <w:tcPr>
            <w:tcW w:w="1073" w:type="dxa"/>
            <w:noWrap w:val="0"/>
            <w:vAlign w:val="center"/>
          </w:tcPr>
          <w:p>
            <w:pPr>
              <w:spacing w:line="240" w:lineRule="auto"/>
              <w:ind w:firstLine="0" w:firstLineChars="0"/>
              <w:jc w:val="center"/>
              <w:rPr>
                <w:rFonts w:hint="eastAsia" w:ascii="宋体"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COD</w:t>
            </w:r>
          </w:p>
        </w:tc>
        <w:tc>
          <w:tcPr>
            <w:tcW w:w="1933" w:type="dxa"/>
            <w:gridSpan w:val="2"/>
            <w:noWrap w:val="0"/>
            <w:vAlign w:val="center"/>
          </w:tcPr>
          <w:p>
            <w:pPr>
              <w:spacing w:line="240" w:lineRule="auto"/>
              <w:ind w:firstLine="0" w:firstLineChars="0"/>
              <w:jc w:val="center"/>
              <w:rPr>
                <w:rFonts w:hint="default" w:ascii="宋体"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500mg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3560" w:type="dxa"/>
            <w:gridSpan w:val="2"/>
            <w:vMerge w:val="continue"/>
            <w:noWrap w:val="0"/>
            <w:vAlign w:val="center"/>
          </w:tcPr>
          <w:p>
            <w:pPr>
              <w:tabs>
                <w:tab w:val="left" w:pos="360"/>
                <w:tab w:val="left" w:pos="1620"/>
              </w:tabs>
              <w:snapToGrid w:val="0"/>
              <w:spacing w:line="240" w:lineRule="auto"/>
              <w:ind w:firstLine="0"/>
              <w:jc w:val="center"/>
              <w:rPr>
                <w:rFonts w:hint="default" w:hAnsi="宋体" w:eastAsia="宋体"/>
                <w:spacing w:val="-11"/>
                <w:sz w:val="21"/>
                <w:szCs w:val="21"/>
                <w:lang w:val="en-US" w:eastAsia="zh-CN"/>
              </w:rPr>
            </w:pPr>
          </w:p>
        </w:tc>
        <w:tc>
          <w:tcPr>
            <w:tcW w:w="1002"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06"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c>
          <w:tcPr>
            <w:tcW w:w="1073" w:type="dxa"/>
            <w:noWrap w:val="0"/>
            <w:vAlign w:val="center"/>
          </w:tcPr>
          <w:p>
            <w:pPr>
              <w:spacing w:line="240" w:lineRule="auto"/>
              <w:ind w:firstLine="0" w:firstLineChars="0"/>
              <w:jc w:val="center"/>
              <w:rPr>
                <w:rFonts w:hint="default" w:ascii="宋体"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BOD</w:t>
            </w:r>
            <w:r>
              <w:rPr>
                <w:rFonts w:hint="eastAsia" w:ascii="Times New Roman" w:hAnsi="Times New Roman"/>
                <w:spacing w:val="-11"/>
                <w:sz w:val="21"/>
                <w:szCs w:val="21"/>
                <w:vertAlign w:val="subscript"/>
                <w:lang w:val="en-US" w:eastAsia="zh-CN"/>
              </w:rPr>
              <w:t>5</w:t>
            </w:r>
          </w:p>
        </w:tc>
        <w:tc>
          <w:tcPr>
            <w:tcW w:w="1933" w:type="dxa"/>
            <w:gridSpan w:val="2"/>
            <w:noWrap w:val="0"/>
            <w:vAlign w:val="center"/>
          </w:tcPr>
          <w:p>
            <w:pPr>
              <w:spacing w:line="240" w:lineRule="auto"/>
              <w:ind w:firstLine="0" w:firstLineChars="0"/>
              <w:jc w:val="center"/>
              <w:rPr>
                <w:rFonts w:hint="default"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350mg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3560" w:type="dxa"/>
            <w:gridSpan w:val="2"/>
            <w:vMerge w:val="continue"/>
            <w:noWrap w:val="0"/>
            <w:vAlign w:val="center"/>
          </w:tcPr>
          <w:p>
            <w:pPr>
              <w:tabs>
                <w:tab w:val="left" w:pos="360"/>
                <w:tab w:val="left" w:pos="1620"/>
              </w:tabs>
              <w:snapToGrid w:val="0"/>
              <w:spacing w:line="240" w:lineRule="auto"/>
              <w:ind w:firstLine="0"/>
              <w:jc w:val="center"/>
              <w:rPr>
                <w:rFonts w:hint="eastAsia" w:hAnsi="宋体"/>
                <w:spacing w:val="-11"/>
                <w:sz w:val="21"/>
                <w:szCs w:val="21"/>
              </w:rPr>
            </w:pPr>
          </w:p>
        </w:tc>
        <w:tc>
          <w:tcPr>
            <w:tcW w:w="1002"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06"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c>
          <w:tcPr>
            <w:tcW w:w="1073" w:type="dxa"/>
            <w:noWrap w:val="0"/>
            <w:vAlign w:val="center"/>
          </w:tcPr>
          <w:p>
            <w:pPr>
              <w:spacing w:line="240" w:lineRule="auto"/>
              <w:ind w:firstLine="0" w:firstLineChars="0"/>
              <w:jc w:val="center"/>
              <w:rPr>
                <w:rFonts w:hint="default" w:ascii="宋体"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NH</w:t>
            </w:r>
            <w:r>
              <w:rPr>
                <w:rFonts w:hint="eastAsia" w:ascii="Times New Roman" w:hAnsi="Times New Roman"/>
                <w:spacing w:val="-11"/>
                <w:sz w:val="21"/>
                <w:szCs w:val="21"/>
                <w:vertAlign w:val="subscript"/>
                <w:lang w:val="en-US" w:eastAsia="zh-CN"/>
              </w:rPr>
              <w:t>3</w:t>
            </w:r>
            <w:r>
              <w:rPr>
                <w:rFonts w:hint="eastAsia"/>
                <w:spacing w:val="-11"/>
                <w:sz w:val="21"/>
                <w:szCs w:val="21"/>
                <w:lang w:val="en-US" w:eastAsia="zh-CN"/>
              </w:rPr>
              <w:t>-</w:t>
            </w:r>
            <w:r>
              <w:rPr>
                <w:rFonts w:hint="eastAsia" w:ascii="Times New Roman" w:hAnsi="Times New Roman"/>
                <w:spacing w:val="-11"/>
                <w:sz w:val="21"/>
                <w:szCs w:val="21"/>
                <w:lang w:val="en-US" w:eastAsia="zh-CN"/>
              </w:rPr>
              <w:t>N</w:t>
            </w:r>
          </w:p>
        </w:tc>
        <w:tc>
          <w:tcPr>
            <w:tcW w:w="1933" w:type="dxa"/>
            <w:gridSpan w:val="2"/>
            <w:noWrap w:val="0"/>
            <w:vAlign w:val="center"/>
          </w:tcPr>
          <w:p>
            <w:pPr>
              <w:spacing w:line="240" w:lineRule="auto"/>
              <w:ind w:firstLine="0" w:firstLineChars="0"/>
              <w:jc w:val="center"/>
              <w:rPr>
                <w:rFonts w:hint="default" w:ascii="Times New Roman"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45mg</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3560" w:type="dxa"/>
            <w:gridSpan w:val="2"/>
            <w:vMerge w:val="continue"/>
            <w:noWrap w:val="0"/>
            <w:vAlign w:val="center"/>
          </w:tcPr>
          <w:p>
            <w:pPr>
              <w:tabs>
                <w:tab w:val="left" w:pos="360"/>
                <w:tab w:val="left" w:pos="1620"/>
              </w:tabs>
              <w:snapToGrid w:val="0"/>
              <w:spacing w:line="240" w:lineRule="auto"/>
              <w:ind w:firstLine="0"/>
              <w:jc w:val="center"/>
              <w:rPr>
                <w:rFonts w:hint="eastAsia" w:hAnsi="宋体"/>
                <w:spacing w:val="-11"/>
                <w:sz w:val="21"/>
                <w:szCs w:val="21"/>
              </w:rPr>
            </w:pPr>
          </w:p>
        </w:tc>
        <w:tc>
          <w:tcPr>
            <w:tcW w:w="1002"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06"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c>
          <w:tcPr>
            <w:tcW w:w="1073" w:type="dxa"/>
            <w:noWrap w:val="0"/>
            <w:vAlign w:val="center"/>
          </w:tcPr>
          <w:p>
            <w:pPr>
              <w:spacing w:line="240" w:lineRule="auto"/>
              <w:ind w:firstLine="0" w:firstLineChars="0"/>
              <w:jc w:val="center"/>
              <w:rPr>
                <w:rFonts w:hint="default" w:ascii="Times New Roman" w:hAnsi="Times New Roman"/>
                <w:spacing w:val="-11"/>
                <w:sz w:val="21"/>
                <w:szCs w:val="21"/>
                <w:lang w:val="en-US" w:eastAsia="zh-CN"/>
              </w:rPr>
            </w:pPr>
            <w:r>
              <w:rPr>
                <w:rFonts w:hint="eastAsia" w:ascii="Times New Roman" w:hAnsi="Times New Roman"/>
                <w:spacing w:val="-11"/>
                <w:sz w:val="21"/>
                <w:szCs w:val="21"/>
                <w:lang w:val="en-US" w:eastAsia="zh-CN"/>
              </w:rPr>
              <w:t>SS</w:t>
            </w:r>
          </w:p>
        </w:tc>
        <w:tc>
          <w:tcPr>
            <w:tcW w:w="1933" w:type="dxa"/>
            <w:gridSpan w:val="2"/>
            <w:noWrap w:val="0"/>
            <w:vAlign w:val="center"/>
          </w:tcPr>
          <w:p>
            <w:pPr>
              <w:spacing w:line="240" w:lineRule="auto"/>
              <w:ind w:firstLine="0" w:firstLineChars="0"/>
              <w:jc w:val="center"/>
              <w:rPr>
                <w:rFonts w:hint="default" w:ascii="Times New Roman" w:hAnsi="Times New Roman"/>
                <w:spacing w:val="-11"/>
                <w:sz w:val="21"/>
                <w:szCs w:val="21"/>
                <w:lang w:val="en-US" w:eastAsia="zh-CN"/>
              </w:rPr>
            </w:pPr>
            <w:r>
              <w:rPr>
                <w:rFonts w:hint="eastAsia" w:ascii="Times New Roman" w:hAnsi="Times New Roman"/>
                <w:spacing w:val="-11"/>
                <w:sz w:val="21"/>
                <w:szCs w:val="21"/>
                <w:lang w:val="en-US" w:eastAsia="zh-CN"/>
              </w:rPr>
              <w:t>400mg</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L</w:t>
            </w:r>
          </w:p>
        </w:tc>
        <w:tc>
          <w:tcPr>
            <w:tcW w:w="3560" w:type="dxa"/>
            <w:gridSpan w:val="2"/>
            <w:vMerge w:val="continue"/>
            <w:noWrap w:val="0"/>
            <w:vAlign w:val="center"/>
          </w:tcPr>
          <w:p>
            <w:pPr>
              <w:tabs>
                <w:tab w:val="left" w:pos="360"/>
                <w:tab w:val="left" w:pos="1620"/>
              </w:tabs>
              <w:snapToGrid w:val="0"/>
              <w:spacing w:line="240" w:lineRule="auto"/>
              <w:ind w:firstLine="0"/>
              <w:jc w:val="center"/>
              <w:rPr>
                <w:rFonts w:hint="eastAsia" w:hAnsi="宋体"/>
                <w:spacing w:val="-11"/>
                <w:sz w:val="21"/>
                <w:szCs w:val="21"/>
              </w:rPr>
            </w:pPr>
          </w:p>
        </w:tc>
        <w:tc>
          <w:tcPr>
            <w:tcW w:w="1002" w:type="dxa"/>
            <w:vMerge w:val="continue"/>
            <w:noWrap w:val="0"/>
            <w:vAlign w:val="center"/>
          </w:tcPr>
          <w:p>
            <w:pPr>
              <w:tabs>
                <w:tab w:val="left" w:pos="360"/>
                <w:tab w:val="left" w:pos="1620"/>
              </w:tabs>
              <w:snapToGrid w:val="0"/>
              <w:spacing w:line="240" w:lineRule="auto"/>
              <w:ind w:firstLine="0"/>
              <w:jc w:val="center"/>
              <w:rPr>
                <w:rFonts w:hint="eastAsia" w:hAnsi="宋体"/>
                <w:color w:val="000000"/>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6" w:type="dxa"/>
            <w:vMerge w:val="restart"/>
            <w:noWrap w:val="0"/>
            <w:vAlign w:val="center"/>
          </w:tcPr>
          <w:p>
            <w:pPr>
              <w:spacing w:line="240" w:lineRule="auto"/>
              <w:ind w:firstLine="0"/>
              <w:jc w:val="center"/>
              <w:rPr>
                <w:rFonts w:hAnsi="宋体"/>
                <w:spacing w:val="-11"/>
                <w:sz w:val="21"/>
                <w:szCs w:val="21"/>
              </w:rPr>
            </w:pPr>
            <w:r>
              <w:rPr>
                <w:rFonts w:hAnsi="宋体"/>
                <w:color w:val="000000"/>
                <w:spacing w:val="-11"/>
                <w:sz w:val="21"/>
                <w:szCs w:val="21"/>
              </w:rPr>
              <w:t>施工噪声</w:t>
            </w:r>
          </w:p>
        </w:tc>
        <w:tc>
          <w:tcPr>
            <w:tcW w:w="1073" w:type="dxa"/>
            <w:vMerge w:val="restart"/>
            <w:noWrap w:val="0"/>
            <w:vAlign w:val="center"/>
          </w:tcPr>
          <w:p>
            <w:pPr>
              <w:spacing w:line="240" w:lineRule="auto"/>
              <w:ind w:firstLine="0"/>
              <w:jc w:val="center"/>
              <w:rPr>
                <w:rFonts w:hAnsi="宋体"/>
                <w:spacing w:val="-11"/>
                <w:sz w:val="21"/>
                <w:szCs w:val="21"/>
              </w:rPr>
            </w:pPr>
            <w:r>
              <w:rPr>
                <w:rFonts w:hAnsi="宋体"/>
                <w:color w:val="000000"/>
                <w:spacing w:val="-11"/>
                <w:sz w:val="21"/>
                <w:szCs w:val="21"/>
                <w:lang w:val="zh-CN"/>
              </w:rPr>
              <w:t>场界噪声</w:t>
            </w:r>
          </w:p>
        </w:tc>
        <w:tc>
          <w:tcPr>
            <w:tcW w:w="733" w:type="dxa"/>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rPr>
              <w:t>昼间</w:t>
            </w:r>
          </w:p>
        </w:tc>
        <w:tc>
          <w:tcPr>
            <w:tcW w:w="1200" w:type="dxa"/>
            <w:noWrap w:val="0"/>
            <w:vAlign w:val="center"/>
          </w:tcPr>
          <w:p>
            <w:pPr>
              <w:spacing w:line="240" w:lineRule="auto"/>
              <w:ind w:firstLine="0"/>
              <w:jc w:val="center"/>
              <w:rPr>
                <w:rFonts w:hAnsi="宋体"/>
                <w:color w:val="000000"/>
                <w:spacing w:val="-11"/>
                <w:sz w:val="21"/>
                <w:szCs w:val="21"/>
                <w:lang w:val="zh-CN"/>
              </w:rPr>
            </w:pPr>
            <w:r>
              <w:rPr>
                <w:rFonts w:ascii="Times New Roman" w:hAnsi="Times New Roman"/>
                <w:color w:val="000000"/>
                <w:spacing w:val="-11"/>
                <w:sz w:val="21"/>
                <w:szCs w:val="21"/>
              </w:rPr>
              <w:t>70dB</w:t>
            </w:r>
            <w:r>
              <w:rPr>
                <w:rFonts w:hAnsi="宋体"/>
                <w:color w:val="000000"/>
                <w:spacing w:val="-11"/>
                <w:sz w:val="21"/>
                <w:szCs w:val="21"/>
              </w:rPr>
              <w:t>（</w:t>
            </w:r>
            <w:r>
              <w:rPr>
                <w:rFonts w:ascii="Times New Roman" w:hAnsi="Times New Roman"/>
                <w:color w:val="000000"/>
                <w:spacing w:val="-11"/>
                <w:sz w:val="21"/>
                <w:szCs w:val="21"/>
              </w:rPr>
              <w:t>A</w:t>
            </w:r>
            <w:r>
              <w:rPr>
                <w:rFonts w:hAnsi="宋体"/>
                <w:color w:val="000000"/>
                <w:spacing w:val="-11"/>
                <w:sz w:val="21"/>
                <w:szCs w:val="21"/>
              </w:rPr>
              <w:t>）</w:t>
            </w:r>
          </w:p>
        </w:tc>
        <w:tc>
          <w:tcPr>
            <w:tcW w:w="3560" w:type="dxa"/>
            <w:gridSpan w:val="2"/>
            <w:vMerge w:val="restart"/>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rPr>
              <w:t>《建筑施工场界环境噪声排放标准》（</w:t>
            </w:r>
            <w:r>
              <w:rPr>
                <w:rFonts w:ascii="Times New Roman" w:hAnsi="Times New Roman"/>
                <w:color w:val="000000"/>
                <w:spacing w:val="-11"/>
                <w:sz w:val="21"/>
                <w:szCs w:val="21"/>
              </w:rPr>
              <w:t>GB12523</w:t>
            </w:r>
            <w:r>
              <w:rPr>
                <w:rFonts w:hAnsi="宋体"/>
                <w:color w:val="000000"/>
                <w:spacing w:val="-11"/>
                <w:sz w:val="21"/>
                <w:szCs w:val="21"/>
              </w:rPr>
              <w:t>-</w:t>
            </w:r>
            <w:r>
              <w:rPr>
                <w:rFonts w:ascii="Times New Roman" w:hAnsi="Times New Roman"/>
                <w:color w:val="000000"/>
                <w:spacing w:val="-11"/>
                <w:sz w:val="21"/>
                <w:szCs w:val="21"/>
              </w:rPr>
              <w:t>2011</w:t>
            </w:r>
            <w:r>
              <w:rPr>
                <w:rFonts w:hAnsi="宋体"/>
                <w:color w:val="000000"/>
                <w:spacing w:val="-11"/>
                <w:sz w:val="21"/>
                <w:szCs w:val="21"/>
              </w:rPr>
              <w:t>）</w:t>
            </w:r>
          </w:p>
        </w:tc>
        <w:tc>
          <w:tcPr>
            <w:tcW w:w="1002" w:type="dxa"/>
            <w:vMerge w:val="restart"/>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lang w:val="zh-CN"/>
              </w:rPr>
              <w:t>施工场界外</w:t>
            </w:r>
            <w:r>
              <w:rPr>
                <w:rFonts w:ascii="Times New Roman" w:hAnsi="Times New Roman"/>
                <w:color w:val="000000"/>
                <w:spacing w:val="-11"/>
                <w:sz w:val="21"/>
                <w:szCs w:val="21"/>
                <w:lang w:val="zh-CN"/>
              </w:rPr>
              <w:t>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6" w:type="dxa"/>
            <w:vMerge w:val="continue"/>
            <w:noWrap w:val="0"/>
            <w:vAlign w:val="center"/>
          </w:tcPr>
          <w:p>
            <w:pPr>
              <w:spacing w:line="240" w:lineRule="auto"/>
              <w:ind w:firstLine="0"/>
              <w:jc w:val="center"/>
              <w:rPr>
                <w:rFonts w:hAnsi="宋体"/>
                <w:spacing w:val="-11"/>
                <w:sz w:val="21"/>
                <w:szCs w:val="21"/>
              </w:rPr>
            </w:pPr>
          </w:p>
        </w:tc>
        <w:tc>
          <w:tcPr>
            <w:tcW w:w="1073" w:type="dxa"/>
            <w:vMerge w:val="continue"/>
            <w:noWrap w:val="0"/>
            <w:vAlign w:val="center"/>
          </w:tcPr>
          <w:p>
            <w:pPr>
              <w:spacing w:line="240" w:lineRule="auto"/>
              <w:ind w:firstLine="0"/>
              <w:jc w:val="center"/>
              <w:rPr>
                <w:rFonts w:hAnsi="宋体"/>
                <w:spacing w:val="-11"/>
                <w:sz w:val="21"/>
                <w:szCs w:val="21"/>
              </w:rPr>
            </w:pPr>
          </w:p>
        </w:tc>
        <w:tc>
          <w:tcPr>
            <w:tcW w:w="733" w:type="dxa"/>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rPr>
              <w:t>夜间</w:t>
            </w:r>
          </w:p>
        </w:tc>
        <w:tc>
          <w:tcPr>
            <w:tcW w:w="1200" w:type="dxa"/>
            <w:noWrap w:val="0"/>
            <w:vAlign w:val="center"/>
          </w:tcPr>
          <w:p>
            <w:pPr>
              <w:spacing w:line="240" w:lineRule="auto"/>
              <w:ind w:firstLine="0"/>
              <w:jc w:val="center"/>
              <w:rPr>
                <w:rFonts w:hAnsi="宋体"/>
                <w:color w:val="000000"/>
                <w:spacing w:val="-11"/>
                <w:sz w:val="21"/>
                <w:szCs w:val="21"/>
                <w:lang w:val="zh-CN"/>
              </w:rPr>
            </w:pPr>
            <w:r>
              <w:rPr>
                <w:rFonts w:ascii="Times New Roman" w:hAnsi="Times New Roman"/>
                <w:color w:val="000000"/>
                <w:spacing w:val="-11"/>
                <w:sz w:val="21"/>
                <w:szCs w:val="21"/>
              </w:rPr>
              <w:t>55dB</w:t>
            </w:r>
            <w:r>
              <w:rPr>
                <w:rFonts w:hAnsi="宋体"/>
                <w:color w:val="000000"/>
                <w:spacing w:val="-11"/>
                <w:sz w:val="21"/>
                <w:szCs w:val="21"/>
              </w:rPr>
              <w:t>（</w:t>
            </w:r>
            <w:r>
              <w:rPr>
                <w:rFonts w:ascii="Times New Roman" w:hAnsi="Times New Roman"/>
                <w:color w:val="000000"/>
                <w:spacing w:val="-11"/>
                <w:sz w:val="21"/>
                <w:szCs w:val="21"/>
              </w:rPr>
              <w:t>A</w:t>
            </w:r>
            <w:r>
              <w:rPr>
                <w:rFonts w:hAnsi="宋体"/>
                <w:color w:val="000000"/>
                <w:spacing w:val="-11"/>
                <w:sz w:val="21"/>
                <w:szCs w:val="21"/>
              </w:rPr>
              <w:t>）</w:t>
            </w:r>
          </w:p>
        </w:tc>
        <w:tc>
          <w:tcPr>
            <w:tcW w:w="3560" w:type="dxa"/>
            <w:gridSpan w:val="2"/>
            <w:vMerge w:val="continue"/>
            <w:noWrap w:val="0"/>
            <w:vAlign w:val="center"/>
          </w:tcPr>
          <w:p>
            <w:pPr>
              <w:spacing w:line="240" w:lineRule="auto"/>
              <w:ind w:firstLine="0"/>
              <w:jc w:val="center"/>
              <w:rPr>
                <w:rFonts w:hAnsi="宋体"/>
                <w:spacing w:val="-11"/>
                <w:sz w:val="21"/>
                <w:szCs w:val="21"/>
              </w:rPr>
            </w:pPr>
          </w:p>
        </w:tc>
        <w:tc>
          <w:tcPr>
            <w:tcW w:w="1002" w:type="dxa"/>
            <w:vMerge w:val="continue"/>
            <w:noWrap w:val="0"/>
            <w:vAlign w:val="center"/>
          </w:tcPr>
          <w:p>
            <w:pPr>
              <w:spacing w:line="240" w:lineRule="auto"/>
              <w:ind w:firstLine="0"/>
              <w:jc w:val="center"/>
              <w:rPr>
                <w:rFonts w:hAnsi="宋体"/>
                <w:spacing w:val="-11"/>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6" w:type="dxa"/>
            <w:vMerge w:val="restart"/>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lang w:val="zh-CN"/>
              </w:rPr>
              <w:t>运营噪声</w:t>
            </w:r>
          </w:p>
        </w:tc>
        <w:tc>
          <w:tcPr>
            <w:tcW w:w="1073" w:type="dxa"/>
            <w:vMerge w:val="restart"/>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lang w:val="zh-CN"/>
              </w:rPr>
              <w:t>厂界噪声</w:t>
            </w:r>
          </w:p>
        </w:tc>
        <w:tc>
          <w:tcPr>
            <w:tcW w:w="733" w:type="dxa"/>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rPr>
              <w:t>昼间</w:t>
            </w:r>
          </w:p>
        </w:tc>
        <w:tc>
          <w:tcPr>
            <w:tcW w:w="1200" w:type="dxa"/>
            <w:noWrap w:val="0"/>
            <w:vAlign w:val="center"/>
          </w:tcPr>
          <w:p>
            <w:pPr>
              <w:spacing w:line="240" w:lineRule="auto"/>
              <w:ind w:firstLine="0"/>
              <w:jc w:val="center"/>
              <w:rPr>
                <w:rFonts w:hAnsi="宋体"/>
                <w:color w:val="000000"/>
                <w:spacing w:val="-11"/>
                <w:sz w:val="21"/>
                <w:szCs w:val="21"/>
                <w:lang w:val="zh-CN"/>
              </w:rPr>
            </w:pPr>
            <w:r>
              <w:rPr>
                <w:rFonts w:ascii="Times New Roman" w:hAnsi="Times New Roman"/>
                <w:color w:val="000000"/>
                <w:spacing w:val="-11"/>
                <w:sz w:val="21"/>
                <w:szCs w:val="21"/>
              </w:rPr>
              <w:t>65dB</w:t>
            </w:r>
            <w:r>
              <w:rPr>
                <w:rFonts w:hAnsi="宋体"/>
                <w:color w:val="000000"/>
                <w:spacing w:val="-11"/>
                <w:sz w:val="21"/>
                <w:szCs w:val="21"/>
              </w:rPr>
              <w:t>（</w:t>
            </w:r>
            <w:r>
              <w:rPr>
                <w:rFonts w:ascii="Times New Roman" w:hAnsi="Times New Roman"/>
                <w:color w:val="000000"/>
                <w:spacing w:val="-11"/>
                <w:sz w:val="21"/>
                <w:szCs w:val="21"/>
              </w:rPr>
              <w:t>A</w:t>
            </w:r>
            <w:r>
              <w:rPr>
                <w:rFonts w:hAnsi="宋体"/>
                <w:color w:val="000000"/>
                <w:spacing w:val="-11"/>
                <w:sz w:val="21"/>
                <w:szCs w:val="21"/>
              </w:rPr>
              <w:t>）</w:t>
            </w:r>
          </w:p>
        </w:tc>
        <w:tc>
          <w:tcPr>
            <w:tcW w:w="3560" w:type="dxa"/>
            <w:gridSpan w:val="2"/>
            <w:vMerge w:val="restart"/>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rPr>
              <w:t>《工业企业厂界环境噪声排放标准》（</w:t>
            </w:r>
            <w:r>
              <w:rPr>
                <w:rFonts w:ascii="Times New Roman" w:hAnsi="Times New Roman"/>
                <w:color w:val="000000"/>
                <w:spacing w:val="-11"/>
                <w:sz w:val="21"/>
                <w:szCs w:val="21"/>
              </w:rPr>
              <w:t>GB12348</w:t>
            </w:r>
            <w:r>
              <w:rPr>
                <w:rFonts w:hAnsi="宋体"/>
                <w:color w:val="000000"/>
                <w:spacing w:val="-11"/>
                <w:sz w:val="21"/>
                <w:szCs w:val="21"/>
              </w:rPr>
              <w:t>-</w:t>
            </w:r>
            <w:r>
              <w:rPr>
                <w:rFonts w:ascii="Times New Roman" w:hAnsi="Times New Roman"/>
                <w:color w:val="000000"/>
                <w:spacing w:val="-11"/>
                <w:sz w:val="21"/>
                <w:szCs w:val="21"/>
              </w:rPr>
              <w:t>2008</w:t>
            </w:r>
            <w:r>
              <w:rPr>
                <w:rFonts w:hAnsi="宋体"/>
                <w:color w:val="000000"/>
                <w:spacing w:val="-11"/>
                <w:sz w:val="21"/>
                <w:szCs w:val="21"/>
              </w:rPr>
              <w:t>）</w:t>
            </w:r>
          </w:p>
        </w:tc>
        <w:tc>
          <w:tcPr>
            <w:tcW w:w="1002" w:type="dxa"/>
            <w:vMerge w:val="restart"/>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lang w:val="zh-CN"/>
              </w:rPr>
              <w:t>占地厂界外</w:t>
            </w:r>
            <w:r>
              <w:rPr>
                <w:rFonts w:ascii="Times New Roman" w:hAnsi="Times New Roman"/>
                <w:color w:val="000000"/>
                <w:spacing w:val="-11"/>
                <w:sz w:val="21"/>
                <w:szCs w:val="21"/>
                <w:lang w:val="zh-CN"/>
              </w:rPr>
              <w:t>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606" w:type="dxa"/>
            <w:vMerge w:val="continue"/>
            <w:noWrap w:val="0"/>
            <w:vAlign w:val="center"/>
          </w:tcPr>
          <w:p>
            <w:pPr>
              <w:spacing w:line="240" w:lineRule="auto"/>
              <w:jc w:val="center"/>
              <w:rPr>
                <w:rFonts w:hAnsi="宋体"/>
                <w:spacing w:val="-11"/>
                <w:sz w:val="21"/>
                <w:szCs w:val="21"/>
              </w:rPr>
            </w:pPr>
          </w:p>
        </w:tc>
        <w:tc>
          <w:tcPr>
            <w:tcW w:w="1073" w:type="dxa"/>
            <w:vMerge w:val="continue"/>
            <w:noWrap w:val="0"/>
            <w:vAlign w:val="center"/>
          </w:tcPr>
          <w:p>
            <w:pPr>
              <w:spacing w:line="240" w:lineRule="auto"/>
              <w:jc w:val="center"/>
              <w:rPr>
                <w:rFonts w:hAnsi="宋体"/>
                <w:spacing w:val="-11"/>
                <w:sz w:val="21"/>
                <w:szCs w:val="21"/>
              </w:rPr>
            </w:pPr>
          </w:p>
        </w:tc>
        <w:tc>
          <w:tcPr>
            <w:tcW w:w="733" w:type="dxa"/>
            <w:noWrap w:val="0"/>
            <w:vAlign w:val="center"/>
          </w:tcPr>
          <w:p>
            <w:pPr>
              <w:spacing w:line="240" w:lineRule="auto"/>
              <w:ind w:firstLine="0"/>
              <w:jc w:val="center"/>
              <w:rPr>
                <w:rFonts w:hAnsi="宋体"/>
                <w:color w:val="000000"/>
                <w:spacing w:val="-11"/>
                <w:sz w:val="21"/>
                <w:szCs w:val="21"/>
                <w:lang w:val="zh-CN"/>
              </w:rPr>
            </w:pPr>
            <w:r>
              <w:rPr>
                <w:rFonts w:hAnsi="宋体"/>
                <w:color w:val="000000"/>
                <w:spacing w:val="-11"/>
                <w:sz w:val="21"/>
                <w:szCs w:val="21"/>
              </w:rPr>
              <w:t>夜间</w:t>
            </w:r>
          </w:p>
        </w:tc>
        <w:tc>
          <w:tcPr>
            <w:tcW w:w="1200" w:type="dxa"/>
            <w:noWrap w:val="0"/>
            <w:vAlign w:val="center"/>
          </w:tcPr>
          <w:p>
            <w:pPr>
              <w:spacing w:line="240" w:lineRule="auto"/>
              <w:ind w:firstLine="0"/>
              <w:jc w:val="center"/>
              <w:rPr>
                <w:rFonts w:hAnsi="宋体"/>
                <w:color w:val="000000"/>
                <w:spacing w:val="-11"/>
                <w:sz w:val="21"/>
                <w:szCs w:val="21"/>
                <w:lang w:val="zh-CN"/>
              </w:rPr>
            </w:pPr>
            <w:r>
              <w:rPr>
                <w:rFonts w:ascii="Times New Roman" w:hAnsi="Times New Roman"/>
                <w:color w:val="000000"/>
                <w:spacing w:val="-11"/>
                <w:sz w:val="21"/>
                <w:szCs w:val="21"/>
              </w:rPr>
              <w:t>55dB</w:t>
            </w:r>
            <w:r>
              <w:rPr>
                <w:rFonts w:hAnsi="宋体"/>
                <w:color w:val="000000"/>
                <w:spacing w:val="-11"/>
                <w:sz w:val="21"/>
                <w:szCs w:val="21"/>
              </w:rPr>
              <w:t>（</w:t>
            </w:r>
            <w:r>
              <w:rPr>
                <w:rFonts w:ascii="Times New Roman" w:hAnsi="Times New Roman"/>
                <w:color w:val="000000"/>
                <w:spacing w:val="-11"/>
                <w:sz w:val="21"/>
                <w:szCs w:val="21"/>
              </w:rPr>
              <w:t>A</w:t>
            </w:r>
            <w:r>
              <w:rPr>
                <w:rFonts w:hAnsi="宋体"/>
                <w:color w:val="000000"/>
                <w:spacing w:val="-11"/>
                <w:sz w:val="21"/>
                <w:szCs w:val="21"/>
              </w:rPr>
              <w:t>）</w:t>
            </w:r>
          </w:p>
        </w:tc>
        <w:tc>
          <w:tcPr>
            <w:tcW w:w="3560" w:type="dxa"/>
            <w:gridSpan w:val="2"/>
            <w:vMerge w:val="continue"/>
            <w:noWrap w:val="0"/>
            <w:vAlign w:val="center"/>
          </w:tcPr>
          <w:p>
            <w:pPr>
              <w:spacing w:line="240" w:lineRule="auto"/>
              <w:jc w:val="center"/>
              <w:rPr>
                <w:rFonts w:hAnsi="宋体"/>
                <w:spacing w:val="-11"/>
                <w:sz w:val="21"/>
                <w:szCs w:val="21"/>
              </w:rPr>
            </w:pPr>
          </w:p>
        </w:tc>
        <w:tc>
          <w:tcPr>
            <w:tcW w:w="1002" w:type="dxa"/>
            <w:vMerge w:val="continue"/>
            <w:noWrap w:val="0"/>
            <w:vAlign w:val="center"/>
          </w:tcPr>
          <w:p>
            <w:pPr>
              <w:spacing w:line="240" w:lineRule="auto"/>
              <w:jc w:val="center"/>
              <w:rPr>
                <w:rFonts w:hAnsi="宋体"/>
                <w:spacing w:val="-11"/>
                <w:sz w:val="21"/>
                <w:szCs w:val="21"/>
              </w:rPr>
            </w:pPr>
          </w:p>
        </w:tc>
      </w:tr>
    </w:tbl>
    <w:p>
      <w:pPr>
        <w:bidi w:val="0"/>
        <w:rPr>
          <w:rFonts w:hint="eastAsia"/>
          <w:lang w:val="en-US" w:eastAsia="zh-CN"/>
        </w:rPr>
      </w:pPr>
      <w:bookmarkStart w:id="72" w:name="_Toc332975153"/>
      <w:bookmarkStart w:id="73" w:name="_Toc327373178"/>
      <w:bookmarkStart w:id="74" w:name="_Toc341867047"/>
      <w:bookmarkStart w:id="75" w:name="_Toc11449"/>
      <w:r>
        <w:rPr>
          <w:rFonts w:hint="eastAsia"/>
          <w:lang w:eastAsia="zh-CN"/>
        </w:rPr>
        <w:t>根据《关于凯赛（乌苏）生物材料有限公司年产</w:t>
      </w:r>
      <w:r>
        <w:rPr>
          <w:rFonts w:hint="eastAsia" w:ascii="Times New Roman" w:hAnsi="Times New Roman"/>
          <w:lang w:val="en-US" w:eastAsia="zh-CN"/>
        </w:rPr>
        <w:t>10</w:t>
      </w:r>
      <w:r>
        <w:rPr>
          <w:rFonts w:hint="eastAsia"/>
          <w:lang w:val="en-US" w:eastAsia="zh-CN"/>
        </w:rPr>
        <w:t>万吨生物基聚酰胺项目环境影响报告书的批复</w:t>
      </w:r>
      <w:r>
        <w:rPr>
          <w:rFonts w:hint="eastAsia"/>
          <w:lang w:eastAsia="zh-CN"/>
        </w:rPr>
        <w:t>》（新环函</w:t>
      </w:r>
      <w:r>
        <w:rPr>
          <w:rFonts w:hint="eastAsia"/>
          <w:lang w:val="en-US" w:eastAsia="zh-CN"/>
        </w:rPr>
        <w:t>[</w:t>
      </w:r>
      <w:r>
        <w:rPr>
          <w:rFonts w:hint="eastAsia" w:ascii="Times New Roman" w:hAnsi="Times New Roman"/>
          <w:lang w:val="en-US" w:eastAsia="zh-CN"/>
        </w:rPr>
        <w:t>2017</w:t>
      </w:r>
      <w:r>
        <w:rPr>
          <w:rFonts w:hint="eastAsia"/>
          <w:lang w:val="en-US" w:eastAsia="zh-CN"/>
        </w:rPr>
        <w:t>]</w:t>
      </w:r>
      <w:r>
        <w:rPr>
          <w:rFonts w:hint="eastAsia" w:ascii="Times New Roman" w:hAnsi="Times New Roman"/>
          <w:lang w:val="en-US" w:eastAsia="zh-CN"/>
        </w:rPr>
        <w:t>1315</w:t>
      </w:r>
      <w:r>
        <w:rPr>
          <w:rFonts w:hint="eastAsia"/>
          <w:lang w:val="en-US" w:eastAsia="zh-CN"/>
        </w:rPr>
        <w:t>号</w:t>
      </w:r>
      <w:r>
        <w:rPr>
          <w:rFonts w:hint="eastAsia"/>
          <w:lang w:eastAsia="zh-CN"/>
        </w:rPr>
        <w:t>），现有工程糖化浓缩废水、精馏废水、聚合废水、动力站锅炉排水等生产废水由厂区污水处理站处理后和循环水排污水、除盐水站排水、生活污水一起进入园区污水处理厂处理，各类污染物须符合《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eastAsia="zh-CN"/>
        </w:rPr>
        <w:t>）表</w:t>
      </w:r>
      <w:r>
        <w:rPr>
          <w:rFonts w:hint="eastAsia" w:ascii="Times New Roman" w:hAnsi="Times New Roman"/>
          <w:lang w:val="en-US" w:eastAsia="zh-CN"/>
        </w:rPr>
        <w:t>1</w:t>
      </w:r>
      <w:r>
        <w:rPr>
          <w:rFonts w:hint="eastAsia"/>
          <w:lang w:val="en-US" w:eastAsia="zh-CN"/>
        </w:rPr>
        <w:t>中新建企业水污染物间接排放浓度限值要求，未规定限值的污染物项目须符合乌苏工业园区污水处理厂设计进水水质标准要求。</w:t>
      </w:r>
    </w:p>
    <w:p>
      <w:pPr>
        <w:bidi w:val="0"/>
        <w:rPr>
          <w:rFonts w:hint="eastAsia"/>
        </w:rPr>
      </w:pPr>
      <w:r>
        <w:rPr>
          <w:rFonts w:hint="eastAsia"/>
          <w:lang w:val="en-US" w:eastAsia="zh-CN"/>
        </w:rPr>
        <w:t>本项目不含可吸附有机卤化物，乌苏工业园区污水处理厂纳污水质标准为《污水排入城镇下水道水质标准》（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1B</w:t>
      </w:r>
      <w:r>
        <w:rPr>
          <w:rFonts w:hint="eastAsia"/>
          <w:lang w:val="en-US" w:eastAsia="zh-CN"/>
        </w:rPr>
        <w:t>级限值。</w:t>
      </w:r>
    </w:p>
    <w:p>
      <w:pPr>
        <w:pStyle w:val="5"/>
        <w:spacing w:before="156"/>
        <w:rPr>
          <w:rFonts w:hint="eastAsia"/>
        </w:rPr>
      </w:pPr>
      <w:r>
        <w:rPr>
          <w:rFonts w:hint="eastAsia" w:ascii="Times New Roman" w:hAnsi="Times New Roman"/>
        </w:rPr>
        <w:t>2</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6</w:t>
      </w:r>
      <w:r>
        <w:rPr>
          <w:rFonts w:hint="eastAsia"/>
        </w:rPr>
        <w:t>控制标准</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default" w:eastAsia="宋体"/>
          <w:lang w:val="en-US" w:eastAsia="zh-CN"/>
        </w:rPr>
      </w:pPr>
      <w:r>
        <w:rPr>
          <w:rFonts w:hint="eastAsia"/>
        </w:rPr>
        <w:t>（</w:t>
      </w:r>
      <w:r>
        <w:rPr>
          <w:rFonts w:hint="eastAsia" w:ascii="Times New Roman" w:hAnsi="Times New Roman"/>
        </w:rPr>
        <w:t>1</w:t>
      </w:r>
      <w:r>
        <w:rPr>
          <w:rFonts w:hint="eastAsia"/>
        </w:rPr>
        <w:t>）</w:t>
      </w:r>
      <w:r>
        <w:rPr>
          <w:rFonts w:hint="eastAsia"/>
          <w:lang w:eastAsia="zh-CN"/>
        </w:rPr>
        <w:t>《挥发性有机物无组织排放控制标准》（</w:t>
      </w:r>
      <w:r>
        <w:rPr>
          <w:rFonts w:hint="eastAsia" w:ascii="Times New Roman" w:hAnsi="Times New Roman"/>
          <w:lang w:val="en-US" w:eastAsia="zh-CN"/>
        </w:rPr>
        <w:t>GB37822</w:t>
      </w:r>
      <w:r>
        <w:rPr>
          <w:rFonts w:hint="eastAsia"/>
          <w:lang w:val="en-US" w:eastAsia="zh-CN"/>
        </w:rPr>
        <w:t>-</w:t>
      </w:r>
      <w:r>
        <w:rPr>
          <w:rFonts w:hint="eastAsia" w:ascii="Times New Roman" w:hAnsi="Times New Roman"/>
          <w:lang w:val="en-US" w:eastAsia="zh-CN"/>
        </w:rPr>
        <w:t>2019</w:t>
      </w:r>
      <w:r>
        <w:rPr>
          <w:rFonts w:hint="eastAsia"/>
          <w:lang w:eastAsia="zh-CN"/>
        </w:rPr>
        <w:t>）</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rPr>
      </w:pPr>
      <w:r>
        <w:rPr>
          <w:rFonts w:hint="eastAsia"/>
        </w:rPr>
        <w:t>（</w:t>
      </w:r>
      <w:r>
        <w:rPr>
          <w:rFonts w:hint="eastAsia" w:ascii="Times New Roman" w:hAnsi="Times New Roman"/>
        </w:rPr>
        <w:t>2</w:t>
      </w:r>
      <w:r>
        <w:rPr>
          <w:rFonts w:hint="eastAsia"/>
        </w:rPr>
        <w:t>）</w:t>
      </w:r>
      <w:r>
        <w:rPr>
          <w:rFonts w:hint="eastAsia"/>
          <w:color w:val="auto"/>
        </w:rPr>
        <w:t>《危险废物贮存污染控制标准》（</w:t>
      </w:r>
      <w:r>
        <w:rPr>
          <w:rFonts w:hint="eastAsia" w:ascii="Times New Roman" w:hAnsi="Times New Roman"/>
          <w:color w:val="auto"/>
        </w:rPr>
        <w:t>GB18597</w:t>
      </w:r>
      <w:r>
        <w:rPr>
          <w:rFonts w:hint="eastAsia"/>
          <w:color w:val="auto"/>
        </w:rPr>
        <w:t>-</w:t>
      </w:r>
      <w:r>
        <w:rPr>
          <w:rFonts w:hint="eastAsia" w:ascii="Times New Roman" w:hAnsi="Times New Roman"/>
          <w:color w:val="auto"/>
        </w:rPr>
        <w:t>20</w:t>
      </w:r>
      <w:r>
        <w:rPr>
          <w:rFonts w:hint="eastAsia" w:ascii="Times New Roman" w:hAnsi="Times New Roman"/>
          <w:color w:val="auto"/>
          <w:lang w:val="en-US" w:eastAsia="zh-CN"/>
        </w:rPr>
        <w:t>23</w:t>
      </w:r>
      <w:r>
        <w:rPr>
          <w:rFonts w:hint="eastAsia"/>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lang w:eastAsia="zh-CN"/>
        </w:rPr>
      </w:pPr>
      <w:r>
        <w:rPr>
          <w:rFonts w:hint="eastAsia"/>
          <w:lang w:eastAsia="zh-CN"/>
        </w:rPr>
        <w:t>（</w:t>
      </w:r>
      <w:r>
        <w:rPr>
          <w:rFonts w:hint="eastAsia" w:ascii="Times New Roman" w:hAnsi="Times New Roman"/>
          <w:lang w:val="en-US" w:eastAsia="zh-CN"/>
        </w:rPr>
        <w:t>3</w:t>
      </w:r>
      <w:r>
        <w:rPr>
          <w:rFonts w:hint="eastAsia"/>
          <w:lang w:eastAsia="zh-CN"/>
        </w:rPr>
        <w:t>）</w:t>
      </w:r>
      <w:r>
        <w:rPr>
          <w:rFonts w:hint="eastAsia"/>
        </w:rPr>
        <w:t>《环境保护图形标志</w:t>
      </w:r>
      <w:r>
        <w:rPr>
          <w:rFonts w:hint="eastAsia"/>
          <w:lang w:val="en-US" w:eastAsia="zh-CN"/>
        </w:rPr>
        <w:t>-</w:t>
      </w:r>
      <w:r>
        <w:rPr>
          <w:rFonts w:hint="eastAsia"/>
        </w:rPr>
        <w:t>排放口（源）》（</w:t>
      </w:r>
      <w:r>
        <w:rPr>
          <w:rFonts w:hint="eastAsia" w:ascii="Times New Roman" w:hAnsi="Times New Roman"/>
        </w:rPr>
        <w:t>GB15562</w:t>
      </w:r>
      <w:r>
        <w:rPr>
          <w:rFonts w:hint="eastAsia"/>
        </w:rPr>
        <w:t>.</w:t>
      </w:r>
      <w:r>
        <w:rPr>
          <w:rFonts w:hint="eastAsia" w:ascii="Times New Roman" w:hAnsi="Times New Roman"/>
        </w:rPr>
        <w:t>1</w:t>
      </w:r>
      <w:r>
        <w:rPr>
          <w:rFonts w:hint="eastAsia"/>
        </w:rPr>
        <w:t>-</w:t>
      </w:r>
      <w:r>
        <w:rPr>
          <w:rFonts w:hint="eastAsia" w:ascii="Times New Roman" w:hAnsi="Times New Roman"/>
        </w:rPr>
        <w:t>1995</w:t>
      </w:r>
      <w:r>
        <w:rPr>
          <w:rFonts w:hint="eastAsia"/>
        </w:rPr>
        <w:t>）</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rPr>
      </w:pPr>
      <w:r>
        <w:rPr>
          <w:rFonts w:hint="eastAsia"/>
          <w:lang w:eastAsia="zh-CN"/>
        </w:rPr>
        <w:t>（</w:t>
      </w:r>
      <w:r>
        <w:rPr>
          <w:rFonts w:hint="eastAsia" w:ascii="Times New Roman" w:hAnsi="Times New Roman"/>
          <w:lang w:val="en-US" w:eastAsia="zh-CN"/>
        </w:rPr>
        <w:t>4</w:t>
      </w:r>
      <w:r>
        <w:rPr>
          <w:rFonts w:hint="eastAsia"/>
          <w:lang w:eastAsia="zh-CN"/>
        </w:rPr>
        <w:t>）《一般工业固体废物贮存和填埋污染控制标准》（</w:t>
      </w:r>
      <w:r>
        <w:rPr>
          <w:rFonts w:hint="eastAsia" w:ascii="Times New Roman" w:hAnsi="Times New Roman"/>
          <w:lang w:val="en-US" w:eastAsia="zh-CN"/>
        </w:rPr>
        <w:t>GB18599</w:t>
      </w:r>
      <w:r>
        <w:rPr>
          <w:rFonts w:hint="eastAsia"/>
          <w:lang w:val="en-US" w:eastAsia="zh-CN"/>
        </w:rPr>
        <w:t>-</w:t>
      </w:r>
      <w:r>
        <w:rPr>
          <w:rFonts w:hint="eastAsia" w:ascii="Times New Roman" w:hAnsi="Times New Roman"/>
          <w:lang w:val="en-US" w:eastAsia="zh-CN"/>
        </w:rPr>
        <w:t>2020</w:t>
      </w:r>
      <w:r>
        <w:rPr>
          <w:rFonts w:hint="eastAsia"/>
          <w:lang w:eastAsia="zh-CN"/>
        </w:rPr>
        <w:t>）</w:t>
      </w:r>
      <w:r>
        <w:rPr>
          <w:rFonts w:hint="eastAsia"/>
        </w:rPr>
        <w:t>。</w:t>
      </w:r>
    </w:p>
    <w:p>
      <w:pPr>
        <w:pStyle w:val="4"/>
        <w:spacing w:before="156" w:after="156"/>
        <w:rPr>
          <w:rFonts w:hint="eastAsia"/>
        </w:rPr>
      </w:pPr>
      <w:bookmarkStart w:id="76" w:name="_Toc18077"/>
      <w:bookmarkStart w:id="77" w:name="_Toc2112"/>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评价工作等级和评价重点</w:t>
      </w:r>
      <w:bookmarkEnd w:id="72"/>
      <w:bookmarkEnd w:id="73"/>
      <w:bookmarkEnd w:id="74"/>
      <w:bookmarkEnd w:id="75"/>
      <w:bookmarkEnd w:id="76"/>
      <w:bookmarkEnd w:id="77"/>
    </w:p>
    <w:p>
      <w:pPr>
        <w:pStyle w:val="5"/>
        <w:spacing w:before="156"/>
        <w:rPr>
          <w:rFonts w:hint="eastAsia"/>
        </w:rPr>
      </w:pPr>
      <w:bookmarkStart w:id="78" w:name="_Toc341867048"/>
      <w:bookmarkStart w:id="79" w:name="_Toc327373179"/>
      <w:bookmarkStart w:id="80" w:name="_Toc332975154"/>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 xml:space="preserve"> 评价工作等级</w:t>
      </w:r>
      <w:bookmarkEnd w:id="78"/>
      <w:bookmarkEnd w:id="79"/>
      <w:bookmarkEnd w:id="80"/>
    </w:p>
    <w:p>
      <w:pPr>
        <w:ind w:firstLine="480"/>
        <w:rPr>
          <w:rFonts w:hint="eastAsia"/>
        </w:rPr>
      </w:pPr>
      <w:r>
        <w:rPr>
          <w:rFonts w:hint="eastAsia"/>
        </w:rPr>
        <w:t>（</w:t>
      </w:r>
      <w:r>
        <w:rPr>
          <w:rFonts w:hint="eastAsia" w:ascii="Times New Roman" w:hAnsi="Times New Roman"/>
        </w:rPr>
        <w:t>1</w:t>
      </w:r>
      <w:r>
        <w:rPr>
          <w:rFonts w:hint="eastAsia"/>
        </w:rPr>
        <w:t>）环境空气</w:t>
      </w:r>
    </w:p>
    <w:p>
      <w:pPr>
        <w:ind w:firstLine="480"/>
      </w:pPr>
      <w:r>
        <w:rPr>
          <w:rFonts w:hint="eastAsia"/>
        </w:rPr>
        <w:t>根据《环境影响评价技术导则 大气环境》（</w:t>
      </w:r>
      <w:r>
        <w:rPr>
          <w:rFonts w:hint="eastAsia" w:ascii="Times New Roman" w:hAnsi="Times New Roman"/>
        </w:rPr>
        <w:t>HJ2</w:t>
      </w:r>
      <w:r>
        <w:rPr>
          <w:rFonts w:hint="eastAsia"/>
        </w:rPr>
        <w:t>.</w:t>
      </w:r>
      <w:r>
        <w:rPr>
          <w:rFonts w:hint="eastAsia" w:ascii="Times New Roman" w:hAnsi="Times New Roman"/>
        </w:rPr>
        <w:t>2</w:t>
      </w:r>
      <w:r>
        <w:rPr>
          <w:rFonts w:hint="eastAsia"/>
        </w:rPr>
        <w:t>-</w:t>
      </w:r>
      <w:r>
        <w:rPr>
          <w:rFonts w:hint="eastAsia" w:ascii="Times New Roman" w:hAnsi="Times New Roman"/>
        </w:rPr>
        <w:t>2018</w:t>
      </w:r>
      <w:r>
        <w:rPr>
          <w:rFonts w:hint="eastAsia"/>
        </w:rPr>
        <w:t>），结合初步工程分析，本项目选择主要污染物</w:t>
      </w:r>
      <w:r>
        <w:rPr>
          <w:rFonts w:hint="eastAsia" w:ascii="Times New Roman" w:hAnsi="Times New Roman"/>
          <w:lang w:val="en-US" w:eastAsia="zh-CN"/>
        </w:rPr>
        <w:t>NMHC</w:t>
      </w:r>
      <w:r>
        <w:rPr>
          <w:rFonts w:hint="eastAsia"/>
        </w:rPr>
        <w:t>和</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rPr>
        <w:t>，分别计算其的最大地面浓度占标</w:t>
      </w:r>
      <w:r>
        <w:t>率</w:t>
      </w:r>
      <w:r>
        <w:rPr>
          <w:rFonts w:hAnsi="宋体"/>
          <w:position w:val="-12"/>
        </w:rPr>
        <w:object>
          <v:shape id="_x0000_i1025" o:spt="75" type="#_x0000_t75" style="height:18pt;width:12pt;" o:ole="t" filled="f" o:preferrelative="t" stroked="f" coordsize="21600,21600">
            <v:path/>
            <v:fill on="f" focussize="0,0"/>
            <v:stroke on="f"/>
            <v:imagedata r:id="rId16" o:title=""/>
            <o:lock v:ext="edit" grouping="f" rotation="f" text="f" aspectratio="t"/>
            <w10:wrap type="none"/>
            <w10:anchorlock/>
          </v:shape>
          <o:OLEObject Type="Embed" ProgID="Equation.3" ShapeID="_x0000_i1025" DrawAspect="Content" ObjectID="_1468075725" r:id="rId15">
            <o:LockedField>false</o:LockedField>
          </o:OLEObject>
        </w:object>
      </w:r>
      <w:r>
        <w:t>及第</w:t>
      </w:r>
      <w:r>
        <w:rPr>
          <w:rFonts w:ascii="Times New Roman" w:hAnsi="Times New Roman"/>
        </w:rPr>
        <w:t>i</w:t>
      </w:r>
      <w:r>
        <w:t>个污染物的地面浓度达标准限值</w:t>
      </w:r>
      <w:r>
        <w:rPr>
          <w:rFonts w:ascii="Times New Roman" w:hAnsi="Times New Roman"/>
        </w:rPr>
        <w:t>10</w:t>
      </w:r>
      <w:r>
        <w:t>%时所对应的最远距离</w:t>
      </w:r>
      <w:r>
        <w:rPr>
          <w:rFonts w:hAnsi="宋体"/>
          <w:position w:val="-12"/>
        </w:rPr>
        <w:object>
          <v:shape id="_x0000_i1026" o:spt="75" type="#_x0000_t75" style="height:18pt;width:26pt;" o:ole="t" filled="f" o:preferrelative="t" stroked="f" coordsize="21600,21600">
            <v:path/>
            <v:fill on="f" focussize="0,0"/>
            <v:stroke on="f"/>
            <v:imagedata r:id="rId18" o:title=""/>
            <o:lock v:ext="edit" grouping="f" rotation="f" text="f" aspectratio="t"/>
            <w10:wrap type="none"/>
            <w10:anchorlock/>
          </v:shape>
          <o:OLEObject Type="Embed" ProgID="Equation.3" ShapeID="_x0000_i1026" DrawAspect="Content" ObjectID="_1468075726" r:id="rId17">
            <o:LockedField>false</o:LockedField>
          </o:OLEObject>
        </w:object>
      </w:r>
      <w:r>
        <w:rPr>
          <w:rFonts w:hint="eastAsia"/>
        </w:rPr>
        <w:t>。</w:t>
      </w:r>
      <w:r>
        <w:t>其中</w:t>
      </w:r>
      <w:r>
        <w:rPr>
          <w:rFonts w:hAnsi="宋体"/>
          <w:position w:val="-12"/>
        </w:rPr>
        <w:object>
          <v:shape id="_x0000_i1027" o:spt="75" type="#_x0000_t75" style="height:18pt;width:12pt;" o:ole="t" filled="f" o:preferrelative="t" stroked="f" coordsize="21600,21600">
            <v:path/>
            <v:fill on="f" focussize="0,0"/>
            <v:stroke on="f"/>
            <v:imagedata r:id="rId20" o:title=""/>
            <o:lock v:ext="edit" grouping="f" rotation="f" text="f" aspectratio="t"/>
            <w10:wrap type="none"/>
            <w10:anchorlock/>
          </v:shape>
          <o:OLEObject Type="Embed" ProgID="Equation.3" ShapeID="_x0000_i1027" DrawAspect="Content" ObjectID="_1468075727" r:id="rId19">
            <o:LockedField>false</o:LockedField>
          </o:OLEObject>
        </w:object>
      </w:r>
      <w:r>
        <w:t>定义为：</w:t>
      </w:r>
    </w:p>
    <w:p>
      <w:pPr>
        <w:ind w:firstLine="480"/>
        <w:rPr>
          <w:rFonts w:hint="eastAsia"/>
        </w:rPr>
      </w:pPr>
      <w:r>
        <w:rPr>
          <w:rFonts w:hAnsi="宋体"/>
          <w:position w:val="-30"/>
        </w:rPr>
        <w:pict>
          <v:shape id="对象 541" o:spid="_x0000_s2050" o:spt="75" type="#_x0000_t75" style="position:absolute;left:0pt;margin-left:155.4pt;margin-top:4.25pt;height:35.95pt;width:87.75pt;mso-wrap-distance-bottom:0pt;mso-wrap-distance-top:0pt;z-index:251659264;mso-width-relative:page;mso-height-relative:page;" o:ole="t" filled="f" o:preferrelative="t" stroked="f" coordsize="21600,21600">
            <v:path/>
            <v:fill on="f" focussize="0,0"/>
            <v:stroke on="f"/>
            <v:imagedata r:id="rId22" o:title=""/>
            <o:lock v:ext="edit" grouping="f" rotation="f" text="f" aspectratio="t"/>
            <w10:wrap type="topAndBottom"/>
          </v:shape>
          <o:OLEObject Type="Embed" ProgID="Equation.3" ShapeID="对象 541" DrawAspect="Content" ObjectID="_1468075728" r:id="rId21">
            <o:LockedField>false</o:LockedField>
          </o:OLEObject>
        </w:pict>
      </w:r>
      <w:r>
        <w:t>式中：</w:t>
      </w:r>
      <w:r>
        <w:rPr>
          <w:rFonts w:hAnsi="宋体"/>
          <w:position w:val="-12"/>
        </w:rPr>
        <w:object>
          <v:shape id="_x0000_i1028" o:spt="75" type="#_x0000_t75" style="height:18pt;width:12pt;" o:ole="t" filled="f" o:preferrelative="t" stroked="f" coordsize="21600,21600">
            <v:path/>
            <v:fill on="f" focussize="0,0"/>
            <v:stroke on="f"/>
            <v:imagedata r:id="rId24" o:title=""/>
            <o:lock v:ext="edit" grouping="f" rotation="f" text="f" aspectratio="t"/>
            <w10:wrap type="none"/>
            <w10:anchorlock/>
          </v:shape>
          <o:OLEObject Type="Embed" ProgID="Equation.3" ShapeID="_x0000_i1028" DrawAspect="Content" ObjectID="_1468075729" r:id="rId23">
            <o:LockedField>false</o:LockedField>
          </o:OLEObject>
        </w:object>
      </w:r>
      <w:r>
        <w:rPr>
          <w:rFonts w:hint="eastAsia"/>
        </w:rPr>
        <w:t>—</w:t>
      </w:r>
      <w:r>
        <w:t>第</w:t>
      </w:r>
      <w:r>
        <w:rPr>
          <w:rFonts w:ascii="Times New Roman" w:hAnsi="Times New Roman"/>
        </w:rPr>
        <w:t>i</w:t>
      </w:r>
      <w:r>
        <w:t>个污染物的最大地面</w:t>
      </w:r>
      <w:r>
        <w:rPr>
          <w:rFonts w:hint="eastAsia"/>
        </w:rPr>
        <w:t>空气质量</w:t>
      </w:r>
      <w:r>
        <w:t>浓度占标率，%；</w:t>
      </w:r>
    </w:p>
    <w:p>
      <w:pPr>
        <w:ind w:firstLine="480"/>
        <w:rPr>
          <w:rFonts w:hint="eastAsia"/>
        </w:rPr>
      </w:pPr>
      <w:r>
        <w:rPr>
          <w:rFonts w:hAnsi="宋体"/>
          <w:position w:val="-12"/>
        </w:rPr>
        <w:object>
          <v:shape id="_x0000_i1029" o:spt="75" type="#_x0000_t75" style="height:18pt;width:12pt;" o:ole="t" filled="f" o:preferrelative="t" stroked="f" coordsize="21600,21600">
            <v:path/>
            <v:fill on="f" focussize="0,0"/>
            <v:stroke on="f"/>
            <v:imagedata r:id="rId26" o:title=""/>
            <o:lock v:ext="edit" grouping="f" rotation="f" text="f" aspectratio="t"/>
            <w10:wrap type="none"/>
            <w10:anchorlock/>
          </v:shape>
          <o:OLEObject Type="Embed" ProgID="Equation.3" ShapeID="_x0000_i1029" DrawAspect="Content" ObjectID="_1468075730" r:id="rId25">
            <o:LockedField>false</o:LockedField>
          </o:OLEObject>
        </w:object>
      </w:r>
      <w:r>
        <w:rPr>
          <w:rFonts w:hint="eastAsia"/>
        </w:rPr>
        <w:t>—</w:t>
      </w:r>
      <w:r>
        <w:t>采用估算模式计算出的第</w:t>
      </w:r>
      <w:r>
        <w:rPr>
          <w:rFonts w:ascii="Times New Roman" w:hAnsi="Times New Roman"/>
        </w:rPr>
        <w:t>i</w:t>
      </w:r>
      <w:r>
        <w:t>个污染物的最大</w:t>
      </w:r>
      <w:r>
        <w:rPr>
          <w:rFonts w:hint="eastAsia" w:ascii="Times New Roman" w:hAnsi="Times New Roman"/>
        </w:rPr>
        <w:t>1h</w:t>
      </w:r>
      <w:r>
        <w:t>地面</w:t>
      </w:r>
      <w:r>
        <w:rPr>
          <w:rFonts w:hint="eastAsia"/>
        </w:rPr>
        <w:t>空气质量</w:t>
      </w:r>
      <w:r>
        <w:t>浓度，</w:t>
      </w:r>
      <w:r>
        <w:rPr>
          <w:rFonts w:hint="eastAsia" w:ascii="Times New Roman" w:hAnsi="Times New Roman"/>
        </w:rPr>
        <w:t>μg</w:t>
      </w:r>
      <w:r>
        <w:rPr>
          <w:rFonts w:hint="eastAsia"/>
        </w:rPr>
        <w:t>/</w:t>
      </w:r>
      <w:r>
        <w:rPr>
          <w:rFonts w:hint="eastAsia" w:ascii="Times New Roman" w:hAnsi="Times New Roman"/>
        </w:rPr>
        <w:t>m</w:t>
      </w:r>
      <w:r>
        <w:rPr>
          <w:rFonts w:hint="eastAsia"/>
        </w:rPr>
        <w:t>³</w:t>
      </w:r>
      <w:r>
        <w:t>；</w:t>
      </w:r>
    </w:p>
    <w:p>
      <w:pPr>
        <w:ind w:firstLine="480"/>
      </w:pPr>
      <w:r>
        <w:rPr>
          <w:rFonts w:hAnsi="宋体"/>
          <w:position w:val="-12"/>
        </w:rPr>
        <w:object>
          <v:shape id="_x0000_i1030" o:spt="75" type="#_x0000_t75" style="height:18pt;width:15pt;" o:ole="t" filled="f" o:preferrelative="t" stroked="f" coordsize="21600,21600">
            <v:path/>
            <v:fill on="f" focussize="0,0"/>
            <v:stroke on="f"/>
            <v:imagedata r:id="rId28" o:title=""/>
            <o:lock v:ext="edit" grouping="f" rotation="f" text="f" aspectratio="t"/>
            <w10:wrap type="none"/>
            <w10:anchorlock/>
          </v:shape>
          <o:OLEObject Type="Embed" ProgID="Equation.3" ShapeID="_x0000_i1030" DrawAspect="Content" ObjectID="_1468075731" r:id="rId27">
            <o:LockedField>false</o:LockedField>
          </o:OLEObject>
        </w:object>
      </w:r>
      <w:r>
        <w:rPr>
          <w:rFonts w:hint="eastAsia"/>
        </w:rPr>
        <w:t>—</w:t>
      </w:r>
      <w:r>
        <w:t>第</w:t>
      </w:r>
      <w:r>
        <w:rPr>
          <w:rFonts w:ascii="Times New Roman" w:hAnsi="Times New Roman"/>
        </w:rPr>
        <w:t>i</w:t>
      </w:r>
      <w:r>
        <w:t>个污染物的环境空气质量</w:t>
      </w:r>
      <w:r>
        <w:rPr>
          <w:rFonts w:hint="eastAsia"/>
        </w:rPr>
        <w:t>浓度</w:t>
      </w:r>
      <w:r>
        <w:t>标准，</w:t>
      </w:r>
      <w:r>
        <w:rPr>
          <w:rFonts w:hint="eastAsia" w:ascii="Times New Roman" w:hAnsi="Times New Roman"/>
        </w:rPr>
        <w:t>μg</w:t>
      </w:r>
      <w:r>
        <w:rPr>
          <w:rFonts w:hint="eastAsia"/>
        </w:rPr>
        <w:t>/</w:t>
      </w:r>
      <w:r>
        <w:rPr>
          <w:rFonts w:hint="eastAsia" w:ascii="Times New Roman" w:hAnsi="Times New Roman"/>
        </w:rPr>
        <w:t>m</w:t>
      </w:r>
      <w:r>
        <w:rPr>
          <w:rFonts w:hint="eastAsia"/>
        </w:rPr>
        <w:t>³</w:t>
      </w:r>
      <w:r>
        <w:t>。</w:t>
      </w:r>
    </w:p>
    <w:p>
      <w:pPr>
        <w:ind w:firstLine="480"/>
        <w:rPr>
          <w:rFonts w:hint="eastAsia"/>
        </w:rPr>
      </w:pPr>
      <w:r>
        <w:t>大气评价工作等级判定表如表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1</w:t>
      </w:r>
      <w:r>
        <w:t>所示。</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 xml:space="preserve">  大气评价工作等级判别表</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70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49" w:type="dxa"/>
            <w:noWrap w:val="0"/>
            <w:vAlign w:val="center"/>
          </w:tcPr>
          <w:p>
            <w:pPr>
              <w:spacing w:line="240" w:lineRule="exact"/>
              <w:ind w:firstLine="0"/>
              <w:jc w:val="center"/>
              <w:rPr>
                <w:rFonts w:hAnsi="宋体"/>
                <w:sz w:val="21"/>
                <w:szCs w:val="21"/>
              </w:rPr>
            </w:pPr>
            <w:r>
              <w:rPr>
                <w:rFonts w:hAnsi="宋体"/>
                <w:sz w:val="21"/>
                <w:szCs w:val="21"/>
              </w:rPr>
              <w:t>评价工作等级</w:t>
            </w:r>
          </w:p>
        </w:tc>
        <w:tc>
          <w:tcPr>
            <w:tcW w:w="7025" w:type="dxa"/>
            <w:noWrap w:val="0"/>
            <w:vAlign w:val="center"/>
          </w:tcPr>
          <w:p>
            <w:pPr>
              <w:spacing w:line="240" w:lineRule="exact"/>
              <w:ind w:firstLine="0"/>
              <w:jc w:val="center"/>
              <w:rPr>
                <w:rFonts w:hAnsi="宋体"/>
                <w:sz w:val="21"/>
                <w:szCs w:val="21"/>
              </w:rPr>
            </w:pPr>
            <w:r>
              <w:rPr>
                <w:rFonts w:hAnsi="宋体"/>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149" w:type="dxa"/>
            <w:noWrap w:val="0"/>
            <w:vAlign w:val="center"/>
          </w:tcPr>
          <w:p>
            <w:pPr>
              <w:spacing w:line="240" w:lineRule="exact"/>
              <w:ind w:firstLine="0"/>
              <w:jc w:val="center"/>
              <w:rPr>
                <w:rFonts w:hAnsi="宋体"/>
                <w:sz w:val="21"/>
                <w:szCs w:val="21"/>
              </w:rPr>
            </w:pPr>
            <w:r>
              <w:rPr>
                <w:rFonts w:hAnsi="宋体"/>
                <w:sz w:val="21"/>
                <w:szCs w:val="21"/>
              </w:rPr>
              <w:t>一级</w:t>
            </w:r>
          </w:p>
        </w:tc>
        <w:tc>
          <w:tcPr>
            <w:tcW w:w="7025" w:type="dxa"/>
            <w:noWrap w:val="0"/>
            <w:vAlign w:val="center"/>
          </w:tcPr>
          <w:p>
            <w:pPr>
              <w:spacing w:line="240" w:lineRule="exact"/>
              <w:ind w:firstLine="0"/>
              <w:jc w:val="center"/>
              <w:rPr>
                <w:rFonts w:hAnsi="宋体"/>
                <w:sz w:val="21"/>
                <w:szCs w:val="21"/>
              </w:rPr>
            </w:pPr>
            <w:r>
              <w:rPr>
                <w:rFonts w:hAnsi="宋体"/>
                <w:position w:val="-12"/>
                <w:sz w:val="21"/>
                <w:szCs w:val="21"/>
              </w:rPr>
              <w:object>
                <v:shape id="_x0000_i1031" o:spt="75" type="#_x0000_t75" style="height:18pt;width:23pt;" o:ole="t" filled="f" o:preferrelative="t" stroked="f" coordsize="21600,21600">
                  <v:path/>
                  <v:fill on="f" focussize="0,0"/>
                  <v:stroke on="f"/>
                  <v:imagedata r:id="rId30" o:title=""/>
                  <o:lock v:ext="edit" grouping="f" rotation="f" text="f" aspectratio="t"/>
                  <w10:wrap type="none"/>
                  <w10:anchorlock/>
                </v:shape>
                <o:OLEObject Type="Embed" ProgID="Equation.3" ShapeID="_x0000_i1031" DrawAspect="Content" ObjectID="_1468075732" r:id="rId29">
                  <o:LockedField>false</o:LockedField>
                </o:OLEObject>
              </w:object>
            </w:r>
            <w:r>
              <w:rPr>
                <w:rFonts w:hAnsi="宋体"/>
                <w:sz w:val="21"/>
                <w:szCs w:val="21"/>
              </w:rPr>
              <w:t>≥</w:t>
            </w:r>
            <w:r>
              <w:rPr>
                <w:rFonts w:hint="eastAsia" w:ascii="Times New Roman" w:hAnsi="Times New Roman"/>
                <w:sz w:val="21"/>
                <w:szCs w:val="21"/>
              </w:rPr>
              <w:t>1</w:t>
            </w:r>
            <w:r>
              <w:rPr>
                <w:rFonts w:ascii="Times New Roman" w:hAnsi="Times New Roman"/>
                <w:sz w:val="21"/>
                <w:szCs w:val="21"/>
              </w:rPr>
              <w:t>0</w:t>
            </w:r>
            <w:r>
              <w:rPr>
                <w:rFonts w:hAnsi="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149" w:type="dxa"/>
            <w:noWrap w:val="0"/>
            <w:vAlign w:val="center"/>
          </w:tcPr>
          <w:p>
            <w:pPr>
              <w:spacing w:line="240" w:lineRule="exact"/>
              <w:ind w:firstLine="0"/>
              <w:jc w:val="center"/>
              <w:rPr>
                <w:rFonts w:hAnsi="宋体"/>
                <w:sz w:val="21"/>
                <w:szCs w:val="21"/>
              </w:rPr>
            </w:pPr>
            <w:r>
              <w:rPr>
                <w:rFonts w:hAnsi="宋体"/>
                <w:sz w:val="21"/>
                <w:szCs w:val="21"/>
              </w:rPr>
              <w:t>二级</w:t>
            </w:r>
          </w:p>
        </w:tc>
        <w:tc>
          <w:tcPr>
            <w:tcW w:w="7025" w:type="dxa"/>
            <w:noWrap w:val="0"/>
            <w:vAlign w:val="center"/>
          </w:tcPr>
          <w:p>
            <w:pPr>
              <w:spacing w:line="240" w:lineRule="exact"/>
              <w:ind w:firstLine="0"/>
              <w:jc w:val="center"/>
              <w:rPr>
                <w:rFonts w:hint="eastAsia" w:hAnsi="宋体"/>
                <w:sz w:val="21"/>
                <w:szCs w:val="21"/>
              </w:rPr>
            </w:pPr>
            <w:r>
              <w:rPr>
                <w:rFonts w:hint="eastAsia" w:ascii="Times New Roman" w:hAnsi="Times New Roman"/>
                <w:sz w:val="21"/>
                <w:szCs w:val="21"/>
              </w:rPr>
              <w:t>1</w:t>
            </w:r>
            <w:r>
              <w:rPr>
                <w:rFonts w:hint="eastAsia" w:hAnsi="宋体"/>
                <w:sz w:val="21"/>
                <w:szCs w:val="21"/>
              </w:rPr>
              <w:t>%≤</w:t>
            </w:r>
            <w:r>
              <w:rPr>
                <w:rFonts w:hAnsi="宋体"/>
                <w:position w:val="-12"/>
                <w:sz w:val="21"/>
                <w:szCs w:val="21"/>
              </w:rPr>
              <w:object>
                <v:shape id="_x0000_i1032" o:spt="75" type="#_x0000_t75" style="height:18pt;width:23pt;" o:ole="t" filled="f" o:preferrelative="t" stroked="f" coordsize="21600,21600">
                  <v:path/>
                  <v:fill on="f" focussize="0,0"/>
                  <v:stroke on="f"/>
                  <v:imagedata r:id="rId30" o:title=""/>
                  <o:lock v:ext="edit" grouping="f" rotation="f" text="f" aspectratio="t"/>
                  <w10:wrap type="none"/>
                  <w10:anchorlock/>
                </v:shape>
                <o:OLEObject Type="Embed" ProgID="Equation.3" ShapeID="_x0000_i1032" DrawAspect="Content" ObjectID="_1468075733" r:id="rId31">
                  <o:LockedField>false</o:LockedField>
                </o:OLEObject>
              </w:object>
            </w:r>
            <w:r>
              <w:rPr>
                <w:rFonts w:hint="eastAsia" w:hAnsi="宋体"/>
                <w:sz w:val="21"/>
                <w:szCs w:val="21"/>
              </w:rPr>
              <w:t>＜</w:t>
            </w:r>
            <w:r>
              <w:rPr>
                <w:rFonts w:hint="eastAsia" w:ascii="Times New Roman" w:hAnsi="Times New Roman"/>
                <w:sz w:val="21"/>
                <w:szCs w:val="21"/>
              </w:rPr>
              <w:t>10</w:t>
            </w:r>
            <w:r>
              <w:rPr>
                <w:rFonts w:hint="eastAsia" w:hAnsi="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149" w:type="dxa"/>
            <w:noWrap w:val="0"/>
            <w:vAlign w:val="center"/>
          </w:tcPr>
          <w:p>
            <w:pPr>
              <w:spacing w:line="240" w:lineRule="exact"/>
              <w:ind w:firstLine="0"/>
              <w:jc w:val="center"/>
              <w:rPr>
                <w:rFonts w:hAnsi="宋体"/>
                <w:sz w:val="21"/>
                <w:szCs w:val="21"/>
              </w:rPr>
            </w:pPr>
            <w:r>
              <w:rPr>
                <w:rFonts w:hAnsi="宋体"/>
                <w:sz w:val="21"/>
                <w:szCs w:val="21"/>
              </w:rPr>
              <w:t>三级</w:t>
            </w:r>
          </w:p>
        </w:tc>
        <w:tc>
          <w:tcPr>
            <w:tcW w:w="7025" w:type="dxa"/>
            <w:noWrap w:val="0"/>
            <w:vAlign w:val="center"/>
          </w:tcPr>
          <w:p>
            <w:pPr>
              <w:spacing w:line="240" w:lineRule="exact"/>
              <w:ind w:firstLine="0"/>
              <w:jc w:val="center"/>
              <w:rPr>
                <w:rFonts w:hAnsi="宋体"/>
                <w:sz w:val="21"/>
                <w:szCs w:val="21"/>
              </w:rPr>
            </w:pPr>
            <w:r>
              <w:rPr>
                <w:rFonts w:hAnsi="宋体"/>
                <w:position w:val="-12"/>
                <w:sz w:val="21"/>
                <w:szCs w:val="21"/>
              </w:rPr>
              <w:object>
                <v:shape id="_x0000_i1033" o:spt="75" type="#_x0000_t75" style="height:18pt;width:22pt;" o:ole="t" filled="f" o:preferrelative="t" stroked="f" coordsize="21600,21600">
                  <v:path/>
                  <v:fill on="f" focussize="0,0"/>
                  <v:stroke on="f"/>
                  <v:imagedata r:id="rId33" o:title=""/>
                  <o:lock v:ext="edit" grouping="f" rotation="f" text="f" aspectratio="t"/>
                  <w10:wrap type="none"/>
                  <w10:anchorlock/>
                </v:shape>
                <o:OLEObject Type="Embed" ProgID="Equation.3" ShapeID="_x0000_i1033" DrawAspect="Content" ObjectID="_1468075734" r:id="rId32">
                  <o:LockedField>false</o:LockedField>
                </o:OLEObject>
              </w:object>
            </w:r>
            <w:r>
              <w:rPr>
                <w:rFonts w:hAnsi="宋体"/>
                <w:sz w:val="21"/>
                <w:szCs w:val="21"/>
              </w:rPr>
              <w:t>＜</w:t>
            </w:r>
            <w:r>
              <w:rPr>
                <w:rFonts w:ascii="Times New Roman" w:hAnsi="Times New Roman"/>
                <w:sz w:val="21"/>
                <w:szCs w:val="21"/>
              </w:rPr>
              <w:t>1</w:t>
            </w:r>
            <w:r>
              <w:rPr>
                <w:rFonts w:hAnsi="宋体"/>
                <w:sz w:val="21"/>
                <w:szCs w:val="21"/>
              </w:rPr>
              <w:t>%</w:t>
            </w:r>
          </w:p>
        </w:tc>
      </w:tr>
    </w:tbl>
    <w:p>
      <w:pPr>
        <w:ind w:firstLine="480"/>
        <w:rPr>
          <w:rFonts w:hint="eastAsia"/>
        </w:rPr>
      </w:pPr>
      <w:r>
        <w:rPr>
          <w:rFonts w:hint="eastAsia"/>
        </w:rPr>
        <w:t>估算模式所用</w:t>
      </w:r>
      <w:r>
        <w:rPr>
          <w:rFonts w:hint="eastAsia"/>
          <w:lang w:eastAsia="zh-CN"/>
        </w:rPr>
        <w:t>的主要</w:t>
      </w:r>
      <w:r>
        <w:rPr>
          <w:rFonts w:hint="eastAsia"/>
        </w:rPr>
        <w:t>参数见表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2</w:t>
      </w:r>
      <w:r>
        <w:rPr>
          <w:rFonts w:hint="eastAsia"/>
        </w:rP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2</w:t>
      </w:r>
      <w:r>
        <w:rPr>
          <w:rFonts w:hint="eastAsia"/>
        </w:rPr>
        <w:t xml:space="preserve">  估算模式</w:t>
      </w:r>
      <w:r>
        <w:rPr>
          <w:rFonts w:hint="eastAsia"/>
          <w:lang w:eastAsia="zh-CN"/>
        </w:rPr>
        <w:t>主要</w:t>
      </w:r>
      <w:r>
        <w:rPr>
          <w:rFonts w:hint="eastAsia"/>
        </w:rPr>
        <w:t>参数一览表</w:t>
      </w:r>
    </w:p>
    <w:tbl>
      <w:tblPr>
        <w:tblStyle w:val="8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57"/>
        <w:gridCol w:w="3059"/>
        <w:gridCol w:w="3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3" w:type="pct"/>
            <w:gridSpan w:val="2"/>
            <w:noWrap w:val="0"/>
            <w:vAlign w:val="center"/>
          </w:tcPr>
          <w:p>
            <w:pPr>
              <w:spacing w:line="240" w:lineRule="auto"/>
              <w:ind w:firstLine="0"/>
              <w:jc w:val="center"/>
              <w:rPr>
                <w:rFonts w:ascii="Times New Roman"/>
                <w:iCs/>
                <w:sz w:val="21"/>
                <w:szCs w:val="21"/>
              </w:rPr>
            </w:pPr>
            <w:r>
              <w:rPr>
                <w:rFonts w:ascii="Times New Roman"/>
                <w:iCs/>
                <w:sz w:val="21"/>
                <w:szCs w:val="21"/>
              </w:rPr>
              <w:t>参数</w:t>
            </w:r>
          </w:p>
        </w:tc>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noWrap w:val="0"/>
            <w:vAlign w:val="center"/>
          </w:tcPr>
          <w:p>
            <w:pPr>
              <w:spacing w:line="240" w:lineRule="auto"/>
              <w:ind w:firstLine="0"/>
              <w:jc w:val="center"/>
              <w:rPr>
                <w:rFonts w:ascii="Times New Roman"/>
                <w:iCs/>
                <w:sz w:val="21"/>
                <w:szCs w:val="21"/>
              </w:rPr>
            </w:pPr>
            <w:r>
              <w:rPr>
                <w:rFonts w:ascii="Times New Roman"/>
                <w:iCs/>
                <w:sz w:val="21"/>
                <w:szCs w:val="21"/>
              </w:rPr>
              <w:t>城市农村/选项</w:t>
            </w:r>
          </w:p>
        </w:tc>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城市/农村</w:t>
            </w:r>
          </w:p>
        </w:tc>
        <w:tc>
          <w:tcPr>
            <w:tcW w:w="1666" w:type="pct"/>
            <w:noWrap w:val="0"/>
            <w:vAlign w:val="center"/>
          </w:tcPr>
          <w:p>
            <w:pPr>
              <w:spacing w:line="240" w:lineRule="auto"/>
              <w:ind w:firstLine="0"/>
              <w:jc w:val="center"/>
              <w:rPr>
                <w:rFonts w:hint="eastAsia" w:ascii="Times New Roman" w:eastAsia="宋体"/>
                <w:iCs/>
                <w:sz w:val="21"/>
                <w:szCs w:val="21"/>
                <w:lang w:val="en-US" w:eastAsia="zh-CN"/>
              </w:rPr>
            </w:pPr>
            <w:r>
              <w:rPr>
                <w:rFonts w:hint="eastAsia" w:ascii="Times New Roman"/>
                <w:iCs/>
                <w:sz w:val="21"/>
                <w:szCs w:val="21"/>
                <w:lang w:val="en-US"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noWrap w:val="0"/>
            <w:vAlign w:val="center"/>
          </w:tcPr>
          <w:p>
            <w:pPr>
              <w:spacing w:line="240" w:lineRule="auto"/>
              <w:ind w:firstLine="0"/>
              <w:jc w:val="center"/>
              <w:rPr>
                <w:rFonts w:ascii="Times New Roman"/>
                <w:iCs/>
                <w:sz w:val="21"/>
                <w:szCs w:val="21"/>
              </w:rPr>
            </w:pPr>
          </w:p>
        </w:tc>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人口数（城市人口数）</w:t>
            </w:r>
          </w:p>
        </w:tc>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最高环境温度</w:t>
            </w:r>
          </w:p>
        </w:tc>
        <w:tc>
          <w:tcPr>
            <w:tcW w:w="3333" w:type="pct"/>
            <w:gridSpan w:val="2"/>
            <w:noWrap w:val="0"/>
            <w:vAlign w:val="center"/>
          </w:tcPr>
          <w:p>
            <w:pPr>
              <w:spacing w:line="240" w:lineRule="auto"/>
              <w:ind w:firstLine="0"/>
              <w:jc w:val="center"/>
              <w:rPr>
                <w:rFonts w:ascii="Times New Roman"/>
                <w:iCs/>
                <w:sz w:val="21"/>
                <w:szCs w:val="21"/>
              </w:rPr>
            </w:pPr>
            <w:r>
              <w:rPr>
                <w:rFonts w:hint="eastAsia" w:ascii="Times New Roman" w:hAnsi="Times New Roman"/>
                <w:iCs/>
                <w:sz w:val="21"/>
                <w:szCs w:val="21"/>
                <w:lang w:val="en-US" w:eastAsia="zh-CN"/>
              </w:rPr>
              <w:t>41</w:t>
            </w:r>
            <w:r>
              <w:rPr>
                <w:rFonts w:hint="eastAsia" w:ascii="Times New Roman"/>
                <w:iCs/>
                <w:sz w:val="21"/>
                <w:szCs w:val="21"/>
                <w:lang w:val="en-US" w:eastAsia="zh-CN"/>
              </w:rPr>
              <w:t>.</w:t>
            </w:r>
            <w:r>
              <w:rPr>
                <w:rFonts w:hint="eastAsia" w:ascii="Times New Roman" w:hAnsi="Times New Roman"/>
                <w:iCs/>
                <w:sz w:val="21"/>
                <w:szCs w:val="21"/>
                <w:lang w:val="en-US" w:eastAsia="zh-CN"/>
              </w:rPr>
              <w:t>3</w:t>
            </w:r>
            <w:r>
              <w:rPr>
                <w:rFonts w:ascii="Times New Roman"/>
                <w:i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最低环境温度</w:t>
            </w:r>
          </w:p>
        </w:tc>
        <w:tc>
          <w:tcPr>
            <w:tcW w:w="3333" w:type="pct"/>
            <w:gridSpan w:val="2"/>
            <w:noWrap w:val="0"/>
            <w:vAlign w:val="center"/>
          </w:tcPr>
          <w:p>
            <w:pPr>
              <w:spacing w:line="240" w:lineRule="auto"/>
              <w:ind w:firstLine="0"/>
              <w:jc w:val="center"/>
              <w:rPr>
                <w:rFonts w:ascii="Times New Roman"/>
                <w:iCs/>
                <w:sz w:val="21"/>
                <w:szCs w:val="21"/>
              </w:rPr>
            </w:pPr>
            <w:r>
              <w:rPr>
                <w:rFonts w:ascii="Times New Roman"/>
                <w:iCs/>
                <w:sz w:val="21"/>
                <w:szCs w:val="21"/>
              </w:rPr>
              <w:t>-</w:t>
            </w:r>
            <w:r>
              <w:rPr>
                <w:rFonts w:hint="eastAsia" w:ascii="Times New Roman" w:hAnsi="Times New Roman"/>
                <w:iCs/>
                <w:sz w:val="21"/>
                <w:szCs w:val="21"/>
                <w:lang w:val="en-US" w:eastAsia="zh-CN"/>
              </w:rPr>
              <w:t>32</w:t>
            </w:r>
            <w:r>
              <w:rPr>
                <w:rFonts w:hint="eastAsia" w:ascii="Times New Roman"/>
                <w:iCs/>
                <w:sz w:val="21"/>
                <w:szCs w:val="21"/>
                <w:lang w:val="en-US" w:eastAsia="zh-CN"/>
              </w:rPr>
              <w:t>.</w:t>
            </w:r>
            <w:r>
              <w:rPr>
                <w:rFonts w:hint="eastAsia" w:ascii="Times New Roman" w:hAnsi="Times New Roman"/>
                <w:iCs/>
                <w:sz w:val="21"/>
                <w:szCs w:val="21"/>
                <w:lang w:val="en-US" w:eastAsia="zh-CN"/>
              </w:rPr>
              <w:t>3</w:t>
            </w:r>
            <w:r>
              <w:rPr>
                <w:rFonts w:ascii="Times New Roman"/>
                <w:i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土地利用类型</w:t>
            </w:r>
          </w:p>
        </w:tc>
        <w:tc>
          <w:tcPr>
            <w:tcW w:w="3333" w:type="pct"/>
            <w:gridSpan w:val="2"/>
            <w:noWrap w:val="0"/>
            <w:vAlign w:val="center"/>
          </w:tcPr>
          <w:p>
            <w:pPr>
              <w:spacing w:line="240" w:lineRule="auto"/>
              <w:ind w:firstLine="0"/>
              <w:jc w:val="center"/>
              <w:rPr>
                <w:rFonts w:hint="eastAsia" w:ascii="Times New Roman" w:eastAsia="宋体"/>
                <w:iCs/>
                <w:sz w:val="21"/>
                <w:szCs w:val="21"/>
                <w:lang w:eastAsia="zh-CN"/>
              </w:rPr>
            </w:pPr>
            <w:r>
              <w:rPr>
                <w:rFonts w:hint="eastAsia" w:ascii="Times New Roman"/>
                <w:iCs/>
                <w:sz w:val="21"/>
                <w:szCs w:val="21"/>
                <w:lang w:eastAsia="zh-CN"/>
              </w:rPr>
              <w:t>工业用地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区域湿度条件</w:t>
            </w:r>
          </w:p>
        </w:tc>
        <w:tc>
          <w:tcPr>
            <w:tcW w:w="3333" w:type="pct"/>
            <w:gridSpan w:val="2"/>
            <w:noWrap w:val="0"/>
            <w:vAlign w:val="center"/>
          </w:tcPr>
          <w:p>
            <w:pPr>
              <w:spacing w:line="240" w:lineRule="auto"/>
              <w:ind w:firstLine="0"/>
              <w:jc w:val="center"/>
              <w:rPr>
                <w:rFonts w:hint="eastAsia" w:ascii="Times New Roman" w:eastAsia="宋体"/>
                <w:iCs/>
                <w:sz w:val="21"/>
                <w:szCs w:val="21"/>
                <w:lang w:eastAsia="zh-CN"/>
              </w:rPr>
            </w:pPr>
            <w:r>
              <w:rPr>
                <w:rFonts w:hint="eastAsia"/>
                <w:iCs/>
                <w:sz w:val="21"/>
                <w:szCs w:val="21"/>
                <w:lang w:eastAsia="zh-CN"/>
              </w:rPr>
              <w:t>干燥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是否考虑地形</w:t>
            </w:r>
          </w:p>
        </w:tc>
        <w:tc>
          <w:tcPr>
            <w:tcW w:w="3333" w:type="pct"/>
            <w:gridSpan w:val="2"/>
            <w:noWrap w:val="0"/>
            <w:vAlign w:val="center"/>
          </w:tcPr>
          <w:p>
            <w:pPr>
              <w:spacing w:line="240" w:lineRule="auto"/>
              <w:ind w:firstLine="0"/>
              <w:jc w:val="center"/>
              <w:rPr>
                <w:rFonts w:ascii="Times New Roman"/>
                <w:iCs/>
                <w:sz w:val="21"/>
                <w:szCs w:val="21"/>
              </w:rPr>
            </w:pPr>
            <w:r>
              <w:rPr>
                <w:rFonts w:ascii="Times New Roman"/>
                <w:iCs/>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spacing w:line="240" w:lineRule="auto"/>
              <w:ind w:firstLine="0"/>
              <w:jc w:val="center"/>
              <w:rPr>
                <w:rFonts w:ascii="Times New Roman"/>
                <w:iCs/>
                <w:sz w:val="21"/>
                <w:szCs w:val="21"/>
              </w:rPr>
            </w:pPr>
            <w:r>
              <w:rPr>
                <w:rFonts w:ascii="Times New Roman"/>
                <w:iCs/>
                <w:sz w:val="21"/>
                <w:szCs w:val="21"/>
              </w:rPr>
              <w:t>地形数据分辨率/</w:t>
            </w:r>
            <w:r>
              <w:rPr>
                <w:rFonts w:ascii="Times New Roman" w:hAnsi="Times New Roman"/>
                <w:iCs/>
                <w:sz w:val="21"/>
                <w:szCs w:val="21"/>
              </w:rPr>
              <w:t>m</w:t>
            </w:r>
          </w:p>
        </w:tc>
        <w:tc>
          <w:tcPr>
            <w:tcW w:w="3333" w:type="pct"/>
            <w:gridSpan w:val="2"/>
            <w:noWrap w:val="0"/>
            <w:vAlign w:val="center"/>
          </w:tcPr>
          <w:p>
            <w:pPr>
              <w:spacing w:line="240" w:lineRule="auto"/>
              <w:ind w:firstLine="0"/>
              <w:jc w:val="center"/>
              <w:rPr>
                <w:rFonts w:ascii="Times New Roman"/>
                <w:iCs/>
                <w:sz w:val="21"/>
                <w:szCs w:val="21"/>
              </w:rPr>
            </w:pPr>
            <w:r>
              <w:rPr>
                <w:rFonts w:ascii="Times New Roman" w:hAnsi="Times New Roman"/>
                <w:iCs/>
                <w:sz w:val="21"/>
                <w:szCs w:val="21"/>
              </w:rPr>
              <w:t>90</w:t>
            </w:r>
          </w:p>
        </w:tc>
      </w:tr>
    </w:tbl>
    <w:p>
      <w:pPr>
        <w:ind w:firstLine="480"/>
        <w:rPr>
          <w:rFonts w:hint="eastAsia"/>
        </w:rPr>
      </w:pPr>
      <w:r>
        <w:rPr>
          <w:rFonts w:hint="eastAsia"/>
        </w:rPr>
        <w:t>根据本项目工程分析结果，选择正常工况下主要污染物排放参数，采取《环境影响评价技术导则-大气环境》（</w:t>
      </w:r>
      <w:r>
        <w:rPr>
          <w:rFonts w:hint="eastAsia" w:ascii="Times New Roman" w:hAnsi="Times New Roman"/>
        </w:rPr>
        <w:t>HJ2</w:t>
      </w:r>
      <w:r>
        <w:rPr>
          <w:rFonts w:hint="eastAsia"/>
        </w:rPr>
        <w:t>.</w:t>
      </w:r>
      <w:r>
        <w:rPr>
          <w:rFonts w:hint="eastAsia" w:ascii="Times New Roman" w:hAnsi="Times New Roman"/>
        </w:rPr>
        <w:t>2</w:t>
      </w:r>
      <w:r>
        <w:rPr>
          <w:rFonts w:hint="eastAsia"/>
        </w:rPr>
        <w:t>-</w:t>
      </w:r>
      <w:r>
        <w:rPr>
          <w:rFonts w:hint="eastAsia" w:ascii="Times New Roman" w:hAnsi="Times New Roman"/>
        </w:rPr>
        <w:t>2018</w:t>
      </w:r>
      <w:r>
        <w:rPr>
          <w:rFonts w:hint="eastAsia"/>
        </w:rPr>
        <w:t>）附录</w:t>
      </w:r>
      <w:r>
        <w:rPr>
          <w:rFonts w:hint="eastAsia" w:ascii="Times New Roman" w:hAnsi="Times New Roman"/>
        </w:rPr>
        <w:t>A</w:t>
      </w:r>
      <w:r>
        <w:rPr>
          <w:rFonts w:hint="eastAsia"/>
        </w:rPr>
        <w:t>推荐模型中估算模型（</w:t>
      </w:r>
      <w:r>
        <w:rPr>
          <w:rFonts w:hint="eastAsia" w:ascii="Times New Roman" w:hAnsi="Times New Roman"/>
        </w:rPr>
        <w:t>AERSCREEN</w:t>
      </w:r>
      <w:r>
        <w:rPr>
          <w:rFonts w:hint="eastAsia"/>
        </w:rPr>
        <w:t>）分别计算污染物的最大环境影响，然后按照评价工作等级判据进行分级。项目主要污染源源强见表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3</w:t>
      </w: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4</w:t>
      </w:r>
      <w:r>
        <w:rPr>
          <w:rFonts w:hint="eastAsia"/>
        </w:rPr>
        <w:t>，大气评价工作等级分级判据见表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5</w:t>
      </w:r>
      <w:r>
        <w:rPr>
          <w:rFonts w:hint="eastAsia" w:ascii="Times New Roman"/>
          <w:lang w:eastAsia="zh-CN"/>
        </w:rPr>
        <w:t>，图</w:t>
      </w:r>
      <w:r>
        <w:rPr>
          <w:rFonts w:hint="eastAsia" w:ascii="Times New Roman" w:hAnsi="Times New Roman"/>
          <w:lang w:val="en-US" w:eastAsia="zh-CN"/>
        </w:rPr>
        <w:t>2</w:t>
      </w:r>
      <w:r>
        <w:rPr>
          <w:rFonts w:hint="eastAsia" w:ascii="Times New Roman"/>
          <w:lang w:val="en-US" w:eastAsia="zh-CN"/>
        </w:rPr>
        <w:t>.</w:t>
      </w:r>
      <w:r>
        <w:rPr>
          <w:rFonts w:hint="eastAsia" w:ascii="Times New Roman" w:hAnsi="Times New Roman"/>
          <w:lang w:val="en-US" w:eastAsia="zh-CN"/>
        </w:rPr>
        <w:t>5</w:t>
      </w:r>
      <w:r>
        <w:rPr>
          <w:rFonts w:hint="eastAsia" w:ascii="Times New Roman"/>
          <w:lang w:val="en-US" w:eastAsia="zh-CN"/>
        </w:rPr>
        <w:t>-</w:t>
      </w:r>
      <w:r>
        <w:rPr>
          <w:rFonts w:hint="eastAsia" w:ascii="Times New Roman" w:hAnsi="Times New Roman"/>
          <w:lang w:val="en-US" w:eastAsia="zh-CN"/>
        </w:rPr>
        <w:t>1</w:t>
      </w:r>
      <w:r>
        <w:rPr>
          <w:rFonts w:hint="eastAsia"/>
        </w:rPr>
        <w:t>。</w:t>
      </w:r>
    </w:p>
    <w:p>
      <w:pPr>
        <w:pStyle w:val="20"/>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color w:val="auto"/>
        </w:rPr>
      </w:pPr>
      <w:r>
        <w:rPr>
          <w:rFonts w:hint="eastAsia"/>
          <w:color w:val="auto"/>
        </w:rPr>
        <w:t>表</w:t>
      </w:r>
      <w:r>
        <w:rPr>
          <w:rFonts w:hint="eastAsia" w:ascii="Times New Roman" w:hAnsi="Times New Roman"/>
          <w:color w:val="auto"/>
        </w:rPr>
        <w:t>2</w:t>
      </w:r>
      <w:r>
        <w:rPr>
          <w:rFonts w:hint="eastAsia"/>
          <w:color w:val="auto"/>
        </w:rPr>
        <w:t>.</w:t>
      </w: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rPr>
        <w:t>3</w:t>
      </w:r>
      <w:r>
        <w:rPr>
          <w:rFonts w:hint="eastAsia"/>
          <w:color w:val="auto"/>
        </w:rPr>
        <w:t xml:space="preserve">  </w:t>
      </w:r>
      <w:r>
        <w:rPr>
          <w:rFonts w:hint="eastAsia"/>
          <w:color w:val="auto"/>
          <w:lang w:eastAsia="zh-CN"/>
        </w:rPr>
        <w:t>有组织废气（点源）排放</w:t>
      </w:r>
      <w:r>
        <w:rPr>
          <w:rFonts w:hint="eastAsia"/>
          <w:color w:val="auto"/>
        </w:rPr>
        <w:t>源强一览表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
        <w:gridCol w:w="526"/>
        <w:gridCol w:w="533"/>
        <w:gridCol w:w="563"/>
        <w:gridCol w:w="804"/>
        <w:gridCol w:w="698"/>
        <w:gridCol w:w="848"/>
        <w:gridCol w:w="944"/>
        <w:gridCol w:w="820"/>
        <w:gridCol w:w="740"/>
        <w:gridCol w:w="549"/>
        <w:gridCol w:w="858"/>
        <w:gridCol w:w="8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11"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lang w:eastAsia="zh-CN"/>
              </w:rPr>
              <w:t>编</w:t>
            </w:r>
            <w:r>
              <w:rPr>
                <w:rFonts w:hint="eastAsia"/>
                <w:color w:val="auto"/>
                <w:spacing w:val="-17"/>
                <w:sz w:val="21"/>
                <w:szCs w:val="21"/>
              </w:rPr>
              <w:t>号</w:t>
            </w:r>
          </w:p>
        </w:tc>
        <w:tc>
          <w:tcPr>
            <w:tcW w:w="526"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污染源名称</w:t>
            </w:r>
          </w:p>
        </w:tc>
        <w:tc>
          <w:tcPr>
            <w:tcW w:w="1096" w:type="dxa"/>
            <w:gridSpan w:val="2"/>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排气筒底部中心坐标</w:t>
            </w:r>
          </w:p>
        </w:tc>
        <w:tc>
          <w:tcPr>
            <w:tcW w:w="804"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排气筒底部海拔高度（</w:t>
            </w:r>
            <w:r>
              <w:rPr>
                <w:rFonts w:hint="eastAsia" w:ascii="Times New Roman" w:hAnsi="Times New Roman"/>
                <w:color w:val="auto"/>
                <w:spacing w:val="-17"/>
                <w:sz w:val="21"/>
                <w:szCs w:val="21"/>
              </w:rPr>
              <w:t>m</w:t>
            </w:r>
            <w:r>
              <w:rPr>
                <w:rFonts w:hint="eastAsia"/>
                <w:color w:val="auto"/>
                <w:spacing w:val="-17"/>
                <w:sz w:val="21"/>
                <w:szCs w:val="21"/>
              </w:rPr>
              <w:t>）</w:t>
            </w:r>
          </w:p>
        </w:tc>
        <w:tc>
          <w:tcPr>
            <w:tcW w:w="698"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排气筒高度（</w:t>
            </w:r>
            <w:r>
              <w:rPr>
                <w:rFonts w:hint="eastAsia" w:ascii="Times New Roman" w:hAnsi="Times New Roman"/>
                <w:color w:val="auto"/>
                <w:spacing w:val="-17"/>
                <w:sz w:val="21"/>
                <w:szCs w:val="21"/>
              </w:rPr>
              <w:t>m</w:t>
            </w:r>
            <w:r>
              <w:rPr>
                <w:rFonts w:hint="eastAsia"/>
                <w:color w:val="auto"/>
                <w:spacing w:val="-17"/>
                <w:sz w:val="21"/>
                <w:szCs w:val="21"/>
              </w:rPr>
              <w:t>）</w:t>
            </w:r>
          </w:p>
        </w:tc>
        <w:tc>
          <w:tcPr>
            <w:tcW w:w="848"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排气筒出口内径（</w:t>
            </w:r>
            <w:r>
              <w:rPr>
                <w:rFonts w:hint="eastAsia" w:ascii="Times New Roman" w:hAnsi="Times New Roman"/>
                <w:color w:val="auto"/>
                <w:spacing w:val="-17"/>
                <w:sz w:val="21"/>
                <w:szCs w:val="21"/>
              </w:rPr>
              <w:t>m</w:t>
            </w:r>
            <w:r>
              <w:rPr>
                <w:rFonts w:hint="eastAsia"/>
                <w:color w:val="auto"/>
                <w:spacing w:val="-17"/>
                <w:sz w:val="21"/>
                <w:szCs w:val="21"/>
              </w:rPr>
              <w:t>）</w:t>
            </w:r>
          </w:p>
        </w:tc>
        <w:tc>
          <w:tcPr>
            <w:tcW w:w="944"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烟气流速（</w:t>
            </w:r>
            <w:r>
              <w:rPr>
                <w:rFonts w:hint="eastAsia" w:ascii="Times New Roman" w:hAnsi="Times New Roman"/>
                <w:color w:val="auto"/>
                <w:spacing w:val="-17"/>
                <w:sz w:val="21"/>
                <w:szCs w:val="21"/>
              </w:rPr>
              <w:t>m</w:t>
            </w:r>
            <w:r>
              <w:rPr>
                <w:rFonts w:hint="eastAsia"/>
                <w:color w:val="auto"/>
                <w:spacing w:val="-17"/>
                <w:sz w:val="21"/>
                <w:szCs w:val="21"/>
              </w:rPr>
              <w:t>/</w:t>
            </w:r>
            <w:r>
              <w:rPr>
                <w:rFonts w:hint="eastAsia" w:ascii="Times New Roman" w:hAnsi="Times New Roman"/>
                <w:color w:val="auto"/>
                <w:spacing w:val="-17"/>
                <w:sz w:val="21"/>
                <w:szCs w:val="21"/>
              </w:rPr>
              <w:t>s</w:t>
            </w:r>
            <w:r>
              <w:rPr>
                <w:rFonts w:hint="eastAsia"/>
                <w:color w:val="auto"/>
                <w:spacing w:val="-17"/>
                <w:sz w:val="21"/>
                <w:szCs w:val="21"/>
              </w:rPr>
              <w:t>）</w:t>
            </w:r>
          </w:p>
        </w:tc>
        <w:tc>
          <w:tcPr>
            <w:tcW w:w="820"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烟气温度（</w:t>
            </w:r>
            <w:r>
              <w:rPr>
                <w:rFonts w:hint="eastAsia" w:hAnsi="宋体" w:cs="宋体"/>
                <w:color w:val="auto"/>
                <w:spacing w:val="-17"/>
                <w:sz w:val="21"/>
                <w:szCs w:val="21"/>
              </w:rPr>
              <w:t>℃</w:t>
            </w:r>
            <w:r>
              <w:rPr>
                <w:rFonts w:hint="eastAsia"/>
                <w:color w:val="auto"/>
                <w:spacing w:val="-17"/>
                <w:sz w:val="21"/>
                <w:szCs w:val="21"/>
              </w:rPr>
              <w:t>）</w:t>
            </w:r>
          </w:p>
        </w:tc>
        <w:tc>
          <w:tcPr>
            <w:tcW w:w="740"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年排放小时数（</w:t>
            </w:r>
            <w:r>
              <w:rPr>
                <w:rFonts w:hint="eastAsia" w:ascii="Times New Roman" w:hAnsi="Times New Roman"/>
                <w:color w:val="auto"/>
                <w:spacing w:val="-17"/>
                <w:sz w:val="21"/>
                <w:szCs w:val="21"/>
              </w:rPr>
              <w:t>h</w:t>
            </w:r>
            <w:r>
              <w:rPr>
                <w:rFonts w:hint="eastAsia"/>
                <w:color w:val="auto"/>
                <w:spacing w:val="-17"/>
                <w:sz w:val="21"/>
                <w:szCs w:val="21"/>
              </w:rPr>
              <w:t>）</w:t>
            </w:r>
          </w:p>
        </w:tc>
        <w:tc>
          <w:tcPr>
            <w:tcW w:w="549" w:type="dxa"/>
            <w:vMerge w:val="restart"/>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排放</w:t>
            </w:r>
          </w:p>
          <w:p>
            <w:pPr>
              <w:spacing w:line="240" w:lineRule="auto"/>
              <w:ind w:firstLine="0"/>
              <w:jc w:val="center"/>
              <w:rPr>
                <w:rFonts w:hint="eastAsia"/>
                <w:color w:val="auto"/>
                <w:spacing w:val="-17"/>
                <w:sz w:val="21"/>
                <w:szCs w:val="21"/>
              </w:rPr>
            </w:pPr>
            <w:r>
              <w:rPr>
                <w:rFonts w:hint="eastAsia"/>
                <w:color w:val="auto"/>
                <w:spacing w:val="-17"/>
                <w:sz w:val="21"/>
                <w:szCs w:val="21"/>
              </w:rPr>
              <w:t>工况</w:t>
            </w:r>
          </w:p>
        </w:tc>
        <w:tc>
          <w:tcPr>
            <w:tcW w:w="1716" w:type="dxa"/>
            <w:gridSpan w:val="2"/>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污染物排放速率（</w:t>
            </w:r>
            <w:r>
              <w:rPr>
                <w:rFonts w:hint="eastAsia" w:ascii="Times New Roman" w:hAnsi="Times New Roman"/>
                <w:color w:val="auto"/>
                <w:spacing w:val="-17"/>
                <w:sz w:val="21"/>
                <w:szCs w:val="21"/>
              </w:rPr>
              <w:t>kg</w:t>
            </w:r>
            <w:r>
              <w:rPr>
                <w:rFonts w:hint="eastAsia"/>
                <w:color w:val="auto"/>
                <w:spacing w:val="-17"/>
                <w:sz w:val="21"/>
                <w:szCs w:val="21"/>
              </w:rPr>
              <w:t>/</w:t>
            </w:r>
            <w:r>
              <w:rPr>
                <w:rFonts w:hint="eastAsia" w:ascii="Times New Roman" w:hAnsi="Times New Roman"/>
                <w:color w:val="auto"/>
                <w:spacing w:val="-17"/>
                <w:sz w:val="21"/>
                <w:szCs w:val="21"/>
              </w:rPr>
              <w:t>h</w:t>
            </w:r>
            <w:r>
              <w:rPr>
                <w:rFonts w:hint="eastAsia"/>
                <w:color w:val="auto"/>
                <w:spacing w:val="-17"/>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11" w:type="dxa"/>
            <w:vMerge w:val="continue"/>
            <w:noWrap w:val="0"/>
            <w:vAlign w:val="center"/>
          </w:tcPr>
          <w:p>
            <w:pPr>
              <w:spacing w:line="240" w:lineRule="auto"/>
              <w:ind w:firstLine="0"/>
              <w:jc w:val="center"/>
              <w:rPr>
                <w:rFonts w:hint="eastAsia"/>
                <w:color w:val="auto"/>
                <w:spacing w:val="-17"/>
                <w:sz w:val="21"/>
                <w:szCs w:val="21"/>
              </w:rPr>
            </w:pPr>
          </w:p>
        </w:tc>
        <w:tc>
          <w:tcPr>
            <w:tcW w:w="526" w:type="dxa"/>
            <w:vMerge w:val="continue"/>
            <w:noWrap w:val="0"/>
            <w:vAlign w:val="center"/>
          </w:tcPr>
          <w:p>
            <w:pPr>
              <w:spacing w:line="240" w:lineRule="auto"/>
              <w:ind w:firstLine="0"/>
              <w:jc w:val="center"/>
              <w:rPr>
                <w:rFonts w:hint="eastAsia"/>
                <w:color w:val="auto"/>
                <w:spacing w:val="-17"/>
                <w:sz w:val="21"/>
                <w:szCs w:val="21"/>
              </w:rPr>
            </w:pPr>
          </w:p>
        </w:tc>
        <w:tc>
          <w:tcPr>
            <w:tcW w:w="533" w:type="dxa"/>
            <w:noWrap w:val="0"/>
            <w:vAlign w:val="center"/>
          </w:tcPr>
          <w:p>
            <w:pPr>
              <w:spacing w:line="240" w:lineRule="auto"/>
              <w:ind w:firstLine="0"/>
              <w:jc w:val="center"/>
              <w:rPr>
                <w:rFonts w:hint="eastAsia"/>
                <w:color w:val="auto"/>
                <w:spacing w:val="-17"/>
                <w:sz w:val="21"/>
                <w:szCs w:val="21"/>
              </w:rPr>
            </w:pPr>
            <w:r>
              <w:rPr>
                <w:rFonts w:hint="eastAsia" w:ascii="Times New Roman" w:hAnsi="Times New Roman"/>
                <w:color w:val="auto"/>
                <w:spacing w:val="-17"/>
                <w:sz w:val="21"/>
                <w:szCs w:val="21"/>
              </w:rPr>
              <w:t>X</w:t>
            </w:r>
          </w:p>
        </w:tc>
        <w:tc>
          <w:tcPr>
            <w:tcW w:w="563" w:type="dxa"/>
            <w:noWrap w:val="0"/>
            <w:vAlign w:val="center"/>
          </w:tcPr>
          <w:p>
            <w:pPr>
              <w:spacing w:line="240" w:lineRule="auto"/>
              <w:ind w:firstLine="0"/>
              <w:jc w:val="center"/>
              <w:rPr>
                <w:rFonts w:hint="eastAsia"/>
                <w:color w:val="auto"/>
                <w:spacing w:val="-17"/>
                <w:sz w:val="21"/>
                <w:szCs w:val="21"/>
              </w:rPr>
            </w:pPr>
            <w:r>
              <w:rPr>
                <w:rFonts w:hint="eastAsia" w:ascii="Times New Roman" w:hAnsi="Times New Roman"/>
                <w:color w:val="auto"/>
                <w:spacing w:val="-17"/>
                <w:sz w:val="21"/>
                <w:szCs w:val="21"/>
              </w:rPr>
              <w:t>Y</w:t>
            </w:r>
          </w:p>
        </w:tc>
        <w:tc>
          <w:tcPr>
            <w:tcW w:w="804" w:type="dxa"/>
            <w:vMerge w:val="continue"/>
            <w:noWrap w:val="0"/>
            <w:vAlign w:val="center"/>
          </w:tcPr>
          <w:p>
            <w:pPr>
              <w:spacing w:line="240" w:lineRule="auto"/>
              <w:ind w:firstLine="0"/>
              <w:jc w:val="center"/>
              <w:rPr>
                <w:rFonts w:hint="eastAsia"/>
                <w:color w:val="auto"/>
                <w:spacing w:val="-17"/>
                <w:sz w:val="21"/>
                <w:szCs w:val="21"/>
              </w:rPr>
            </w:pPr>
          </w:p>
        </w:tc>
        <w:tc>
          <w:tcPr>
            <w:tcW w:w="698" w:type="dxa"/>
            <w:vMerge w:val="continue"/>
            <w:noWrap w:val="0"/>
            <w:vAlign w:val="center"/>
          </w:tcPr>
          <w:p>
            <w:pPr>
              <w:spacing w:line="240" w:lineRule="auto"/>
              <w:ind w:firstLine="0"/>
              <w:jc w:val="center"/>
              <w:rPr>
                <w:rFonts w:hint="eastAsia"/>
                <w:color w:val="auto"/>
                <w:spacing w:val="-17"/>
                <w:sz w:val="21"/>
                <w:szCs w:val="21"/>
              </w:rPr>
            </w:pPr>
          </w:p>
        </w:tc>
        <w:tc>
          <w:tcPr>
            <w:tcW w:w="848" w:type="dxa"/>
            <w:vMerge w:val="continue"/>
            <w:noWrap w:val="0"/>
            <w:vAlign w:val="center"/>
          </w:tcPr>
          <w:p>
            <w:pPr>
              <w:spacing w:line="240" w:lineRule="auto"/>
              <w:ind w:firstLine="0"/>
              <w:jc w:val="center"/>
              <w:rPr>
                <w:rFonts w:hint="eastAsia"/>
                <w:color w:val="auto"/>
                <w:spacing w:val="-17"/>
                <w:sz w:val="21"/>
                <w:szCs w:val="21"/>
              </w:rPr>
            </w:pPr>
          </w:p>
        </w:tc>
        <w:tc>
          <w:tcPr>
            <w:tcW w:w="944" w:type="dxa"/>
            <w:vMerge w:val="continue"/>
            <w:noWrap w:val="0"/>
            <w:vAlign w:val="center"/>
          </w:tcPr>
          <w:p>
            <w:pPr>
              <w:spacing w:line="240" w:lineRule="auto"/>
              <w:ind w:firstLine="0"/>
              <w:jc w:val="center"/>
              <w:rPr>
                <w:rFonts w:hint="eastAsia"/>
                <w:color w:val="auto"/>
                <w:spacing w:val="-17"/>
                <w:sz w:val="21"/>
                <w:szCs w:val="21"/>
              </w:rPr>
            </w:pPr>
          </w:p>
        </w:tc>
        <w:tc>
          <w:tcPr>
            <w:tcW w:w="820" w:type="dxa"/>
            <w:vMerge w:val="continue"/>
            <w:noWrap w:val="0"/>
            <w:vAlign w:val="center"/>
          </w:tcPr>
          <w:p>
            <w:pPr>
              <w:spacing w:line="240" w:lineRule="auto"/>
              <w:ind w:firstLine="0"/>
              <w:jc w:val="center"/>
              <w:rPr>
                <w:rFonts w:hint="eastAsia"/>
                <w:color w:val="auto"/>
                <w:spacing w:val="-17"/>
                <w:sz w:val="21"/>
                <w:szCs w:val="21"/>
              </w:rPr>
            </w:pPr>
          </w:p>
        </w:tc>
        <w:tc>
          <w:tcPr>
            <w:tcW w:w="740" w:type="dxa"/>
            <w:vMerge w:val="continue"/>
            <w:noWrap w:val="0"/>
            <w:vAlign w:val="center"/>
          </w:tcPr>
          <w:p>
            <w:pPr>
              <w:spacing w:line="240" w:lineRule="auto"/>
              <w:ind w:firstLine="0"/>
              <w:jc w:val="center"/>
              <w:rPr>
                <w:rFonts w:hint="eastAsia"/>
                <w:color w:val="auto"/>
                <w:spacing w:val="-17"/>
                <w:sz w:val="21"/>
                <w:szCs w:val="21"/>
              </w:rPr>
            </w:pPr>
          </w:p>
        </w:tc>
        <w:tc>
          <w:tcPr>
            <w:tcW w:w="549" w:type="dxa"/>
            <w:vMerge w:val="continue"/>
            <w:noWrap w:val="0"/>
            <w:vAlign w:val="center"/>
          </w:tcPr>
          <w:p>
            <w:pPr>
              <w:spacing w:line="240" w:lineRule="auto"/>
              <w:ind w:firstLine="0"/>
              <w:jc w:val="center"/>
              <w:rPr>
                <w:rFonts w:hint="eastAsia"/>
                <w:color w:val="auto"/>
                <w:spacing w:val="-17"/>
                <w:sz w:val="21"/>
                <w:szCs w:val="21"/>
              </w:rPr>
            </w:pPr>
          </w:p>
        </w:tc>
        <w:tc>
          <w:tcPr>
            <w:tcW w:w="858" w:type="dxa"/>
            <w:noWrap w:val="0"/>
            <w:vAlign w:val="center"/>
          </w:tcPr>
          <w:p>
            <w:pPr>
              <w:spacing w:line="240" w:lineRule="auto"/>
              <w:ind w:firstLine="0" w:firstLineChars="0"/>
              <w:jc w:val="center"/>
              <w:rPr>
                <w:rFonts w:hint="eastAsia" w:ascii="宋体" w:hAnsi="宋体" w:eastAsia="宋体" w:cs="Times New Roman"/>
                <w:color w:val="auto"/>
                <w:spacing w:val="-17"/>
                <w:sz w:val="21"/>
                <w:szCs w:val="21"/>
                <w:lang w:val="en-US" w:eastAsia="zh-CN" w:bidi="ar-SA"/>
              </w:rPr>
            </w:pPr>
            <w:r>
              <w:rPr>
                <w:rFonts w:hint="eastAsia" w:ascii="Times New Roman" w:hAnsi="Times New Roman"/>
                <w:color w:val="auto"/>
                <w:spacing w:val="-17"/>
                <w:sz w:val="21"/>
                <w:szCs w:val="21"/>
                <w:lang w:val="en-US" w:eastAsia="zh-CN"/>
              </w:rPr>
              <w:t>NH</w:t>
            </w:r>
            <w:r>
              <w:rPr>
                <w:rFonts w:hint="eastAsia" w:ascii="Times New Roman" w:hAnsi="Times New Roman"/>
                <w:color w:val="auto"/>
                <w:spacing w:val="-17"/>
                <w:sz w:val="21"/>
                <w:szCs w:val="21"/>
                <w:vertAlign w:val="subscript"/>
                <w:lang w:val="en-US" w:eastAsia="zh-CN"/>
              </w:rPr>
              <w:t>3</w:t>
            </w:r>
          </w:p>
        </w:tc>
        <w:tc>
          <w:tcPr>
            <w:tcW w:w="858" w:type="dxa"/>
            <w:noWrap w:val="0"/>
            <w:vAlign w:val="center"/>
          </w:tcPr>
          <w:p>
            <w:pPr>
              <w:spacing w:line="240" w:lineRule="auto"/>
              <w:ind w:firstLine="0" w:firstLineChars="0"/>
              <w:jc w:val="center"/>
              <w:rPr>
                <w:rFonts w:hint="eastAsia" w:ascii="宋体" w:hAnsi="宋体" w:eastAsia="宋体" w:cs="Times New Roman"/>
                <w:color w:val="auto"/>
                <w:spacing w:val="-17"/>
                <w:sz w:val="21"/>
                <w:szCs w:val="21"/>
                <w:lang w:val="en-US" w:eastAsia="zh-CN" w:bidi="ar-SA"/>
              </w:rPr>
            </w:pPr>
            <w:r>
              <w:rPr>
                <w:rFonts w:hint="eastAsia" w:ascii="Times New Roman" w:hAnsi="Times New Roman"/>
                <w:color w:val="auto"/>
                <w:spacing w:val="-17"/>
                <w:sz w:val="21"/>
                <w:szCs w:val="21"/>
                <w:lang w:val="en-US" w:eastAsia="zh-CN"/>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1" w:type="dxa"/>
            <w:noWrap w:val="0"/>
            <w:vAlign w:val="center"/>
          </w:tcPr>
          <w:p>
            <w:pPr>
              <w:spacing w:line="240" w:lineRule="auto"/>
              <w:ind w:firstLine="0"/>
              <w:jc w:val="center"/>
              <w:rPr>
                <w:rFonts w:hint="eastAsia"/>
                <w:color w:val="auto"/>
                <w:spacing w:val="-17"/>
                <w:sz w:val="21"/>
                <w:szCs w:val="21"/>
              </w:rPr>
            </w:pPr>
            <w:r>
              <w:rPr>
                <w:rFonts w:hint="eastAsia" w:ascii="Times New Roman" w:hAnsi="Times New Roman"/>
                <w:color w:val="auto"/>
                <w:spacing w:val="-17"/>
                <w:sz w:val="21"/>
                <w:szCs w:val="21"/>
              </w:rPr>
              <w:t>1</w:t>
            </w:r>
          </w:p>
        </w:tc>
        <w:tc>
          <w:tcPr>
            <w:tcW w:w="526"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color w:val="auto"/>
                <w:spacing w:val="-17"/>
                <w:sz w:val="21"/>
                <w:szCs w:val="21"/>
                <w:lang w:val="en-US" w:eastAsia="zh-CN"/>
              </w:rPr>
              <w:t>尾气吸收塔</w:t>
            </w:r>
          </w:p>
        </w:tc>
        <w:tc>
          <w:tcPr>
            <w:tcW w:w="533"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70</w:t>
            </w:r>
          </w:p>
        </w:tc>
        <w:tc>
          <w:tcPr>
            <w:tcW w:w="563"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87</w:t>
            </w:r>
          </w:p>
        </w:tc>
        <w:tc>
          <w:tcPr>
            <w:tcW w:w="804"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601</w:t>
            </w:r>
          </w:p>
        </w:tc>
        <w:tc>
          <w:tcPr>
            <w:tcW w:w="698"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15</w:t>
            </w:r>
          </w:p>
        </w:tc>
        <w:tc>
          <w:tcPr>
            <w:tcW w:w="848"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0</w:t>
            </w:r>
            <w:r>
              <w:rPr>
                <w:rFonts w:hint="eastAsia"/>
                <w:color w:val="auto"/>
                <w:spacing w:val="-17"/>
                <w:sz w:val="21"/>
                <w:szCs w:val="21"/>
                <w:lang w:val="en-US" w:eastAsia="zh-CN"/>
              </w:rPr>
              <w:t>.</w:t>
            </w:r>
            <w:r>
              <w:rPr>
                <w:rFonts w:hint="eastAsia" w:ascii="Times New Roman" w:hAnsi="Times New Roman"/>
                <w:color w:val="auto"/>
                <w:spacing w:val="-17"/>
                <w:sz w:val="21"/>
                <w:szCs w:val="21"/>
                <w:lang w:val="en-US" w:eastAsia="zh-CN"/>
              </w:rPr>
              <w:t>3</w:t>
            </w:r>
          </w:p>
        </w:tc>
        <w:tc>
          <w:tcPr>
            <w:tcW w:w="944"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1</w:t>
            </w:r>
            <w:r>
              <w:rPr>
                <w:rFonts w:hint="eastAsia"/>
                <w:color w:val="auto"/>
                <w:spacing w:val="-17"/>
                <w:sz w:val="21"/>
                <w:szCs w:val="21"/>
                <w:lang w:val="en-US" w:eastAsia="zh-CN"/>
              </w:rPr>
              <w:t>.</w:t>
            </w:r>
            <w:r>
              <w:rPr>
                <w:rFonts w:hint="eastAsia" w:ascii="Times New Roman" w:hAnsi="Times New Roman"/>
                <w:color w:val="auto"/>
                <w:spacing w:val="-17"/>
                <w:sz w:val="21"/>
                <w:szCs w:val="21"/>
                <w:lang w:val="en-US" w:eastAsia="zh-CN"/>
              </w:rPr>
              <w:t>4</w:t>
            </w:r>
          </w:p>
        </w:tc>
        <w:tc>
          <w:tcPr>
            <w:tcW w:w="820"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25</w:t>
            </w:r>
          </w:p>
        </w:tc>
        <w:tc>
          <w:tcPr>
            <w:tcW w:w="740" w:type="dxa"/>
            <w:noWrap w:val="0"/>
            <w:vAlign w:val="center"/>
          </w:tcPr>
          <w:p>
            <w:pPr>
              <w:spacing w:line="240" w:lineRule="auto"/>
              <w:ind w:firstLine="0"/>
              <w:jc w:val="center"/>
              <w:rPr>
                <w:rFonts w:hint="default"/>
                <w:color w:val="auto"/>
                <w:spacing w:val="-17"/>
                <w:sz w:val="21"/>
                <w:szCs w:val="21"/>
                <w:lang w:val="en-US"/>
              </w:rPr>
            </w:pPr>
            <w:r>
              <w:rPr>
                <w:rFonts w:hint="eastAsia" w:ascii="Times New Roman" w:hAnsi="Times New Roman"/>
                <w:color w:val="auto"/>
                <w:spacing w:val="-17"/>
                <w:sz w:val="21"/>
                <w:szCs w:val="21"/>
                <w:lang w:val="en-US" w:eastAsia="zh-CN"/>
              </w:rPr>
              <w:t>8000</w:t>
            </w:r>
          </w:p>
        </w:tc>
        <w:tc>
          <w:tcPr>
            <w:tcW w:w="549" w:type="dxa"/>
            <w:noWrap w:val="0"/>
            <w:vAlign w:val="center"/>
          </w:tcPr>
          <w:p>
            <w:pPr>
              <w:spacing w:line="240" w:lineRule="auto"/>
              <w:ind w:firstLine="0"/>
              <w:jc w:val="center"/>
              <w:rPr>
                <w:rFonts w:hint="eastAsia"/>
                <w:color w:val="auto"/>
                <w:spacing w:val="-17"/>
                <w:sz w:val="21"/>
                <w:szCs w:val="21"/>
              </w:rPr>
            </w:pPr>
            <w:r>
              <w:rPr>
                <w:rFonts w:hint="eastAsia"/>
                <w:color w:val="auto"/>
                <w:spacing w:val="-17"/>
                <w:sz w:val="21"/>
                <w:szCs w:val="21"/>
              </w:rPr>
              <w:t>正常</w:t>
            </w:r>
          </w:p>
        </w:tc>
        <w:tc>
          <w:tcPr>
            <w:tcW w:w="858"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0</w:t>
            </w:r>
            <w:r>
              <w:rPr>
                <w:rFonts w:hint="eastAsia"/>
                <w:color w:val="auto"/>
                <w:spacing w:val="-17"/>
                <w:sz w:val="21"/>
                <w:szCs w:val="21"/>
                <w:lang w:val="en-US" w:eastAsia="zh-CN"/>
              </w:rPr>
              <w:t>.</w:t>
            </w:r>
            <w:r>
              <w:rPr>
                <w:rFonts w:hint="eastAsia" w:ascii="Times New Roman" w:hAnsi="Times New Roman"/>
                <w:color w:val="auto"/>
                <w:spacing w:val="-17"/>
                <w:sz w:val="21"/>
                <w:szCs w:val="21"/>
                <w:lang w:val="en-US" w:eastAsia="zh-CN"/>
              </w:rPr>
              <w:t>3037</w:t>
            </w:r>
          </w:p>
        </w:tc>
        <w:tc>
          <w:tcPr>
            <w:tcW w:w="858" w:type="dxa"/>
            <w:noWrap w:val="0"/>
            <w:vAlign w:val="center"/>
          </w:tcPr>
          <w:p>
            <w:pPr>
              <w:spacing w:line="240" w:lineRule="auto"/>
              <w:ind w:firstLine="0"/>
              <w:jc w:val="center"/>
              <w:rPr>
                <w:rFonts w:hint="default" w:eastAsia="宋体"/>
                <w:color w:val="auto"/>
                <w:spacing w:val="-17"/>
                <w:sz w:val="21"/>
                <w:szCs w:val="21"/>
                <w:lang w:val="en-US" w:eastAsia="zh-CN"/>
              </w:rPr>
            </w:pPr>
            <w:r>
              <w:rPr>
                <w:rFonts w:hint="eastAsia" w:ascii="Times New Roman" w:hAnsi="Times New Roman"/>
                <w:color w:val="auto"/>
                <w:spacing w:val="-17"/>
                <w:sz w:val="21"/>
                <w:szCs w:val="21"/>
                <w:lang w:val="en-US" w:eastAsia="zh-CN"/>
              </w:rPr>
              <w:t>0</w:t>
            </w:r>
            <w:r>
              <w:rPr>
                <w:rFonts w:hint="eastAsia"/>
                <w:color w:val="auto"/>
                <w:spacing w:val="-17"/>
                <w:sz w:val="21"/>
                <w:szCs w:val="21"/>
                <w:lang w:val="en-US" w:eastAsia="zh-CN"/>
              </w:rPr>
              <w:t>.</w:t>
            </w:r>
            <w:r>
              <w:rPr>
                <w:rFonts w:hint="eastAsia" w:ascii="Times New Roman" w:hAnsi="Times New Roman"/>
                <w:color w:val="auto"/>
                <w:spacing w:val="-17"/>
                <w:sz w:val="21"/>
                <w:szCs w:val="21"/>
                <w:lang w:val="en-US" w:eastAsia="zh-CN"/>
              </w:rPr>
              <w:t>00013</w:t>
            </w:r>
          </w:p>
        </w:tc>
      </w:tr>
    </w:tbl>
    <w:p>
      <w:pPr>
        <w:keepNext w:val="0"/>
        <w:keepLines w:val="0"/>
        <w:pageBreakBefore w:val="0"/>
        <w:widowControl w:val="0"/>
        <w:kinsoku/>
        <w:wordWrap/>
        <w:overflowPunct/>
        <w:topLinePunct w:val="0"/>
        <w:autoSpaceDE/>
        <w:autoSpaceDN/>
        <w:bidi w:val="0"/>
        <w:adjustRightInd/>
        <w:snapToGrid/>
        <w:ind w:firstLine="482"/>
        <w:jc w:val="center"/>
        <w:textAlignment w:val="auto"/>
        <w:rPr>
          <w:rFonts w:hAnsi="宋体"/>
          <w:b/>
          <w:spacing w:val="4"/>
          <w:sz w:val="21"/>
          <w:szCs w:val="21"/>
          <w:lang w:bidi="ar"/>
        </w:rPr>
      </w:pPr>
      <w:r>
        <w:rPr>
          <w:rFonts w:hAnsi="宋体"/>
          <w:b/>
          <w:spacing w:val="4"/>
          <w:sz w:val="21"/>
          <w:szCs w:val="21"/>
          <w:lang w:bidi="ar"/>
        </w:rPr>
        <w:t>表</w:t>
      </w:r>
      <w:r>
        <w:rPr>
          <w:rFonts w:hint="eastAsia" w:ascii="Times New Roman" w:hAnsi="Times New Roman"/>
          <w:b/>
          <w:spacing w:val="4"/>
          <w:sz w:val="21"/>
          <w:szCs w:val="21"/>
          <w:lang w:bidi="ar"/>
        </w:rPr>
        <w:t>2</w:t>
      </w:r>
      <w:r>
        <w:rPr>
          <w:rFonts w:hint="eastAsia"/>
          <w:b/>
          <w:spacing w:val="4"/>
          <w:sz w:val="21"/>
          <w:szCs w:val="21"/>
          <w:lang w:bidi="ar"/>
        </w:rPr>
        <w:t>.</w:t>
      </w:r>
      <w:r>
        <w:rPr>
          <w:rFonts w:hint="eastAsia" w:ascii="Times New Roman" w:hAnsi="Times New Roman"/>
          <w:b/>
          <w:spacing w:val="4"/>
          <w:sz w:val="21"/>
          <w:szCs w:val="21"/>
          <w:lang w:val="en-US" w:eastAsia="zh-CN" w:bidi="ar"/>
        </w:rPr>
        <w:t>5</w:t>
      </w:r>
      <w:r>
        <w:rPr>
          <w:rFonts w:hint="eastAsia"/>
          <w:b/>
          <w:spacing w:val="4"/>
          <w:sz w:val="21"/>
          <w:szCs w:val="21"/>
          <w:lang w:bidi="ar"/>
        </w:rPr>
        <w:t>-</w:t>
      </w:r>
      <w:r>
        <w:rPr>
          <w:rFonts w:hint="eastAsia" w:ascii="Times New Roman" w:hAnsi="Times New Roman"/>
          <w:b/>
          <w:spacing w:val="4"/>
          <w:sz w:val="21"/>
          <w:szCs w:val="21"/>
          <w:lang w:bidi="ar"/>
        </w:rPr>
        <w:t>4</w:t>
      </w:r>
      <w:r>
        <w:rPr>
          <w:rFonts w:hint="eastAsia"/>
          <w:b/>
          <w:spacing w:val="4"/>
          <w:sz w:val="21"/>
          <w:szCs w:val="21"/>
          <w:lang w:bidi="ar"/>
        </w:rPr>
        <w:t xml:space="preserve">  </w:t>
      </w:r>
      <w:r>
        <w:rPr>
          <w:rFonts w:hAnsi="宋体"/>
          <w:b/>
          <w:spacing w:val="4"/>
          <w:sz w:val="21"/>
          <w:szCs w:val="21"/>
          <w:lang w:bidi="ar"/>
        </w:rPr>
        <w:t>无组织废气（面源）污染源参数一览表</w:t>
      </w:r>
    </w:p>
    <w:tbl>
      <w:tblPr>
        <w:tblStyle w:val="8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643"/>
        <w:gridCol w:w="481"/>
        <w:gridCol w:w="455"/>
        <w:gridCol w:w="834"/>
        <w:gridCol w:w="949"/>
        <w:gridCol w:w="949"/>
        <w:gridCol w:w="657"/>
        <w:gridCol w:w="1184"/>
        <w:gridCol w:w="779"/>
        <w:gridCol w:w="527"/>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6"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lang w:eastAsia="zh-CN"/>
              </w:rPr>
              <w:t>编</w:t>
            </w:r>
            <w:r>
              <w:rPr>
                <w:rFonts w:hint="eastAsia"/>
                <w:spacing w:val="-11"/>
                <w:sz w:val="20"/>
                <w:szCs w:val="20"/>
              </w:rPr>
              <w:t>号</w:t>
            </w:r>
          </w:p>
        </w:tc>
        <w:tc>
          <w:tcPr>
            <w:tcW w:w="350"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污染源</w:t>
            </w:r>
          </w:p>
          <w:p>
            <w:pPr>
              <w:spacing w:line="240" w:lineRule="auto"/>
              <w:ind w:firstLine="0"/>
              <w:jc w:val="center"/>
              <w:rPr>
                <w:rFonts w:hint="eastAsia"/>
                <w:spacing w:val="-11"/>
                <w:sz w:val="20"/>
                <w:szCs w:val="20"/>
              </w:rPr>
            </w:pPr>
            <w:r>
              <w:rPr>
                <w:rFonts w:hint="eastAsia"/>
                <w:spacing w:val="-11"/>
                <w:sz w:val="20"/>
                <w:szCs w:val="20"/>
              </w:rPr>
              <w:t>名称</w:t>
            </w:r>
          </w:p>
        </w:tc>
        <w:tc>
          <w:tcPr>
            <w:tcW w:w="510" w:type="pct"/>
            <w:gridSpan w:val="2"/>
            <w:noWrap w:val="0"/>
            <w:vAlign w:val="center"/>
          </w:tcPr>
          <w:p>
            <w:pPr>
              <w:spacing w:line="240" w:lineRule="auto"/>
              <w:ind w:firstLine="0"/>
              <w:jc w:val="center"/>
              <w:rPr>
                <w:rFonts w:hint="eastAsia"/>
                <w:spacing w:val="-11"/>
                <w:sz w:val="20"/>
                <w:szCs w:val="20"/>
              </w:rPr>
            </w:pPr>
            <w:r>
              <w:rPr>
                <w:rFonts w:hint="eastAsia"/>
                <w:spacing w:val="-11"/>
                <w:sz w:val="20"/>
                <w:szCs w:val="20"/>
              </w:rPr>
              <w:t>面源起点坐标</w:t>
            </w:r>
          </w:p>
        </w:tc>
        <w:tc>
          <w:tcPr>
            <w:tcW w:w="454"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面源海拔</w:t>
            </w:r>
          </w:p>
          <w:p>
            <w:pPr>
              <w:spacing w:line="240" w:lineRule="auto"/>
              <w:ind w:firstLine="0"/>
              <w:jc w:val="center"/>
              <w:rPr>
                <w:rFonts w:hint="eastAsia"/>
                <w:spacing w:val="-11"/>
                <w:sz w:val="20"/>
                <w:szCs w:val="20"/>
              </w:rPr>
            </w:pPr>
            <w:r>
              <w:rPr>
                <w:rFonts w:hint="eastAsia"/>
                <w:spacing w:val="-11"/>
                <w:sz w:val="20"/>
                <w:szCs w:val="20"/>
              </w:rPr>
              <w:t>高度（</w:t>
            </w:r>
            <w:r>
              <w:rPr>
                <w:rFonts w:hint="eastAsia" w:ascii="Times New Roman" w:hAnsi="Times New Roman"/>
                <w:spacing w:val="-11"/>
                <w:sz w:val="20"/>
                <w:szCs w:val="20"/>
              </w:rPr>
              <w:t>m</w:t>
            </w:r>
            <w:r>
              <w:rPr>
                <w:rFonts w:hint="eastAsia"/>
                <w:spacing w:val="-11"/>
                <w:sz w:val="20"/>
                <w:szCs w:val="20"/>
              </w:rPr>
              <w:t>）</w:t>
            </w:r>
          </w:p>
        </w:tc>
        <w:tc>
          <w:tcPr>
            <w:tcW w:w="517"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面源长度（</w:t>
            </w:r>
            <w:r>
              <w:rPr>
                <w:rFonts w:hint="eastAsia" w:ascii="Times New Roman" w:hAnsi="Times New Roman"/>
                <w:spacing w:val="-11"/>
                <w:sz w:val="20"/>
                <w:szCs w:val="20"/>
              </w:rPr>
              <w:t>m</w:t>
            </w:r>
            <w:r>
              <w:rPr>
                <w:rFonts w:hint="eastAsia"/>
                <w:spacing w:val="-11"/>
                <w:sz w:val="20"/>
                <w:szCs w:val="20"/>
              </w:rPr>
              <w:t>）</w:t>
            </w:r>
          </w:p>
        </w:tc>
        <w:tc>
          <w:tcPr>
            <w:tcW w:w="517"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面源宽度（</w:t>
            </w:r>
            <w:r>
              <w:rPr>
                <w:rFonts w:hint="eastAsia" w:ascii="Times New Roman" w:hAnsi="Times New Roman"/>
                <w:spacing w:val="-11"/>
                <w:sz w:val="20"/>
                <w:szCs w:val="20"/>
              </w:rPr>
              <w:t>m</w:t>
            </w:r>
            <w:r>
              <w:rPr>
                <w:rFonts w:hint="eastAsia"/>
                <w:spacing w:val="-11"/>
                <w:sz w:val="20"/>
                <w:szCs w:val="20"/>
              </w:rPr>
              <w:t>）</w:t>
            </w:r>
          </w:p>
        </w:tc>
        <w:tc>
          <w:tcPr>
            <w:tcW w:w="358"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与正北向夹角/°</w:t>
            </w:r>
          </w:p>
        </w:tc>
        <w:tc>
          <w:tcPr>
            <w:tcW w:w="645"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面源有效排放高度（</w:t>
            </w:r>
            <w:r>
              <w:rPr>
                <w:rFonts w:hint="eastAsia" w:ascii="Times New Roman" w:hAnsi="Times New Roman"/>
                <w:spacing w:val="-11"/>
                <w:sz w:val="20"/>
                <w:szCs w:val="20"/>
              </w:rPr>
              <w:t>m</w:t>
            </w:r>
            <w:r>
              <w:rPr>
                <w:rFonts w:hint="eastAsia"/>
                <w:spacing w:val="-11"/>
                <w:sz w:val="20"/>
                <w:szCs w:val="20"/>
              </w:rPr>
              <w:t>）</w:t>
            </w:r>
          </w:p>
        </w:tc>
        <w:tc>
          <w:tcPr>
            <w:tcW w:w="424"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年排放小时数（</w:t>
            </w:r>
            <w:r>
              <w:rPr>
                <w:rFonts w:hint="eastAsia" w:ascii="Times New Roman" w:hAnsi="Times New Roman"/>
                <w:spacing w:val="-11"/>
                <w:sz w:val="20"/>
                <w:szCs w:val="20"/>
              </w:rPr>
              <w:t>h</w:t>
            </w:r>
            <w:r>
              <w:rPr>
                <w:rFonts w:hint="eastAsia"/>
                <w:spacing w:val="-11"/>
                <w:sz w:val="20"/>
                <w:szCs w:val="20"/>
              </w:rPr>
              <w:t>）</w:t>
            </w:r>
          </w:p>
        </w:tc>
        <w:tc>
          <w:tcPr>
            <w:tcW w:w="287" w:type="pct"/>
            <w:vMerge w:val="restart"/>
            <w:noWrap w:val="0"/>
            <w:vAlign w:val="center"/>
          </w:tcPr>
          <w:p>
            <w:pPr>
              <w:spacing w:line="240" w:lineRule="auto"/>
              <w:ind w:firstLine="0"/>
              <w:jc w:val="center"/>
              <w:rPr>
                <w:rFonts w:hint="eastAsia"/>
                <w:spacing w:val="-11"/>
                <w:sz w:val="20"/>
                <w:szCs w:val="20"/>
              </w:rPr>
            </w:pPr>
            <w:r>
              <w:rPr>
                <w:rFonts w:hint="eastAsia"/>
                <w:spacing w:val="-11"/>
                <w:sz w:val="20"/>
                <w:szCs w:val="20"/>
              </w:rPr>
              <w:t>排放</w:t>
            </w:r>
          </w:p>
          <w:p>
            <w:pPr>
              <w:spacing w:line="240" w:lineRule="auto"/>
              <w:ind w:firstLine="0"/>
              <w:jc w:val="center"/>
              <w:rPr>
                <w:rFonts w:hint="eastAsia"/>
                <w:spacing w:val="-11"/>
                <w:sz w:val="20"/>
                <w:szCs w:val="20"/>
              </w:rPr>
            </w:pPr>
            <w:r>
              <w:rPr>
                <w:rFonts w:hint="eastAsia"/>
                <w:spacing w:val="-11"/>
                <w:sz w:val="20"/>
                <w:szCs w:val="20"/>
              </w:rPr>
              <w:t>工况</w:t>
            </w:r>
          </w:p>
        </w:tc>
        <w:tc>
          <w:tcPr>
            <w:tcW w:w="687" w:type="pct"/>
            <w:noWrap w:val="0"/>
            <w:vAlign w:val="center"/>
          </w:tcPr>
          <w:p>
            <w:pPr>
              <w:spacing w:line="240" w:lineRule="auto"/>
              <w:ind w:firstLine="0"/>
              <w:jc w:val="center"/>
              <w:rPr>
                <w:rFonts w:hint="eastAsia"/>
                <w:spacing w:val="-11"/>
                <w:sz w:val="20"/>
                <w:szCs w:val="20"/>
              </w:rPr>
            </w:pPr>
            <w:r>
              <w:rPr>
                <w:rFonts w:hint="eastAsia"/>
                <w:spacing w:val="-11"/>
                <w:sz w:val="20"/>
                <w:szCs w:val="20"/>
              </w:rPr>
              <w:t>污染物排放速率（</w:t>
            </w:r>
            <w:r>
              <w:rPr>
                <w:rFonts w:hint="eastAsia" w:ascii="Times New Roman" w:hAnsi="Times New Roman"/>
                <w:spacing w:val="-11"/>
                <w:sz w:val="20"/>
                <w:szCs w:val="20"/>
              </w:rPr>
              <w:t>kg</w:t>
            </w:r>
            <w:r>
              <w:rPr>
                <w:rFonts w:hint="eastAsia"/>
                <w:spacing w:val="-11"/>
                <w:sz w:val="20"/>
                <w:szCs w:val="20"/>
              </w:rPr>
              <w:t>/</w:t>
            </w:r>
            <w:r>
              <w:rPr>
                <w:rFonts w:hint="eastAsia" w:ascii="Times New Roman" w:hAnsi="Times New Roman"/>
                <w:spacing w:val="-11"/>
                <w:sz w:val="20"/>
                <w:szCs w:val="20"/>
              </w:rPr>
              <w:t>h</w:t>
            </w:r>
            <w:r>
              <w:rPr>
                <w:rFonts w:hint="eastAsia"/>
                <w:spacing w:val="-11"/>
                <w:sz w:val="2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46" w:type="pct"/>
            <w:vMerge w:val="continue"/>
            <w:noWrap w:val="0"/>
            <w:vAlign w:val="center"/>
          </w:tcPr>
          <w:p>
            <w:pPr>
              <w:spacing w:line="240" w:lineRule="auto"/>
              <w:ind w:firstLine="0"/>
              <w:jc w:val="center"/>
              <w:rPr>
                <w:rFonts w:hint="eastAsia"/>
                <w:spacing w:val="-11"/>
                <w:sz w:val="20"/>
                <w:szCs w:val="20"/>
              </w:rPr>
            </w:pPr>
          </w:p>
        </w:tc>
        <w:tc>
          <w:tcPr>
            <w:tcW w:w="350" w:type="pct"/>
            <w:vMerge w:val="continue"/>
            <w:noWrap w:val="0"/>
            <w:vAlign w:val="center"/>
          </w:tcPr>
          <w:p>
            <w:pPr>
              <w:spacing w:line="240" w:lineRule="auto"/>
              <w:ind w:firstLine="0"/>
              <w:jc w:val="center"/>
              <w:rPr>
                <w:rFonts w:hint="eastAsia"/>
                <w:spacing w:val="-11"/>
                <w:sz w:val="20"/>
                <w:szCs w:val="20"/>
              </w:rPr>
            </w:pPr>
          </w:p>
        </w:tc>
        <w:tc>
          <w:tcPr>
            <w:tcW w:w="262" w:type="pct"/>
            <w:noWrap w:val="0"/>
            <w:vAlign w:val="center"/>
          </w:tcPr>
          <w:p>
            <w:pPr>
              <w:spacing w:line="240" w:lineRule="auto"/>
              <w:ind w:firstLine="0"/>
              <w:jc w:val="center"/>
              <w:rPr>
                <w:rFonts w:hint="eastAsia"/>
                <w:spacing w:val="-11"/>
                <w:sz w:val="20"/>
                <w:szCs w:val="20"/>
              </w:rPr>
            </w:pPr>
            <w:r>
              <w:rPr>
                <w:rFonts w:hint="eastAsia" w:ascii="Times New Roman" w:hAnsi="Times New Roman"/>
                <w:spacing w:val="-11"/>
                <w:sz w:val="20"/>
                <w:szCs w:val="20"/>
              </w:rPr>
              <w:t>X</w:t>
            </w:r>
          </w:p>
        </w:tc>
        <w:tc>
          <w:tcPr>
            <w:tcW w:w="247" w:type="pct"/>
            <w:noWrap w:val="0"/>
            <w:vAlign w:val="center"/>
          </w:tcPr>
          <w:p>
            <w:pPr>
              <w:spacing w:line="240" w:lineRule="auto"/>
              <w:ind w:firstLine="0"/>
              <w:jc w:val="center"/>
              <w:rPr>
                <w:rFonts w:hint="eastAsia"/>
                <w:spacing w:val="-11"/>
                <w:sz w:val="20"/>
                <w:szCs w:val="20"/>
              </w:rPr>
            </w:pPr>
            <w:r>
              <w:rPr>
                <w:rFonts w:hint="eastAsia" w:ascii="Times New Roman" w:hAnsi="Times New Roman"/>
                <w:spacing w:val="-11"/>
                <w:sz w:val="20"/>
                <w:szCs w:val="20"/>
              </w:rPr>
              <w:t>Y</w:t>
            </w:r>
          </w:p>
        </w:tc>
        <w:tc>
          <w:tcPr>
            <w:tcW w:w="454" w:type="pct"/>
            <w:vMerge w:val="continue"/>
            <w:noWrap w:val="0"/>
            <w:vAlign w:val="center"/>
          </w:tcPr>
          <w:p>
            <w:pPr>
              <w:spacing w:line="240" w:lineRule="auto"/>
              <w:ind w:firstLine="0"/>
              <w:jc w:val="center"/>
              <w:rPr>
                <w:rFonts w:hint="eastAsia"/>
                <w:spacing w:val="-11"/>
                <w:sz w:val="20"/>
                <w:szCs w:val="20"/>
              </w:rPr>
            </w:pPr>
          </w:p>
        </w:tc>
        <w:tc>
          <w:tcPr>
            <w:tcW w:w="517" w:type="pct"/>
            <w:vMerge w:val="continue"/>
            <w:noWrap w:val="0"/>
            <w:vAlign w:val="center"/>
          </w:tcPr>
          <w:p>
            <w:pPr>
              <w:spacing w:line="240" w:lineRule="auto"/>
              <w:ind w:firstLine="0"/>
              <w:jc w:val="center"/>
              <w:rPr>
                <w:rFonts w:hint="eastAsia"/>
                <w:spacing w:val="-11"/>
                <w:sz w:val="20"/>
                <w:szCs w:val="20"/>
              </w:rPr>
            </w:pPr>
          </w:p>
        </w:tc>
        <w:tc>
          <w:tcPr>
            <w:tcW w:w="517" w:type="pct"/>
            <w:vMerge w:val="continue"/>
            <w:noWrap w:val="0"/>
            <w:vAlign w:val="center"/>
          </w:tcPr>
          <w:p>
            <w:pPr>
              <w:spacing w:line="240" w:lineRule="auto"/>
              <w:ind w:firstLine="0"/>
              <w:jc w:val="center"/>
              <w:rPr>
                <w:rFonts w:hint="eastAsia"/>
                <w:spacing w:val="-11"/>
                <w:sz w:val="20"/>
                <w:szCs w:val="20"/>
              </w:rPr>
            </w:pPr>
          </w:p>
        </w:tc>
        <w:tc>
          <w:tcPr>
            <w:tcW w:w="358" w:type="pct"/>
            <w:vMerge w:val="continue"/>
            <w:noWrap w:val="0"/>
            <w:vAlign w:val="center"/>
          </w:tcPr>
          <w:p>
            <w:pPr>
              <w:spacing w:line="240" w:lineRule="auto"/>
              <w:ind w:firstLine="0"/>
              <w:jc w:val="center"/>
              <w:rPr>
                <w:rFonts w:hint="eastAsia"/>
                <w:spacing w:val="-11"/>
                <w:sz w:val="20"/>
                <w:szCs w:val="20"/>
              </w:rPr>
            </w:pPr>
          </w:p>
        </w:tc>
        <w:tc>
          <w:tcPr>
            <w:tcW w:w="645" w:type="pct"/>
            <w:vMerge w:val="continue"/>
            <w:noWrap w:val="0"/>
            <w:vAlign w:val="center"/>
          </w:tcPr>
          <w:p>
            <w:pPr>
              <w:spacing w:line="240" w:lineRule="auto"/>
              <w:ind w:firstLine="0"/>
              <w:jc w:val="center"/>
              <w:rPr>
                <w:rFonts w:hint="eastAsia"/>
                <w:spacing w:val="-11"/>
                <w:sz w:val="20"/>
                <w:szCs w:val="20"/>
              </w:rPr>
            </w:pPr>
          </w:p>
        </w:tc>
        <w:tc>
          <w:tcPr>
            <w:tcW w:w="424" w:type="pct"/>
            <w:vMerge w:val="continue"/>
            <w:noWrap w:val="0"/>
            <w:vAlign w:val="center"/>
          </w:tcPr>
          <w:p>
            <w:pPr>
              <w:spacing w:line="240" w:lineRule="auto"/>
              <w:ind w:firstLine="0"/>
              <w:jc w:val="center"/>
              <w:rPr>
                <w:rFonts w:hint="eastAsia"/>
                <w:spacing w:val="-11"/>
                <w:sz w:val="20"/>
                <w:szCs w:val="20"/>
              </w:rPr>
            </w:pPr>
          </w:p>
        </w:tc>
        <w:tc>
          <w:tcPr>
            <w:tcW w:w="287" w:type="pct"/>
            <w:vMerge w:val="continue"/>
            <w:noWrap w:val="0"/>
            <w:vAlign w:val="center"/>
          </w:tcPr>
          <w:p>
            <w:pPr>
              <w:spacing w:line="240" w:lineRule="auto"/>
              <w:ind w:firstLine="0"/>
              <w:jc w:val="center"/>
              <w:rPr>
                <w:rFonts w:hint="eastAsia"/>
                <w:spacing w:val="-11"/>
                <w:sz w:val="20"/>
                <w:szCs w:val="20"/>
              </w:rPr>
            </w:pPr>
          </w:p>
        </w:tc>
        <w:tc>
          <w:tcPr>
            <w:tcW w:w="687" w:type="pct"/>
            <w:noWrap w:val="0"/>
            <w:vAlign w:val="center"/>
          </w:tcPr>
          <w:p>
            <w:pPr>
              <w:spacing w:line="240" w:lineRule="auto"/>
              <w:ind w:firstLine="0"/>
              <w:jc w:val="center"/>
              <w:rPr>
                <w:rFonts w:hint="default" w:eastAsia="宋体"/>
                <w:spacing w:val="-11"/>
                <w:sz w:val="20"/>
                <w:szCs w:val="20"/>
                <w:lang w:val="en-US" w:eastAsia="zh-CN"/>
              </w:rPr>
            </w:pPr>
            <w:r>
              <w:rPr>
                <w:rFonts w:hint="eastAsia" w:ascii="Times New Roman" w:hAnsi="Times New Roman"/>
                <w:spacing w:val="-11"/>
                <w:sz w:val="20"/>
                <w:szCs w:val="20"/>
                <w:lang w:val="en-US" w:eastAsia="zh-CN" w:bidi="ar"/>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46" w:type="pct"/>
            <w:noWrap w:val="0"/>
            <w:vAlign w:val="center"/>
          </w:tcPr>
          <w:p>
            <w:pPr>
              <w:spacing w:line="240" w:lineRule="auto"/>
              <w:ind w:firstLine="0" w:firstLineChars="0"/>
              <w:jc w:val="center"/>
              <w:rPr>
                <w:rFonts w:hint="eastAsia" w:ascii="宋体" w:hAnsi="宋体" w:eastAsia="宋体" w:cs="Times New Roman"/>
                <w:spacing w:val="-11"/>
                <w:sz w:val="20"/>
                <w:szCs w:val="20"/>
                <w:lang w:val="en-US" w:eastAsia="zh-CN" w:bidi="ar-SA"/>
              </w:rPr>
            </w:pPr>
            <w:r>
              <w:rPr>
                <w:rFonts w:hint="eastAsia" w:ascii="Times New Roman" w:hAnsi="Times New Roman"/>
                <w:spacing w:val="-11"/>
                <w:sz w:val="20"/>
                <w:szCs w:val="20"/>
                <w:lang w:val="en-US" w:eastAsia="zh-CN"/>
              </w:rPr>
              <w:t>1</w:t>
            </w:r>
          </w:p>
        </w:tc>
        <w:tc>
          <w:tcPr>
            <w:tcW w:w="350" w:type="pct"/>
            <w:noWrap w:val="0"/>
            <w:vAlign w:val="center"/>
          </w:tcPr>
          <w:p>
            <w:pPr>
              <w:spacing w:line="240" w:lineRule="auto"/>
              <w:ind w:firstLine="0" w:firstLineChars="0"/>
              <w:jc w:val="center"/>
              <w:rPr>
                <w:rFonts w:hint="eastAsia"/>
                <w:spacing w:val="-11"/>
                <w:sz w:val="20"/>
                <w:szCs w:val="20"/>
                <w:lang w:eastAsia="zh-CN"/>
              </w:rPr>
            </w:pPr>
            <w:r>
              <w:rPr>
                <w:rFonts w:hint="eastAsia"/>
                <w:spacing w:val="-11"/>
                <w:sz w:val="20"/>
                <w:szCs w:val="20"/>
                <w:lang w:eastAsia="zh-CN"/>
              </w:rPr>
              <w:t>产品罐区</w:t>
            </w:r>
          </w:p>
        </w:tc>
        <w:tc>
          <w:tcPr>
            <w:tcW w:w="262" w:type="pct"/>
            <w:noWrap w:val="0"/>
            <w:vAlign w:val="center"/>
          </w:tcPr>
          <w:p>
            <w:pPr>
              <w:spacing w:line="240" w:lineRule="auto"/>
              <w:ind w:firstLine="0" w:firstLineChars="0"/>
              <w:jc w:val="center"/>
              <w:rPr>
                <w:rFonts w:hint="default" w:ascii="Times New Roman"/>
                <w:spacing w:val="-11"/>
                <w:sz w:val="20"/>
                <w:szCs w:val="20"/>
                <w:lang w:val="en-US" w:eastAsia="zh-CN"/>
              </w:rPr>
            </w:pPr>
            <w:r>
              <w:rPr>
                <w:rFonts w:hint="eastAsia" w:ascii="Times New Roman" w:hAnsi="Times New Roman"/>
                <w:spacing w:val="-11"/>
                <w:sz w:val="20"/>
                <w:szCs w:val="20"/>
                <w:lang w:val="en-US" w:eastAsia="zh-CN"/>
              </w:rPr>
              <w:t>70</w:t>
            </w:r>
          </w:p>
        </w:tc>
        <w:tc>
          <w:tcPr>
            <w:tcW w:w="247" w:type="pct"/>
            <w:noWrap w:val="0"/>
            <w:vAlign w:val="center"/>
          </w:tcPr>
          <w:p>
            <w:pPr>
              <w:spacing w:line="240" w:lineRule="auto"/>
              <w:ind w:firstLine="0" w:firstLineChars="0"/>
              <w:jc w:val="center"/>
              <w:rPr>
                <w:rFonts w:hint="default" w:ascii="Times New Roman"/>
                <w:spacing w:val="-11"/>
                <w:sz w:val="20"/>
                <w:szCs w:val="20"/>
                <w:lang w:val="en-US" w:eastAsia="zh-CN"/>
              </w:rPr>
            </w:pPr>
            <w:r>
              <w:rPr>
                <w:rFonts w:hint="eastAsia" w:ascii="Times New Roman" w:hAnsi="Times New Roman"/>
                <w:spacing w:val="-11"/>
                <w:sz w:val="20"/>
                <w:szCs w:val="20"/>
                <w:lang w:val="en-US" w:eastAsia="zh-CN"/>
              </w:rPr>
              <w:t>1</w:t>
            </w:r>
          </w:p>
        </w:tc>
        <w:tc>
          <w:tcPr>
            <w:tcW w:w="454" w:type="pct"/>
            <w:noWrap w:val="0"/>
            <w:vAlign w:val="center"/>
          </w:tcPr>
          <w:p>
            <w:pPr>
              <w:spacing w:line="240" w:lineRule="auto"/>
              <w:ind w:firstLine="0" w:firstLineChars="0"/>
              <w:jc w:val="center"/>
              <w:rPr>
                <w:rFonts w:hint="default"/>
                <w:spacing w:val="-11"/>
                <w:sz w:val="20"/>
                <w:szCs w:val="20"/>
                <w:lang w:val="en-US" w:eastAsia="zh-CN"/>
              </w:rPr>
            </w:pPr>
            <w:r>
              <w:rPr>
                <w:rFonts w:hint="eastAsia" w:ascii="Times New Roman" w:hAnsi="Times New Roman"/>
                <w:spacing w:val="-11"/>
                <w:sz w:val="20"/>
                <w:szCs w:val="20"/>
                <w:lang w:val="en-US" w:eastAsia="zh-CN"/>
              </w:rPr>
              <w:t>604</w:t>
            </w:r>
          </w:p>
        </w:tc>
        <w:tc>
          <w:tcPr>
            <w:tcW w:w="517" w:type="pct"/>
            <w:noWrap w:val="0"/>
            <w:vAlign w:val="center"/>
          </w:tcPr>
          <w:p>
            <w:pPr>
              <w:spacing w:line="240" w:lineRule="auto"/>
              <w:ind w:firstLine="0" w:firstLineChars="0"/>
              <w:jc w:val="center"/>
              <w:rPr>
                <w:rFonts w:hint="default"/>
                <w:spacing w:val="-11"/>
                <w:sz w:val="20"/>
                <w:szCs w:val="20"/>
                <w:lang w:val="en-US" w:eastAsia="zh-CN"/>
              </w:rPr>
            </w:pPr>
            <w:r>
              <w:rPr>
                <w:rFonts w:hint="eastAsia" w:ascii="Times New Roman" w:hAnsi="Times New Roman"/>
                <w:spacing w:val="-11"/>
                <w:sz w:val="20"/>
                <w:szCs w:val="20"/>
                <w:lang w:val="en-US" w:eastAsia="zh-CN"/>
              </w:rPr>
              <w:t>40</w:t>
            </w:r>
          </w:p>
        </w:tc>
        <w:tc>
          <w:tcPr>
            <w:tcW w:w="517" w:type="pct"/>
            <w:noWrap w:val="0"/>
            <w:vAlign w:val="center"/>
          </w:tcPr>
          <w:p>
            <w:pPr>
              <w:spacing w:line="240" w:lineRule="auto"/>
              <w:ind w:firstLine="0" w:firstLineChars="0"/>
              <w:jc w:val="center"/>
              <w:rPr>
                <w:rFonts w:hint="default"/>
                <w:spacing w:val="-11"/>
                <w:sz w:val="20"/>
                <w:szCs w:val="20"/>
                <w:lang w:val="en-US" w:eastAsia="zh-CN"/>
              </w:rPr>
            </w:pPr>
            <w:r>
              <w:rPr>
                <w:rFonts w:hint="eastAsia" w:ascii="Times New Roman" w:hAnsi="Times New Roman"/>
                <w:spacing w:val="-11"/>
                <w:sz w:val="20"/>
                <w:szCs w:val="20"/>
                <w:lang w:val="en-US" w:eastAsia="zh-CN"/>
              </w:rPr>
              <w:t>40</w:t>
            </w:r>
          </w:p>
        </w:tc>
        <w:tc>
          <w:tcPr>
            <w:tcW w:w="358" w:type="pct"/>
            <w:noWrap w:val="0"/>
            <w:vAlign w:val="center"/>
          </w:tcPr>
          <w:p>
            <w:pPr>
              <w:spacing w:line="240" w:lineRule="auto"/>
              <w:ind w:firstLine="0" w:firstLineChars="0"/>
              <w:jc w:val="center"/>
              <w:rPr>
                <w:rFonts w:hint="default"/>
                <w:spacing w:val="-11"/>
                <w:sz w:val="20"/>
                <w:szCs w:val="20"/>
                <w:lang w:val="en-US" w:eastAsia="zh-CN"/>
              </w:rPr>
            </w:pPr>
            <w:r>
              <w:rPr>
                <w:rFonts w:hint="eastAsia" w:ascii="Times New Roman" w:hAnsi="Times New Roman"/>
                <w:spacing w:val="-11"/>
                <w:sz w:val="20"/>
                <w:szCs w:val="20"/>
                <w:lang w:val="en-US" w:eastAsia="zh-CN"/>
              </w:rPr>
              <w:t>0</w:t>
            </w:r>
          </w:p>
        </w:tc>
        <w:tc>
          <w:tcPr>
            <w:tcW w:w="645" w:type="pct"/>
            <w:noWrap w:val="0"/>
            <w:vAlign w:val="center"/>
          </w:tcPr>
          <w:p>
            <w:pPr>
              <w:spacing w:line="240" w:lineRule="auto"/>
              <w:ind w:firstLine="0" w:firstLineChars="0"/>
              <w:jc w:val="center"/>
              <w:rPr>
                <w:rFonts w:hint="default"/>
                <w:spacing w:val="-11"/>
                <w:sz w:val="20"/>
                <w:szCs w:val="20"/>
                <w:lang w:val="en-US" w:eastAsia="zh-CN"/>
              </w:rPr>
            </w:pPr>
            <w:r>
              <w:rPr>
                <w:rFonts w:hint="eastAsia" w:ascii="Times New Roman" w:hAnsi="Times New Roman"/>
                <w:spacing w:val="-11"/>
                <w:sz w:val="20"/>
                <w:szCs w:val="20"/>
                <w:lang w:val="en-US" w:eastAsia="zh-CN"/>
              </w:rPr>
              <w:t>10</w:t>
            </w:r>
          </w:p>
        </w:tc>
        <w:tc>
          <w:tcPr>
            <w:tcW w:w="424" w:type="pct"/>
            <w:noWrap w:val="0"/>
            <w:vAlign w:val="center"/>
          </w:tcPr>
          <w:p>
            <w:pPr>
              <w:spacing w:line="240" w:lineRule="auto"/>
              <w:ind w:firstLine="0" w:firstLineChars="0"/>
              <w:jc w:val="center"/>
              <w:rPr>
                <w:rFonts w:hint="default"/>
                <w:spacing w:val="-11"/>
                <w:sz w:val="20"/>
                <w:szCs w:val="20"/>
                <w:lang w:val="en-US" w:eastAsia="zh-CN"/>
              </w:rPr>
            </w:pPr>
            <w:r>
              <w:rPr>
                <w:rFonts w:hint="eastAsia" w:ascii="Times New Roman" w:hAnsi="Times New Roman"/>
                <w:spacing w:val="-11"/>
                <w:sz w:val="20"/>
                <w:szCs w:val="20"/>
                <w:lang w:val="en-US" w:eastAsia="zh-CN"/>
              </w:rPr>
              <w:t>8000</w:t>
            </w:r>
          </w:p>
        </w:tc>
        <w:tc>
          <w:tcPr>
            <w:tcW w:w="287" w:type="pct"/>
            <w:noWrap w:val="0"/>
            <w:vAlign w:val="center"/>
          </w:tcPr>
          <w:p>
            <w:pPr>
              <w:spacing w:line="240" w:lineRule="auto"/>
              <w:ind w:firstLine="0" w:firstLineChars="0"/>
              <w:jc w:val="center"/>
              <w:rPr>
                <w:rFonts w:hint="eastAsia"/>
                <w:spacing w:val="-11"/>
                <w:sz w:val="20"/>
                <w:szCs w:val="20"/>
                <w:lang w:eastAsia="zh-CN"/>
              </w:rPr>
            </w:pPr>
            <w:r>
              <w:rPr>
                <w:rFonts w:hint="eastAsia"/>
                <w:spacing w:val="-11"/>
                <w:sz w:val="20"/>
                <w:szCs w:val="20"/>
                <w:lang w:eastAsia="zh-CN"/>
              </w:rPr>
              <w:t>正常</w:t>
            </w:r>
          </w:p>
        </w:tc>
        <w:tc>
          <w:tcPr>
            <w:tcW w:w="687" w:type="pct"/>
            <w:noWrap w:val="0"/>
            <w:vAlign w:val="center"/>
          </w:tcPr>
          <w:p>
            <w:pPr>
              <w:spacing w:line="240" w:lineRule="auto"/>
              <w:ind w:firstLine="0" w:firstLineChars="0"/>
              <w:jc w:val="center"/>
              <w:rPr>
                <w:rFonts w:hint="default"/>
                <w:spacing w:val="-11"/>
                <w:sz w:val="20"/>
                <w:szCs w:val="20"/>
                <w:lang w:val="en-US" w:eastAsia="zh-CN" w:bidi="ar"/>
              </w:rPr>
            </w:pPr>
            <w:r>
              <w:rPr>
                <w:rFonts w:hint="eastAsia" w:ascii="Times New Roman" w:hAnsi="Times New Roman"/>
                <w:color w:val="auto"/>
                <w:spacing w:val="-11"/>
                <w:sz w:val="20"/>
                <w:szCs w:val="20"/>
                <w:lang w:val="en-US" w:eastAsia="zh-CN" w:bidi="ar"/>
              </w:rPr>
              <w:t>0</w:t>
            </w:r>
            <w:r>
              <w:rPr>
                <w:rFonts w:hint="eastAsia"/>
                <w:color w:val="auto"/>
                <w:spacing w:val="-11"/>
                <w:sz w:val="20"/>
                <w:szCs w:val="20"/>
                <w:lang w:val="en-US" w:eastAsia="zh-CN" w:bidi="ar"/>
              </w:rPr>
              <w:t>.</w:t>
            </w:r>
            <w:r>
              <w:rPr>
                <w:rFonts w:hint="eastAsia" w:ascii="Times New Roman" w:hAnsi="Times New Roman"/>
                <w:color w:val="auto"/>
                <w:spacing w:val="-11"/>
                <w:sz w:val="20"/>
                <w:szCs w:val="20"/>
                <w:lang w:val="en-US" w:eastAsia="zh-CN" w:bidi="ar"/>
              </w:rPr>
              <w:t>173</w:t>
            </w:r>
          </w:p>
        </w:tc>
      </w:tr>
    </w:tbl>
    <w:p>
      <w:pPr>
        <w:pStyle w:val="20"/>
        <w:spacing w:before="156"/>
        <w:rPr>
          <w:rFonts w:hint="eastAsia" w:eastAsia="宋体"/>
          <w:lang w:eastAsia="zh-CN"/>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5</w:t>
      </w:r>
      <w:r>
        <w:rPr>
          <w:rFonts w:hint="eastAsia"/>
        </w:rPr>
        <w:t xml:space="preserve">  大气</w:t>
      </w:r>
      <w:r>
        <w:rPr>
          <w:rFonts w:hint="eastAsia"/>
          <w:color w:val="auto"/>
        </w:rPr>
        <w:t>评价工作等级</w:t>
      </w:r>
      <w:r>
        <w:rPr>
          <w:rFonts w:hint="eastAsia"/>
          <w:color w:val="auto"/>
          <w:lang w:eastAsia="zh-CN"/>
        </w:rPr>
        <w:t>判</w:t>
      </w:r>
      <w:r>
        <w:rPr>
          <w:rFonts w:hint="eastAsia"/>
          <w:lang w:eastAsia="zh-CN"/>
        </w:rPr>
        <w:t>定结果</w:t>
      </w:r>
    </w:p>
    <w:tbl>
      <w:tblPr>
        <w:tblStyle w:val="81"/>
        <w:tblW w:w="505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863"/>
        <w:gridCol w:w="1543"/>
        <w:gridCol w:w="1622"/>
        <w:gridCol w:w="956"/>
        <w:gridCol w:w="635"/>
        <w:gridCol w:w="12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6" w:type="pc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污染源</w:t>
            </w:r>
          </w:p>
        </w:tc>
        <w:tc>
          <w:tcPr>
            <w:tcW w:w="465" w:type="pc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污染物</w:t>
            </w:r>
          </w:p>
        </w:tc>
        <w:tc>
          <w:tcPr>
            <w:tcW w:w="831" w:type="pct"/>
            <w:noWrap w:val="0"/>
            <w:vAlign w:val="center"/>
          </w:tcPr>
          <w:p>
            <w:pPr>
              <w:spacing w:line="240" w:lineRule="auto"/>
              <w:ind w:firstLine="0"/>
              <w:jc w:val="center"/>
              <w:rPr>
                <w:rFonts w:hint="eastAsia" w:hAnsi="宋体" w:cs="宋体"/>
                <w:sz w:val="21"/>
                <w:szCs w:val="21"/>
              </w:rPr>
            </w:pPr>
            <w:r>
              <w:rPr>
                <w:rFonts w:hint="eastAsia" w:ascii="Times New Roman" w:hAnsi="Times New Roman"/>
                <w:sz w:val="21"/>
                <w:szCs w:val="21"/>
              </w:rPr>
              <w:t>Ci</w:t>
            </w:r>
            <w:r>
              <w:rPr>
                <w:rFonts w:hint="eastAsia" w:hAnsi="宋体" w:cs="宋体"/>
                <w:sz w:val="21"/>
                <w:szCs w:val="21"/>
              </w:rPr>
              <w:t>（</w:t>
            </w:r>
            <w:r>
              <w:rPr>
                <w:rFonts w:hint="eastAsia" w:ascii="Times New Roman" w:hAnsi="Times New Roman"/>
                <w:sz w:val="21"/>
                <w:szCs w:val="21"/>
              </w:rPr>
              <w:t>mg</w:t>
            </w:r>
            <w:r>
              <w:rPr>
                <w:rFonts w:hint="eastAsia" w:hAnsi="宋体" w:cs="宋体"/>
                <w:sz w:val="21"/>
                <w:szCs w:val="21"/>
              </w:rPr>
              <w:t>/</w:t>
            </w:r>
            <w:r>
              <w:rPr>
                <w:rFonts w:hint="eastAsia" w:ascii="Times New Roman" w:hAnsi="Times New Roman"/>
                <w:sz w:val="21"/>
                <w:szCs w:val="21"/>
              </w:rPr>
              <w:t>m</w:t>
            </w:r>
            <w:r>
              <w:rPr>
                <w:rFonts w:hint="eastAsia" w:hAnsi="宋体" w:cs="宋体"/>
                <w:sz w:val="21"/>
                <w:szCs w:val="21"/>
              </w:rPr>
              <w:t>³）</w:t>
            </w:r>
          </w:p>
        </w:tc>
        <w:tc>
          <w:tcPr>
            <w:tcW w:w="874" w:type="pct"/>
            <w:noWrap w:val="0"/>
            <w:vAlign w:val="center"/>
          </w:tcPr>
          <w:p>
            <w:pPr>
              <w:spacing w:line="240" w:lineRule="auto"/>
              <w:ind w:firstLine="0"/>
              <w:jc w:val="center"/>
              <w:rPr>
                <w:rFonts w:hint="eastAsia" w:hAnsi="宋体" w:cs="宋体"/>
                <w:sz w:val="21"/>
                <w:szCs w:val="21"/>
              </w:rPr>
            </w:pPr>
            <w:r>
              <w:rPr>
                <w:rFonts w:hint="eastAsia" w:ascii="Times New Roman" w:hAnsi="Times New Roman"/>
                <w:sz w:val="21"/>
                <w:szCs w:val="21"/>
              </w:rPr>
              <w:t>C</w:t>
            </w:r>
            <w:r>
              <w:rPr>
                <w:rFonts w:hint="eastAsia" w:ascii="Times New Roman" w:hAnsi="Times New Roman"/>
                <w:sz w:val="21"/>
                <w:szCs w:val="21"/>
                <w:vertAlign w:val="subscript"/>
                <w:lang w:val="en-US" w:eastAsia="zh-CN"/>
              </w:rPr>
              <w:t>0</w:t>
            </w:r>
            <w:r>
              <w:rPr>
                <w:rFonts w:hint="eastAsia" w:ascii="Times New Roman" w:hAnsi="Times New Roman"/>
                <w:sz w:val="21"/>
                <w:szCs w:val="21"/>
              </w:rPr>
              <w:t>i</w:t>
            </w:r>
            <w:r>
              <w:rPr>
                <w:rFonts w:hint="eastAsia" w:hAnsi="宋体" w:cs="宋体"/>
                <w:sz w:val="21"/>
                <w:szCs w:val="21"/>
              </w:rPr>
              <w:t>（</w:t>
            </w:r>
            <w:r>
              <w:rPr>
                <w:rFonts w:hint="eastAsia" w:ascii="Times New Roman" w:hAnsi="Times New Roman"/>
                <w:sz w:val="21"/>
                <w:szCs w:val="21"/>
              </w:rPr>
              <w:t>mg</w:t>
            </w:r>
            <w:r>
              <w:rPr>
                <w:rFonts w:hint="eastAsia" w:hAnsi="宋体" w:cs="宋体"/>
                <w:sz w:val="21"/>
                <w:szCs w:val="21"/>
              </w:rPr>
              <w:t>/</w:t>
            </w:r>
            <w:r>
              <w:rPr>
                <w:rFonts w:hint="eastAsia" w:ascii="Times New Roman" w:hAnsi="Times New Roman"/>
                <w:sz w:val="21"/>
                <w:szCs w:val="21"/>
              </w:rPr>
              <w:t>m</w:t>
            </w:r>
            <w:r>
              <w:rPr>
                <w:rFonts w:hint="eastAsia" w:hAnsi="宋体" w:cs="宋体"/>
                <w:sz w:val="21"/>
                <w:szCs w:val="21"/>
              </w:rPr>
              <w:t>³）</w:t>
            </w:r>
          </w:p>
        </w:tc>
        <w:tc>
          <w:tcPr>
            <w:tcW w:w="515" w:type="pct"/>
            <w:noWrap w:val="0"/>
            <w:vAlign w:val="center"/>
          </w:tcPr>
          <w:p>
            <w:pPr>
              <w:spacing w:line="240" w:lineRule="auto"/>
              <w:ind w:firstLine="0"/>
              <w:jc w:val="center"/>
              <w:rPr>
                <w:rFonts w:hint="eastAsia" w:hAnsi="宋体" w:cs="宋体"/>
                <w:sz w:val="21"/>
                <w:szCs w:val="21"/>
              </w:rPr>
            </w:pPr>
            <w:r>
              <w:rPr>
                <w:rFonts w:hint="eastAsia" w:ascii="Times New Roman" w:hAnsi="Times New Roman"/>
                <w:sz w:val="21"/>
                <w:szCs w:val="21"/>
              </w:rPr>
              <w:t>Pi</w:t>
            </w:r>
            <w:r>
              <w:rPr>
                <w:rFonts w:hint="eastAsia" w:hAnsi="宋体" w:cs="宋体"/>
                <w:sz w:val="21"/>
                <w:szCs w:val="21"/>
              </w:rPr>
              <w:t>（%）</w:t>
            </w:r>
          </w:p>
        </w:tc>
        <w:tc>
          <w:tcPr>
            <w:tcW w:w="342" w:type="pct"/>
            <w:noWrap w:val="0"/>
            <w:vAlign w:val="center"/>
          </w:tcPr>
          <w:p>
            <w:pPr>
              <w:spacing w:line="240" w:lineRule="auto"/>
              <w:ind w:firstLine="0"/>
              <w:jc w:val="center"/>
              <w:rPr>
                <w:rFonts w:hint="eastAsia" w:cs="宋体"/>
                <w:sz w:val="21"/>
                <w:szCs w:val="21"/>
              </w:rPr>
            </w:pPr>
            <w:r>
              <w:rPr>
                <w:rFonts w:hint="eastAsia" w:ascii="Times New Roman" w:hAnsi="Times New Roman"/>
                <w:sz w:val="21"/>
                <w:szCs w:val="21"/>
              </w:rPr>
              <w:t>D</w:t>
            </w:r>
            <w:r>
              <w:rPr>
                <w:rFonts w:hint="eastAsia" w:ascii="Times New Roman" w:hAnsi="Times New Roman"/>
                <w:sz w:val="21"/>
                <w:szCs w:val="21"/>
                <w:vertAlign w:val="subscript"/>
              </w:rPr>
              <w:t>10</w:t>
            </w:r>
            <w:r>
              <w:rPr>
                <w:rFonts w:hint="eastAsia" w:cs="宋体"/>
                <w:sz w:val="21"/>
                <w:szCs w:val="21"/>
                <w:vertAlign w:val="subscript"/>
              </w:rPr>
              <w:t>%</w:t>
            </w:r>
          </w:p>
        </w:tc>
        <w:tc>
          <w:tcPr>
            <w:tcW w:w="665" w:type="pc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6" w:type="pct"/>
            <w:vMerge w:val="restart"/>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sz w:val="21"/>
                <w:szCs w:val="21"/>
                <w:lang w:val="en-US" w:eastAsia="zh-CN"/>
              </w:rPr>
              <w:t>尾气吸收塔+</w:t>
            </w:r>
            <w:r>
              <w:rPr>
                <w:rFonts w:hint="eastAsia" w:ascii="Times New Roman" w:hAnsi="Times New Roman"/>
                <w:sz w:val="21"/>
                <w:szCs w:val="21"/>
                <w:lang w:val="en-US" w:eastAsia="zh-CN"/>
              </w:rPr>
              <w:t>15m</w:t>
            </w:r>
            <w:r>
              <w:rPr>
                <w:rFonts w:hint="eastAsia" w:ascii="Times New Roman"/>
                <w:sz w:val="21"/>
                <w:szCs w:val="21"/>
                <w:lang w:val="en-US" w:eastAsia="zh-CN"/>
              </w:rPr>
              <w:t>排气筒</w:t>
            </w:r>
          </w:p>
        </w:tc>
        <w:tc>
          <w:tcPr>
            <w:tcW w:w="465" w:type="pct"/>
            <w:noWrap w:val="0"/>
            <w:vAlign w:val="center"/>
          </w:tcPr>
          <w:p>
            <w:pPr>
              <w:widowControl/>
              <w:spacing w:line="240" w:lineRule="auto"/>
              <w:ind w:firstLine="0" w:firstLineChars="0"/>
              <w:jc w:val="center"/>
              <w:rPr>
                <w:rFonts w:hint="default" w:eastAsia="宋体"/>
                <w:sz w:val="21"/>
                <w:szCs w:val="21"/>
                <w:lang w:val="en-US" w:eastAsia="zh-CN"/>
              </w:rPr>
            </w:pPr>
            <w:r>
              <w:rPr>
                <w:rFonts w:hint="eastAsia" w:ascii="Times New Roman" w:hAnsi="Times New Roman"/>
                <w:sz w:val="21"/>
                <w:szCs w:val="21"/>
                <w:lang w:val="en-US" w:eastAsia="zh-CN"/>
              </w:rPr>
              <w:t>NMHC</w:t>
            </w:r>
          </w:p>
        </w:tc>
        <w:tc>
          <w:tcPr>
            <w:tcW w:w="831" w:type="pct"/>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4</w:t>
            </w:r>
            <w:r>
              <w:rPr>
                <w:rFonts w:hint="eastAsia" w:ascii="Times New Roman" w:hAnsi="Times New Roman" w:cs="宋体"/>
                <w:sz w:val="21"/>
                <w:szCs w:val="21"/>
                <w:lang w:val="en-US" w:eastAsia="zh-CN"/>
              </w:rPr>
              <w:t>.</w:t>
            </w:r>
            <w:r>
              <w:rPr>
                <w:rFonts w:hint="eastAsia" w:ascii="Times New Roman" w:hAnsi="Times New Roman" w:cs="宋体"/>
                <w:sz w:val="21"/>
                <w:szCs w:val="21"/>
                <w:lang w:val="en-US" w:eastAsia="zh-CN"/>
              </w:rPr>
              <w:t>97E</w:t>
            </w:r>
            <w:r>
              <w:rPr>
                <w:rFonts w:hint="eastAsia" w:ascii="Times New Roman" w:hAnsi="Times New Roman" w:cs="宋体"/>
                <w:sz w:val="21"/>
                <w:szCs w:val="21"/>
                <w:lang w:val="en-US" w:eastAsia="zh-CN"/>
              </w:rPr>
              <w:t>-</w:t>
            </w:r>
            <w:r>
              <w:rPr>
                <w:rFonts w:hint="eastAsia" w:ascii="Times New Roman" w:hAnsi="Times New Roman" w:cs="宋体"/>
                <w:sz w:val="21"/>
                <w:szCs w:val="21"/>
                <w:lang w:val="en-US" w:eastAsia="zh-CN"/>
              </w:rPr>
              <w:t>5</w:t>
            </w:r>
          </w:p>
        </w:tc>
        <w:tc>
          <w:tcPr>
            <w:tcW w:w="874" w:type="pct"/>
            <w:noWrap w:val="0"/>
            <w:vAlign w:val="center"/>
          </w:tcPr>
          <w:p>
            <w:pPr>
              <w:spacing w:line="240" w:lineRule="auto"/>
              <w:ind w:firstLine="0" w:firstLineChars="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2</w:t>
            </w:r>
          </w:p>
        </w:tc>
        <w:tc>
          <w:tcPr>
            <w:tcW w:w="515" w:type="pct"/>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0</w:t>
            </w:r>
          </w:p>
        </w:tc>
        <w:tc>
          <w:tcPr>
            <w:tcW w:w="342" w:type="pct"/>
            <w:noWrap w:val="0"/>
            <w:vAlign w:val="center"/>
          </w:tcPr>
          <w:p>
            <w:pPr>
              <w:spacing w:line="240" w:lineRule="auto"/>
              <w:ind w:firstLine="0"/>
              <w:jc w:val="center"/>
              <w:rPr>
                <w:rFonts w:hint="eastAsia" w:eastAsia="宋体" w:cs="宋体"/>
                <w:sz w:val="21"/>
                <w:szCs w:val="21"/>
                <w:lang w:val="en-US" w:eastAsia="zh-CN"/>
              </w:rPr>
            </w:pPr>
            <w:r>
              <w:rPr>
                <w:rFonts w:hint="eastAsia" w:ascii="Times New Roman" w:hAnsi="Times New Roman" w:cs="宋体"/>
                <w:sz w:val="21"/>
                <w:szCs w:val="21"/>
                <w:lang w:val="en-US" w:eastAsia="zh-CN"/>
              </w:rPr>
              <w:t>0</w:t>
            </w:r>
          </w:p>
        </w:tc>
        <w:tc>
          <w:tcPr>
            <w:tcW w:w="665" w:type="pct"/>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6" w:type="pct"/>
            <w:vMerge w:val="continue"/>
            <w:noWrap w:val="0"/>
            <w:vAlign w:val="center"/>
          </w:tcPr>
          <w:p>
            <w:pPr>
              <w:spacing w:line="240" w:lineRule="auto"/>
              <w:ind w:firstLine="0"/>
              <w:jc w:val="center"/>
              <w:rPr>
                <w:rFonts w:hint="eastAsia" w:ascii="Times New Roman"/>
                <w:sz w:val="21"/>
                <w:szCs w:val="21"/>
                <w:lang w:eastAsia="zh-CN"/>
              </w:rPr>
            </w:pPr>
          </w:p>
        </w:tc>
        <w:tc>
          <w:tcPr>
            <w:tcW w:w="465" w:type="pct"/>
            <w:noWrap w:val="0"/>
            <w:vAlign w:val="center"/>
          </w:tcPr>
          <w:p>
            <w:pPr>
              <w:widowControl/>
              <w:spacing w:line="240" w:lineRule="auto"/>
              <w:ind w:firstLine="0"/>
              <w:jc w:val="center"/>
              <w:rPr>
                <w:rFonts w:hint="default" w:ascii="Times New Roman"/>
                <w:sz w:val="21"/>
                <w:szCs w:val="21"/>
                <w:lang w:val="en-US" w:eastAsia="zh-CN"/>
              </w:rPr>
            </w:pPr>
            <w:r>
              <w:rPr>
                <w:rFonts w:hint="eastAsia" w:ascii="Times New Roman" w:hAnsi="Times New Roman"/>
                <w:sz w:val="21"/>
                <w:szCs w:val="21"/>
                <w:lang w:val="en-US" w:eastAsia="zh-CN"/>
              </w:rPr>
              <w:t>NH</w:t>
            </w:r>
            <w:r>
              <w:rPr>
                <w:rFonts w:hint="eastAsia" w:ascii="Times New Roman" w:hAnsi="Times New Roman"/>
                <w:sz w:val="21"/>
                <w:szCs w:val="21"/>
                <w:vertAlign w:val="subscript"/>
                <w:lang w:val="en-US" w:eastAsia="zh-CN"/>
              </w:rPr>
              <w:t>3</w:t>
            </w:r>
          </w:p>
        </w:tc>
        <w:tc>
          <w:tcPr>
            <w:tcW w:w="831" w:type="pct"/>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116</w:t>
            </w:r>
          </w:p>
        </w:tc>
        <w:tc>
          <w:tcPr>
            <w:tcW w:w="874" w:type="pct"/>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2</w:t>
            </w:r>
          </w:p>
        </w:tc>
        <w:tc>
          <w:tcPr>
            <w:tcW w:w="515" w:type="pct"/>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18</w:t>
            </w:r>
            <w:r>
              <w:rPr>
                <w:rFonts w:hint="eastAsia" w:ascii="Times New Roman"/>
                <w:sz w:val="21"/>
                <w:szCs w:val="21"/>
                <w:lang w:val="en-US" w:eastAsia="zh-CN"/>
              </w:rPr>
              <w:t>.</w:t>
            </w:r>
            <w:r>
              <w:rPr>
                <w:rFonts w:hint="eastAsia" w:ascii="Times New Roman" w:hAnsi="Times New Roman"/>
                <w:sz w:val="21"/>
                <w:szCs w:val="21"/>
                <w:lang w:val="en-US" w:eastAsia="zh-CN"/>
              </w:rPr>
              <w:t>15</w:t>
            </w:r>
          </w:p>
        </w:tc>
        <w:tc>
          <w:tcPr>
            <w:tcW w:w="342" w:type="pct"/>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750</w:t>
            </w:r>
          </w:p>
        </w:tc>
        <w:tc>
          <w:tcPr>
            <w:tcW w:w="665" w:type="pct"/>
            <w:shd w:val="clear" w:color="auto" w:fill="auto"/>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6" w:type="pct"/>
            <w:noWrap w:val="0"/>
            <w:vAlign w:val="center"/>
          </w:tcPr>
          <w:p>
            <w:pPr>
              <w:spacing w:line="240" w:lineRule="auto"/>
              <w:ind w:firstLine="0"/>
              <w:jc w:val="center"/>
              <w:rPr>
                <w:rFonts w:hint="eastAsia" w:ascii="Times New Roman"/>
                <w:sz w:val="21"/>
                <w:szCs w:val="21"/>
                <w:lang w:eastAsia="zh-CN"/>
              </w:rPr>
            </w:pPr>
            <w:r>
              <w:rPr>
                <w:rFonts w:hint="eastAsia" w:ascii="Times New Roman"/>
                <w:sz w:val="21"/>
                <w:szCs w:val="21"/>
                <w:lang w:eastAsia="zh-CN"/>
              </w:rPr>
              <w:t>产品罐区（无组织排放）</w:t>
            </w:r>
          </w:p>
        </w:tc>
        <w:tc>
          <w:tcPr>
            <w:tcW w:w="465" w:type="pct"/>
            <w:noWrap w:val="0"/>
            <w:vAlign w:val="center"/>
          </w:tcPr>
          <w:p>
            <w:pPr>
              <w:widowControl/>
              <w:spacing w:line="240" w:lineRule="auto"/>
              <w:ind w:firstLine="0" w:firstLineChars="0"/>
              <w:jc w:val="center"/>
              <w:rPr>
                <w:rFonts w:hint="default" w:ascii="Times New Roman"/>
                <w:sz w:val="21"/>
                <w:szCs w:val="21"/>
                <w:lang w:val="en-US" w:eastAsia="zh-CN"/>
              </w:rPr>
            </w:pPr>
            <w:r>
              <w:rPr>
                <w:rFonts w:hint="eastAsia" w:ascii="Times New Roman" w:hAnsi="Times New Roman"/>
                <w:sz w:val="21"/>
                <w:szCs w:val="21"/>
                <w:lang w:val="en-US" w:eastAsia="zh-CN"/>
              </w:rPr>
              <w:t>NMHC</w:t>
            </w:r>
          </w:p>
        </w:tc>
        <w:tc>
          <w:tcPr>
            <w:tcW w:w="831" w:type="pct"/>
            <w:noWrap w:val="0"/>
            <w:vAlign w:val="center"/>
          </w:tcPr>
          <w:p>
            <w:pPr>
              <w:spacing w:line="240" w:lineRule="auto"/>
              <w:ind w:firstLine="0"/>
              <w:jc w:val="center"/>
              <w:rPr>
                <w:rFonts w:hint="default" w:ascii="Times New Roman"/>
                <w:sz w:val="21"/>
                <w:szCs w:val="21"/>
                <w:lang w:val="en-US" w:eastAsia="zh-CN"/>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159</w:t>
            </w:r>
          </w:p>
        </w:tc>
        <w:tc>
          <w:tcPr>
            <w:tcW w:w="874" w:type="pct"/>
            <w:noWrap w:val="0"/>
            <w:vAlign w:val="center"/>
          </w:tcPr>
          <w:p>
            <w:pPr>
              <w:spacing w:line="240" w:lineRule="auto"/>
              <w:ind w:firstLine="0" w:firstLineChars="0"/>
              <w:jc w:val="center"/>
              <w:rPr>
                <w:rFonts w:hint="eastAsia" w:eastAsia="宋体" w:cs="宋体"/>
                <w:sz w:val="21"/>
                <w:szCs w:val="21"/>
                <w:lang w:val="en-US" w:eastAsia="zh-CN"/>
              </w:rPr>
            </w:pPr>
            <w:r>
              <w:rPr>
                <w:rFonts w:hint="eastAsia" w:ascii="Times New Roman" w:hAnsi="Times New Roman"/>
                <w:sz w:val="21"/>
                <w:szCs w:val="21"/>
                <w:lang w:val="en-US" w:eastAsia="zh-CN"/>
              </w:rPr>
              <w:t>2</w:t>
            </w:r>
          </w:p>
        </w:tc>
        <w:tc>
          <w:tcPr>
            <w:tcW w:w="515" w:type="pct"/>
            <w:noWrap w:val="0"/>
            <w:vAlign w:val="center"/>
          </w:tcPr>
          <w:p>
            <w:pPr>
              <w:spacing w:line="240" w:lineRule="auto"/>
              <w:ind w:firstLine="0"/>
              <w:jc w:val="center"/>
              <w:rPr>
                <w:rFonts w:hint="default" w:ascii="Times New Roman"/>
                <w:sz w:val="21"/>
                <w:szCs w:val="21"/>
                <w:lang w:val="en-US" w:eastAsia="zh-CN"/>
              </w:rPr>
            </w:pPr>
            <w:r>
              <w:rPr>
                <w:rFonts w:hint="eastAsia" w:ascii="Times New Roman" w:hAnsi="Times New Roman"/>
                <w:sz w:val="21"/>
                <w:szCs w:val="21"/>
                <w:lang w:val="en-US" w:eastAsia="zh-CN"/>
              </w:rPr>
              <w:t>9</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46</w:t>
            </w:r>
          </w:p>
        </w:tc>
        <w:tc>
          <w:tcPr>
            <w:tcW w:w="342" w:type="pct"/>
            <w:noWrap w:val="0"/>
            <w:vAlign w:val="center"/>
          </w:tcPr>
          <w:p>
            <w:pPr>
              <w:spacing w:line="240" w:lineRule="auto"/>
              <w:ind w:firstLine="0"/>
              <w:jc w:val="center"/>
              <w:rPr>
                <w:rFonts w:hint="default" w:ascii="Times New Roman"/>
                <w:sz w:val="21"/>
                <w:szCs w:val="21"/>
                <w:lang w:val="en-US" w:eastAsia="zh-CN"/>
              </w:rPr>
            </w:pPr>
            <w:r>
              <w:rPr>
                <w:rFonts w:hint="eastAsia" w:ascii="Times New Roman" w:hAnsi="Times New Roman"/>
                <w:sz w:val="21"/>
                <w:szCs w:val="21"/>
                <w:lang w:val="en-US" w:eastAsia="zh-CN"/>
              </w:rPr>
              <w:t>0</w:t>
            </w:r>
          </w:p>
        </w:tc>
        <w:tc>
          <w:tcPr>
            <w:tcW w:w="665" w:type="pc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二级</w:t>
            </w:r>
          </w:p>
        </w:tc>
      </w:tr>
    </w:tbl>
    <w:p>
      <w:pPr>
        <w:pStyle w:val="20"/>
        <w:bidi w:val="0"/>
        <w:rPr>
          <w:rFonts w:hint="default"/>
          <w:lang w:val="en-US"/>
        </w:rPr>
      </w:pPr>
      <w:r>
        <w:rPr>
          <w:rFonts w:ascii="宋体" w:hAnsi="宋体" w:eastAsia="宋体" w:cs="宋体"/>
          <w:kern w:val="0"/>
          <w:sz w:val="24"/>
          <w:szCs w:val="24"/>
          <w:lang w:val="en-US" w:eastAsia="zh-CN" w:bidi="ar"/>
        </w:rPr>
        <w:drawing>
          <wp:anchor distT="0" distB="0" distL="114300" distR="114300" simplePos="0" relativeHeight="251686912" behindDoc="0" locked="0" layoutInCell="1" allowOverlap="1">
            <wp:simplePos x="0" y="0"/>
            <wp:positionH relativeFrom="column">
              <wp:posOffset>983615</wp:posOffset>
            </wp:positionH>
            <wp:positionV relativeFrom="paragraph">
              <wp:posOffset>114300</wp:posOffset>
            </wp:positionV>
            <wp:extent cx="3942715" cy="3622675"/>
            <wp:effectExtent l="0" t="0" r="635" b="15875"/>
            <wp:wrapTopAndBottom/>
            <wp:docPr id="16"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56"/>
                    <pic:cNvPicPr>
                      <a:picLocks noChangeAspect="1"/>
                    </pic:cNvPicPr>
                  </pic:nvPicPr>
                  <pic:blipFill>
                    <a:blip r:embed="rId34"/>
                    <a:stretch>
                      <a:fillRect/>
                    </a:stretch>
                  </pic:blipFill>
                  <pic:spPr>
                    <a:xfrm>
                      <a:off x="0" y="0"/>
                      <a:ext cx="3942715" cy="3622675"/>
                    </a:xfrm>
                    <a:prstGeom prst="rect">
                      <a:avLst/>
                    </a:prstGeom>
                    <a:noFill/>
                    <a:ln w="9525">
                      <a:noFill/>
                    </a:ln>
                  </pic:spPr>
                </pic:pic>
              </a:graphicData>
            </a:graphic>
          </wp:anchor>
        </w:drawing>
      </w:r>
      <w:r>
        <w:rPr>
          <w:rFonts w:hint="eastAsia"/>
          <w:lang w:eastAsia="zh-CN"/>
        </w:rPr>
        <w:t>图</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 xml:space="preserve"> </w:t>
      </w:r>
      <w:r>
        <w:rPr>
          <w:rFonts w:hint="eastAsia"/>
          <w:color w:val="FF0000"/>
          <w:lang w:val="en-US" w:eastAsia="zh-CN"/>
        </w:rPr>
        <w:t xml:space="preserve"> </w:t>
      </w:r>
      <w:r>
        <w:rPr>
          <w:rFonts w:hint="eastAsia"/>
          <w:color w:val="auto"/>
          <w:lang w:val="en-US" w:eastAsia="zh-CN"/>
        </w:rPr>
        <w:t>大气评价等级估算</w:t>
      </w:r>
      <w:r>
        <w:rPr>
          <w:rFonts w:hint="eastAsia"/>
          <w:lang w:val="en-US" w:eastAsia="zh-CN"/>
        </w:rPr>
        <w:t>结果</w:t>
      </w:r>
    </w:p>
    <w:p>
      <w:pPr>
        <w:bidi w:val="0"/>
        <w:rPr>
          <w:rFonts w:hint="eastAsia"/>
        </w:rPr>
      </w:pPr>
      <w:r>
        <w:rPr>
          <w:rFonts w:hint="eastAsia"/>
        </w:rPr>
        <w:t>由表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5</w:t>
      </w:r>
      <w:r>
        <w:rPr>
          <w:rFonts w:hint="eastAsia"/>
        </w:rPr>
        <w:t>，</w:t>
      </w:r>
      <w:r>
        <w:rPr>
          <w:rFonts w:hint="eastAsia"/>
          <w:color w:val="auto"/>
        </w:rPr>
        <w:t>主要大气污染物排放经估算后，占标率最大的为</w:t>
      </w:r>
      <w:r>
        <w:rPr>
          <w:rFonts w:hint="eastAsia"/>
          <w:color w:val="auto"/>
          <w:lang w:eastAsia="zh-CN"/>
        </w:rPr>
        <w:t>尾气吸收塔排放氨</w:t>
      </w:r>
      <w:r>
        <w:rPr>
          <w:rFonts w:hint="eastAsia"/>
          <w:color w:val="auto"/>
        </w:rPr>
        <w:t>，最大落地浓度占标率为</w:t>
      </w:r>
      <w:r>
        <w:rPr>
          <w:rFonts w:hint="eastAsia" w:ascii="Times New Roman" w:hAnsi="Times New Roman"/>
          <w:color w:val="auto"/>
          <w:lang w:val="en-US" w:eastAsia="zh-CN"/>
        </w:rPr>
        <w:t>18</w:t>
      </w:r>
      <w:r>
        <w:rPr>
          <w:rFonts w:hint="eastAsia" w:ascii="Times New Roman" w:hAnsi="Times New Roman"/>
          <w:color w:val="auto"/>
          <w:lang w:val="en-US" w:eastAsia="zh-CN"/>
        </w:rPr>
        <w:t>.</w:t>
      </w:r>
      <w:r>
        <w:rPr>
          <w:rFonts w:hint="eastAsia" w:ascii="Times New Roman" w:hAnsi="Times New Roman"/>
          <w:color w:val="auto"/>
          <w:lang w:val="en-US" w:eastAsia="zh-CN"/>
        </w:rPr>
        <w:t>15</w:t>
      </w:r>
      <w:r>
        <w:rPr>
          <w:rFonts w:hint="eastAsia"/>
          <w:color w:val="auto"/>
        </w:rPr>
        <w:t>%</w:t>
      </w:r>
      <w:r>
        <w:rPr>
          <w:rFonts w:hint="eastAsia"/>
          <w:color w:val="0000FF"/>
        </w:rPr>
        <w:t>。</w:t>
      </w:r>
      <w:r>
        <w:rPr>
          <w:rFonts w:hint="eastAsia"/>
          <w:color w:val="auto"/>
        </w:rPr>
        <w:t>项目所在地属于环境空气质量功能二类区，根据《环境影响评价技术导则 大气环境》（</w:t>
      </w:r>
      <w:r>
        <w:rPr>
          <w:rFonts w:hint="eastAsia" w:ascii="Times New Roman" w:hAnsi="Times New Roman"/>
          <w:color w:val="auto"/>
        </w:rPr>
        <w:t>HJ2</w:t>
      </w:r>
      <w:r>
        <w:rPr>
          <w:rFonts w:hint="eastAsia"/>
          <w:color w:val="auto"/>
        </w:rPr>
        <w:t>.</w:t>
      </w:r>
      <w:r>
        <w:rPr>
          <w:rFonts w:hint="eastAsia" w:ascii="Times New Roman" w:hAnsi="Times New Roman"/>
          <w:color w:val="auto"/>
        </w:rPr>
        <w:t>2</w:t>
      </w:r>
      <w:r>
        <w:rPr>
          <w:rFonts w:hint="eastAsia"/>
          <w:color w:val="auto"/>
        </w:rPr>
        <w:t>-</w:t>
      </w:r>
      <w:r>
        <w:rPr>
          <w:rFonts w:hint="eastAsia" w:ascii="Times New Roman" w:hAnsi="Times New Roman"/>
          <w:color w:val="auto"/>
        </w:rPr>
        <w:t>2018</w:t>
      </w:r>
      <w:r>
        <w:rPr>
          <w:rFonts w:hint="eastAsia"/>
          <w:color w:val="auto"/>
        </w:rPr>
        <w:t>）的判定原则，判定项目的大气环境评价等级为</w:t>
      </w:r>
      <w:r>
        <w:rPr>
          <w:rFonts w:hint="eastAsia"/>
          <w:color w:val="auto"/>
          <w:lang w:eastAsia="zh-CN"/>
        </w:rPr>
        <w:t>一</w:t>
      </w:r>
      <w:r>
        <w:rPr>
          <w:rFonts w:hint="eastAsia"/>
          <w:color w:val="auto"/>
        </w:rPr>
        <w:t>级</w:t>
      </w:r>
      <w:r>
        <w:rPr>
          <w:rFonts w:hint="eastAsia"/>
        </w:rPr>
        <w:t>。</w:t>
      </w:r>
    </w:p>
    <w:p>
      <w:pPr>
        <w:ind w:firstLine="480"/>
        <w:rPr>
          <w:rFonts w:hint="eastAsia" w:ascii="Times New Roman"/>
        </w:rPr>
      </w:pPr>
      <w:r>
        <w:rPr>
          <w:rFonts w:hint="eastAsia"/>
        </w:rPr>
        <w:t>（</w:t>
      </w:r>
      <w:r>
        <w:rPr>
          <w:rFonts w:hint="eastAsia" w:ascii="Times New Roman" w:hAnsi="Times New Roman"/>
        </w:rPr>
        <w:t>2</w:t>
      </w:r>
      <w:r>
        <w:rPr>
          <w:rFonts w:hint="eastAsia"/>
        </w:rPr>
        <w:t>）</w:t>
      </w:r>
      <w:r>
        <w:rPr>
          <w:rFonts w:ascii="Times New Roman"/>
        </w:rPr>
        <w:t>地表水</w:t>
      </w:r>
      <w:r>
        <w:rPr>
          <w:rFonts w:hint="eastAsia"/>
        </w:rPr>
        <w:t>环境</w:t>
      </w:r>
    </w:p>
    <w:p>
      <w:pPr>
        <w:ind w:firstLine="480"/>
        <w:rPr>
          <w:rFonts w:hint="eastAsia"/>
        </w:rPr>
      </w:pPr>
      <w:r>
        <w:rPr>
          <w:rFonts w:hint="eastAsia"/>
        </w:rPr>
        <w:t>根据《环境影响评价技术导则 地表水环境》（</w:t>
      </w:r>
      <w:r>
        <w:rPr>
          <w:rFonts w:hint="eastAsia" w:ascii="Times New Roman" w:hAnsi="Times New Roman"/>
        </w:rPr>
        <w:t>HJ2</w:t>
      </w:r>
      <w:r>
        <w:rPr>
          <w:rFonts w:hint="eastAsia"/>
        </w:rPr>
        <w:t>.</w:t>
      </w:r>
      <w:r>
        <w:rPr>
          <w:rFonts w:hint="eastAsia" w:ascii="Times New Roman" w:hAnsi="Times New Roman"/>
        </w:rPr>
        <w:t>3</w:t>
      </w:r>
      <w:r>
        <w:rPr>
          <w:rFonts w:hint="eastAsia"/>
        </w:rPr>
        <w:t>-</w:t>
      </w:r>
      <w:r>
        <w:rPr>
          <w:rFonts w:hint="eastAsia" w:ascii="Times New Roman" w:hAnsi="Times New Roman"/>
        </w:rPr>
        <w:t>2018</w:t>
      </w:r>
      <w:r>
        <w:rPr>
          <w:rFonts w:hint="eastAsia"/>
        </w:rPr>
        <w:t>）建设项目地表水环境影响评价等级按照影响类型、排放方式、排放量或影响情况、受纳水体环境质量现状、水环境保护目标等综合确定。评价等级判定依据见表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6</w:t>
      </w:r>
      <w:r>
        <w:rPr>
          <w:rFonts w:hint="eastAsia"/>
        </w:rP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6</w:t>
      </w:r>
      <w:r>
        <w:rPr>
          <w:rFonts w:hint="eastAsia"/>
        </w:rPr>
        <w:t xml:space="preserve"> 水污染影响型建设项目评价等级判定</w:t>
      </w:r>
    </w:p>
    <w:tbl>
      <w:tblPr>
        <w:tblStyle w:val="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2099"/>
        <w:gridCol w:w="5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80" w:type="pct"/>
            <w:vMerge w:val="restart"/>
            <w:tcBorders>
              <w:top w:val="single" w:color="auto" w:sz="12" w:space="0"/>
              <w:lef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评价等级</w:t>
            </w:r>
          </w:p>
        </w:tc>
        <w:tc>
          <w:tcPr>
            <w:tcW w:w="4019" w:type="pct"/>
            <w:gridSpan w:val="2"/>
            <w:tcBorders>
              <w:top w:val="single" w:color="auto" w:sz="12" w:space="0"/>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80" w:type="pct"/>
            <w:vMerge w:val="continue"/>
            <w:tcBorders>
              <w:left w:val="single" w:color="auto" w:sz="12" w:space="0"/>
            </w:tcBorders>
            <w:noWrap w:val="0"/>
            <w:vAlign w:val="center"/>
          </w:tcPr>
          <w:p>
            <w:pPr>
              <w:spacing w:line="240" w:lineRule="auto"/>
              <w:ind w:firstLine="0"/>
              <w:jc w:val="center"/>
              <w:rPr>
                <w:rFonts w:hint="eastAsia"/>
                <w:sz w:val="21"/>
                <w:szCs w:val="21"/>
              </w:rPr>
            </w:pPr>
          </w:p>
        </w:tc>
        <w:tc>
          <w:tcPr>
            <w:tcW w:w="1144" w:type="pct"/>
            <w:noWrap w:val="0"/>
            <w:vAlign w:val="center"/>
          </w:tcPr>
          <w:p>
            <w:pPr>
              <w:spacing w:line="240" w:lineRule="auto"/>
              <w:ind w:firstLine="0"/>
              <w:jc w:val="center"/>
              <w:rPr>
                <w:rFonts w:hint="eastAsia"/>
                <w:sz w:val="21"/>
                <w:szCs w:val="21"/>
              </w:rPr>
            </w:pPr>
            <w:r>
              <w:rPr>
                <w:rFonts w:hint="eastAsia"/>
                <w:sz w:val="21"/>
                <w:szCs w:val="21"/>
              </w:rPr>
              <w:t>排放方式</w:t>
            </w:r>
          </w:p>
        </w:tc>
        <w:tc>
          <w:tcPr>
            <w:tcW w:w="2875" w:type="pct"/>
            <w:tcBorders>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废水排放量</w:t>
            </w:r>
            <w:r>
              <w:rPr>
                <w:rFonts w:hint="eastAsia" w:ascii="Times New Roman" w:hAnsi="Times New Roman"/>
                <w:sz w:val="21"/>
                <w:szCs w:val="21"/>
              </w:rPr>
              <w:t>Q</w:t>
            </w:r>
            <w:r>
              <w:rPr>
                <w:rFonts w:hint="eastAsia"/>
                <w:sz w:val="21"/>
                <w:szCs w:val="21"/>
              </w:rPr>
              <w:t>/（</w:t>
            </w:r>
            <w:r>
              <w:rPr>
                <w:rFonts w:hint="eastAsia" w:ascii="Times New Roman" w:hAnsi="Times New Roman"/>
                <w:sz w:val="21"/>
                <w:szCs w:val="21"/>
              </w:rPr>
              <w:t>m</w:t>
            </w:r>
            <w:r>
              <w:rPr>
                <w:rFonts w:hint="eastAsia"/>
                <w:sz w:val="21"/>
                <w:szCs w:val="21"/>
              </w:rPr>
              <w:t>³/</w:t>
            </w:r>
            <w:r>
              <w:rPr>
                <w:rFonts w:hint="eastAsia" w:ascii="Times New Roman" w:hAnsi="Times New Roman"/>
                <w:sz w:val="21"/>
                <w:szCs w:val="21"/>
              </w:rPr>
              <w:t>d</w:t>
            </w:r>
            <w:r>
              <w:rPr>
                <w:rFonts w:hint="eastAsia"/>
                <w:sz w:val="21"/>
                <w:szCs w:val="21"/>
              </w:rPr>
              <w:t>）；水污染物当量数</w:t>
            </w:r>
            <w:r>
              <w:rPr>
                <w:rFonts w:hint="eastAsia" w:ascii="Times New Roman" w:hAnsi="Times New Roman"/>
                <w:sz w:val="21"/>
                <w:szCs w:val="21"/>
              </w:rPr>
              <w:t>W</w:t>
            </w:r>
            <w:r>
              <w:rPr>
                <w:rFonts w:hint="eastAsia"/>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80" w:type="pct"/>
            <w:tcBorders>
              <w:lef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一级</w:t>
            </w:r>
          </w:p>
        </w:tc>
        <w:tc>
          <w:tcPr>
            <w:tcW w:w="1144" w:type="pct"/>
            <w:noWrap w:val="0"/>
            <w:vAlign w:val="center"/>
          </w:tcPr>
          <w:p>
            <w:pPr>
              <w:spacing w:line="240" w:lineRule="auto"/>
              <w:ind w:firstLine="0"/>
              <w:jc w:val="center"/>
              <w:rPr>
                <w:rFonts w:hint="eastAsia"/>
                <w:sz w:val="21"/>
                <w:szCs w:val="21"/>
              </w:rPr>
            </w:pPr>
            <w:r>
              <w:rPr>
                <w:rFonts w:hint="eastAsia"/>
                <w:sz w:val="21"/>
                <w:szCs w:val="21"/>
              </w:rPr>
              <w:t>直接排放</w:t>
            </w:r>
          </w:p>
        </w:tc>
        <w:tc>
          <w:tcPr>
            <w:tcW w:w="2875" w:type="pct"/>
            <w:tcBorders>
              <w:righ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Q</w:t>
            </w:r>
            <w:r>
              <w:rPr>
                <w:rFonts w:hint="eastAsia"/>
                <w:sz w:val="21"/>
                <w:szCs w:val="21"/>
              </w:rPr>
              <w:t>≥</w:t>
            </w:r>
            <w:r>
              <w:rPr>
                <w:rFonts w:hint="eastAsia" w:ascii="Times New Roman" w:hAnsi="Times New Roman"/>
                <w:sz w:val="21"/>
                <w:szCs w:val="21"/>
              </w:rPr>
              <w:t>20000</w:t>
            </w:r>
            <w:r>
              <w:rPr>
                <w:rFonts w:hint="eastAsia"/>
                <w:sz w:val="21"/>
                <w:szCs w:val="21"/>
              </w:rPr>
              <w:t>或</w:t>
            </w:r>
            <w:r>
              <w:rPr>
                <w:rFonts w:hint="eastAsia" w:ascii="Times New Roman" w:hAnsi="Times New Roman"/>
                <w:sz w:val="21"/>
                <w:szCs w:val="21"/>
              </w:rPr>
              <w:t>W</w:t>
            </w:r>
            <w:r>
              <w:rPr>
                <w:rFonts w:hint="eastAsia"/>
                <w:sz w:val="21"/>
                <w:szCs w:val="21"/>
              </w:rPr>
              <w:t>≥</w:t>
            </w:r>
            <w:r>
              <w:rPr>
                <w:rFonts w:hint="eastAsia" w:ascii="Times New Roman" w:hAnsi="Times New Roman"/>
                <w:sz w:val="21"/>
                <w:szCs w:val="21"/>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80" w:type="pct"/>
            <w:tcBorders>
              <w:lef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二级</w:t>
            </w:r>
          </w:p>
        </w:tc>
        <w:tc>
          <w:tcPr>
            <w:tcW w:w="1144" w:type="pct"/>
            <w:noWrap w:val="0"/>
            <w:vAlign w:val="center"/>
          </w:tcPr>
          <w:p>
            <w:pPr>
              <w:spacing w:line="240" w:lineRule="auto"/>
              <w:ind w:firstLine="0"/>
              <w:jc w:val="center"/>
              <w:rPr>
                <w:rFonts w:hint="eastAsia"/>
                <w:sz w:val="21"/>
                <w:szCs w:val="21"/>
              </w:rPr>
            </w:pPr>
            <w:r>
              <w:rPr>
                <w:rFonts w:hint="eastAsia"/>
                <w:sz w:val="21"/>
                <w:szCs w:val="21"/>
              </w:rPr>
              <w:t>直接排放</w:t>
            </w:r>
          </w:p>
        </w:tc>
        <w:tc>
          <w:tcPr>
            <w:tcW w:w="2875" w:type="pct"/>
            <w:tcBorders>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80" w:type="pct"/>
            <w:tcBorders>
              <w:lef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三级</w:t>
            </w:r>
            <w:r>
              <w:rPr>
                <w:rFonts w:hint="eastAsia" w:ascii="Times New Roman" w:hAnsi="Times New Roman"/>
                <w:sz w:val="21"/>
                <w:szCs w:val="21"/>
              </w:rPr>
              <w:t>A</w:t>
            </w:r>
          </w:p>
        </w:tc>
        <w:tc>
          <w:tcPr>
            <w:tcW w:w="1144" w:type="pct"/>
            <w:noWrap w:val="0"/>
            <w:vAlign w:val="center"/>
          </w:tcPr>
          <w:p>
            <w:pPr>
              <w:spacing w:line="240" w:lineRule="auto"/>
              <w:ind w:firstLine="0"/>
              <w:jc w:val="center"/>
              <w:rPr>
                <w:rFonts w:hint="eastAsia"/>
                <w:sz w:val="21"/>
                <w:szCs w:val="21"/>
              </w:rPr>
            </w:pPr>
            <w:r>
              <w:rPr>
                <w:rFonts w:hint="eastAsia"/>
                <w:sz w:val="21"/>
                <w:szCs w:val="21"/>
              </w:rPr>
              <w:t>直接排放</w:t>
            </w:r>
          </w:p>
        </w:tc>
        <w:tc>
          <w:tcPr>
            <w:tcW w:w="2875" w:type="pct"/>
            <w:tcBorders>
              <w:right w:val="single" w:color="auto" w:sz="12" w:space="0"/>
            </w:tcBorders>
            <w:noWrap w:val="0"/>
            <w:vAlign w:val="center"/>
          </w:tcPr>
          <w:p>
            <w:pPr>
              <w:spacing w:line="240" w:lineRule="auto"/>
              <w:ind w:firstLine="0"/>
              <w:jc w:val="center"/>
              <w:rPr>
                <w:rFonts w:hint="eastAsia"/>
                <w:sz w:val="21"/>
                <w:szCs w:val="21"/>
              </w:rPr>
            </w:pPr>
            <w:r>
              <w:rPr>
                <w:rFonts w:hint="eastAsia" w:ascii="Times New Roman" w:hAnsi="Times New Roman"/>
                <w:sz w:val="21"/>
                <w:szCs w:val="21"/>
              </w:rPr>
              <w:t>Q</w:t>
            </w:r>
            <w:r>
              <w:rPr>
                <w:rFonts w:hint="eastAsia"/>
                <w:sz w:val="21"/>
                <w:szCs w:val="21"/>
              </w:rPr>
              <w:t>＜</w:t>
            </w:r>
            <w:r>
              <w:rPr>
                <w:rFonts w:hint="eastAsia" w:ascii="Times New Roman" w:hAnsi="Times New Roman"/>
                <w:sz w:val="21"/>
                <w:szCs w:val="21"/>
              </w:rPr>
              <w:t>200</w:t>
            </w:r>
            <w:r>
              <w:rPr>
                <w:rFonts w:hint="eastAsia"/>
                <w:sz w:val="21"/>
                <w:szCs w:val="21"/>
              </w:rPr>
              <w:t>且</w:t>
            </w:r>
            <w:r>
              <w:rPr>
                <w:rFonts w:hint="eastAsia" w:ascii="Times New Roman" w:hAnsi="Times New Roman"/>
                <w:sz w:val="21"/>
                <w:szCs w:val="21"/>
              </w:rPr>
              <w:t>W</w:t>
            </w:r>
            <w:r>
              <w:rPr>
                <w:rFonts w:hint="eastAsia"/>
                <w:sz w:val="21"/>
                <w:szCs w:val="21"/>
              </w:rPr>
              <w:t>＜</w:t>
            </w:r>
            <w:r>
              <w:rPr>
                <w:rFonts w:hint="eastAsia" w:ascii="Times New Roman" w:hAnsi="Times New Roman"/>
                <w:sz w:val="21"/>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980" w:type="pct"/>
            <w:tcBorders>
              <w:left w:val="single" w:color="auto" w:sz="12" w:space="0"/>
              <w:bottom w:val="single" w:color="auto" w:sz="12" w:space="0"/>
            </w:tcBorders>
            <w:shd w:val="clear" w:color="auto" w:fill="D7D7D7"/>
            <w:noWrap w:val="0"/>
            <w:vAlign w:val="center"/>
          </w:tcPr>
          <w:p>
            <w:pPr>
              <w:spacing w:line="240" w:lineRule="auto"/>
              <w:ind w:firstLine="0"/>
              <w:jc w:val="center"/>
              <w:rPr>
                <w:rFonts w:hint="eastAsia"/>
                <w:sz w:val="21"/>
                <w:szCs w:val="21"/>
              </w:rPr>
            </w:pPr>
            <w:r>
              <w:rPr>
                <w:rFonts w:hint="eastAsia"/>
                <w:sz w:val="21"/>
                <w:szCs w:val="21"/>
              </w:rPr>
              <w:t>三级</w:t>
            </w:r>
            <w:r>
              <w:rPr>
                <w:rFonts w:hint="eastAsia" w:ascii="Times New Roman" w:hAnsi="Times New Roman"/>
                <w:sz w:val="21"/>
                <w:szCs w:val="21"/>
              </w:rPr>
              <w:t>B</w:t>
            </w:r>
          </w:p>
        </w:tc>
        <w:tc>
          <w:tcPr>
            <w:tcW w:w="1144" w:type="pct"/>
            <w:tcBorders>
              <w:bottom w:val="single" w:color="auto" w:sz="12" w:space="0"/>
            </w:tcBorders>
            <w:shd w:val="clear" w:color="auto" w:fill="D7D7D7"/>
            <w:noWrap w:val="0"/>
            <w:vAlign w:val="center"/>
          </w:tcPr>
          <w:p>
            <w:pPr>
              <w:spacing w:line="240" w:lineRule="auto"/>
              <w:ind w:firstLine="0"/>
              <w:jc w:val="center"/>
              <w:rPr>
                <w:rFonts w:hint="eastAsia"/>
                <w:sz w:val="21"/>
                <w:szCs w:val="21"/>
              </w:rPr>
            </w:pPr>
            <w:r>
              <w:rPr>
                <w:rFonts w:hint="eastAsia"/>
                <w:sz w:val="21"/>
                <w:szCs w:val="21"/>
              </w:rPr>
              <w:t>间接排放</w:t>
            </w:r>
          </w:p>
        </w:tc>
        <w:tc>
          <w:tcPr>
            <w:tcW w:w="2875" w:type="pct"/>
            <w:tcBorders>
              <w:bottom w:val="single" w:color="auto" w:sz="12" w:space="0"/>
              <w:right w:val="single" w:color="auto" w:sz="12" w:space="0"/>
            </w:tcBorders>
            <w:shd w:val="clear" w:color="auto" w:fill="D7D7D7"/>
            <w:noWrap w:val="0"/>
            <w:vAlign w:val="center"/>
          </w:tcPr>
          <w:p>
            <w:pPr>
              <w:spacing w:line="240" w:lineRule="auto"/>
              <w:ind w:firstLine="0"/>
              <w:jc w:val="center"/>
              <w:rPr>
                <w:rFonts w:hint="eastAsia"/>
                <w:sz w:val="21"/>
                <w:szCs w:val="21"/>
              </w:rPr>
            </w:pPr>
            <w:r>
              <w:rPr>
                <w:rFonts w:hint="eastAsia"/>
                <w:sz w:val="21"/>
                <w:szCs w:val="21"/>
              </w:rPr>
              <w:t>-</w:t>
            </w:r>
          </w:p>
        </w:tc>
      </w:tr>
    </w:tbl>
    <w:p>
      <w:pPr>
        <w:spacing w:line="440" w:lineRule="exact"/>
        <w:ind w:firstLine="480"/>
        <w:rPr>
          <w:rFonts w:hint="eastAsia"/>
          <w:color w:val="0000FF"/>
        </w:rPr>
      </w:pPr>
      <w:r>
        <w:rPr>
          <w:rFonts w:hint="eastAsia"/>
        </w:rPr>
        <w:t>本项目废水包括</w:t>
      </w:r>
      <w:r>
        <w:rPr>
          <w:rFonts w:hint="eastAsia"/>
          <w:lang w:eastAsia="zh-CN"/>
        </w:rPr>
        <w:t>装置地面冲洗废水和</w:t>
      </w:r>
      <w:r>
        <w:rPr>
          <w:rFonts w:hint="eastAsia"/>
        </w:rPr>
        <w:t>生活污水等，经厂内污水站处理后</w:t>
      </w:r>
      <w:r>
        <w:rPr>
          <w:rFonts w:hint="eastAsia"/>
          <w:lang w:eastAsia="zh-CN"/>
        </w:rPr>
        <w:t>排入园区管网</w:t>
      </w:r>
      <w:r>
        <w:rPr>
          <w:rFonts w:hint="eastAsia"/>
        </w:rPr>
        <w:t>。评价等级为三级</w:t>
      </w:r>
      <w:r>
        <w:rPr>
          <w:rFonts w:hint="eastAsia" w:ascii="Times New Roman" w:hAnsi="Times New Roman"/>
        </w:rPr>
        <w:t>B</w:t>
      </w:r>
      <w:r>
        <w:rPr>
          <w:rFonts w:hint="eastAsia"/>
        </w:rPr>
        <w:t>，根据导则要求，</w:t>
      </w:r>
      <w:r>
        <w:rPr>
          <w:rFonts w:hint="eastAsia" w:ascii="Times New Roman" w:cs="Times New Roman"/>
          <w:color w:val="auto"/>
          <w:szCs w:val="24"/>
          <w:lang w:val="en-US" w:eastAsia="zh-CN"/>
        </w:rPr>
        <w:t>主要评价</w:t>
      </w:r>
      <w:r>
        <w:rPr>
          <w:rFonts w:hint="eastAsia"/>
          <w:color w:val="auto"/>
        </w:rPr>
        <w:t>水污染控制和水环境影响减缓措施有效性，依托污水处理设施的环境可行性。</w:t>
      </w:r>
    </w:p>
    <w:p>
      <w:pPr>
        <w:spacing w:line="440" w:lineRule="exact"/>
        <w:ind w:firstLine="480"/>
        <w:rPr>
          <w:rFonts w:hint="eastAsia"/>
        </w:rPr>
      </w:pPr>
      <w:bookmarkStart w:id="81" w:name="_Toc316537370"/>
      <w:bookmarkStart w:id="82" w:name="_Toc312736113"/>
      <w:r>
        <w:rPr>
          <w:rFonts w:hint="eastAsia"/>
        </w:rPr>
        <w:t>（</w:t>
      </w:r>
      <w:r>
        <w:rPr>
          <w:rFonts w:hint="eastAsia" w:ascii="Times New Roman" w:hAnsi="Times New Roman"/>
        </w:rPr>
        <w:t>3</w:t>
      </w:r>
      <w:r>
        <w:rPr>
          <w:rFonts w:hint="eastAsia"/>
        </w:rPr>
        <w:t>）地下水</w:t>
      </w:r>
      <w:bookmarkEnd w:id="81"/>
      <w:bookmarkEnd w:id="82"/>
      <w:r>
        <w:rPr>
          <w:rFonts w:hint="eastAsia"/>
        </w:rPr>
        <w:t>环境</w:t>
      </w:r>
    </w:p>
    <w:p>
      <w:pPr>
        <w:bidi w:val="0"/>
        <w:rPr>
          <w:rFonts w:hint="eastAsia"/>
        </w:rPr>
      </w:pPr>
      <w:r>
        <w:rPr>
          <w:rFonts w:hint="eastAsia"/>
        </w:rPr>
        <w:t>本项目</w:t>
      </w:r>
      <w:r>
        <w:rPr>
          <w:rFonts w:hint="eastAsia"/>
          <w:lang w:eastAsia="zh-CN"/>
        </w:rPr>
        <w:t>属于</w:t>
      </w:r>
      <w:r>
        <w:rPr>
          <w:rFonts w:hint="eastAsia"/>
        </w:rPr>
        <w:t>《环境影响评价技术导则</w:t>
      </w:r>
      <w:r>
        <w:rPr>
          <w:rFonts w:hint="eastAsia"/>
          <w:lang w:val="en-US" w:eastAsia="zh-CN"/>
        </w:rPr>
        <w:t xml:space="preserve"> </w:t>
      </w:r>
      <w:r>
        <w:rPr>
          <w:rFonts w:hint="eastAsia"/>
        </w:rPr>
        <w:t>地下水环境》（</w:t>
      </w:r>
      <w:r>
        <w:rPr>
          <w:rFonts w:hint="eastAsia" w:ascii="Times New Roman" w:hAnsi="Times New Roman"/>
        </w:rPr>
        <w:t>HJ610</w:t>
      </w:r>
      <w:r>
        <w:rPr>
          <w:rFonts w:hint="eastAsia"/>
        </w:rPr>
        <w:t>-</w:t>
      </w:r>
      <w:r>
        <w:rPr>
          <w:rFonts w:hint="eastAsia" w:ascii="Times New Roman" w:hAnsi="Times New Roman"/>
        </w:rPr>
        <w:t>2016</w:t>
      </w:r>
      <w:r>
        <w:rPr>
          <w:rFonts w:hint="eastAsia"/>
        </w:rPr>
        <w:t>）附录</w:t>
      </w:r>
      <w:r>
        <w:rPr>
          <w:rFonts w:hint="eastAsia" w:ascii="Times New Roman" w:hAnsi="Times New Roman"/>
        </w:rPr>
        <w:t>A</w:t>
      </w:r>
      <w:r>
        <w:rPr>
          <w:rFonts w:hint="eastAsia" w:ascii="Times New Roman"/>
          <w:lang w:eastAsia="zh-CN"/>
        </w:rPr>
        <w:t>中</w:t>
      </w:r>
      <w:r>
        <w:rPr>
          <w:rFonts w:hint="eastAsia"/>
        </w:rPr>
        <w:t>，</w:t>
      </w:r>
      <w:r>
        <w:rPr>
          <w:rFonts w:hint="eastAsia"/>
          <w:lang w:eastAsia="zh-CN"/>
        </w:rPr>
        <w:t>本项目</w:t>
      </w:r>
      <w:r>
        <w:rPr>
          <w:rFonts w:hint="eastAsia"/>
          <w:lang w:val="en-US" w:eastAsia="zh-CN"/>
        </w:rPr>
        <w:t>属于</w:t>
      </w:r>
      <w:r>
        <w:rPr>
          <w:rFonts w:hint="eastAsia" w:ascii="Times New Roman" w:hAnsi="Times New Roman"/>
        </w:rPr>
        <w:t>85</w:t>
      </w:r>
      <w:r>
        <w:rPr>
          <w:rFonts w:hint="eastAsia"/>
        </w:rPr>
        <w:t>、</w:t>
      </w:r>
      <w:r>
        <w:rPr>
          <w:rFonts w:hint="eastAsia"/>
          <w:lang w:eastAsia="zh-CN"/>
        </w:rPr>
        <w:t>基本化学原料</w:t>
      </w:r>
      <w:r>
        <w:rPr>
          <w:rFonts w:hint="eastAsia"/>
        </w:rPr>
        <w:t>制造，项目</w:t>
      </w:r>
      <w:r>
        <w:rPr>
          <w:rFonts w:hint="eastAsia"/>
          <w:lang w:eastAsia="zh-CN"/>
        </w:rPr>
        <w:t>地下水环境影响评价</w:t>
      </w:r>
      <w:r>
        <w:rPr>
          <w:rFonts w:hint="eastAsia"/>
        </w:rPr>
        <w:t>类别属于</w:t>
      </w:r>
      <w:r>
        <w:rPr>
          <w:rFonts w:hint="eastAsia" w:hAnsi="宋体"/>
          <w:sz w:val="21"/>
          <w:szCs w:val="21"/>
        </w:rPr>
        <w:t>Ⅰ</w:t>
      </w:r>
      <w:r>
        <w:rPr>
          <w:rFonts w:hint="eastAsia"/>
        </w:rPr>
        <w:t>类</w:t>
      </w:r>
      <w:r>
        <w:t>。</w:t>
      </w:r>
      <w:r>
        <w:rPr>
          <w:rFonts w:hint="eastAsia"/>
        </w:rPr>
        <w:t>根据地下水环境敏感程度分级表见表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7</w:t>
      </w:r>
      <w:r>
        <w:rPr>
          <w:rFonts w:hint="eastAsia" w:ascii="Times New Roman"/>
          <w:lang w:eastAsia="zh-CN"/>
        </w:rPr>
        <w:t>，</w:t>
      </w:r>
      <w:r>
        <w:rPr>
          <w:rFonts w:hint="eastAsia"/>
        </w:rPr>
        <w:t>本项目所在</w:t>
      </w:r>
      <w:r>
        <w:rPr>
          <w:rFonts w:hint="eastAsia"/>
          <w:lang w:eastAsia="zh-CN"/>
        </w:rPr>
        <w:t>地不涉及集中式饮用水水源地等敏感区</w:t>
      </w:r>
      <w:r>
        <w:rPr>
          <w:rFonts w:hint="eastAsia"/>
        </w:rPr>
        <w:t>，项目区所处位置的地下水判定为“</w:t>
      </w:r>
      <w:r>
        <w:rPr>
          <w:rFonts w:hint="eastAsia"/>
          <w:lang w:eastAsia="zh-CN"/>
        </w:rPr>
        <w:t>不</w:t>
      </w:r>
      <w:r>
        <w:rPr>
          <w:rFonts w:hint="eastAsia"/>
        </w:rPr>
        <w:t>敏感”。</w:t>
      </w:r>
    </w:p>
    <w:p>
      <w:pPr>
        <w:bidi w:val="0"/>
      </w:pPr>
      <w:r>
        <w:rPr>
          <w:rFonts w:hint="eastAsia"/>
        </w:rPr>
        <w:t>建设项目地下水环境影响评价工作等级划分见表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8</w:t>
      </w:r>
      <w:r>
        <w:rPr>
          <w:rFonts w:hint="eastAsia"/>
        </w:rP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7</w:t>
      </w:r>
      <w:r>
        <w:rPr>
          <w:rFonts w:hint="eastAsia"/>
        </w:rPr>
        <w:t xml:space="preserve">  地下水环境敏感程度分级表</w:t>
      </w:r>
    </w:p>
    <w:tbl>
      <w:tblPr>
        <w:tblStyle w:val="81"/>
        <w:tblW w:w="503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8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37" w:type="pct"/>
            <w:noWrap w:val="0"/>
            <w:vAlign w:val="center"/>
          </w:tcPr>
          <w:p>
            <w:pPr>
              <w:spacing w:line="280" w:lineRule="exact"/>
              <w:ind w:firstLine="0"/>
              <w:jc w:val="center"/>
              <w:rPr>
                <w:rFonts w:hint="eastAsia"/>
                <w:sz w:val="21"/>
                <w:szCs w:val="21"/>
              </w:rPr>
            </w:pPr>
            <w:r>
              <w:rPr>
                <w:rFonts w:hint="eastAsia"/>
                <w:sz w:val="21"/>
                <w:szCs w:val="21"/>
              </w:rPr>
              <w:t>敏感程度</w:t>
            </w:r>
          </w:p>
        </w:tc>
        <w:tc>
          <w:tcPr>
            <w:tcW w:w="4362" w:type="pct"/>
            <w:noWrap w:val="0"/>
            <w:vAlign w:val="center"/>
          </w:tcPr>
          <w:p>
            <w:pPr>
              <w:spacing w:line="280" w:lineRule="exact"/>
              <w:ind w:firstLine="0"/>
              <w:jc w:val="center"/>
              <w:rPr>
                <w:rFonts w:hint="eastAsia"/>
                <w:sz w:val="21"/>
                <w:szCs w:val="21"/>
              </w:rPr>
            </w:pPr>
            <w:r>
              <w:rPr>
                <w:rFonts w:hint="eastAsia"/>
                <w:sz w:val="21"/>
                <w:szCs w:val="21"/>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37" w:type="pct"/>
            <w:noWrap w:val="0"/>
            <w:vAlign w:val="center"/>
          </w:tcPr>
          <w:p>
            <w:pPr>
              <w:spacing w:line="280" w:lineRule="exact"/>
              <w:ind w:firstLine="0"/>
              <w:jc w:val="center"/>
              <w:rPr>
                <w:rFonts w:hint="eastAsia"/>
                <w:sz w:val="21"/>
                <w:szCs w:val="21"/>
              </w:rPr>
            </w:pPr>
            <w:r>
              <w:rPr>
                <w:rFonts w:hint="eastAsia"/>
                <w:sz w:val="21"/>
                <w:szCs w:val="21"/>
              </w:rPr>
              <w:t>敏感</w:t>
            </w:r>
          </w:p>
        </w:tc>
        <w:tc>
          <w:tcPr>
            <w:tcW w:w="4362" w:type="pct"/>
            <w:noWrap w:val="0"/>
            <w:vAlign w:val="center"/>
          </w:tcPr>
          <w:p>
            <w:pPr>
              <w:spacing w:line="280" w:lineRule="exact"/>
              <w:ind w:firstLine="0"/>
              <w:jc w:val="left"/>
              <w:rPr>
                <w:rFonts w:hint="eastAsia"/>
                <w:sz w:val="21"/>
                <w:szCs w:val="21"/>
              </w:rPr>
            </w:pPr>
            <w:r>
              <w:rPr>
                <w:rFonts w:hint="eastAsia"/>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637" w:type="pct"/>
            <w:noWrap w:val="0"/>
            <w:vAlign w:val="center"/>
          </w:tcPr>
          <w:p>
            <w:pPr>
              <w:spacing w:line="280" w:lineRule="exact"/>
              <w:ind w:firstLine="0"/>
              <w:jc w:val="center"/>
              <w:rPr>
                <w:rFonts w:hint="eastAsia"/>
                <w:sz w:val="21"/>
                <w:szCs w:val="21"/>
              </w:rPr>
            </w:pPr>
            <w:r>
              <w:rPr>
                <w:rFonts w:hint="eastAsia"/>
                <w:sz w:val="21"/>
                <w:szCs w:val="21"/>
              </w:rPr>
              <w:t>较敏感</w:t>
            </w:r>
          </w:p>
        </w:tc>
        <w:tc>
          <w:tcPr>
            <w:tcW w:w="4362" w:type="pct"/>
            <w:noWrap w:val="0"/>
            <w:vAlign w:val="center"/>
          </w:tcPr>
          <w:p>
            <w:pPr>
              <w:spacing w:line="280" w:lineRule="exact"/>
              <w:ind w:firstLine="0"/>
              <w:jc w:val="left"/>
              <w:rPr>
                <w:rFonts w:hint="eastAsia"/>
                <w:sz w:val="21"/>
                <w:szCs w:val="21"/>
              </w:rPr>
            </w:pPr>
            <w:r>
              <w:rPr>
                <w:rFonts w:hint="eastAsia"/>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7" w:type="pct"/>
            <w:noWrap w:val="0"/>
            <w:vAlign w:val="center"/>
          </w:tcPr>
          <w:p>
            <w:pPr>
              <w:spacing w:line="280" w:lineRule="exact"/>
              <w:ind w:firstLine="0"/>
              <w:jc w:val="center"/>
              <w:rPr>
                <w:rFonts w:hint="eastAsia"/>
                <w:sz w:val="21"/>
                <w:szCs w:val="21"/>
              </w:rPr>
            </w:pPr>
            <w:r>
              <w:rPr>
                <w:rFonts w:hint="eastAsia"/>
                <w:sz w:val="21"/>
                <w:szCs w:val="21"/>
              </w:rPr>
              <w:t>不敏感</w:t>
            </w:r>
          </w:p>
        </w:tc>
        <w:tc>
          <w:tcPr>
            <w:tcW w:w="4362" w:type="pct"/>
            <w:noWrap w:val="0"/>
            <w:vAlign w:val="center"/>
          </w:tcPr>
          <w:p>
            <w:pPr>
              <w:spacing w:line="280" w:lineRule="exact"/>
              <w:ind w:firstLine="0"/>
              <w:jc w:val="left"/>
              <w:rPr>
                <w:rFonts w:hint="eastAsia"/>
                <w:sz w:val="21"/>
                <w:szCs w:val="21"/>
              </w:rPr>
            </w:pPr>
            <w:r>
              <w:rPr>
                <w:rFonts w:hint="eastAsia"/>
                <w:sz w:val="21"/>
                <w:szCs w:val="21"/>
              </w:rPr>
              <w:t>上述地区之外的其它地区。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5000" w:type="pct"/>
            <w:gridSpan w:val="2"/>
            <w:noWrap w:val="0"/>
            <w:vAlign w:val="center"/>
          </w:tcPr>
          <w:p>
            <w:pPr>
              <w:spacing w:line="280" w:lineRule="exact"/>
              <w:ind w:firstLine="0"/>
              <w:jc w:val="left"/>
              <w:rPr>
                <w:rFonts w:hint="eastAsia"/>
                <w:sz w:val="21"/>
                <w:szCs w:val="21"/>
              </w:rPr>
            </w:pPr>
            <w:r>
              <w:rPr>
                <w:rFonts w:hint="eastAsia"/>
                <w:sz w:val="21"/>
                <w:szCs w:val="21"/>
              </w:rPr>
              <w:t>注：</w:t>
            </w:r>
            <w:r>
              <w:rPr>
                <w:rFonts w:hint="eastAsia" w:ascii="Times New Roman" w:hAnsi="Times New Roman"/>
                <w:sz w:val="21"/>
                <w:szCs w:val="21"/>
              </w:rPr>
              <w:t>a</w:t>
            </w:r>
            <w:r>
              <w:rPr>
                <w:rFonts w:hint="eastAsia"/>
                <w:sz w:val="21"/>
                <w:szCs w:val="21"/>
              </w:rPr>
              <w:t>“环境敏感区”是指《建设项目环境影响评价分类管理名录》中所界定的涉及地下水的环境敏感区。</w:t>
            </w:r>
          </w:p>
        </w:tc>
      </w:tr>
    </w:tbl>
    <w:p>
      <w:pPr>
        <w:pStyle w:val="20"/>
        <w:spacing w:before="0" w:beforeLines="0"/>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8</w:t>
      </w:r>
      <w:r>
        <w:rPr>
          <w:rFonts w:hint="eastAsia"/>
        </w:rPr>
        <w:t xml:space="preserve">  评价工作等级分级表</w:t>
      </w:r>
    </w:p>
    <w:tbl>
      <w:tblPr>
        <w:tblStyle w:val="81"/>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2246"/>
        <w:gridCol w:w="2107"/>
        <w:gridCol w:w="2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472" w:type="pct"/>
            <w:noWrap w:val="0"/>
            <w:vAlign w:val="center"/>
          </w:tcPr>
          <w:p>
            <w:pPr>
              <w:snapToGrid w:val="0"/>
              <w:spacing w:line="240" w:lineRule="auto"/>
              <w:ind w:firstLine="0"/>
              <w:jc w:val="center"/>
              <w:rPr>
                <w:rFonts w:hint="eastAsia"/>
                <w:sz w:val="21"/>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-71755</wp:posOffset>
                      </wp:positionH>
                      <wp:positionV relativeFrom="paragraph">
                        <wp:posOffset>20955</wp:posOffset>
                      </wp:positionV>
                      <wp:extent cx="1710690" cy="487680"/>
                      <wp:effectExtent l="1905" t="7620" r="9525" b="7620"/>
                      <wp:wrapNone/>
                      <wp:docPr id="245" name="直线 267"/>
                      <wp:cNvGraphicFramePr/>
                      <a:graphic xmlns:a="http://schemas.openxmlformats.org/drawingml/2006/main">
                        <a:graphicData uri="http://schemas.microsoft.com/office/word/2010/wordprocessingShape">
                          <wps:wsp>
                            <wps:cNvCnPr/>
                            <wps:spPr>
                              <a:xfrm>
                                <a:off x="0" y="0"/>
                                <a:ext cx="1710690" cy="48768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67" o:spid="_x0000_s1026" o:spt="20" style="position:absolute;left:0pt;margin-left:-5.65pt;margin-top:1.65pt;height:38.4pt;width:134.7pt;z-index:251665408;mso-width-relative:page;mso-height-relative:page;" filled="f" stroked="t" coordsize="21600,21600" o:gfxdata="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B3ksdgAAAAIAQAADwAAAAAAAAABACAAAAAiAAAAZHJzL2Rvd25yZXYueG1sUEsBAhQA&#10;FAAAAAgAh07iQLvukr7yAQAA5QMAAA4AAAAAAAAAAQAgAAAAJwEAAGRycy9lMm9Eb2MueG1sUEsF&#10;BgAAAAAGAAYAWQEAAIsFAAAAAA==&#10;">
                      <v:fill on="f" focussize="0,0"/>
                      <v:stroke weight="1.25pt" color="#000000" joinstyle="round"/>
                      <v:imagedata o:title=""/>
                      <o:lock v:ext="edit" aspectratio="f"/>
                    </v:line>
                  </w:pict>
                </mc:Fallback>
              </mc:AlternateContent>
            </w:r>
            <w:r>
              <w:rPr>
                <w:rFonts w:hint="eastAsia"/>
                <w:sz w:val="21"/>
                <w:szCs w:val="21"/>
                <w:lang w:val="en-US" w:eastAsia="zh-CN"/>
              </w:rPr>
              <w:t xml:space="preserve">         </w:t>
            </w:r>
            <w:r>
              <w:rPr>
                <w:rFonts w:hint="eastAsia"/>
                <w:sz w:val="21"/>
                <w:szCs w:val="21"/>
              </w:rPr>
              <w:t>敏感程度</w:t>
            </w:r>
          </w:p>
          <w:p>
            <w:pPr>
              <w:snapToGrid w:val="0"/>
              <w:spacing w:line="240" w:lineRule="auto"/>
              <w:ind w:firstLine="0"/>
              <w:jc w:val="center"/>
              <w:rPr>
                <w:rFonts w:hint="eastAsia"/>
                <w:sz w:val="21"/>
                <w:szCs w:val="21"/>
              </w:rPr>
            </w:pPr>
          </w:p>
          <w:p>
            <w:pPr>
              <w:snapToGrid w:val="0"/>
              <w:spacing w:line="240" w:lineRule="auto"/>
              <w:ind w:firstLine="0"/>
              <w:jc w:val="both"/>
              <w:rPr>
                <w:rFonts w:hint="eastAsia"/>
                <w:sz w:val="21"/>
                <w:szCs w:val="21"/>
              </w:rPr>
            </w:pPr>
            <w:r>
              <w:rPr>
                <w:rFonts w:hint="eastAsia"/>
                <w:sz w:val="21"/>
                <w:szCs w:val="21"/>
              </w:rPr>
              <w:t>项目类别</w:t>
            </w:r>
          </w:p>
        </w:tc>
        <w:tc>
          <w:tcPr>
            <w:tcW w:w="1226" w:type="pct"/>
            <w:noWrap w:val="0"/>
            <w:vAlign w:val="center"/>
          </w:tcPr>
          <w:p>
            <w:pPr>
              <w:spacing w:line="240" w:lineRule="auto"/>
              <w:ind w:firstLine="0"/>
              <w:jc w:val="center"/>
              <w:rPr>
                <w:sz w:val="21"/>
                <w:szCs w:val="21"/>
              </w:rPr>
            </w:pPr>
            <w:r>
              <w:rPr>
                <w:rFonts w:hint="eastAsia" w:hAnsi="宋体"/>
                <w:sz w:val="21"/>
                <w:szCs w:val="21"/>
              </w:rPr>
              <w:t>Ⅰ类项目</w:t>
            </w:r>
          </w:p>
        </w:tc>
        <w:tc>
          <w:tcPr>
            <w:tcW w:w="1150" w:type="pct"/>
            <w:noWrap w:val="0"/>
            <w:vAlign w:val="center"/>
          </w:tcPr>
          <w:p>
            <w:pPr>
              <w:spacing w:line="240" w:lineRule="auto"/>
              <w:ind w:firstLine="0"/>
              <w:jc w:val="center"/>
              <w:rPr>
                <w:sz w:val="21"/>
                <w:szCs w:val="21"/>
              </w:rPr>
            </w:pPr>
            <w:r>
              <w:rPr>
                <w:rFonts w:hint="eastAsia" w:hAnsi="宋体"/>
                <w:sz w:val="21"/>
                <w:szCs w:val="21"/>
              </w:rPr>
              <w:t>Ⅱ类项目</w:t>
            </w:r>
          </w:p>
        </w:tc>
        <w:tc>
          <w:tcPr>
            <w:tcW w:w="1150" w:type="pct"/>
            <w:noWrap w:val="0"/>
            <w:vAlign w:val="center"/>
          </w:tcPr>
          <w:p>
            <w:pPr>
              <w:spacing w:line="240" w:lineRule="auto"/>
              <w:ind w:firstLine="0"/>
              <w:jc w:val="center"/>
              <w:rPr>
                <w:sz w:val="21"/>
                <w:szCs w:val="21"/>
              </w:rPr>
            </w:pPr>
            <w:r>
              <w:rPr>
                <w:rFonts w:hint="eastAsia" w:hAnsi="宋体"/>
                <w:sz w:val="21"/>
                <w:szCs w:val="21"/>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472" w:type="pct"/>
            <w:noWrap w:val="0"/>
            <w:vAlign w:val="center"/>
          </w:tcPr>
          <w:p>
            <w:pPr>
              <w:jc w:val="center"/>
              <w:rPr>
                <w:rFonts w:hint="eastAsia"/>
                <w:sz w:val="21"/>
                <w:szCs w:val="21"/>
              </w:rPr>
            </w:pPr>
            <w:r>
              <w:rPr>
                <w:rFonts w:hint="eastAsia"/>
                <w:sz w:val="21"/>
                <w:szCs w:val="21"/>
              </w:rPr>
              <w:t>敏感</w:t>
            </w:r>
          </w:p>
        </w:tc>
        <w:tc>
          <w:tcPr>
            <w:tcW w:w="1226" w:type="pct"/>
            <w:noWrap w:val="0"/>
            <w:vAlign w:val="center"/>
          </w:tcPr>
          <w:p>
            <w:pPr>
              <w:spacing w:line="240" w:lineRule="auto"/>
              <w:ind w:firstLine="0"/>
              <w:jc w:val="center"/>
              <w:rPr>
                <w:sz w:val="21"/>
                <w:szCs w:val="21"/>
              </w:rPr>
            </w:pPr>
            <w:r>
              <w:rPr>
                <w:rFonts w:hint="eastAsia" w:hAnsi="宋体"/>
                <w:sz w:val="21"/>
                <w:szCs w:val="21"/>
              </w:rPr>
              <w:t>一</w:t>
            </w:r>
          </w:p>
        </w:tc>
        <w:tc>
          <w:tcPr>
            <w:tcW w:w="1150" w:type="pct"/>
            <w:noWrap w:val="0"/>
            <w:vAlign w:val="center"/>
          </w:tcPr>
          <w:p>
            <w:pPr>
              <w:spacing w:line="240" w:lineRule="auto"/>
              <w:ind w:firstLine="0"/>
              <w:jc w:val="center"/>
              <w:rPr>
                <w:sz w:val="21"/>
                <w:szCs w:val="21"/>
              </w:rPr>
            </w:pPr>
            <w:r>
              <w:rPr>
                <w:rFonts w:hint="eastAsia" w:hAnsi="宋体"/>
                <w:sz w:val="21"/>
                <w:szCs w:val="21"/>
              </w:rPr>
              <w:t>一</w:t>
            </w:r>
          </w:p>
        </w:tc>
        <w:tc>
          <w:tcPr>
            <w:tcW w:w="1150" w:type="pct"/>
            <w:noWrap w:val="0"/>
            <w:vAlign w:val="center"/>
          </w:tcPr>
          <w:p>
            <w:pPr>
              <w:spacing w:line="240" w:lineRule="auto"/>
              <w:ind w:firstLine="0"/>
              <w:jc w:val="center"/>
              <w:rPr>
                <w:sz w:val="21"/>
                <w:szCs w:val="21"/>
              </w:rPr>
            </w:pPr>
            <w:r>
              <w:rPr>
                <w:rFonts w:hint="eastAsia" w:hAnsi="宋体"/>
                <w:sz w:val="21"/>
                <w:szCs w:val="21"/>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472" w:type="pct"/>
            <w:noWrap w:val="0"/>
            <w:vAlign w:val="center"/>
          </w:tcPr>
          <w:p>
            <w:pPr>
              <w:jc w:val="center"/>
              <w:rPr>
                <w:rFonts w:hint="eastAsia"/>
                <w:sz w:val="21"/>
                <w:szCs w:val="21"/>
              </w:rPr>
            </w:pPr>
            <w:r>
              <w:rPr>
                <w:rFonts w:hint="eastAsia"/>
                <w:sz w:val="21"/>
                <w:szCs w:val="21"/>
              </w:rPr>
              <w:t>较敏感</w:t>
            </w:r>
          </w:p>
        </w:tc>
        <w:tc>
          <w:tcPr>
            <w:tcW w:w="1226" w:type="pct"/>
            <w:shd w:val="clear" w:color="auto" w:fill="auto"/>
            <w:noWrap w:val="0"/>
            <w:vAlign w:val="center"/>
          </w:tcPr>
          <w:p>
            <w:pPr>
              <w:spacing w:line="240" w:lineRule="auto"/>
              <w:ind w:firstLine="0"/>
              <w:jc w:val="center"/>
              <w:rPr>
                <w:sz w:val="21"/>
                <w:szCs w:val="21"/>
              </w:rPr>
            </w:pPr>
            <w:r>
              <w:rPr>
                <w:rFonts w:hint="eastAsia" w:hAnsi="宋体"/>
                <w:sz w:val="21"/>
                <w:szCs w:val="21"/>
              </w:rPr>
              <w:t>一</w:t>
            </w:r>
          </w:p>
        </w:tc>
        <w:tc>
          <w:tcPr>
            <w:tcW w:w="1150" w:type="pct"/>
            <w:noWrap w:val="0"/>
            <w:vAlign w:val="center"/>
          </w:tcPr>
          <w:p>
            <w:pPr>
              <w:spacing w:line="240" w:lineRule="auto"/>
              <w:ind w:firstLine="0"/>
              <w:jc w:val="center"/>
              <w:rPr>
                <w:sz w:val="21"/>
                <w:szCs w:val="21"/>
              </w:rPr>
            </w:pPr>
            <w:r>
              <w:rPr>
                <w:rFonts w:hint="eastAsia" w:hAnsi="宋体"/>
                <w:sz w:val="21"/>
                <w:szCs w:val="21"/>
              </w:rPr>
              <w:t>二</w:t>
            </w:r>
          </w:p>
        </w:tc>
        <w:tc>
          <w:tcPr>
            <w:tcW w:w="1150" w:type="pct"/>
            <w:noWrap w:val="0"/>
            <w:vAlign w:val="center"/>
          </w:tcPr>
          <w:p>
            <w:pPr>
              <w:spacing w:line="240" w:lineRule="auto"/>
              <w:ind w:firstLine="0"/>
              <w:jc w:val="center"/>
              <w:rPr>
                <w:sz w:val="21"/>
                <w:szCs w:val="21"/>
              </w:rPr>
            </w:pPr>
            <w:r>
              <w:rPr>
                <w:rFonts w:hint="eastAsia" w:hAnsi="宋体"/>
                <w:sz w:val="21"/>
                <w:szCs w:val="21"/>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72" w:type="pct"/>
            <w:shd w:val="clear" w:color="auto" w:fill="auto"/>
            <w:noWrap w:val="0"/>
            <w:vAlign w:val="center"/>
          </w:tcPr>
          <w:p>
            <w:pPr>
              <w:jc w:val="center"/>
              <w:rPr>
                <w:rFonts w:hint="eastAsia"/>
                <w:sz w:val="21"/>
                <w:szCs w:val="21"/>
              </w:rPr>
            </w:pPr>
            <w:r>
              <w:rPr>
                <w:rFonts w:hint="eastAsia"/>
                <w:sz w:val="21"/>
                <w:szCs w:val="21"/>
              </w:rPr>
              <w:t>不敏感</w:t>
            </w:r>
          </w:p>
        </w:tc>
        <w:tc>
          <w:tcPr>
            <w:tcW w:w="1226" w:type="pct"/>
            <w:shd w:val="clear" w:color="auto" w:fill="D7D7D7" w:themeFill="background1" w:themeFillShade="D8"/>
            <w:noWrap w:val="0"/>
            <w:vAlign w:val="center"/>
          </w:tcPr>
          <w:p>
            <w:pPr>
              <w:spacing w:line="240" w:lineRule="auto"/>
              <w:ind w:firstLine="0"/>
              <w:jc w:val="center"/>
              <w:rPr>
                <w:sz w:val="21"/>
                <w:szCs w:val="21"/>
              </w:rPr>
            </w:pPr>
            <w:r>
              <w:rPr>
                <w:rFonts w:hint="eastAsia" w:hAnsi="宋体"/>
                <w:sz w:val="21"/>
                <w:szCs w:val="21"/>
              </w:rPr>
              <w:t>二</w:t>
            </w:r>
          </w:p>
        </w:tc>
        <w:tc>
          <w:tcPr>
            <w:tcW w:w="1150" w:type="pct"/>
            <w:noWrap w:val="0"/>
            <w:vAlign w:val="center"/>
          </w:tcPr>
          <w:p>
            <w:pPr>
              <w:spacing w:line="240" w:lineRule="auto"/>
              <w:ind w:firstLine="0"/>
              <w:jc w:val="center"/>
              <w:rPr>
                <w:sz w:val="21"/>
                <w:szCs w:val="21"/>
              </w:rPr>
            </w:pPr>
            <w:r>
              <w:rPr>
                <w:rFonts w:hint="eastAsia" w:hAnsi="宋体"/>
                <w:sz w:val="21"/>
                <w:szCs w:val="21"/>
              </w:rPr>
              <w:t>三</w:t>
            </w:r>
          </w:p>
        </w:tc>
        <w:tc>
          <w:tcPr>
            <w:tcW w:w="1150" w:type="pct"/>
            <w:noWrap w:val="0"/>
            <w:vAlign w:val="center"/>
          </w:tcPr>
          <w:p>
            <w:pPr>
              <w:spacing w:line="240" w:lineRule="auto"/>
              <w:ind w:firstLine="0"/>
              <w:jc w:val="center"/>
              <w:rPr>
                <w:sz w:val="21"/>
                <w:szCs w:val="21"/>
              </w:rPr>
            </w:pPr>
            <w:r>
              <w:rPr>
                <w:rFonts w:hint="eastAsia" w:hAnsi="宋体"/>
                <w:b/>
                <w:bCs/>
                <w:sz w:val="21"/>
                <w:szCs w:val="21"/>
              </w:rPr>
              <w:t>三</w:t>
            </w:r>
          </w:p>
        </w:tc>
      </w:tr>
    </w:tbl>
    <w:p>
      <w:pPr>
        <w:spacing w:line="460" w:lineRule="exact"/>
        <w:rPr>
          <w:rFonts w:hint="eastAsia"/>
        </w:rPr>
      </w:pPr>
      <w:r>
        <w:rPr>
          <w:rFonts w:hint="eastAsia"/>
        </w:rPr>
        <w:t>根据导则中地下水环境敏感程度分级及评价工作等级划分原则</w:t>
      </w:r>
      <w:r>
        <w:rPr>
          <w:rFonts w:hint="eastAsia"/>
          <w:lang w:eastAsia="zh-CN"/>
        </w:rPr>
        <w:t>，</w:t>
      </w:r>
      <w:r>
        <w:rPr>
          <w:rFonts w:hint="eastAsia"/>
        </w:rPr>
        <w:t>判定本项目地下水评价等级为</w:t>
      </w:r>
      <w:r>
        <w:rPr>
          <w:rFonts w:hint="eastAsia"/>
          <w:lang w:eastAsia="zh-CN"/>
        </w:rPr>
        <w:t>二</w:t>
      </w:r>
      <w:r>
        <w:rPr>
          <w:rFonts w:hint="eastAsia"/>
        </w:rPr>
        <w:t>级。</w:t>
      </w:r>
    </w:p>
    <w:p>
      <w:pPr>
        <w:spacing w:line="460" w:lineRule="exact"/>
        <w:rPr>
          <w:rFonts w:hint="eastAsia"/>
        </w:rPr>
      </w:pPr>
      <w:r>
        <w:rPr>
          <w:rFonts w:hint="eastAsia"/>
        </w:rPr>
        <w:t>（</w:t>
      </w:r>
      <w:r>
        <w:rPr>
          <w:rFonts w:hint="eastAsia" w:ascii="Times New Roman" w:hAnsi="Times New Roman"/>
        </w:rPr>
        <w:t>4</w:t>
      </w:r>
      <w:r>
        <w:rPr>
          <w:rFonts w:hint="eastAsia"/>
        </w:rPr>
        <w:t>）声环境</w:t>
      </w:r>
    </w:p>
    <w:p>
      <w:pPr>
        <w:spacing w:line="440" w:lineRule="exact"/>
        <w:rPr>
          <w:rFonts w:hint="eastAsia" w:ascii="Times New Roman" w:eastAsia="宋体"/>
          <w:color w:val="auto"/>
          <w:lang w:val="en-US" w:eastAsia="zh-CN"/>
        </w:rPr>
      </w:pPr>
      <w:r>
        <w:rPr>
          <w:rFonts w:hint="eastAsia" w:ascii="Times New Roman"/>
          <w:color w:val="auto"/>
          <w:lang w:eastAsia="zh-CN"/>
        </w:rPr>
        <w:t>项目</w:t>
      </w:r>
      <w:r>
        <w:rPr>
          <w:rFonts w:ascii="Times New Roman"/>
          <w:color w:val="auto"/>
        </w:rPr>
        <w:t>位于</w:t>
      </w:r>
      <w:r>
        <w:rPr>
          <w:rFonts w:hint="eastAsia" w:ascii="Times New Roman"/>
          <w:color w:val="auto"/>
          <w:lang w:eastAsia="zh-CN"/>
        </w:rPr>
        <w:t>声环境</w:t>
      </w:r>
      <w:r>
        <w:rPr>
          <w:rFonts w:ascii="Times New Roman" w:hAnsi="Times New Roman"/>
          <w:color w:val="auto"/>
        </w:rPr>
        <w:t>3</w:t>
      </w:r>
      <w:r>
        <w:rPr>
          <w:rFonts w:ascii="Times New Roman"/>
          <w:color w:val="auto"/>
        </w:rPr>
        <w:t>类功能区，根据《环境影响评价技术导则</w:t>
      </w:r>
      <w:r>
        <w:rPr>
          <w:rFonts w:hint="eastAsia" w:ascii="Times New Roman"/>
          <w:color w:val="auto"/>
        </w:rPr>
        <w:t xml:space="preserve"> </w:t>
      </w:r>
      <w:r>
        <w:rPr>
          <w:rFonts w:ascii="Times New Roman"/>
          <w:color w:val="auto"/>
        </w:rPr>
        <w:t>声环境》(</w:t>
      </w:r>
      <w:r>
        <w:rPr>
          <w:rFonts w:ascii="Times New Roman" w:hAnsi="Times New Roman"/>
          <w:color w:val="auto"/>
        </w:rPr>
        <w:t>HJ2</w:t>
      </w:r>
      <w:r>
        <w:rPr>
          <w:rFonts w:ascii="Times New Roman"/>
          <w:color w:val="auto"/>
        </w:rPr>
        <w:t>.</w:t>
      </w:r>
      <w:r>
        <w:rPr>
          <w:rFonts w:ascii="Times New Roman" w:hAnsi="Times New Roman"/>
          <w:color w:val="auto"/>
        </w:rPr>
        <w:t>4</w:t>
      </w:r>
      <w:r>
        <w:rPr>
          <w:rFonts w:ascii="Times New Roman"/>
          <w:color w:val="auto"/>
        </w:rPr>
        <w:t>-</w:t>
      </w:r>
      <w:r>
        <w:rPr>
          <w:rFonts w:ascii="Times New Roman" w:hAnsi="Times New Roman"/>
          <w:color w:val="auto"/>
        </w:rPr>
        <w:t>20</w:t>
      </w:r>
      <w:r>
        <w:rPr>
          <w:rFonts w:hint="eastAsia" w:ascii="Times New Roman" w:hAnsi="Times New Roman"/>
          <w:color w:val="auto"/>
          <w:lang w:val="en-US" w:eastAsia="zh-CN"/>
        </w:rPr>
        <w:t>21</w:t>
      </w:r>
      <w:r>
        <w:rPr>
          <w:rFonts w:ascii="Times New Roman"/>
          <w:color w:val="auto"/>
        </w:rPr>
        <w:t>)声环境影响评价分级判据，</w:t>
      </w:r>
      <w:r>
        <w:rPr>
          <w:rFonts w:hint="eastAsia" w:ascii="Times New Roman"/>
          <w:color w:val="auto"/>
          <w:lang w:eastAsia="zh-CN"/>
        </w:rPr>
        <w:t>项目建设前后评价范围内声环境保护目标噪声级增量在</w:t>
      </w:r>
      <w:r>
        <w:rPr>
          <w:rFonts w:hint="eastAsia" w:ascii="Times New Roman" w:hAnsi="Times New Roman"/>
          <w:color w:val="auto"/>
          <w:lang w:val="en-US" w:eastAsia="zh-CN"/>
        </w:rPr>
        <w:t>3dB</w:t>
      </w:r>
      <w:r>
        <w:rPr>
          <w:rFonts w:hint="eastAsia" w:ascii="Times New Roman"/>
          <w:color w:val="auto"/>
          <w:lang w:val="en-US" w:eastAsia="zh-CN"/>
        </w:rPr>
        <w:t>（</w:t>
      </w:r>
      <w:r>
        <w:rPr>
          <w:rFonts w:hint="eastAsia" w:ascii="Times New Roman" w:hAnsi="Times New Roman"/>
          <w:color w:val="auto"/>
          <w:lang w:val="en-US" w:eastAsia="zh-CN"/>
        </w:rPr>
        <w:t>A</w:t>
      </w:r>
      <w:r>
        <w:rPr>
          <w:rFonts w:hint="eastAsia" w:ascii="Times New Roman"/>
          <w:color w:val="auto"/>
          <w:lang w:val="en-US" w:eastAsia="zh-CN"/>
        </w:rPr>
        <w:t>）以下。</w:t>
      </w:r>
      <w:r>
        <w:rPr>
          <w:rFonts w:ascii="Times New Roman"/>
          <w:color w:val="auto"/>
        </w:rPr>
        <w:t>确定声环境影响评价等级为三级</w:t>
      </w:r>
      <w:r>
        <w:rPr>
          <w:rFonts w:hint="eastAsia" w:ascii="Times New Roman"/>
          <w:color w:val="auto"/>
          <w:lang w:val="en-US" w:eastAsia="zh-CN"/>
        </w:rPr>
        <w:t>。</w:t>
      </w:r>
    </w:p>
    <w:p>
      <w:pPr>
        <w:spacing w:line="440" w:lineRule="exact"/>
        <w:rPr>
          <w:rFonts w:hint="eastAsia"/>
        </w:rPr>
      </w:pPr>
      <w:r>
        <w:rPr>
          <w:rFonts w:hint="eastAsia"/>
        </w:rPr>
        <w:t>（</w:t>
      </w:r>
      <w:r>
        <w:rPr>
          <w:rFonts w:hint="eastAsia" w:ascii="Times New Roman" w:hAnsi="Times New Roman"/>
        </w:rPr>
        <w:t>5</w:t>
      </w:r>
      <w:r>
        <w:rPr>
          <w:rFonts w:hint="eastAsia"/>
        </w:rPr>
        <w:t>）生态环境</w:t>
      </w:r>
    </w:p>
    <w:p>
      <w:pPr>
        <w:rPr>
          <w:rFonts w:hint="eastAsia"/>
        </w:rPr>
      </w:pPr>
      <w:r>
        <w:rPr>
          <w:rFonts w:hint="eastAsia"/>
        </w:rPr>
        <w:t>依据《环境影响评价技术导则 生态影响》（</w:t>
      </w:r>
      <w:r>
        <w:rPr>
          <w:rFonts w:hint="eastAsia" w:ascii="Times New Roman" w:hAnsi="Times New Roman"/>
        </w:rPr>
        <w:t>HJ19</w:t>
      </w:r>
      <w:r>
        <w:rPr>
          <w:rFonts w:hint="eastAsia"/>
        </w:rPr>
        <w:t>-</w:t>
      </w:r>
      <w:r>
        <w:rPr>
          <w:rFonts w:hint="eastAsia" w:ascii="Times New Roman" w:hAnsi="Times New Roman"/>
        </w:rPr>
        <w:t>20</w:t>
      </w:r>
      <w:r>
        <w:rPr>
          <w:rFonts w:hint="eastAsia" w:ascii="Times New Roman" w:hAnsi="Times New Roman"/>
          <w:lang w:val="en-US" w:eastAsia="zh-CN"/>
        </w:rPr>
        <w:t>22</w:t>
      </w:r>
      <w:r>
        <w:rPr>
          <w:rFonts w:hint="eastAsia"/>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8</w:t>
      </w:r>
      <w:r>
        <w:rPr>
          <w:rFonts w:hint="eastAsia"/>
        </w:rPr>
        <w:t>，</w:t>
      </w:r>
      <w:r>
        <w:rPr>
          <w:rFonts w:hint="eastAsia"/>
          <w:lang w:eastAsia="zh-CN"/>
        </w:rPr>
        <w:t>位于已批准规划环评的产业园区内且符合规划环评要求，不涉及生态敏感区的污染影响类建设项目，可不确定评价等级，直接进行生态影响简单分析</w:t>
      </w:r>
      <w:r>
        <w:rPr>
          <w:rFonts w:hint="eastAsia"/>
        </w:rPr>
        <w:t>。</w:t>
      </w:r>
    </w:p>
    <w:p>
      <w:pPr>
        <w:rPr>
          <w:rFonts w:hint="eastAsia"/>
          <w:color w:val="auto"/>
          <w:lang w:val="en-US" w:eastAsia="zh-CN"/>
        </w:rPr>
      </w:pPr>
      <w:r>
        <w:rPr>
          <w:rFonts w:hint="eastAsia"/>
        </w:rPr>
        <w:t>（</w:t>
      </w:r>
      <w:r>
        <w:rPr>
          <w:rFonts w:hint="eastAsia" w:ascii="Times New Roman" w:hAnsi="Times New Roman"/>
        </w:rPr>
        <w:t>6</w:t>
      </w:r>
      <w:r>
        <w:rPr>
          <w:rFonts w:hint="eastAsia"/>
        </w:rPr>
        <w:t>）</w:t>
      </w:r>
      <w:r>
        <w:rPr>
          <w:rFonts w:hint="eastAsia"/>
          <w:color w:val="auto"/>
          <w:lang w:val="en-US" w:eastAsia="zh-CN"/>
        </w:rPr>
        <w:t>土壤环境</w:t>
      </w:r>
    </w:p>
    <w:p>
      <w:pPr>
        <w:rPr>
          <w:rFonts w:hint="eastAsia"/>
          <w:color w:val="auto"/>
          <w:lang w:val="en-US" w:eastAsia="zh-CN"/>
        </w:rPr>
      </w:pPr>
      <w:r>
        <w:rPr>
          <w:rFonts w:hint="eastAsia"/>
          <w:color w:val="auto"/>
        </w:rPr>
        <w:t>根据《环境影响评价技术</w:t>
      </w:r>
      <w:r>
        <w:rPr>
          <w:rFonts w:hint="eastAsia"/>
          <w:color w:val="auto"/>
          <w:lang w:eastAsia="zh-CN"/>
        </w:rPr>
        <w:t>导</w:t>
      </w:r>
      <w:r>
        <w:rPr>
          <w:rFonts w:hint="eastAsia"/>
          <w:color w:val="auto"/>
        </w:rPr>
        <w:t>则 土壤环境（试行）》（</w:t>
      </w:r>
      <w:r>
        <w:rPr>
          <w:rFonts w:hint="eastAsia" w:ascii="Times New Roman" w:hAnsi="Times New Roman"/>
          <w:color w:val="auto"/>
        </w:rPr>
        <w:t>HJ964</w:t>
      </w:r>
      <w:r>
        <w:rPr>
          <w:rFonts w:hint="eastAsia"/>
          <w:color w:val="auto"/>
        </w:rPr>
        <w:t>-</w:t>
      </w:r>
      <w:r>
        <w:rPr>
          <w:rFonts w:hint="eastAsia" w:ascii="Times New Roman" w:hAnsi="Times New Roman"/>
          <w:color w:val="auto"/>
        </w:rPr>
        <w:t>2018</w:t>
      </w:r>
      <w:r>
        <w:rPr>
          <w:rFonts w:hint="eastAsia"/>
          <w:color w:val="auto"/>
        </w:rPr>
        <w:t>）附录</w:t>
      </w:r>
      <w:r>
        <w:rPr>
          <w:rFonts w:hint="eastAsia" w:ascii="Times New Roman" w:hAnsi="Times New Roman"/>
          <w:color w:val="auto"/>
        </w:rPr>
        <w:t>A</w:t>
      </w:r>
      <w:r>
        <w:rPr>
          <w:rFonts w:hint="eastAsia"/>
          <w:color w:val="auto"/>
        </w:rPr>
        <w:t>，</w:t>
      </w:r>
      <w:r>
        <w:rPr>
          <w:rFonts w:hint="eastAsia"/>
          <w:color w:val="auto"/>
          <w:lang w:eastAsia="zh-CN"/>
        </w:rPr>
        <w:t>项目属于化学原料和化学制品制造</w:t>
      </w:r>
      <w:r>
        <w:rPr>
          <w:rFonts w:hint="eastAsia"/>
          <w:color w:val="auto"/>
        </w:rPr>
        <w:t>，属Ⅰ类项目，根据污染影响型敏感程度分级（见表</w:t>
      </w:r>
      <w:r>
        <w:rPr>
          <w:rFonts w:hint="eastAsia" w:ascii="Times New Roman" w:hAnsi="Times New Roman"/>
          <w:color w:val="auto"/>
        </w:rPr>
        <w:t>2</w:t>
      </w:r>
      <w:r>
        <w:rPr>
          <w:rFonts w:hint="eastAsia"/>
          <w:color w:val="auto"/>
        </w:rPr>
        <w:t>.</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9</w:t>
      </w:r>
      <w:r>
        <w:rPr>
          <w:rFonts w:hint="eastAsia"/>
          <w:color w:val="auto"/>
        </w:rPr>
        <w:t>），</w:t>
      </w:r>
      <w:r>
        <w:rPr>
          <w:rFonts w:hint="eastAsia"/>
          <w:color w:val="auto"/>
          <w:lang w:eastAsia="zh-CN"/>
        </w:rPr>
        <w:t>项目</w:t>
      </w:r>
      <w:r>
        <w:rPr>
          <w:rFonts w:hint="eastAsia"/>
          <w:color w:val="auto"/>
        </w:rPr>
        <w:t>敏感程度属于不敏感。</w:t>
      </w:r>
      <w:r>
        <w:rPr>
          <w:rFonts w:hint="eastAsia"/>
          <w:color w:val="auto"/>
          <w:lang w:eastAsia="zh-CN"/>
        </w:rPr>
        <w:t>项目</w:t>
      </w:r>
      <w:r>
        <w:rPr>
          <w:rFonts w:hint="eastAsia"/>
          <w:color w:val="auto"/>
        </w:rPr>
        <w:t>占地</w:t>
      </w:r>
      <w:r>
        <w:rPr>
          <w:rFonts w:hint="eastAsia" w:ascii="Times New Roman" w:hAnsi="Times New Roman"/>
          <w:color w:val="auto"/>
          <w:lang w:val="en-US" w:eastAsia="zh-CN"/>
        </w:rPr>
        <w:t>3400</w:t>
      </w:r>
      <w:r>
        <w:rPr>
          <w:rFonts w:hint="eastAsia" w:ascii="Times New Roman"/>
          <w:color w:val="auto"/>
          <w:lang w:val="en-US" w:eastAsia="zh-CN"/>
        </w:rPr>
        <w:t>.</w:t>
      </w:r>
      <w:r>
        <w:rPr>
          <w:rFonts w:hint="eastAsia" w:ascii="Times New Roman" w:hAnsi="Times New Roman"/>
          <w:color w:val="auto"/>
          <w:lang w:val="en-US" w:eastAsia="zh-CN"/>
        </w:rPr>
        <w:t>1</w:t>
      </w:r>
      <w:r>
        <w:rPr>
          <w:rFonts w:hint="eastAsia" w:ascii="Times New Roman"/>
          <w:color w:val="auto"/>
          <w:lang w:val="en-US" w:eastAsia="zh-CN"/>
        </w:rPr>
        <w:t>㎡（</w:t>
      </w:r>
      <w:r>
        <w:rPr>
          <w:rFonts w:hint="eastAsia" w:ascii="Times New Roman" w:hAnsi="Times New Roman"/>
          <w:color w:val="auto"/>
          <w:lang w:val="en-US" w:eastAsia="zh-CN"/>
        </w:rPr>
        <w:t>0</w:t>
      </w:r>
      <w:r>
        <w:rPr>
          <w:rFonts w:hint="eastAsia" w:ascii="Times New Roman"/>
          <w:color w:val="auto"/>
          <w:lang w:val="en-US" w:eastAsia="zh-CN"/>
        </w:rPr>
        <w:t>.</w:t>
      </w:r>
      <w:r>
        <w:rPr>
          <w:rFonts w:hint="eastAsia" w:ascii="Times New Roman" w:hAnsi="Times New Roman"/>
          <w:color w:val="auto"/>
          <w:lang w:val="en-US" w:eastAsia="zh-CN"/>
        </w:rPr>
        <w:t>34h</w:t>
      </w:r>
      <w:r>
        <w:rPr>
          <w:rFonts w:hint="eastAsia" w:ascii="Times New Roman"/>
          <w:color w:val="auto"/>
          <w:lang w:val="en-US" w:eastAsia="zh-CN"/>
        </w:rPr>
        <w:t>㎡）</w:t>
      </w:r>
      <w:r>
        <w:rPr>
          <w:rFonts w:hint="eastAsia"/>
          <w:color w:val="auto"/>
        </w:rPr>
        <w:t>，属于</w:t>
      </w:r>
      <w:r>
        <w:rPr>
          <w:rFonts w:hint="eastAsia"/>
          <w:color w:val="auto"/>
          <w:lang w:eastAsia="zh-CN"/>
        </w:rPr>
        <w:t>小</w:t>
      </w:r>
      <w:r>
        <w:rPr>
          <w:rFonts w:hint="eastAsia"/>
          <w:color w:val="auto"/>
        </w:rPr>
        <w:t>型（≤</w:t>
      </w:r>
      <w:r>
        <w:rPr>
          <w:rFonts w:hint="eastAsia" w:ascii="Times New Roman" w:hAnsi="Times New Roman"/>
          <w:color w:val="auto"/>
        </w:rPr>
        <w:t>5h</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color w:val="auto"/>
        </w:rPr>
        <w:t>），根据污染影响型评价工作等级划分表（见表</w:t>
      </w:r>
      <w:r>
        <w:rPr>
          <w:rFonts w:hint="eastAsia" w:ascii="Times New Roman" w:hAnsi="Times New Roman"/>
          <w:color w:val="auto"/>
        </w:rPr>
        <w:t>2</w:t>
      </w:r>
      <w:r>
        <w:rPr>
          <w:rFonts w:hint="eastAsia"/>
          <w:color w:val="auto"/>
        </w:rPr>
        <w:t>.</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10</w:t>
      </w:r>
      <w:r>
        <w:rPr>
          <w:rFonts w:hint="eastAsia"/>
          <w:color w:val="auto"/>
        </w:rPr>
        <w:t>），项目评价等级为二级。</w:t>
      </w:r>
    </w:p>
    <w:p>
      <w:pPr>
        <w:pStyle w:val="20"/>
        <w:rPr>
          <w:rFonts w:hint="default"/>
          <w:color w:val="auto"/>
          <w:lang w:val="en-US" w:eastAsia="zh-CN"/>
        </w:rPr>
      </w:pPr>
      <w:r>
        <w:rPr>
          <w:rFonts w:hint="eastAsia"/>
          <w:color w:val="auto"/>
          <w:lang w:val="en-US" w:eastAsia="zh-CN"/>
        </w:rPr>
        <w:t>表</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 xml:space="preserve">  污染影响型敏感程度分级表</w:t>
      </w:r>
    </w:p>
    <w:tbl>
      <w:tblPr>
        <w:tblStyle w:val="81"/>
        <w:tblW w:w="92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73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854"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敏感程度</w:t>
            </w:r>
          </w:p>
        </w:tc>
        <w:tc>
          <w:tcPr>
            <w:tcW w:w="7385"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判别依据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854"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敏感</w:t>
            </w:r>
          </w:p>
        </w:tc>
        <w:tc>
          <w:tcPr>
            <w:tcW w:w="7385" w:type="dxa"/>
            <w:tcBorders>
              <w:tl2br w:val="nil"/>
              <w:tr2bl w:val="nil"/>
            </w:tcBorders>
            <w:noWrap w:val="0"/>
            <w:vAlign w:val="top"/>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854"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较敏感</w:t>
            </w:r>
          </w:p>
        </w:tc>
        <w:tc>
          <w:tcPr>
            <w:tcW w:w="7385" w:type="dxa"/>
            <w:tcBorders>
              <w:tl2br w:val="nil"/>
              <w:tr2bl w:val="nil"/>
            </w:tcBorders>
            <w:noWrap w:val="0"/>
            <w:vAlign w:val="top"/>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854"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不敏感</w:t>
            </w:r>
          </w:p>
        </w:tc>
        <w:tc>
          <w:tcPr>
            <w:tcW w:w="7385" w:type="dxa"/>
            <w:tcBorders>
              <w:tl2br w:val="nil"/>
              <w:tr2bl w:val="nil"/>
            </w:tcBorders>
            <w:noWrap w:val="0"/>
            <w:vAlign w:val="top"/>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其他情况</w:t>
            </w:r>
          </w:p>
        </w:tc>
      </w:tr>
    </w:tbl>
    <w:p>
      <w:pPr>
        <w:pStyle w:val="20"/>
        <w:rPr>
          <w:rFonts w:hint="default"/>
          <w:color w:val="auto"/>
          <w:lang w:val="en-US" w:eastAsia="zh-CN"/>
        </w:rPr>
      </w:pPr>
      <w:r>
        <w:rPr>
          <w:rFonts w:hint="eastAsia"/>
          <w:color w:val="auto"/>
          <w:lang w:val="en-US" w:eastAsia="zh-CN"/>
        </w:rPr>
        <w:t>表</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10</w:t>
      </w:r>
      <w:r>
        <w:rPr>
          <w:rFonts w:hint="eastAsia"/>
          <w:color w:val="auto"/>
          <w:lang w:val="en-US" w:eastAsia="zh-CN"/>
        </w:rPr>
        <w:t xml:space="preserve">  污染影响型评价工作等级划分表</w:t>
      </w:r>
    </w:p>
    <w:tbl>
      <w:tblPr>
        <w:tblStyle w:val="81"/>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773"/>
        <w:gridCol w:w="773"/>
        <w:gridCol w:w="773"/>
        <w:gridCol w:w="773"/>
        <w:gridCol w:w="773"/>
        <w:gridCol w:w="773"/>
        <w:gridCol w:w="773"/>
        <w:gridCol w:w="773"/>
        <w:gridCol w:w="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16" w:type="dxa"/>
            <w:vMerge w:val="restart"/>
            <w:tcBorders>
              <w:tl2br w:val="nil"/>
              <w:tr2bl w:val="nil"/>
            </w:tcBorders>
            <w:noWrap w:val="0"/>
            <w:vAlign w:val="center"/>
          </w:tcPr>
          <w:p>
            <w:pPr>
              <w:widowControl w:val="0"/>
              <w:wordWrap/>
              <w:adjustRightInd/>
              <w:snapToGrid w:val="0"/>
              <w:spacing w:line="240" w:lineRule="auto"/>
              <w:ind w:firstLine="0"/>
              <w:jc w:val="center"/>
              <w:textAlignment w:val="auto"/>
              <w:rPr>
                <w:rFonts w:hint="eastAsia"/>
                <w:color w:val="auto"/>
                <w:sz w:val="18"/>
                <w:szCs w:val="18"/>
                <w:lang w:val="en-US" w:eastAsia="zh-CN"/>
              </w:rPr>
            </w:pPr>
            <w:r>
              <w:rPr>
                <w:sz w:val="18"/>
              </w:rPr>
              <mc:AlternateContent>
                <mc:Choice Requires="wps">
                  <w:drawing>
                    <wp:anchor distT="0" distB="0" distL="114300" distR="114300" simplePos="0" relativeHeight="251673600" behindDoc="0" locked="0" layoutInCell="1" allowOverlap="1">
                      <wp:simplePos x="0" y="0"/>
                      <wp:positionH relativeFrom="column">
                        <wp:posOffset>-75565</wp:posOffset>
                      </wp:positionH>
                      <wp:positionV relativeFrom="paragraph">
                        <wp:posOffset>1905</wp:posOffset>
                      </wp:positionV>
                      <wp:extent cx="1425575" cy="557530"/>
                      <wp:effectExtent l="1905" t="4445" r="7620" b="9525"/>
                      <wp:wrapNone/>
                      <wp:docPr id="94" name="直接连接符 94"/>
                      <wp:cNvGraphicFramePr/>
                      <a:graphic xmlns:a="http://schemas.openxmlformats.org/drawingml/2006/main">
                        <a:graphicData uri="http://schemas.microsoft.com/office/word/2010/wordprocessingShape">
                          <wps:wsp>
                            <wps:cNvCnPr/>
                            <wps:spPr>
                              <a:xfrm>
                                <a:off x="0" y="0"/>
                                <a:ext cx="1425575" cy="557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95pt;margin-top:0.15pt;height:43.9pt;width:112.25pt;z-index:251673600;mso-width-relative:page;mso-height-relative:page;" filled="f" stroked="t" coordsize="21600,21600" o:gfxdata="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WonJ1QAAAAcBAAAPAAAAAAAAAAEAIAAAACIAAABkcnMvZG93bnJldi54bWxQSwECFAAU&#10;AAAACACHTuJATenJrvQBAADaAwAADgAAAAAAAAABACAAAAAkAQAAZHJzL2Uyb0RvYy54bWxQSwUG&#10;AAAAAAYABgBZAQAAigUAAAAA&#10;">
                      <v:fill on="f" focussize="0,0"/>
                      <v:stroke color="#000000 [3200]" joinstyle="round"/>
                      <v:imagedata o:title=""/>
                      <o:lock v:ext="edit" aspectratio="f"/>
                    </v:line>
                  </w:pict>
                </mc:Fallback>
              </mc:AlternateContent>
            </w:r>
            <w:r>
              <w:rPr>
                <w:rFonts w:hint="eastAsia"/>
                <w:color w:val="auto"/>
                <w:sz w:val="18"/>
                <w:szCs w:val="18"/>
                <w:lang w:val="en-US" w:eastAsia="zh-CN"/>
              </w:rPr>
              <w:t xml:space="preserve">          评价工作等级</w:t>
            </w:r>
          </w:p>
          <w:p>
            <w:pPr>
              <w:widowControl w:val="0"/>
              <w:wordWrap/>
              <w:adjustRightInd/>
              <w:snapToGrid/>
              <w:spacing w:line="240" w:lineRule="auto"/>
              <w:ind w:firstLine="0"/>
              <w:jc w:val="center"/>
              <w:textAlignment w:val="auto"/>
              <w:rPr>
                <w:rFonts w:hint="eastAsia"/>
                <w:color w:val="auto"/>
                <w:sz w:val="18"/>
                <w:szCs w:val="18"/>
                <w:lang w:val="en-US" w:eastAsia="zh-CN"/>
              </w:rPr>
            </w:pPr>
            <w:r>
              <w:rPr>
                <w:rFonts w:hint="eastAsia"/>
                <w:color w:val="auto"/>
                <w:sz w:val="18"/>
                <w:szCs w:val="18"/>
                <w:lang w:val="en-US" w:eastAsia="zh-CN"/>
              </w:rPr>
              <w:t xml:space="preserve">         占地规模</w:t>
            </w:r>
          </w:p>
          <w:p>
            <w:pPr>
              <w:widowControl w:val="0"/>
              <w:wordWrap/>
              <w:adjustRightInd/>
              <w:snapToGrid/>
              <w:spacing w:line="240" w:lineRule="auto"/>
              <w:ind w:firstLine="0"/>
              <w:jc w:val="both"/>
              <w:textAlignment w:val="auto"/>
              <w:rPr>
                <w:rFonts w:hint="eastAsia"/>
                <w:color w:val="auto"/>
                <w:sz w:val="18"/>
                <w:szCs w:val="18"/>
                <w:lang w:val="en-US" w:eastAsia="zh-CN"/>
              </w:rPr>
            </w:pPr>
            <w:r>
              <w:rPr>
                <w:rFonts w:hint="eastAsia"/>
                <w:color w:val="auto"/>
                <w:sz w:val="18"/>
                <w:szCs w:val="18"/>
                <w:lang w:val="en-US" w:eastAsia="zh-CN"/>
              </w:rPr>
              <w:t>敏感程度</w:t>
            </w:r>
          </w:p>
        </w:tc>
        <w:tc>
          <w:tcPr>
            <w:tcW w:w="2319" w:type="dxa"/>
            <w:gridSpan w:val="3"/>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Ⅰ类</w:t>
            </w:r>
          </w:p>
        </w:tc>
        <w:tc>
          <w:tcPr>
            <w:tcW w:w="2319" w:type="dxa"/>
            <w:gridSpan w:val="3"/>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Ⅱ类</w:t>
            </w:r>
          </w:p>
        </w:tc>
        <w:tc>
          <w:tcPr>
            <w:tcW w:w="2320" w:type="dxa"/>
            <w:gridSpan w:val="3"/>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16" w:type="dxa"/>
            <w:vMerge w:val="continue"/>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中</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小</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中</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小</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中</w:t>
            </w:r>
          </w:p>
        </w:tc>
        <w:tc>
          <w:tcPr>
            <w:tcW w:w="774"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16"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敏感</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一级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一级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一级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三级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三级</w:t>
            </w:r>
          </w:p>
        </w:tc>
        <w:tc>
          <w:tcPr>
            <w:tcW w:w="774"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16"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较敏感</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一级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一级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三级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三级</w:t>
            </w:r>
          </w:p>
        </w:tc>
        <w:tc>
          <w:tcPr>
            <w:tcW w:w="773" w:type="dxa"/>
            <w:tcBorders>
              <w:tl2br w:val="nil"/>
              <w:tr2bl w:val="nil"/>
            </w:tcBorders>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三级</w:t>
            </w:r>
          </w:p>
        </w:tc>
        <w:tc>
          <w:tcPr>
            <w:tcW w:w="774" w:type="dxa"/>
            <w:tcBorders>
              <w:tl2br w:val="nil"/>
              <w:tr2bl w:val="nil"/>
            </w:tcBorders>
            <w:noWrap w:val="0"/>
            <w:vAlign w:val="center"/>
          </w:tcPr>
          <w:p>
            <w:pPr>
              <w:widowControl w:val="0"/>
              <w:wordWrap/>
              <w:adjustRightInd/>
              <w:snapToGrid/>
              <w:spacing w:line="240" w:lineRule="auto"/>
              <w:ind w:firstLine="0"/>
              <w:jc w:val="center"/>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16" w:type="dxa"/>
            <w:tcBorders>
              <w:tl2br w:val="nil"/>
              <w:tr2bl w:val="nil"/>
            </w:tcBorders>
            <w:shd w:val="clear" w:color="auto" w:fill="auto"/>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不敏感</w:t>
            </w:r>
          </w:p>
        </w:tc>
        <w:tc>
          <w:tcPr>
            <w:tcW w:w="773" w:type="dxa"/>
            <w:tcBorders>
              <w:tl2br w:val="nil"/>
              <w:tr2bl w:val="nil"/>
            </w:tcBorders>
            <w:shd w:val="clear" w:color="auto" w:fill="auto"/>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一级</w:t>
            </w:r>
          </w:p>
        </w:tc>
        <w:tc>
          <w:tcPr>
            <w:tcW w:w="773" w:type="dxa"/>
            <w:tcBorders>
              <w:tl2br w:val="nil"/>
              <w:tr2bl w:val="nil"/>
            </w:tcBorders>
            <w:shd w:val="clear" w:color="auto" w:fill="auto"/>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shd w:val="clear" w:color="auto" w:fill="D7D7D7" w:themeFill="background1" w:themeFillShade="D8"/>
            <w:noWrap w:val="0"/>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firstLineChars="0"/>
              <w:jc w:val="center"/>
              <w:textAlignment w:val="auto"/>
              <w:rPr>
                <w:rFonts w:hint="eastAsia" w:ascii="宋体" w:hAnsi="Times New Roman"/>
                <w:color w:val="auto"/>
                <w:sz w:val="21"/>
                <w:szCs w:val="21"/>
                <w:lang w:val="en-US" w:eastAsia="zh-CN" w:bidi="ar-SA"/>
              </w:rPr>
            </w:pPr>
            <w:r>
              <w:rPr>
                <w:rFonts w:hint="eastAsia"/>
                <w:color w:val="auto"/>
                <w:sz w:val="21"/>
                <w:szCs w:val="21"/>
                <w:lang w:val="en-US" w:eastAsia="zh-CN"/>
              </w:rPr>
              <w:t>二级</w:t>
            </w:r>
          </w:p>
        </w:tc>
        <w:tc>
          <w:tcPr>
            <w:tcW w:w="773" w:type="dxa"/>
            <w:tcBorders>
              <w:tl2br w:val="nil"/>
              <w:tr2bl w:val="nil"/>
            </w:tcBorders>
            <w:noWrap w:val="0"/>
            <w:vAlign w:val="center"/>
          </w:tcPr>
          <w:p>
            <w:pPr>
              <w:widowControl w:val="0"/>
              <w:wordWrap/>
              <w:adjustRightInd/>
              <w:snapToGrid/>
              <w:spacing w:line="240" w:lineRule="auto"/>
              <w:ind w:firstLine="0" w:firstLineChars="0"/>
              <w:jc w:val="center"/>
              <w:textAlignment w:val="auto"/>
              <w:rPr>
                <w:rFonts w:hint="eastAsia" w:ascii="宋体" w:hAnsi="Times New Roman"/>
                <w:color w:val="auto"/>
                <w:sz w:val="21"/>
                <w:szCs w:val="21"/>
                <w:lang w:val="en-US" w:eastAsia="zh-CN" w:bidi="ar-SA"/>
              </w:rPr>
            </w:pPr>
            <w:r>
              <w:rPr>
                <w:rFonts w:hint="eastAsia"/>
                <w:color w:val="auto"/>
                <w:sz w:val="21"/>
                <w:szCs w:val="21"/>
                <w:lang w:val="en-US" w:eastAsia="zh-CN"/>
              </w:rPr>
              <w:t>三级</w:t>
            </w:r>
          </w:p>
        </w:tc>
        <w:tc>
          <w:tcPr>
            <w:tcW w:w="773" w:type="dxa"/>
            <w:tcBorders>
              <w:tl2br w:val="nil"/>
              <w:tr2bl w:val="nil"/>
            </w:tcBorders>
            <w:noWrap w:val="0"/>
            <w:vAlign w:val="center"/>
          </w:tcPr>
          <w:p>
            <w:pPr>
              <w:widowControl w:val="0"/>
              <w:wordWrap/>
              <w:adjustRightInd/>
              <w:snapToGrid/>
              <w:spacing w:line="240" w:lineRule="auto"/>
              <w:ind w:firstLine="0" w:firstLineChars="0"/>
              <w:jc w:val="center"/>
              <w:textAlignment w:val="auto"/>
              <w:rPr>
                <w:rFonts w:hint="eastAsia" w:ascii="宋体" w:hAnsi="Times New Roman"/>
                <w:color w:val="auto"/>
                <w:sz w:val="21"/>
                <w:szCs w:val="21"/>
                <w:lang w:val="en-US" w:eastAsia="zh-CN" w:bidi="ar-SA"/>
              </w:rPr>
            </w:pPr>
            <w:r>
              <w:rPr>
                <w:rFonts w:hint="eastAsia"/>
                <w:color w:val="auto"/>
                <w:sz w:val="21"/>
                <w:szCs w:val="21"/>
                <w:lang w:val="en-US" w:eastAsia="zh-CN"/>
              </w:rPr>
              <w:t>三级</w:t>
            </w:r>
          </w:p>
        </w:tc>
        <w:tc>
          <w:tcPr>
            <w:tcW w:w="773" w:type="dxa"/>
            <w:tcBorders>
              <w:tl2br w:val="nil"/>
              <w:tr2bl w:val="nil"/>
            </w:tcBorders>
            <w:noWrap w:val="0"/>
            <w:vAlign w:val="center"/>
          </w:tcPr>
          <w:p>
            <w:pPr>
              <w:widowControl w:val="0"/>
              <w:wordWrap/>
              <w:adjustRightInd/>
              <w:snapToGrid/>
              <w:spacing w:line="240" w:lineRule="auto"/>
              <w:ind w:firstLine="0" w:firstLineChars="0"/>
              <w:jc w:val="center"/>
              <w:textAlignment w:val="auto"/>
              <w:rPr>
                <w:rFonts w:hint="eastAsia" w:ascii="宋体" w:hAnsi="Times New Roman"/>
                <w:color w:val="auto"/>
                <w:sz w:val="21"/>
                <w:szCs w:val="21"/>
                <w:lang w:val="en-US" w:eastAsia="zh-CN" w:bidi="ar-SA"/>
              </w:rPr>
            </w:pPr>
            <w:r>
              <w:rPr>
                <w:rFonts w:hint="eastAsia"/>
                <w:color w:val="auto"/>
                <w:sz w:val="21"/>
                <w:szCs w:val="21"/>
                <w:lang w:val="en-US" w:eastAsia="zh-CN"/>
              </w:rPr>
              <w:t>三级</w:t>
            </w:r>
          </w:p>
        </w:tc>
        <w:tc>
          <w:tcPr>
            <w:tcW w:w="773" w:type="dxa"/>
            <w:tcBorders>
              <w:tl2br w:val="nil"/>
              <w:tr2bl w:val="nil"/>
            </w:tcBorders>
            <w:noWrap w:val="0"/>
            <w:vAlign w:val="center"/>
          </w:tcPr>
          <w:p>
            <w:pPr>
              <w:widowControl w:val="0"/>
              <w:wordWrap/>
              <w:adjustRightInd/>
              <w:snapToGrid/>
              <w:spacing w:line="240" w:lineRule="auto"/>
              <w:ind w:firstLine="0" w:firstLineChars="0"/>
              <w:jc w:val="center"/>
              <w:textAlignment w:val="auto"/>
              <w:rPr>
                <w:rFonts w:hint="eastAsia" w:ascii="宋体" w:hAnsi="Times New Roman"/>
                <w:color w:val="auto"/>
                <w:sz w:val="21"/>
                <w:szCs w:val="21"/>
                <w:lang w:val="en-US" w:eastAsia="zh-CN" w:bidi="ar-SA"/>
              </w:rPr>
            </w:pPr>
            <w:r>
              <w:rPr>
                <w:rFonts w:hint="eastAsia"/>
                <w:color w:val="auto"/>
                <w:sz w:val="21"/>
                <w:szCs w:val="21"/>
                <w:lang w:val="en-US" w:eastAsia="zh-CN"/>
              </w:rPr>
              <w:t>-</w:t>
            </w:r>
          </w:p>
        </w:tc>
        <w:tc>
          <w:tcPr>
            <w:tcW w:w="774" w:type="dxa"/>
            <w:tcBorders>
              <w:tl2br w:val="nil"/>
              <w:tr2bl w:val="nil"/>
            </w:tcBorders>
            <w:noWrap w:val="0"/>
            <w:vAlign w:val="center"/>
          </w:tcPr>
          <w:p>
            <w:pPr>
              <w:widowControl w:val="0"/>
              <w:wordWrap/>
              <w:adjustRightInd/>
              <w:snapToGrid/>
              <w:spacing w:line="240" w:lineRule="auto"/>
              <w:ind w:firstLine="0" w:firstLineChars="0"/>
              <w:jc w:val="center"/>
              <w:textAlignment w:val="auto"/>
              <w:rPr>
                <w:rFonts w:hint="eastAsia" w:ascii="宋体" w:hAnsi="Times New Roman"/>
                <w:color w:val="auto"/>
                <w:sz w:val="21"/>
                <w:szCs w:val="21"/>
                <w:lang w:val="en-US" w:eastAsia="zh-CN" w:bidi="ar-SA"/>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174" w:type="dxa"/>
            <w:gridSpan w:val="10"/>
            <w:tcBorders>
              <w:tl2br w:val="nil"/>
              <w:tr2bl w:val="nil"/>
            </w:tcBorders>
            <w:noWrap w:val="0"/>
            <w:vAlign w:val="center"/>
          </w:tcPr>
          <w:p>
            <w:pPr>
              <w:widowControl w:val="0"/>
              <w:wordWrap/>
              <w:adjustRightInd/>
              <w:snapToGrid/>
              <w:spacing w:line="240" w:lineRule="auto"/>
              <w:ind w:firstLine="0"/>
              <w:jc w:val="left"/>
              <w:textAlignment w:val="auto"/>
              <w:rPr>
                <w:rFonts w:hint="eastAsia"/>
                <w:color w:val="auto"/>
                <w:sz w:val="21"/>
                <w:szCs w:val="21"/>
                <w:lang w:val="en-US" w:eastAsia="zh-CN"/>
              </w:rPr>
            </w:pPr>
            <w:r>
              <w:rPr>
                <w:rFonts w:hint="eastAsia"/>
                <w:color w:val="auto"/>
                <w:sz w:val="21"/>
                <w:szCs w:val="21"/>
                <w:lang w:val="en-US" w:eastAsia="zh-CN"/>
              </w:rPr>
              <w:t>注：“-”表示可不开展土壤环境影响评价工作</w:t>
            </w:r>
          </w:p>
        </w:tc>
      </w:tr>
    </w:tbl>
    <w:p>
      <w:pPr>
        <w:rPr>
          <w:rFonts w:hint="eastAsia"/>
        </w:rPr>
      </w:pPr>
      <w:r>
        <w:rPr>
          <w:rFonts w:hint="eastAsia"/>
          <w:lang w:eastAsia="zh-CN"/>
        </w:rPr>
        <w:t>（</w:t>
      </w:r>
      <w:r>
        <w:rPr>
          <w:rFonts w:hint="eastAsia" w:ascii="Times New Roman" w:hAnsi="Times New Roman"/>
          <w:lang w:val="en-US" w:eastAsia="zh-CN"/>
        </w:rPr>
        <w:t>7</w:t>
      </w:r>
      <w:r>
        <w:rPr>
          <w:rFonts w:hint="eastAsia"/>
          <w:lang w:eastAsia="zh-CN"/>
        </w:rPr>
        <w:t>）</w:t>
      </w:r>
      <w:r>
        <w:rPr>
          <w:rFonts w:hint="eastAsia"/>
        </w:rPr>
        <w:t>环境风险</w:t>
      </w:r>
    </w:p>
    <w:p>
      <w:pPr>
        <w:ind w:firstLine="539"/>
        <w:rPr>
          <w:rFonts w:ascii="Times New Roman"/>
        </w:rPr>
      </w:pPr>
      <w:r>
        <w:rPr>
          <w:rFonts w:hint="eastAsia"/>
          <w:lang w:eastAsia="zh-CN"/>
        </w:rPr>
        <w:t>本项目主要涉及的风险物质为</w:t>
      </w:r>
      <w:r>
        <w:rPr>
          <w:rFonts w:hint="eastAsia" w:ascii="Times New Roman" w:hAnsi="Times New Roman"/>
          <w:lang w:eastAsia="zh-CN"/>
        </w:rPr>
        <w:t>PD</w:t>
      </w:r>
      <w:r>
        <w:rPr>
          <w:rFonts w:hint="eastAsia"/>
          <w:lang w:eastAsia="zh-CN"/>
        </w:rPr>
        <w:t>（</w:t>
      </w:r>
      <w:r>
        <w:rPr>
          <w:rFonts w:hint="eastAsia" w:ascii="Times New Roman" w:hAnsi="Times New Roman"/>
          <w:lang w:val="en-US" w:eastAsia="zh-CN"/>
        </w:rPr>
        <w:t>CAS</w:t>
      </w:r>
      <w:r>
        <w:rPr>
          <w:rFonts w:hint="eastAsia"/>
          <w:lang w:val="en-US" w:eastAsia="zh-CN"/>
        </w:rPr>
        <w:t>:</w:t>
      </w:r>
      <w:r>
        <w:rPr>
          <w:rFonts w:hint="eastAsia" w:ascii="Times New Roman" w:hAnsi="Times New Roman"/>
          <w:lang w:val="en-US" w:eastAsia="zh-CN"/>
        </w:rPr>
        <w:t>110</w:t>
      </w:r>
      <w:r>
        <w:rPr>
          <w:rFonts w:hint="eastAsia"/>
          <w:lang w:val="en-US" w:eastAsia="zh-CN"/>
        </w:rPr>
        <w:t>-</w:t>
      </w:r>
      <w:r>
        <w:rPr>
          <w:rFonts w:hint="eastAsia" w:ascii="Times New Roman" w:hAnsi="Times New Roman"/>
          <w:lang w:val="en-US" w:eastAsia="zh-CN"/>
        </w:rPr>
        <w:t>89</w:t>
      </w:r>
      <w:r>
        <w:rPr>
          <w:rFonts w:hint="eastAsia"/>
          <w:lang w:val="en-US" w:eastAsia="zh-CN"/>
        </w:rPr>
        <w:t>-</w:t>
      </w:r>
      <w:r>
        <w:rPr>
          <w:rFonts w:hint="eastAsia" w:ascii="Times New Roman" w:hAnsi="Times New Roman"/>
          <w:lang w:val="en-US" w:eastAsia="zh-CN"/>
        </w:rPr>
        <w:t>4</w:t>
      </w:r>
      <w:r>
        <w:rPr>
          <w:rFonts w:hint="eastAsia"/>
          <w:lang w:eastAsia="zh-CN"/>
        </w:rPr>
        <w:t>）和氨水（浓度≥</w:t>
      </w:r>
      <w:r>
        <w:rPr>
          <w:rFonts w:hint="eastAsia" w:ascii="Times New Roman" w:hAnsi="Times New Roman"/>
          <w:lang w:val="en-US" w:eastAsia="zh-CN"/>
        </w:rPr>
        <w:t>20</w:t>
      </w:r>
      <w:r>
        <w:rPr>
          <w:rFonts w:hint="eastAsia"/>
          <w:lang w:val="en-US" w:eastAsia="zh-CN"/>
        </w:rPr>
        <w:t>%</w:t>
      </w:r>
      <w:r>
        <w:rPr>
          <w:rFonts w:hint="eastAsia"/>
          <w:lang w:eastAsia="zh-CN"/>
        </w:rPr>
        <w:t>），</w:t>
      </w:r>
      <w:r>
        <w:rPr>
          <w:rFonts w:hint="eastAsia"/>
        </w:rPr>
        <w:t>根据</w:t>
      </w:r>
      <w:r>
        <w:rPr>
          <w:rFonts w:ascii="Times New Roman"/>
        </w:rPr>
        <w:t>《建设项目环境风险评价技术导则》(</w:t>
      </w:r>
      <w:r>
        <w:rPr>
          <w:rFonts w:ascii="Times New Roman" w:hAnsi="Times New Roman"/>
        </w:rPr>
        <w:t>HJ169</w:t>
      </w:r>
      <w:r>
        <w:rPr>
          <w:rFonts w:ascii="Times New Roman"/>
        </w:rPr>
        <w:t>-</w:t>
      </w:r>
      <w:r>
        <w:rPr>
          <w:rFonts w:ascii="Times New Roman" w:hAnsi="Times New Roman"/>
        </w:rPr>
        <w:t>20</w:t>
      </w:r>
      <w:r>
        <w:rPr>
          <w:rFonts w:hint="eastAsia" w:ascii="Times New Roman" w:hAnsi="Times New Roman"/>
        </w:rPr>
        <w:t>18</w:t>
      </w:r>
      <w:r>
        <w:rPr>
          <w:rFonts w:ascii="Times New Roman"/>
        </w:rPr>
        <w:t>)中</w:t>
      </w:r>
      <w:r>
        <w:rPr>
          <w:rFonts w:hint="eastAsia" w:ascii="Times New Roman"/>
        </w:rPr>
        <w:t>环境风险评价工作</w:t>
      </w:r>
      <w:r>
        <w:rPr>
          <w:rFonts w:ascii="Times New Roman"/>
        </w:rPr>
        <w:t>等级划分依据见表</w:t>
      </w:r>
      <w:r>
        <w:rPr>
          <w:rFonts w:ascii="Times New Roman" w:hAnsi="Times New Roman"/>
        </w:rPr>
        <w:t>2</w:t>
      </w:r>
      <w:r>
        <w:rPr>
          <w:rFonts w:ascii="Times New Roman"/>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ascii="Times New Roman" w:hAnsi="Times New Roman"/>
          <w:lang w:val="en-US" w:eastAsia="zh-CN"/>
        </w:rPr>
        <w:t>1</w:t>
      </w:r>
      <w:r>
        <w:rPr>
          <w:rFonts w:ascii="Times New Roman"/>
        </w:rPr>
        <w:t>。</w:t>
      </w:r>
    </w:p>
    <w:p>
      <w:pPr>
        <w:pStyle w:val="20"/>
        <w:snapToGrid w:val="0"/>
        <w:spacing w:before="156"/>
        <w:rPr>
          <w:rFonts w:hint="eastAsia" w:ascii="Times New Roman" w:hAnsi="Times New Roman"/>
        </w:rPr>
      </w:pPr>
      <w:r>
        <w:rPr>
          <w:rFonts w:ascii="Times New Roman" w:hAnsi="Times New Roman"/>
        </w:rPr>
        <w:t xml:space="preserve"> 表</w:t>
      </w:r>
      <w:r>
        <w:rPr>
          <w:rFonts w:ascii="Times New Roman" w:hAnsi="Times New Roman"/>
        </w:rPr>
        <w:t>2</w:t>
      </w:r>
      <w:r>
        <w:rPr>
          <w:rFonts w:ascii="Times New Roman" w:hAnsi="Times New Roman"/>
        </w:rPr>
        <w:t>.</w:t>
      </w:r>
      <w:r>
        <w:rPr>
          <w:rFonts w:hint="eastAsia" w:ascii="Times New Roman" w:hAnsi="Times New Roman"/>
          <w:lang w:val="en-US" w:eastAsia="zh-CN"/>
        </w:rPr>
        <w:t>5</w:t>
      </w:r>
      <w:r>
        <w:rPr>
          <w:rFonts w:hint="eastAsia" w:ascii="Times New Roman" w:hAnsi="Times New Roman"/>
        </w:rPr>
        <w:t>-</w:t>
      </w:r>
      <w:r>
        <w:rPr>
          <w:rFonts w:hint="eastAsia" w:ascii="Times New Roman" w:hAnsi="Times New Roman"/>
        </w:rPr>
        <w:t>1</w:t>
      </w:r>
      <w:r>
        <w:rPr>
          <w:rFonts w:hint="eastAsia" w:ascii="Times New Roman" w:hAnsi="Times New Roman"/>
          <w:lang w:val="en-US" w:eastAsia="zh-CN"/>
        </w:rPr>
        <w:t>1</w:t>
      </w:r>
      <w:r>
        <w:rPr>
          <w:rFonts w:ascii="Times New Roman" w:hAnsi="Times New Roman"/>
        </w:rPr>
        <w:t xml:space="preserve">    </w:t>
      </w:r>
      <w:r>
        <w:rPr>
          <w:rFonts w:hint="eastAsia" w:ascii="Times New Roman" w:hAnsi="Times New Roman"/>
        </w:rPr>
        <w:t>环境风险</w:t>
      </w:r>
      <w:r>
        <w:rPr>
          <w:rFonts w:ascii="Times New Roman" w:hAnsi="Times New Roman"/>
        </w:rPr>
        <w:t>评价工作</w:t>
      </w:r>
      <w:r>
        <w:rPr>
          <w:rFonts w:hint="eastAsia" w:ascii="Times New Roman" w:hAnsi="Times New Roman"/>
        </w:rPr>
        <w:t>等级划分表</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1608"/>
        <w:gridCol w:w="1923"/>
        <w:gridCol w:w="1923"/>
        <w:gridCol w:w="1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22" w:type="dxa"/>
            <w:noWrap w:val="0"/>
            <w:vAlign w:val="center"/>
          </w:tcPr>
          <w:p>
            <w:pPr>
              <w:spacing w:line="240" w:lineRule="auto"/>
              <w:ind w:firstLine="0"/>
              <w:jc w:val="center"/>
              <w:rPr>
                <w:rFonts w:ascii="Times New Roman"/>
                <w:sz w:val="21"/>
                <w:szCs w:val="21"/>
              </w:rPr>
            </w:pPr>
            <w:r>
              <w:rPr>
                <w:rFonts w:ascii="Times New Roman"/>
                <w:sz w:val="21"/>
                <w:szCs w:val="21"/>
              </w:rPr>
              <w:t>环境风险潜势</w:t>
            </w:r>
          </w:p>
        </w:tc>
        <w:tc>
          <w:tcPr>
            <w:tcW w:w="1608" w:type="dxa"/>
            <w:noWrap w:val="0"/>
            <w:vAlign w:val="center"/>
          </w:tcPr>
          <w:p>
            <w:pPr>
              <w:spacing w:line="240" w:lineRule="auto"/>
              <w:ind w:firstLine="0"/>
              <w:jc w:val="center"/>
              <w:rPr>
                <w:rFonts w:hint="eastAsia" w:ascii="Times New Roman"/>
                <w:sz w:val="21"/>
                <w:szCs w:val="21"/>
              </w:rPr>
            </w:pPr>
            <w:r>
              <w:rPr>
                <w:rFonts w:ascii="Times New Roman"/>
                <w:sz w:val="21"/>
                <w:szCs w:val="21"/>
              </w:rPr>
              <w:t xml:space="preserve"> </w:t>
            </w:r>
            <w:r>
              <w:rPr>
                <w:rFonts w:ascii="Times New Roman" w:hAnsi="Times New Roman"/>
                <w:sz w:val="21"/>
                <w:szCs w:val="21"/>
              </w:rPr>
              <w:t>IV</w:t>
            </w:r>
            <w:r>
              <w:rPr>
                <w:rFonts w:ascii="Times New Roman"/>
                <w:sz w:val="21"/>
                <w:szCs w:val="21"/>
              </w:rPr>
              <w:t>、</w:t>
            </w:r>
            <w:r>
              <w:rPr>
                <w:rFonts w:ascii="Times New Roman" w:hAnsi="Times New Roman"/>
                <w:sz w:val="21"/>
                <w:szCs w:val="21"/>
              </w:rPr>
              <w:t>IV</w:t>
            </w:r>
            <w:r>
              <w:rPr>
                <w:rFonts w:hint="eastAsia" w:ascii="Times New Roman"/>
                <w:sz w:val="21"/>
                <w:szCs w:val="21"/>
                <w:vertAlign w:val="superscript"/>
              </w:rPr>
              <w:t>+</w:t>
            </w:r>
          </w:p>
        </w:tc>
        <w:tc>
          <w:tcPr>
            <w:tcW w:w="1923" w:type="dxa"/>
            <w:noWrap w:val="0"/>
            <w:vAlign w:val="center"/>
          </w:tcPr>
          <w:p>
            <w:pPr>
              <w:spacing w:line="240" w:lineRule="auto"/>
              <w:ind w:firstLine="0"/>
              <w:jc w:val="center"/>
              <w:rPr>
                <w:rFonts w:ascii="Times New Roman"/>
                <w:sz w:val="21"/>
                <w:szCs w:val="21"/>
              </w:rPr>
            </w:pPr>
            <w:r>
              <w:rPr>
                <w:rFonts w:ascii="Times New Roman" w:hAnsi="Times New Roman"/>
                <w:sz w:val="21"/>
                <w:szCs w:val="21"/>
              </w:rPr>
              <w:t>III</w:t>
            </w:r>
            <w:r>
              <w:rPr>
                <w:rFonts w:ascii="Times New Roman"/>
                <w:sz w:val="21"/>
                <w:szCs w:val="21"/>
              </w:rPr>
              <w:t xml:space="preserve">  </w:t>
            </w:r>
          </w:p>
        </w:tc>
        <w:tc>
          <w:tcPr>
            <w:tcW w:w="1923" w:type="dxa"/>
            <w:tcBorders>
              <w:bottom w:val="single" w:color="auto" w:sz="4" w:space="0"/>
            </w:tcBorders>
            <w:noWrap w:val="0"/>
            <w:vAlign w:val="center"/>
          </w:tcPr>
          <w:p>
            <w:pPr>
              <w:spacing w:line="240" w:lineRule="auto"/>
              <w:ind w:firstLine="0"/>
              <w:jc w:val="center"/>
              <w:rPr>
                <w:rFonts w:ascii="Times New Roman"/>
                <w:sz w:val="21"/>
                <w:szCs w:val="21"/>
              </w:rPr>
            </w:pPr>
            <w:r>
              <w:rPr>
                <w:rFonts w:hint="eastAsia"/>
                <w:sz w:val="21"/>
                <w:szCs w:val="21"/>
              </w:rPr>
              <w:t>Ⅱ</w:t>
            </w:r>
            <w:r>
              <w:rPr>
                <w:rFonts w:ascii="Times New Roman"/>
                <w:sz w:val="21"/>
                <w:szCs w:val="21"/>
              </w:rPr>
              <w:t xml:space="preserve"> </w:t>
            </w:r>
          </w:p>
        </w:tc>
        <w:tc>
          <w:tcPr>
            <w:tcW w:w="1798" w:type="dxa"/>
            <w:noWrap w:val="0"/>
            <w:vAlign w:val="center"/>
          </w:tcPr>
          <w:p>
            <w:pPr>
              <w:spacing w:line="240" w:lineRule="auto"/>
              <w:ind w:firstLine="0"/>
              <w:jc w:val="center"/>
              <w:rPr>
                <w:rFonts w:ascii="Times New Roman"/>
                <w:sz w:val="21"/>
                <w:szCs w:val="21"/>
              </w:rPr>
            </w:pPr>
            <w:r>
              <w:rPr>
                <w:rFonts w:ascii="Times New Roman"/>
                <w:sz w:val="21"/>
                <w:szCs w:val="21"/>
              </w:rPr>
              <w:t xml:space="preserve"> </w:t>
            </w:r>
            <w:r>
              <w:rPr>
                <w:rFonts w:ascii="Times New Roman" w:hAnsi="Times New Roman"/>
                <w:sz w:val="21"/>
                <w:szCs w:val="21"/>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22" w:type="dxa"/>
            <w:noWrap w:val="0"/>
            <w:vAlign w:val="center"/>
          </w:tcPr>
          <w:p>
            <w:pPr>
              <w:spacing w:line="240" w:lineRule="auto"/>
              <w:ind w:firstLine="0"/>
              <w:jc w:val="center"/>
              <w:rPr>
                <w:rFonts w:hint="eastAsia" w:ascii="Times New Roman"/>
                <w:sz w:val="21"/>
                <w:szCs w:val="21"/>
              </w:rPr>
            </w:pPr>
            <w:r>
              <w:rPr>
                <w:rFonts w:hint="eastAsia" w:ascii="Times New Roman"/>
                <w:sz w:val="21"/>
                <w:szCs w:val="21"/>
              </w:rPr>
              <w:t>评价工作等级</w:t>
            </w:r>
          </w:p>
        </w:tc>
        <w:tc>
          <w:tcPr>
            <w:tcW w:w="1608" w:type="dxa"/>
            <w:noWrap w:val="0"/>
            <w:vAlign w:val="center"/>
          </w:tcPr>
          <w:p>
            <w:pPr>
              <w:spacing w:line="240" w:lineRule="auto"/>
              <w:ind w:firstLine="0"/>
              <w:jc w:val="center"/>
              <w:rPr>
                <w:rFonts w:hint="eastAsia" w:ascii="Times New Roman"/>
                <w:sz w:val="21"/>
                <w:szCs w:val="21"/>
              </w:rPr>
            </w:pPr>
            <w:r>
              <w:rPr>
                <w:rFonts w:hint="eastAsia" w:ascii="Times New Roman"/>
                <w:sz w:val="21"/>
                <w:szCs w:val="21"/>
              </w:rPr>
              <w:t>一</w:t>
            </w:r>
          </w:p>
        </w:tc>
        <w:tc>
          <w:tcPr>
            <w:tcW w:w="1923" w:type="dxa"/>
            <w:noWrap w:val="0"/>
            <w:vAlign w:val="center"/>
          </w:tcPr>
          <w:p>
            <w:pPr>
              <w:spacing w:line="240" w:lineRule="auto"/>
              <w:ind w:firstLine="0"/>
              <w:jc w:val="center"/>
              <w:rPr>
                <w:rFonts w:hint="eastAsia" w:ascii="Times New Roman"/>
                <w:sz w:val="21"/>
                <w:szCs w:val="21"/>
              </w:rPr>
            </w:pPr>
            <w:r>
              <w:rPr>
                <w:rFonts w:hint="eastAsia" w:ascii="Times New Roman"/>
                <w:sz w:val="21"/>
                <w:szCs w:val="21"/>
              </w:rPr>
              <w:t>二</w:t>
            </w:r>
          </w:p>
        </w:tc>
        <w:tc>
          <w:tcPr>
            <w:tcW w:w="1923" w:type="dxa"/>
            <w:tcBorders>
              <w:top w:val="single" w:color="auto" w:sz="4" w:space="0"/>
              <w:bottom w:val="single" w:color="auto" w:sz="4" w:space="0"/>
            </w:tcBorders>
            <w:noWrap w:val="0"/>
            <w:vAlign w:val="center"/>
          </w:tcPr>
          <w:p>
            <w:pPr>
              <w:spacing w:line="240" w:lineRule="auto"/>
              <w:ind w:firstLine="0"/>
              <w:jc w:val="center"/>
              <w:rPr>
                <w:rFonts w:hint="eastAsia" w:ascii="Times New Roman"/>
                <w:sz w:val="21"/>
                <w:szCs w:val="21"/>
              </w:rPr>
            </w:pPr>
            <w:r>
              <w:rPr>
                <w:rFonts w:hint="eastAsia" w:ascii="Times New Roman"/>
                <w:sz w:val="21"/>
                <w:szCs w:val="21"/>
              </w:rPr>
              <w:t>三</w:t>
            </w:r>
          </w:p>
        </w:tc>
        <w:tc>
          <w:tcPr>
            <w:tcW w:w="1798" w:type="dxa"/>
            <w:noWrap w:val="0"/>
            <w:vAlign w:val="center"/>
          </w:tcPr>
          <w:p>
            <w:pPr>
              <w:spacing w:line="240" w:lineRule="auto"/>
              <w:ind w:firstLine="0"/>
              <w:jc w:val="center"/>
              <w:rPr>
                <w:rFonts w:hint="eastAsia" w:ascii="Times New Roman"/>
                <w:sz w:val="21"/>
                <w:szCs w:val="21"/>
              </w:rPr>
            </w:pPr>
            <w:r>
              <w:rPr>
                <w:rFonts w:hint="eastAsia" w:ascii="Times New Roman"/>
                <w:sz w:val="21"/>
                <w:szCs w:val="21"/>
              </w:rPr>
              <w:t>简单分析</w:t>
            </w:r>
            <w:r>
              <w:rPr>
                <w:rFonts w:hint="eastAsia" w:ascii="Times New Roman" w:hAnsi="Times New Roman"/>
                <w:sz w:val="21"/>
                <w:szCs w:val="21"/>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174" w:type="dxa"/>
            <w:gridSpan w:val="5"/>
            <w:noWrap w:val="0"/>
            <w:vAlign w:val="center"/>
          </w:tcPr>
          <w:p>
            <w:pPr>
              <w:spacing w:line="240" w:lineRule="auto"/>
              <w:ind w:firstLine="0"/>
              <w:rPr>
                <w:rFonts w:ascii="Times New Roman"/>
                <w:sz w:val="21"/>
                <w:szCs w:val="21"/>
              </w:rPr>
            </w:pPr>
            <w:r>
              <w:rPr>
                <w:rFonts w:hint="eastAsia" w:ascii="Times New Roman" w:hAnsi="Times New Roman"/>
                <w:sz w:val="21"/>
                <w:szCs w:val="21"/>
                <w:vertAlign w:val="superscript"/>
              </w:rPr>
              <w:t>a</w:t>
            </w:r>
            <w:r>
              <w:rPr>
                <w:rFonts w:hint="eastAsia" w:ascii="Times New Roman"/>
                <w:sz w:val="21"/>
                <w:szCs w:val="21"/>
              </w:rPr>
              <w:t>是相对于详细评价工作内容而言，在描述危险物质、环境影响途径、环境危险后果、风险防范措施等方面给出定性的说明。</w:t>
            </w:r>
          </w:p>
        </w:tc>
      </w:tr>
    </w:tbl>
    <w:p>
      <w:pPr>
        <w:rPr>
          <w:rFonts w:hint="eastAsia"/>
        </w:rPr>
      </w:pPr>
      <w:r>
        <w:rPr>
          <w:rFonts w:ascii="Times New Roman"/>
        </w:rPr>
        <w:t>根据</w:t>
      </w:r>
      <w:r>
        <w:rPr>
          <w:rFonts w:hint="eastAsia" w:ascii="Times New Roman"/>
        </w:rPr>
        <w:t>风险潜势初</w:t>
      </w:r>
      <w:r>
        <w:rPr>
          <w:rFonts w:hint="eastAsia" w:ascii="Times New Roman"/>
          <w:color w:val="auto"/>
        </w:rPr>
        <w:t>判</w:t>
      </w:r>
      <w:r>
        <w:rPr>
          <w:rFonts w:hint="eastAsia" w:ascii="Times New Roman"/>
          <w:color w:val="auto"/>
          <w:lang w:eastAsia="zh-CN"/>
        </w:rPr>
        <w:t>（具体见</w:t>
      </w:r>
      <w:r>
        <w:rPr>
          <w:rFonts w:hint="eastAsia" w:ascii="Times New Roman" w:hAnsi="Times New Roman"/>
          <w:color w:val="auto"/>
          <w:lang w:val="en-US" w:eastAsia="zh-CN"/>
        </w:rPr>
        <w:t>6</w:t>
      </w:r>
      <w:r>
        <w:rPr>
          <w:rFonts w:hint="eastAsia" w:ascii="Times New Roman"/>
          <w:color w:val="auto"/>
          <w:lang w:val="en-US" w:eastAsia="zh-CN"/>
        </w:rPr>
        <w:t>.</w:t>
      </w:r>
      <w:r>
        <w:rPr>
          <w:rFonts w:hint="eastAsia" w:ascii="Times New Roman" w:hAnsi="Times New Roman"/>
          <w:color w:val="auto"/>
          <w:lang w:val="en-US" w:eastAsia="zh-CN"/>
        </w:rPr>
        <w:t>9</w:t>
      </w:r>
      <w:r>
        <w:rPr>
          <w:rFonts w:hint="eastAsia" w:ascii="Times New Roman"/>
          <w:color w:val="auto"/>
          <w:lang w:val="en-US" w:eastAsia="zh-CN"/>
        </w:rPr>
        <w:t>.</w:t>
      </w:r>
      <w:r>
        <w:rPr>
          <w:rFonts w:hint="eastAsia" w:ascii="Times New Roman" w:hAnsi="Times New Roman"/>
          <w:color w:val="auto"/>
          <w:lang w:val="en-US" w:eastAsia="zh-CN"/>
        </w:rPr>
        <w:t>3</w:t>
      </w:r>
      <w:r>
        <w:rPr>
          <w:rFonts w:hint="eastAsia" w:ascii="Times New Roman"/>
          <w:color w:val="auto"/>
          <w:lang w:val="en-US" w:eastAsia="zh-CN"/>
        </w:rPr>
        <w:t>章节</w:t>
      </w:r>
      <w:r>
        <w:rPr>
          <w:rFonts w:hint="eastAsia" w:ascii="Times New Roman"/>
          <w:color w:val="auto"/>
          <w:lang w:eastAsia="zh-CN"/>
        </w:rPr>
        <w:t>）</w:t>
      </w:r>
      <w:r>
        <w:rPr>
          <w:rFonts w:hint="eastAsia" w:ascii="Times New Roman"/>
        </w:rPr>
        <w:t>，项目</w:t>
      </w:r>
      <w:r>
        <w:rPr>
          <w:rFonts w:hint="eastAsia" w:ascii="Times New Roman"/>
          <w:lang w:eastAsia="zh-CN"/>
        </w:rPr>
        <w:t>大气</w:t>
      </w:r>
      <w:r>
        <w:rPr>
          <w:rFonts w:hint="eastAsia" w:ascii="Times New Roman"/>
        </w:rPr>
        <w:t>风险潜势</w:t>
      </w:r>
      <w:r>
        <w:rPr>
          <w:rFonts w:hint="eastAsia" w:ascii="Times New Roman"/>
          <w:lang w:eastAsia="zh-CN"/>
        </w:rPr>
        <w:t>为Ⅱ，地表水和地下水环境风险潜势均</w:t>
      </w:r>
      <w:r>
        <w:rPr>
          <w:rFonts w:hint="eastAsia" w:ascii="Times New Roman"/>
        </w:rPr>
        <w:t>为</w:t>
      </w:r>
      <w:r>
        <w:rPr>
          <w:rFonts w:hint="eastAsia"/>
          <w:lang w:eastAsia="zh-CN"/>
        </w:rPr>
        <w:t>Ⅰ</w:t>
      </w:r>
      <w:r>
        <w:rPr>
          <w:rFonts w:hint="eastAsia" w:ascii="Times New Roman"/>
        </w:rPr>
        <w:t>，</w:t>
      </w:r>
      <w:r>
        <w:rPr>
          <w:rFonts w:hint="eastAsia" w:ascii="Times New Roman"/>
          <w:lang w:eastAsia="zh-CN"/>
        </w:rPr>
        <w:t>因此本项目环境风险评价等级为三级。</w:t>
      </w:r>
    </w:p>
    <w:p>
      <w:pPr>
        <w:pStyle w:val="5"/>
        <w:spacing w:before="156"/>
        <w:rPr>
          <w:rFonts w:hint="eastAsia"/>
        </w:rPr>
      </w:pPr>
      <w:bookmarkStart w:id="83" w:name="_Toc341867049"/>
      <w:bookmarkStart w:id="84" w:name="_Toc327373180"/>
      <w:bookmarkStart w:id="85" w:name="_Toc332975155"/>
      <w:r>
        <w:rPr>
          <w:rFonts w:hint="eastAsia" w:ascii="Times New Roman" w:hAnsi="Times New Roman"/>
        </w:rPr>
        <w:t>2</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2</w:t>
      </w:r>
      <w:r>
        <w:rPr>
          <w:rFonts w:hint="eastAsia"/>
        </w:rPr>
        <w:t xml:space="preserve"> 评价重点</w:t>
      </w:r>
      <w:bookmarkEnd w:id="83"/>
      <w:bookmarkEnd w:id="84"/>
      <w:bookmarkEnd w:id="85"/>
    </w:p>
    <w:p>
      <w:pPr>
        <w:rPr>
          <w:rFonts w:hint="eastAsia"/>
          <w:color w:val="auto"/>
          <w:lang w:eastAsia="zh-CN"/>
        </w:rPr>
      </w:pPr>
      <w:r>
        <w:rPr>
          <w:rFonts w:hint="eastAsia"/>
          <w:color w:val="auto"/>
          <w:lang w:eastAsia="zh-CN"/>
        </w:rPr>
        <w:t>根据项目工艺特点和所在区域环境特征，确定本评价重点为：</w:t>
      </w:r>
    </w:p>
    <w:p>
      <w:pPr>
        <w:bidi w:val="0"/>
        <w:rPr>
          <w:rFonts w:hint="eastAsia"/>
          <w:lang w:eastAsia="zh-CN"/>
        </w:rPr>
      </w:pPr>
      <w:r>
        <w:rPr>
          <w:rFonts w:hint="eastAsia"/>
          <w:lang w:eastAsia="zh-CN"/>
        </w:rPr>
        <w:t>（</w:t>
      </w:r>
      <w:r>
        <w:rPr>
          <w:rFonts w:hint="eastAsia" w:ascii="Times New Roman" w:hAnsi="Times New Roman"/>
          <w:lang w:val="en-US" w:eastAsia="zh-CN"/>
        </w:rPr>
        <w:t>1</w:t>
      </w:r>
      <w:r>
        <w:rPr>
          <w:rFonts w:hint="eastAsia"/>
          <w:lang w:eastAsia="zh-CN"/>
        </w:rPr>
        <w:t>）大气环境影响评价。</w:t>
      </w:r>
    </w:p>
    <w:p>
      <w:pPr>
        <w:bidi w:val="0"/>
        <w:rPr>
          <w:rFonts w:hint="eastAsia"/>
          <w:lang w:eastAsia="zh-CN"/>
        </w:rPr>
      </w:pPr>
      <w:r>
        <w:rPr>
          <w:rFonts w:hint="eastAsia"/>
          <w:lang w:eastAsia="zh-CN"/>
        </w:rPr>
        <w:t>（</w:t>
      </w:r>
      <w:r>
        <w:rPr>
          <w:rFonts w:hint="eastAsia" w:ascii="Times New Roman" w:hAnsi="Times New Roman"/>
          <w:lang w:val="en-US" w:eastAsia="zh-CN"/>
        </w:rPr>
        <w:t>2</w:t>
      </w:r>
      <w:r>
        <w:rPr>
          <w:rFonts w:hint="eastAsia"/>
          <w:lang w:eastAsia="zh-CN"/>
        </w:rPr>
        <w:t>）地下水、土壤污染防治措施及可行性分析。</w:t>
      </w:r>
    </w:p>
    <w:p>
      <w:pPr>
        <w:bidi w:val="0"/>
        <w:rPr>
          <w:rFonts w:hint="eastAsia"/>
        </w:rPr>
      </w:pPr>
      <w:r>
        <w:rPr>
          <w:rFonts w:hint="eastAsia"/>
          <w:lang w:eastAsia="zh-CN"/>
        </w:rPr>
        <w:t>（</w:t>
      </w:r>
      <w:r>
        <w:rPr>
          <w:rFonts w:hint="eastAsia" w:ascii="Times New Roman" w:hAnsi="Times New Roman"/>
          <w:lang w:val="en-US" w:eastAsia="zh-CN"/>
        </w:rPr>
        <w:t>3</w:t>
      </w:r>
      <w:r>
        <w:rPr>
          <w:rFonts w:hint="eastAsia"/>
          <w:lang w:eastAsia="zh-CN"/>
        </w:rPr>
        <w:t>）环境风险评价。</w:t>
      </w:r>
    </w:p>
    <w:p>
      <w:pPr>
        <w:pStyle w:val="4"/>
        <w:spacing w:before="156" w:after="156"/>
        <w:rPr>
          <w:rFonts w:hint="eastAsia"/>
        </w:rPr>
      </w:pPr>
      <w:bookmarkStart w:id="86" w:name="_Toc341867050"/>
      <w:bookmarkStart w:id="87" w:name="_Toc327373181"/>
      <w:bookmarkStart w:id="88" w:name="_Toc332975156"/>
      <w:bookmarkStart w:id="89" w:name="_Toc19623"/>
      <w:bookmarkStart w:id="90" w:name="_Toc24074"/>
      <w:bookmarkStart w:id="91" w:name="_Toc1835"/>
      <w:r>
        <w:rPr>
          <w:rFonts w:hint="eastAsia" w:ascii="Times New Roman" w:hAnsi="Times New Roman"/>
        </w:rPr>
        <w:t>2</w:t>
      </w:r>
      <w:r>
        <w:rPr>
          <w:rFonts w:hint="eastAsia"/>
        </w:rPr>
        <w:t>.</w:t>
      </w:r>
      <w:r>
        <w:rPr>
          <w:rFonts w:hint="eastAsia" w:ascii="Times New Roman" w:hAnsi="Times New Roman"/>
          <w:lang w:val="en-US" w:eastAsia="zh-CN"/>
        </w:rPr>
        <w:t>6</w:t>
      </w:r>
      <w:r>
        <w:rPr>
          <w:rFonts w:hint="eastAsia"/>
        </w:rPr>
        <w:t>评价范围及环境</w:t>
      </w:r>
      <w:bookmarkEnd w:id="86"/>
      <w:bookmarkEnd w:id="87"/>
      <w:bookmarkEnd w:id="88"/>
      <w:r>
        <w:rPr>
          <w:rFonts w:hint="eastAsia"/>
        </w:rPr>
        <w:t>保护目标</w:t>
      </w:r>
      <w:bookmarkEnd w:id="89"/>
      <w:bookmarkEnd w:id="90"/>
      <w:bookmarkEnd w:id="91"/>
    </w:p>
    <w:p>
      <w:pPr>
        <w:pStyle w:val="5"/>
        <w:spacing w:before="156"/>
        <w:rPr>
          <w:rFonts w:hint="eastAsia"/>
        </w:rPr>
      </w:pPr>
      <w:bookmarkStart w:id="92" w:name="_Toc327373182"/>
      <w:bookmarkStart w:id="93" w:name="_Toc332975157"/>
      <w:bookmarkStart w:id="94" w:name="_Toc341867051"/>
      <w:r>
        <w:rPr>
          <w:rFonts w:hint="eastAsia" w:ascii="Times New Roman" w:hAnsi="Times New Roman"/>
        </w:rPr>
        <w:t>2</w:t>
      </w:r>
      <w:r>
        <w:rPr>
          <w:rFonts w:hint="eastAsia"/>
        </w:rPr>
        <w:t>.</w:t>
      </w:r>
      <w:r>
        <w:rPr>
          <w:rFonts w:hint="eastAsia" w:ascii="Times New Roman" w:hAnsi="Times New Roman"/>
          <w:lang w:val="en-US" w:eastAsia="zh-CN"/>
        </w:rPr>
        <w:t>6</w:t>
      </w:r>
      <w:r>
        <w:t>.</w:t>
      </w:r>
      <w:r>
        <w:rPr>
          <w:rFonts w:ascii="Times New Roman" w:hAnsi="Times New Roman"/>
        </w:rPr>
        <w:t>1</w:t>
      </w:r>
      <w:r>
        <w:rPr>
          <w:rFonts w:hint="eastAsia"/>
        </w:rPr>
        <w:t>评价范围</w:t>
      </w:r>
      <w:bookmarkEnd w:id="92"/>
      <w:bookmarkEnd w:id="93"/>
      <w:bookmarkEnd w:id="94"/>
    </w:p>
    <w:p>
      <w:r>
        <w:rPr>
          <w:rFonts w:hint="eastAsia"/>
        </w:rPr>
        <w:t>（</w:t>
      </w:r>
      <w:r>
        <w:rPr>
          <w:rFonts w:ascii="Times New Roman" w:hAnsi="Times New Roman"/>
        </w:rPr>
        <w:t>1</w:t>
      </w:r>
      <w:r>
        <w:rPr>
          <w:rFonts w:hint="eastAsia"/>
        </w:rPr>
        <w:t>）环境空气影响评价范围</w:t>
      </w:r>
    </w:p>
    <w:p>
      <w:r>
        <w:rPr>
          <w:rFonts w:hint="eastAsia"/>
          <w:color w:val="000000" w:themeColor="text1"/>
          <w14:textFill>
            <w14:solidFill>
              <w14:schemeClr w14:val="tx1"/>
            </w14:solidFill>
          </w14:textFill>
        </w:rPr>
        <w:t>根据《环境影响评价技术导则 大气环境》（</w:t>
      </w:r>
      <w:r>
        <w:rPr>
          <w:rFonts w:hint="eastAsia" w:ascii="Times New Roman" w:hAnsi="Times New Roman"/>
          <w:color w:val="000000" w:themeColor="text1"/>
          <w14:textFill>
            <w14:solidFill>
              <w14:schemeClr w14:val="tx1"/>
            </w14:solidFill>
          </w14:textFill>
        </w:rPr>
        <w:t>HJ2</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2018</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的要求，大气环境影响</w:t>
      </w:r>
      <w:r>
        <w:rPr>
          <w:rFonts w:hint="eastAsia"/>
          <w:color w:val="000000" w:themeColor="text1"/>
          <w:lang w:eastAsia="zh-CN"/>
          <w14:textFill>
            <w14:solidFill>
              <w14:schemeClr w14:val="tx1"/>
            </w14:solidFill>
          </w14:textFill>
        </w:rPr>
        <w:t>一</w:t>
      </w:r>
      <w:r>
        <w:rPr>
          <w:rFonts w:hint="eastAsia"/>
          <w:color w:val="000000" w:themeColor="text1"/>
          <w14:textFill>
            <w14:solidFill>
              <w14:schemeClr w14:val="tx1"/>
            </w14:solidFill>
          </w14:textFill>
        </w:rPr>
        <w:t>级评价评价范围边长取</w:t>
      </w:r>
      <w:r>
        <w:rPr>
          <w:rFonts w:hint="eastAsia" w:ascii="Times New Roman" w:hAnsi="Times New Roman"/>
          <w:color w:val="000000" w:themeColor="text1"/>
          <w14:textFill>
            <w14:solidFill>
              <w14:schemeClr w14:val="tx1"/>
            </w14:solidFill>
          </w14:textFill>
        </w:rPr>
        <w:t>5km</w:t>
      </w:r>
      <w:r>
        <w:rPr>
          <w:rFonts w:hint="eastAsia"/>
          <w:color w:val="000000" w:themeColor="text1"/>
          <w14:textFill>
            <w14:solidFill>
              <w14:schemeClr w14:val="tx1"/>
            </w14:solidFill>
          </w14:textFill>
        </w:rPr>
        <w:t>。因此环境空气影响评价范围取选厂为中心，边长为</w:t>
      </w:r>
      <w:r>
        <w:rPr>
          <w:rFonts w:ascii="Times New Roman" w:hAnsi="Times New Roman"/>
          <w:color w:val="000000" w:themeColor="text1"/>
          <w14:textFill>
            <w14:solidFill>
              <w14:schemeClr w14:val="tx1"/>
            </w14:solidFill>
          </w14:textFill>
        </w:rPr>
        <w:t>5km</w:t>
      </w:r>
      <w:r>
        <w:rPr>
          <w:rFonts w:hint="eastAsia"/>
          <w:color w:val="000000" w:themeColor="text1"/>
          <w14:textFill>
            <w14:solidFill>
              <w14:schemeClr w14:val="tx1"/>
            </w14:solidFill>
          </w14:textFill>
        </w:rPr>
        <w:t>的矩形区域。</w:t>
      </w:r>
    </w:p>
    <w:p>
      <w:r>
        <w:rPr>
          <w:rFonts w:hint="eastAsia"/>
        </w:rPr>
        <w:t>（</w:t>
      </w:r>
      <w:r>
        <w:rPr>
          <w:rFonts w:ascii="Times New Roman" w:hAnsi="Times New Roman"/>
        </w:rPr>
        <w:t>2</w:t>
      </w:r>
      <w:r>
        <w:rPr>
          <w:rFonts w:hint="eastAsia"/>
        </w:rPr>
        <w:t>）水环境影响评价范围</w:t>
      </w:r>
    </w:p>
    <w:p>
      <w:pPr>
        <w:rPr>
          <w:rFonts w:hint="eastAsia" w:eastAsia="宋体"/>
          <w:lang w:eastAsia="zh-CN"/>
        </w:rPr>
      </w:pPr>
      <w:r>
        <w:rPr>
          <w:rFonts w:hint="eastAsia"/>
          <w:lang w:eastAsia="zh-CN"/>
        </w:rPr>
        <w:t>①地表水</w:t>
      </w:r>
    </w:p>
    <w:p>
      <w:r>
        <w:rPr>
          <w:rFonts w:hint="eastAsia"/>
          <w:color w:val="auto"/>
          <w:lang w:eastAsia="zh-CN"/>
        </w:rPr>
        <w:t>项目</w:t>
      </w:r>
      <w:r>
        <w:rPr>
          <w:rFonts w:hint="eastAsia"/>
          <w:color w:val="auto"/>
        </w:rPr>
        <w:t>地表水评价等级为三级</w:t>
      </w:r>
      <w:r>
        <w:rPr>
          <w:rFonts w:hint="eastAsia" w:ascii="Times New Roman" w:hAnsi="Times New Roman"/>
          <w:color w:val="auto"/>
        </w:rPr>
        <w:t>B</w:t>
      </w:r>
      <w:r>
        <w:rPr>
          <w:rFonts w:hint="eastAsia"/>
          <w:color w:val="auto"/>
        </w:rPr>
        <w:t>，根据《环境影响评价技术导则 地表水环境》（</w:t>
      </w:r>
      <w:r>
        <w:rPr>
          <w:rFonts w:hint="eastAsia" w:ascii="Times New Roman" w:hAnsi="Times New Roman"/>
          <w:color w:val="auto"/>
        </w:rPr>
        <w:t>HJ2</w:t>
      </w:r>
      <w:r>
        <w:rPr>
          <w:rFonts w:hint="eastAsia"/>
          <w:color w:val="auto"/>
        </w:rPr>
        <w:t>.</w:t>
      </w:r>
      <w:r>
        <w:rPr>
          <w:rFonts w:hint="eastAsia" w:ascii="Times New Roman" w:hAnsi="Times New Roman"/>
          <w:color w:val="auto"/>
        </w:rPr>
        <w:t>3</w:t>
      </w:r>
      <w:r>
        <w:rPr>
          <w:rFonts w:hint="eastAsia"/>
          <w:color w:val="auto"/>
        </w:rPr>
        <w:t>-</w:t>
      </w:r>
      <w:r>
        <w:rPr>
          <w:rFonts w:hint="eastAsia" w:ascii="Times New Roman" w:hAnsi="Times New Roman"/>
          <w:color w:val="auto"/>
        </w:rPr>
        <w:t>2018</w:t>
      </w:r>
      <w:r>
        <w:rPr>
          <w:rFonts w:hint="eastAsia"/>
          <w:color w:val="auto"/>
        </w:rPr>
        <w:t>）要求，评价范围应满足污水处理设施可行性分析要求，如涉及地表水环境风险的，应覆盖环境风险影响范围所及的水环境保护目标水域。</w:t>
      </w:r>
      <w:r>
        <w:rPr>
          <w:rFonts w:hint="eastAsia"/>
          <w:color w:val="auto"/>
          <w:lang w:eastAsia="zh-CN"/>
        </w:rPr>
        <w:t>项目</w:t>
      </w:r>
      <w:r>
        <w:rPr>
          <w:rFonts w:hint="eastAsia"/>
          <w:color w:val="auto"/>
        </w:rPr>
        <w:t>与周围水体无水力联系，因此不设置地表水评价范围。</w:t>
      </w:r>
    </w:p>
    <w:p>
      <w:pPr>
        <w:rPr>
          <w:rFonts w:hint="eastAsia" w:eastAsia="宋体"/>
          <w:lang w:eastAsia="zh-CN"/>
        </w:rPr>
      </w:pPr>
      <w:r>
        <w:rPr>
          <w:rFonts w:hint="eastAsia"/>
          <w:lang w:eastAsia="zh-CN"/>
        </w:rPr>
        <w:t>②地下水</w:t>
      </w:r>
    </w:p>
    <w:p>
      <w:r>
        <w:t>根据《环境影响评价技术导则 地下水环境》（</w:t>
      </w:r>
      <w:r>
        <w:rPr>
          <w:rFonts w:ascii="Times New Roman" w:hAnsi="Times New Roman"/>
        </w:rPr>
        <w:t>HJ610</w:t>
      </w:r>
      <w:r>
        <w:t>-</w:t>
      </w:r>
      <w:r>
        <w:rPr>
          <w:rFonts w:ascii="Times New Roman" w:hAnsi="Times New Roman"/>
        </w:rPr>
        <w:t>2016</w:t>
      </w:r>
      <w:r>
        <w:t>），评价范围首先以</w:t>
      </w:r>
      <w:r>
        <w:rPr>
          <w:rFonts w:hint="eastAsia"/>
        </w:rPr>
        <w:t>“</w:t>
      </w:r>
      <w:r>
        <w:t>公式计算法</w:t>
      </w:r>
      <w:r>
        <w:rPr>
          <w:rFonts w:hint="eastAsia"/>
        </w:rPr>
        <w:t>”</w:t>
      </w:r>
      <w:r>
        <w:t>进行初步判定。</w:t>
      </w:r>
    </w:p>
    <w:p>
      <w:pPr>
        <w:jc w:val="center"/>
        <w:rPr>
          <w:rFonts w:ascii="Times New Roman"/>
        </w:rPr>
      </w:pPr>
      <w:r>
        <w:rPr>
          <w:rFonts w:ascii="Times New Roman" w:hAnsi="Times New Roman"/>
        </w:rPr>
        <w:t>L</w:t>
      </w:r>
      <w:r>
        <w:rPr>
          <w:rFonts w:ascii="Times New Roman"/>
        </w:rPr>
        <w:t>=</w:t>
      </w:r>
      <w:r>
        <w:rPr>
          <w:rFonts w:ascii="Times New Roman" w:hAnsi="Times New Roman"/>
        </w:rPr>
        <w:t>α</w:t>
      </w:r>
      <w:r>
        <w:rPr>
          <w:rFonts w:ascii="Times New Roman"/>
        </w:rPr>
        <w:t>×</w:t>
      </w:r>
      <w:r>
        <w:rPr>
          <w:rFonts w:ascii="Times New Roman" w:hAnsi="Times New Roman"/>
        </w:rPr>
        <w:t>K</w:t>
      </w:r>
      <w:r>
        <w:rPr>
          <w:rFonts w:ascii="Times New Roman"/>
        </w:rPr>
        <w:t>×</w:t>
      </w:r>
      <w:r>
        <w:rPr>
          <w:rFonts w:ascii="Times New Roman" w:hAnsi="Times New Roman"/>
        </w:rPr>
        <w:t>I</w:t>
      </w:r>
      <w:r>
        <w:rPr>
          <w:rFonts w:ascii="Times New Roman"/>
        </w:rPr>
        <w:t>×</w:t>
      </w:r>
      <w:r>
        <w:rPr>
          <w:rFonts w:ascii="Times New Roman" w:hAnsi="Times New Roman"/>
        </w:rPr>
        <w:t>T</w:t>
      </w:r>
      <w:r>
        <w:rPr>
          <w:rFonts w:ascii="Times New Roman"/>
        </w:rPr>
        <w:t>/</w:t>
      </w:r>
      <w:r>
        <w:rPr>
          <w:rFonts w:ascii="Times New Roman" w:hAnsi="Times New Roman"/>
        </w:rPr>
        <w:t>n</w:t>
      </w:r>
      <w:r>
        <w:rPr>
          <w:rFonts w:ascii="Times New Roman" w:hAnsi="Times New Roman"/>
          <w:vertAlign w:val="subscript"/>
        </w:rPr>
        <w:t>e</w:t>
      </w:r>
      <w:r>
        <w:rPr>
          <w:rFonts w:ascii="Times New Roman"/>
        </w:rPr>
        <w:t xml:space="preserve">    </w:t>
      </w:r>
    </w:p>
    <w:p>
      <w:r>
        <w:t>式中：</w:t>
      </w:r>
      <w:r>
        <w:rPr>
          <w:rFonts w:ascii="Times New Roman" w:hAnsi="Times New Roman"/>
        </w:rPr>
        <w:t>L</w:t>
      </w:r>
      <w:r>
        <w:t>—下游迁移距离，</w:t>
      </w:r>
      <w:r>
        <w:rPr>
          <w:rFonts w:ascii="Times New Roman" w:hAnsi="Times New Roman"/>
        </w:rPr>
        <w:t>m</w:t>
      </w:r>
      <w:r>
        <w:t>；</w:t>
      </w:r>
    </w:p>
    <w:p>
      <w:r>
        <w:rPr>
          <w:rFonts w:ascii="Times New Roman" w:hAnsi="Times New Roman"/>
        </w:rPr>
        <w:t>α</w:t>
      </w:r>
      <w:r>
        <w:t>—变化系数，</w:t>
      </w:r>
      <w:r>
        <w:rPr>
          <w:rFonts w:ascii="Times New Roman" w:hAnsi="Times New Roman"/>
        </w:rPr>
        <w:t>α</w:t>
      </w:r>
      <w:r>
        <w:t>≥</w:t>
      </w:r>
      <w:r>
        <w:rPr>
          <w:rFonts w:ascii="Times New Roman" w:hAnsi="Times New Roman"/>
        </w:rPr>
        <w:t>1</w:t>
      </w:r>
      <w:r>
        <w:t>，一般取</w:t>
      </w:r>
      <w:r>
        <w:rPr>
          <w:rFonts w:ascii="Times New Roman" w:hAnsi="Times New Roman"/>
        </w:rPr>
        <w:t>2</w:t>
      </w:r>
      <w:r>
        <w:t>，本次取</w:t>
      </w:r>
      <w:r>
        <w:rPr>
          <w:rFonts w:ascii="Times New Roman" w:hAnsi="Times New Roman"/>
        </w:rPr>
        <w:t>2</w:t>
      </w:r>
      <w:r>
        <w:t>；</w:t>
      </w:r>
    </w:p>
    <w:p>
      <w:r>
        <w:rPr>
          <w:rFonts w:ascii="Times New Roman" w:hAnsi="Times New Roman"/>
        </w:rPr>
        <w:t>K</w:t>
      </w:r>
      <w:r>
        <w:t>—渗透系数，</w:t>
      </w:r>
      <w:r>
        <w:rPr>
          <w:rFonts w:ascii="Times New Roman" w:hAnsi="Times New Roman"/>
        </w:rPr>
        <w:t>m</w:t>
      </w:r>
      <w:r>
        <w:t>/</w:t>
      </w:r>
      <w:r>
        <w:rPr>
          <w:rFonts w:ascii="Times New Roman" w:hAnsi="Times New Roman"/>
        </w:rPr>
        <w:t>d</w:t>
      </w:r>
      <w:r>
        <w:t>，常见渗透系数表见</w:t>
      </w:r>
      <w:r>
        <w:rPr>
          <w:rFonts w:ascii="Times New Roman" w:hAnsi="Times New Roman"/>
        </w:rPr>
        <w:t>HJ610</w:t>
      </w:r>
      <w:r>
        <w:t>-</w:t>
      </w:r>
      <w:r>
        <w:rPr>
          <w:rFonts w:ascii="Times New Roman" w:hAnsi="Times New Roman"/>
        </w:rPr>
        <w:t>2016</w:t>
      </w:r>
      <w:r>
        <w:t>附录</w:t>
      </w:r>
      <w:r>
        <w:rPr>
          <w:rFonts w:ascii="Times New Roman" w:hAnsi="Times New Roman"/>
        </w:rPr>
        <w:t>B</w:t>
      </w:r>
      <w:r>
        <w:t>表</w:t>
      </w:r>
      <w:r>
        <w:rPr>
          <w:rFonts w:ascii="Times New Roman" w:hAnsi="Times New Roman"/>
        </w:rPr>
        <w:t>B</w:t>
      </w:r>
      <w:r>
        <w:t>.</w:t>
      </w:r>
      <w:r>
        <w:rPr>
          <w:rFonts w:ascii="Times New Roman" w:hAnsi="Times New Roman"/>
        </w:rPr>
        <w:t>1</w:t>
      </w:r>
      <w:r>
        <w:t>，</w:t>
      </w:r>
      <w:r>
        <w:rPr>
          <w:rFonts w:hint="eastAsia"/>
          <w:lang w:eastAsia="zh-CN"/>
        </w:rPr>
        <w:t>根据建厂时抽水</w:t>
      </w:r>
      <w:r>
        <w:rPr>
          <w:rFonts w:hint="eastAsia"/>
        </w:rPr>
        <w:t>试验结果，</w:t>
      </w:r>
      <w:r>
        <w:t>渗透系数</w:t>
      </w:r>
      <w:r>
        <w:rPr>
          <w:rFonts w:ascii="Times New Roman" w:hAnsi="Times New Roman"/>
        </w:rPr>
        <w:t>K</w:t>
      </w:r>
      <w:r>
        <w:t>为</w:t>
      </w:r>
      <w:r>
        <w:rPr>
          <w:rFonts w:hint="eastAsia" w:ascii="Times New Roman" w:hAnsi="Times New Roman"/>
          <w:lang w:val="en-US" w:eastAsia="zh-CN"/>
        </w:rPr>
        <w:t>1</w:t>
      </w:r>
      <w:r>
        <w:rPr>
          <w:rFonts w:hint="eastAsia" w:ascii="Times New Roman"/>
          <w:lang w:val="en-US" w:eastAsia="zh-CN"/>
        </w:rPr>
        <w:t>.</w:t>
      </w:r>
      <w:r>
        <w:rPr>
          <w:rFonts w:hint="eastAsia" w:ascii="Times New Roman" w:hAnsi="Times New Roman"/>
          <w:lang w:val="en-US" w:eastAsia="zh-CN"/>
        </w:rPr>
        <w:t>47</w:t>
      </w:r>
      <w:r>
        <w:rPr>
          <w:rFonts w:ascii="Times New Roman" w:hAnsi="Times New Roman"/>
        </w:rPr>
        <w:t>m</w:t>
      </w:r>
      <w:r>
        <w:t>/</w:t>
      </w:r>
      <w:r>
        <w:rPr>
          <w:rFonts w:ascii="Times New Roman" w:hAnsi="Times New Roman"/>
        </w:rPr>
        <w:t>d</w:t>
      </w:r>
      <w:r>
        <w:t>；</w:t>
      </w:r>
    </w:p>
    <w:p>
      <w:r>
        <w:rPr>
          <w:rFonts w:ascii="Times New Roman" w:hAnsi="Times New Roman"/>
        </w:rPr>
        <w:t>I</w:t>
      </w:r>
      <w:r>
        <w:t>—水力坡度，无量纲，</w:t>
      </w:r>
      <w:r>
        <w:rPr>
          <w:rFonts w:hint="eastAsia"/>
        </w:rPr>
        <w:t>根据调查，</w:t>
      </w:r>
      <w:r>
        <w:t>评价区域水力坡度取</w:t>
      </w:r>
      <w:r>
        <w:rPr>
          <w:rFonts w:hint="eastAsia" w:ascii="Times New Roman" w:hAnsi="Times New Roman"/>
          <w:lang w:val="en-US" w:eastAsia="zh-CN"/>
        </w:rPr>
        <w:t>1</w:t>
      </w:r>
      <w:r>
        <w:rPr>
          <w:rFonts w:hint="eastAsia" w:ascii="Times New Roman"/>
          <w:lang w:val="en-US" w:eastAsia="zh-CN"/>
        </w:rPr>
        <w:t>.</w:t>
      </w:r>
      <w:r>
        <w:rPr>
          <w:rFonts w:hint="eastAsia" w:ascii="Times New Roman" w:hAnsi="Times New Roman"/>
          <w:lang w:val="en-US" w:eastAsia="zh-CN"/>
        </w:rPr>
        <w:t>3</w:t>
      </w:r>
      <w:r>
        <w:rPr>
          <w:rFonts w:hint="eastAsia" w:ascii="Times New Roman"/>
          <w:lang w:val="en-US" w:eastAsia="zh-CN"/>
        </w:rPr>
        <w:t>‰</w:t>
      </w:r>
      <w:r>
        <w:t>；</w:t>
      </w:r>
    </w:p>
    <w:p>
      <w:pPr>
        <w:ind w:firstLine="480"/>
        <w:rPr>
          <w:rFonts w:ascii="Times New Roman"/>
        </w:rPr>
      </w:pPr>
      <w:r>
        <w:rPr>
          <w:rFonts w:ascii="Times New Roman" w:hAnsi="Times New Roman"/>
        </w:rPr>
        <w:t>T</w:t>
      </w:r>
      <w:r>
        <w:rPr>
          <w:rFonts w:ascii="Times New Roman"/>
        </w:rPr>
        <w:t>—质点迁移天数，取值不小于</w:t>
      </w:r>
      <w:r>
        <w:rPr>
          <w:rFonts w:ascii="Times New Roman" w:hAnsi="Times New Roman"/>
        </w:rPr>
        <w:t>5000d</w:t>
      </w:r>
      <w:r>
        <w:rPr>
          <w:rFonts w:ascii="Times New Roman"/>
        </w:rPr>
        <w:t>；</w:t>
      </w:r>
    </w:p>
    <w:p>
      <w:pPr>
        <w:ind w:firstLine="480"/>
        <w:rPr>
          <w:rFonts w:ascii="Times New Roman"/>
        </w:rPr>
      </w:pPr>
      <w:r>
        <w:rPr>
          <w:rFonts w:ascii="Times New Roman" w:hAnsi="Times New Roman"/>
        </w:rPr>
        <w:t>n</w:t>
      </w:r>
      <w:r>
        <w:rPr>
          <w:rFonts w:ascii="Times New Roman" w:hAnsi="Times New Roman"/>
          <w:vertAlign w:val="subscript"/>
        </w:rPr>
        <w:t>e</w:t>
      </w:r>
      <w:r>
        <w:rPr>
          <w:rFonts w:ascii="Times New Roman"/>
        </w:rPr>
        <w:t>—有效孔隙度，无量纲，</w:t>
      </w:r>
      <w:r>
        <w:rPr>
          <w:rFonts w:hint="eastAsia"/>
        </w:rPr>
        <w:t>根据</w:t>
      </w:r>
      <w:r>
        <w:t>《环境影响评价技术导则 地下水环境》（</w:t>
      </w:r>
      <w:r>
        <w:rPr>
          <w:rFonts w:ascii="Times New Roman" w:hAnsi="Times New Roman"/>
        </w:rPr>
        <w:t>HJ610</w:t>
      </w:r>
      <w:r>
        <w:t>-</w:t>
      </w:r>
      <w:r>
        <w:rPr>
          <w:rFonts w:ascii="Times New Roman" w:hAnsi="Times New Roman"/>
        </w:rPr>
        <w:t>2016</w:t>
      </w:r>
      <w:r>
        <w:t>）</w:t>
      </w:r>
      <w:r>
        <w:rPr>
          <w:rFonts w:hint="eastAsia"/>
          <w:lang w:eastAsia="zh-CN"/>
        </w:rPr>
        <w:t>表</w:t>
      </w:r>
      <w:r>
        <w:rPr>
          <w:rFonts w:hint="eastAsia" w:ascii="Times New Roman" w:hAnsi="Times New Roman"/>
          <w:lang w:val="en-US" w:eastAsia="zh-CN"/>
        </w:rPr>
        <w:t>B</w:t>
      </w:r>
      <w:r>
        <w:rPr>
          <w:rFonts w:hint="eastAsia"/>
          <w:lang w:val="en-US" w:eastAsia="zh-CN"/>
        </w:rPr>
        <w:t>.</w:t>
      </w:r>
      <w:r>
        <w:rPr>
          <w:rFonts w:hint="eastAsia" w:ascii="Times New Roman" w:hAnsi="Times New Roman"/>
          <w:lang w:val="en-US" w:eastAsia="zh-CN"/>
        </w:rPr>
        <w:t>2</w:t>
      </w:r>
      <w:r>
        <w:rPr>
          <w:rFonts w:hint="eastAsia"/>
        </w:rPr>
        <w:t>，</w:t>
      </w:r>
      <w:r>
        <w:rPr>
          <w:rFonts w:hint="eastAsia"/>
          <w:lang w:eastAsia="zh-CN"/>
        </w:rPr>
        <w:t>含水层岩性主要为粉砂，</w:t>
      </w:r>
      <w:r>
        <w:rPr>
          <w:rFonts w:hint="eastAsia"/>
        </w:rPr>
        <w:t>可取孔隙度为</w:t>
      </w:r>
      <w:r>
        <w:rPr>
          <w:rFonts w:hint="eastAsia" w:ascii="Times New Roman" w:hAnsi="Times New Roman"/>
        </w:rPr>
        <w:t>0</w:t>
      </w:r>
      <w:r>
        <w:rPr>
          <w:rFonts w:hint="eastAsia"/>
        </w:rPr>
        <w:t>.</w:t>
      </w:r>
      <w:r>
        <w:rPr>
          <w:rFonts w:hint="eastAsia" w:ascii="Times New Roman" w:hAnsi="Times New Roman"/>
          <w:lang w:val="en-US" w:eastAsia="zh-CN"/>
        </w:rPr>
        <w:t>15</w:t>
      </w:r>
      <w:r>
        <w:rPr>
          <w:rFonts w:ascii="Times New Roman"/>
        </w:rPr>
        <w:t>。</w:t>
      </w:r>
    </w:p>
    <w:p>
      <w:r>
        <w:t>经计算，下游迁移距离初步确定为</w:t>
      </w:r>
      <w:r>
        <w:rPr>
          <w:rFonts w:hint="eastAsia" w:ascii="Times New Roman" w:hAnsi="Times New Roman"/>
          <w:lang w:val="en-US" w:eastAsia="zh-CN"/>
        </w:rPr>
        <w:t>127</w:t>
      </w:r>
      <w:r>
        <w:rPr>
          <w:rFonts w:hint="eastAsia" w:ascii="Times New Roman" w:hAnsi="Times New Roman"/>
          <w:lang w:val="en-US" w:eastAsia="zh-CN"/>
        </w:rPr>
        <w:t>.</w:t>
      </w:r>
      <w:r>
        <w:rPr>
          <w:rFonts w:hint="eastAsia" w:ascii="Times New Roman" w:hAnsi="Times New Roman"/>
          <w:lang w:val="en-US" w:eastAsia="zh-CN"/>
        </w:rPr>
        <w:t>4</w:t>
      </w:r>
      <w:r>
        <w:rPr>
          <w:rFonts w:ascii="Times New Roman" w:hAnsi="Times New Roman"/>
        </w:rPr>
        <w:t>m</w:t>
      </w:r>
      <w:r>
        <w:t>。</w:t>
      </w:r>
    </w:p>
    <w:p>
      <w:r>
        <w:rPr>
          <w:rFonts w:ascii="Times New Roman"/>
        </w:rPr>
        <w:t>考虑到</w:t>
      </w:r>
      <w:r>
        <w:rPr>
          <w:rFonts w:hint="eastAsia" w:ascii="Times New Roman"/>
        </w:rPr>
        <w:t>公式</w:t>
      </w:r>
      <w:r>
        <w:rPr>
          <w:rFonts w:ascii="Times New Roman"/>
        </w:rPr>
        <w:t>法计算距离较短，故此选取查表法进行校核，根据地下水流向为自</w:t>
      </w:r>
      <w:r>
        <w:rPr>
          <w:rFonts w:hint="eastAsia" w:ascii="Times New Roman"/>
          <w:lang w:eastAsia="zh-CN"/>
        </w:rPr>
        <w:t>南</w:t>
      </w:r>
      <w:r>
        <w:rPr>
          <w:rFonts w:hint="eastAsia" w:ascii="Times New Roman"/>
        </w:rPr>
        <w:t>向</w:t>
      </w:r>
      <w:r>
        <w:rPr>
          <w:rFonts w:hint="eastAsia" w:ascii="Times New Roman"/>
          <w:lang w:eastAsia="zh-CN"/>
        </w:rPr>
        <w:t>北</w:t>
      </w:r>
      <w:r>
        <w:rPr>
          <w:rFonts w:ascii="Times New Roman"/>
        </w:rPr>
        <w:t>，选取下游</w:t>
      </w:r>
      <w:r>
        <w:rPr>
          <w:rFonts w:hint="eastAsia" w:ascii="Times New Roman" w:hAnsi="Times New Roman"/>
          <w:lang w:val="en-US" w:eastAsia="zh-CN"/>
        </w:rPr>
        <w:t>2</w:t>
      </w:r>
      <w:r>
        <w:rPr>
          <w:rFonts w:ascii="Times New Roman" w:hAnsi="Times New Roman"/>
        </w:rPr>
        <w:t>km</w:t>
      </w:r>
      <w:r>
        <w:rPr>
          <w:rFonts w:ascii="Times New Roman"/>
        </w:rPr>
        <w:t>，两侧</w:t>
      </w:r>
      <w:r>
        <w:rPr>
          <w:rFonts w:hint="eastAsia" w:ascii="Times New Roman" w:hAnsi="Times New Roman"/>
        </w:rPr>
        <w:t>1</w:t>
      </w:r>
      <w:r>
        <w:rPr>
          <w:rFonts w:ascii="Times New Roman" w:hAnsi="Times New Roman"/>
        </w:rPr>
        <w:t>km</w:t>
      </w:r>
      <w:r>
        <w:rPr>
          <w:rFonts w:ascii="Times New Roman"/>
        </w:rPr>
        <w:t>，上游</w:t>
      </w:r>
      <w:r>
        <w:rPr>
          <w:rFonts w:hint="eastAsia" w:ascii="Times New Roman" w:hAnsi="Times New Roman"/>
          <w:lang w:val="en-US" w:eastAsia="zh-CN"/>
        </w:rPr>
        <w:t>1</w:t>
      </w:r>
      <w:r>
        <w:rPr>
          <w:rFonts w:ascii="Times New Roman" w:hAnsi="Times New Roman"/>
        </w:rPr>
        <w:t>km</w:t>
      </w:r>
      <w:r>
        <w:rPr>
          <w:rFonts w:ascii="Times New Roman"/>
        </w:rPr>
        <w:t>为评价范围，项目地下水评价</w:t>
      </w:r>
      <w:r>
        <w:rPr>
          <w:rFonts w:hint="eastAsia"/>
        </w:rPr>
        <w:t>范围</w:t>
      </w:r>
      <w:r>
        <w:rPr>
          <w:rFonts w:ascii="Times New Roman"/>
        </w:rPr>
        <w:t>面积</w:t>
      </w:r>
      <w:r>
        <w:rPr>
          <w:rFonts w:hint="eastAsia" w:ascii="Times New Roman"/>
          <w:lang w:eastAsia="zh-CN"/>
        </w:rPr>
        <w:t>约</w:t>
      </w:r>
      <w:r>
        <w:rPr>
          <w:rFonts w:ascii="Times New Roman"/>
        </w:rPr>
        <w:t>为</w:t>
      </w:r>
      <w:r>
        <w:rPr>
          <w:rFonts w:hint="eastAsia" w:ascii="Times New Roman" w:hAnsi="Times New Roman"/>
          <w:lang w:val="en-US" w:eastAsia="zh-CN"/>
        </w:rPr>
        <w:t>6</w:t>
      </w:r>
      <w:r>
        <w:rPr>
          <w:rFonts w:ascii="Times New Roman" w:hAnsi="Times New Roman"/>
        </w:rPr>
        <w:t>km</w:t>
      </w:r>
      <w:r>
        <w:rPr>
          <w:rFonts w:ascii="Times New Roman" w:hAnsi="Times New Roman"/>
          <w:vertAlign w:val="superscript"/>
        </w:rPr>
        <w:t>2</w:t>
      </w:r>
      <w:r>
        <w:rPr>
          <w:rFonts w:hint="eastAsia" w:ascii="Times New Roman"/>
        </w:rPr>
        <w:t>。</w:t>
      </w:r>
    </w:p>
    <w:p>
      <w:r>
        <w:rPr>
          <w:rFonts w:hint="eastAsia"/>
        </w:rPr>
        <w:t>（</w:t>
      </w:r>
      <w:r>
        <w:rPr>
          <w:rFonts w:ascii="Times New Roman" w:hAnsi="Times New Roman"/>
        </w:rPr>
        <w:t>3</w:t>
      </w:r>
      <w:r>
        <w:rPr>
          <w:rFonts w:hint="eastAsia"/>
        </w:rPr>
        <w:t>）声环境影响评价范围</w:t>
      </w:r>
    </w:p>
    <w:p>
      <w:r>
        <w:rPr>
          <w:rFonts w:hint="eastAsia"/>
        </w:rPr>
        <w:t>根据《环境影响评价技术导则 声环境》（</w:t>
      </w:r>
      <w:r>
        <w:rPr>
          <w:rFonts w:hint="eastAsia" w:ascii="Times New Roman" w:hAnsi="Times New Roman"/>
        </w:rPr>
        <w:t>HJ2</w:t>
      </w:r>
      <w:r>
        <w:rPr>
          <w:rFonts w:hint="eastAsia"/>
        </w:rPr>
        <w:t>.</w:t>
      </w:r>
      <w:r>
        <w:rPr>
          <w:rFonts w:hint="eastAsia" w:ascii="Times New Roman" w:hAnsi="Times New Roman"/>
        </w:rPr>
        <w:t>4</w:t>
      </w:r>
      <w:r>
        <w:rPr>
          <w:rFonts w:hint="eastAsia"/>
        </w:rPr>
        <w:t>-</w:t>
      </w:r>
      <w:r>
        <w:rPr>
          <w:rFonts w:hint="eastAsia" w:ascii="Times New Roman" w:hAnsi="Times New Roman"/>
        </w:rPr>
        <w:t>20</w:t>
      </w:r>
      <w:r>
        <w:rPr>
          <w:rFonts w:hint="eastAsia" w:ascii="Times New Roman" w:hAnsi="Times New Roman"/>
          <w:lang w:val="en-US" w:eastAsia="zh-CN"/>
        </w:rPr>
        <w:t>21</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2</w:t>
      </w:r>
      <w:r>
        <w:rPr>
          <w:rFonts w:hint="eastAsia"/>
        </w:rPr>
        <w:t>要求，本项目</w:t>
      </w:r>
      <w:r>
        <w:rPr>
          <w:rFonts w:hint="eastAsia"/>
          <w:lang w:eastAsia="zh-CN"/>
        </w:rPr>
        <w:t>三</w:t>
      </w:r>
      <w:r>
        <w:rPr>
          <w:rFonts w:hint="eastAsia"/>
        </w:rPr>
        <w:t>级评价取厂界外</w:t>
      </w:r>
      <w:r>
        <w:rPr>
          <w:rFonts w:hint="eastAsia" w:ascii="Times New Roman" w:hAnsi="Times New Roman"/>
          <w:lang w:val="en-US" w:eastAsia="zh-CN"/>
        </w:rPr>
        <w:t>1</w:t>
      </w:r>
      <w:r>
        <w:rPr>
          <w:rFonts w:ascii="Times New Roman" w:hAnsi="Times New Roman"/>
        </w:rPr>
        <w:t>m</w:t>
      </w:r>
      <w:r>
        <w:rPr>
          <w:rFonts w:hint="eastAsia"/>
        </w:rPr>
        <w:t>范围为评价范围。</w:t>
      </w:r>
    </w:p>
    <w:p>
      <w:pPr>
        <w:rPr>
          <w:rFonts w:hint="eastAsia" w:eastAsia="宋体"/>
          <w:lang w:eastAsia="zh-CN"/>
        </w:rPr>
      </w:pPr>
      <w:r>
        <w:rPr>
          <w:rFonts w:hint="eastAsia"/>
        </w:rPr>
        <w:t>（</w:t>
      </w:r>
      <w:r>
        <w:rPr>
          <w:rFonts w:ascii="Times New Roman" w:hAnsi="Times New Roman"/>
        </w:rPr>
        <w:t>4</w:t>
      </w:r>
      <w:r>
        <w:rPr>
          <w:rFonts w:hint="eastAsia"/>
        </w:rPr>
        <w:t>）</w:t>
      </w:r>
      <w:r>
        <w:rPr>
          <w:rFonts w:hint="eastAsia"/>
          <w:lang w:eastAsia="zh-CN"/>
        </w:rPr>
        <w:t>生态环境评价范围</w:t>
      </w:r>
    </w:p>
    <w:p>
      <w:pPr>
        <w:rPr>
          <w:rFonts w:hint="eastAsia" w:eastAsia="宋体"/>
          <w:lang w:eastAsia="zh-CN"/>
        </w:rPr>
      </w:pPr>
      <w:r>
        <w:rPr>
          <w:rFonts w:hint="eastAsia"/>
          <w:lang w:eastAsia="zh-CN"/>
        </w:rPr>
        <w:t>根据《环境影响评价技术导则</w:t>
      </w:r>
      <w:r>
        <w:rPr>
          <w:rFonts w:hint="eastAsia"/>
          <w:lang w:val="en-US" w:eastAsia="zh-CN"/>
        </w:rPr>
        <w:t xml:space="preserve"> 生态环境</w:t>
      </w:r>
      <w:r>
        <w:rPr>
          <w:rFonts w:hint="eastAsia"/>
          <w:lang w:eastAsia="zh-CN"/>
        </w:rPr>
        <w:t>》（</w:t>
      </w:r>
      <w:r>
        <w:rPr>
          <w:rFonts w:hint="eastAsia" w:ascii="Times New Roman" w:hAnsi="Times New Roman"/>
          <w:lang w:val="en-US" w:eastAsia="zh-CN"/>
        </w:rPr>
        <w:t>HJ19</w:t>
      </w:r>
      <w:r>
        <w:rPr>
          <w:rFonts w:hint="eastAsia"/>
          <w:lang w:val="en-US" w:eastAsia="zh-CN"/>
        </w:rPr>
        <w:t>-</w:t>
      </w:r>
      <w:r>
        <w:rPr>
          <w:rFonts w:hint="eastAsia" w:ascii="Times New Roman" w:hAnsi="Times New Roman"/>
          <w:lang w:val="en-US" w:eastAsia="zh-CN"/>
        </w:rPr>
        <w:t>2022</w:t>
      </w:r>
      <w:r>
        <w:rPr>
          <w:rFonts w:hint="eastAsia"/>
          <w:lang w:eastAsia="zh-CN"/>
        </w:rPr>
        <w:t>），本项目无评价等级，无评价范围。</w:t>
      </w:r>
    </w:p>
    <w:p>
      <w:pPr>
        <w:rPr>
          <w:rFonts w:hint="eastAsia"/>
          <w:color w:val="auto"/>
        </w:rPr>
      </w:pPr>
      <w:r>
        <w:rPr>
          <w:rFonts w:hint="eastAsia"/>
          <w:color w:val="auto"/>
          <w:lang w:eastAsia="zh-CN"/>
        </w:rPr>
        <w:t>（</w:t>
      </w:r>
      <w:r>
        <w:rPr>
          <w:rFonts w:hint="eastAsia" w:ascii="Times New Roman" w:hAnsi="Times New Roman"/>
          <w:color w:val="auto"/>
          <w:lang w:val="en-US" w:eastAsia="zh-CN"/>
        </w:rPr>
        <w:t>5</w:t>
      </w:r>
      <w:r>
        <w:rPr>
          <w:rFonts w:hint="eastAsia"/>
          <w:color w:val="auto"/>
          <w:lang w:eastAsia="zh-CN"/>
        </w:rPr>
        <w:t>）</w:t>
      </w:r>
      <w:r>
        <w:rPr>
          <w:rFonts w:hint="eastAsia"/>
          <w:color w:val="auto"/>
        </w:rPr>
        <w:t>土壤环境评价范围</w:t>
      </w:r>
    </w:p>
    <w:p>
      <w:pPr>
        <w:rPr>
          <w:rFonts w:hint="eastAsia"/>
        </w:rPr>
      </w:pPr>
      <w:r>
        <w:rPr>
          <w:rFonts w:hint="eastAsia"/>
          <w:color w:val="auto"/>
        </w:rPr>
        <w:t>项目占地范围及占地范围外</w:t>
      </w:r>
      <w:r>
        <w:rPr>
          <w:rFonts w:hint="eastAsia" w:ascii="Times New Roman" w:hAnsi="Times New Roman"/>
          <w:color w:val="auto"/>
        </w:rPr>
        <w:t>0</w:t>
      </w:r>
      <w:r>
        <w:rPr>
          <w:rFonts w:hint="eastAsia"/>
          <w:color w:val="auto"/>
        </w:rPr>
        <w:t>.</w:t>
      </w:r>
      <w:r>
        <w:rPr>
          <w:rFonts w:hint="eastAsia" w:ascii="Times New Roman" w:hAnsi="Times New Roman"/>
          <w:color w:val="auto"/>
        </w:rPr>
        <w:t>2km</w:t>
      </w:r>
      <w:r>
        <w:rPr>
          <w:rFonts w:hint="eastAsia"/>
          <w:color w:val="auto"/>
        </w:rPr>
        <w:t>范围。</w:t>
      </w:r>
    </w:p>
    <w:p>
      <w:r>
        <w:rPr>
          <w:rFonts w:hint="eastAsia"/>
          <w:lang w:eastAsia="zh-CN"/>
        </w:rPr>
        <w:t>（</w:t>
      </w:r>
      <w:r>
        <w:rPr>
          <w:rFonts w:hint="eastAsia" w:ascii="Times New Roman" w:hAnsi="Times New Roman"/>
          <w:lang w:val="en-US" w:eastAsia="zh-CN"/>
        </w:rPr>
        <w:t>6</w:t>
      </w:r>
      <w:r>
        <w:rPr>
          <w:rFonts w:hint="eastAsia"/>
          <w:lang w:eastAsia="zh-CN"/>
        </w:rPr>
        <w:t>）</w:t>
      </w:r>
      <w:r>
        <w:rPr>
          <w:rFonts w:hint="eastAsia"/>
        </w:rPr>
        <w:t>环境风险评价范围</w:t>
      </w:r>
    </w:p>
    <w:p>
      <w:pPr>
        <w:widowControl w:val="0"/>
        <w:wordWrap/>
        <w:adjustRightInd/>
        <w:snapToGrid/>
        <w:spacing w:line="460" w:lineRule="exact"/>
        <w:ind w:left="0" w:leftChars="0" w:right="0"/>
        <w:jc w:val="both"/>
        <w:textAlignment w:val="auto"/>
        <w:outlineLvl w:val="9"/>
        <w:rPr>
          <w:color w:val="auto"/>
          <w:lang w:eastAsia="zh-CN"/>
        </w:rPr>
      </w:pPr>
      <w:bookmarkStart w:id="95" w:name="_Toc327373183"/>
      <w:bookmarkStart w:id="96" w:name="_Toc332975158"/>
      <w:bookmarkStart w:id="97" w:name="_Toc341867052"/>
      <w:r>
        <w:rPr>
          <w:rFonts w:hint="eastAsia"/>
          <w:color w:val="auto"/>
          <w:lang w:val="en-US" w:eastAsia="zh-CN"/>
        </w:rPr>
        <w:t>①</w:t>
      </w:r>
      <w:r>
        <w:rPr>
          <w:color w:val="auto"/>
          <w:lang w:eastAsia="zh-CN"/>
        </w:rPr>
        <w:t>大气环境风险评价范围</w:t>
      </w:r>
    </w:p>
    <w:p>
      <w:pPr>
        <w:widowControl w:val="0"/>
        <w:wordWrap/>
        <w:adjustRightInd/>
        <w:snapToGrid/>
        <w:spacing w:line="460" w:lineRule="exact"/>
        <w:ind w:left="0" w:leftChars="0" w:right="0"/>
        <w:jc w:val="both"/>
        <w:textAlignment w:val="auto"/>
        <w:outlineLvl w:val="9"/>
        <w:rPr>
          <w:color w:val="auto"/>
          <w:lang w:eastAsia="zh-CN"/>
        </w:rPr>
      </w:pPr>
      <w:r>
        <w:rPr>
          <w:rFonts w:hint="eastAsia"/>
          <w:color w:val="auto"/>
          <w:lang w:eastAsia="zh-CN"/>
        </w:rPr>
        <w:t>本项目大气环境风险评价等级为</w:t>
      </w:r>
      <w:r>
        <w:rPr>
          <w:rFonts w:hint="eastAsia"/>
          <w:color w:val="auto"/>
          <w:lang w:val="en-US" w:eastAsia="zh-CN"/>
        </w:rPr>
        <w:t>三级</w:t>
      </w:r>
      <w:r>
        <w:rPr>
          <w:rFonts w:hint="eastAsia"/>
          <w:color w:val="auto"/>
          <w:lang w:eastAsia="zh-CN"/>
        </w:rPr>
        <w:t>，以</w:t>
      </w:r>
      <w:r>
        <w:rPr>
          <w:rFonts w:hint="eastAsia"/>
          <w:color w:val="auto"/>
          <w:lang w:val="en-US" w:eastAsia="zh-CN"/>
        </w:rPr>
        <w:t>项目边界外延</w:t>
      </w:r>
      <w:r>
        <w:rPr>
          <w:rFonts w:hint="eastAsia" w:ascii="Times New Roman" w:hAnsi="Times New Roman"/>
          <w:color w:val="auto"/>
          <w:lang w:val="en-US" w:eastAsia="zh-CN"/>
        </w:rPr>
        <w:t>3km</w:t>
      </w:r>
      <w:r>
        <w:rPr>
          <w:rFonts w:hint="eastAsia"/>
          <w:color w:val="auto"/>
          <w:lang w:val="en-US" w:eastAsia="zh-CN"/>
        </w:rPr>
        <w:t>的范围</w:t>
      </w:r>
      <w:r>
        <w:rPr>
          <w:color w:val="auto"/>
          <w:lang w:eastAsia="zh-CN"/>
        </w:rPr>
        <w:t>。</w:t>
      </w:r>
    </w:p>
    <w:p>
      <w:pPr>
        <w:widowControl w:val="0"/>
        <w:wordWrap/>
        <w:adjustRightInd/>
        <w:snapToGrid/>
        <w:spacing w:line="460" w:lineRule="exact"/>
        <w:ind w:left="0" w:leftChars="0" w:right="0"/>
        <w:jc w:val="both"/>
        <w:textAlignment w:val="auto"/>
        <w:outlineLvl w:val="9"/>
        <w:rPr>
          <w:color w:val="auto"/>
          <w:lang w:eastAsia="zh-CN"/>
        </w:rPr>
      </w:pPr>
      <w:r>
        <w:rPr>
          <w:rFonts w:hint="eastAsia"/>
          <w:color w:val="auto"/>
          <w:lang w:val="en-US" w:eastAsia="zh-CN"/>
        </w:rPr>
        <w:t>②</w:t>
      </w:r>
      <w:r>
        <w:rPr>
          <w:color w:val="auto"/>
          <w:lang w:eastAsia="zh-CN"/>
        </w:rPr>
        <w:t>地表水环境风险评价范围</w:t>
      </w:r>
    </w:p>
    <w:p>
      <w:pPr>
        <w:widowControl w:val="0"/>
        <w:wordWrap/>
        <w:adjustRightInd/>
        <w:snapToGrid/>
        <w:spacing w:line="460" w:lineRule="exact"/>
        <w:ind w:left="0" w:leftChars="0" w:right="0"/>
        <w:jc w:val="both"/>
        <w:textAlignment w:val="auto"/>
        <w:outlineLvl w:val="9"/>
        <w:rPr>
          <w:color w:val="auto"/>
          <w:lang w:eastAsia="zh-CN"/>
        </w:rPr>
      </w:pPr>
      <w:r>
        <w:rPr>
          <w:color w:val="auto"/>
          <w:lang w:eastAsia="zh-CN"/>
        </w:rPr>
        <w:t>本工程不考虑风险事故</w:t>
      </w:r>
      <w:r>
        <w:rPr>
          <w:rFonts w:hint="eastAsia"/>
          <w:color w:val="auto"/>
          <w:lang w:eastAsia="zh-CN"/>
        </w:rPr>
        <w:t>泄漏</w:t>
      </w:r>
      <w:r>
        <w:rPr>
          <w:color w:val="auto"/>
          <w:lang w:eastAsia="zh-CN"/>
        </w:rPr>
        <w:t>危险物质对地表水体的影响，因此不设地表水环境风险评价范围。</w:t>
      </w:r>
    </w:p>
    <w:p>
      <w:pPr>
        <w:widowControl w:val="0"/>
        <w:wordWrap/>
        <w:adjustRightInd/>
        <w:snapToGrid/>
        <w:spacing w:line="460" w:lineRule="exact"/>
        <w:ind w:left="0" w:leftChars="0" w:right="0"/>
        <w:jc w:val="both"/>
        <w:textAlignment w:val="auto"/>
        <w:outlineLvl w:val="9"/>
        <w:rPr>
          <w:color w:val="auto"/>
          <w:lang w:eastAsia="zh-CN"/>
        </w:rPr>
      </w:pPr>
      <w:r>
        <w:rPr>
          <w:rFonts w:hint="eastAsia"/>
          <w:color w:val="auto"/>
          <w:lang w:val="en-US" w:eastAsia="zh-CN"/>
        </w:rPr>
        <w:t>③</w:t>
      </w:r>
      <w:r>
        <w:rPr>
          <w:color w:val="auto"/>
          <w:lang w:eastAsia="zh-CN"/>
        </w:rPr>
        <w:t>地下水环境风险评价范围</w:t>
      </w:r>
    </w:p>
    <w:p>
      <w:pPr>
        <w:widowControl w:val="0"/>
        <w:wordWrap/>
        <w:adjustRightInd/>
        <w:snapToGrid/>
        <w:spacing w:line="460" w:lineRule="exact"/>
        <w:ind w:left="0" w:leftChars="0" w:right="0"/>
        <w:jc w:val="both"/>
        <w:textAlignment w:val="auto"/>
        <w:outlineLvl w:val="9"/>
        <w:rPr>
          <w:color w:val="auto"/>
        </w:rPr>
      </w:pPr>
      <w:r>
        <w:rPr>
          <w:rFonts w:hint="eastAsia"/>
          <w:color w:val="auto"/>
          <w:lang w:eastAsia="zh-CN"/>
        </w:rPr>
        <w:t>本项目地下水环境风险评价等级为</w:t>
      </w:r>
      <w:r>
        <w:rPr>
          <w:rFonts w:hint="eastAsia"/>
          <w:color w:val="auto"/>
          <w:lang w:val="en-US" w:eastAsia="zh-CN"/>
        </w:rPr>
        <w:t>“简单分析”</w:t>
      </w:r>
      <w:r>
        <w:rPr>
          <w:rFonts w:hint="eastAsia"/>
          <w:color w:val="auto"/>
          <w:lang w:eastAsia="zh-CN"/>
        </w:rPr>
        <w:t>，因此不设置地下水环境风险评价范围</w:t>
      </w:r>
      <w:r>
        <w:rPr>
          <w:rFonts w:hint="eastAsia"/>
          <w:color w:val="auto"/>
          <w:lang w:val="en-US" w:eastAsia="zh-CN"/>
        </w:rPr>
        <w:t>。</w:t>
      </w:r>
    </w:p>
    <w:p>
      <w:pPr>
        <w:ind w:firstLine="480"/>
        <w:rPr>
          <w:rFonts w:hint="eastAsia"/>
          <w:color w:val="auto"/>
        </w:rPr>
      </w:pPr>
      <w:r>
        <w:rPr>
          <w:rFonts w:hint="eastAsia"/>
          <w:color w:val="auto"/>
        </w:rPr>
        <w:t>依据评价工作等级判定结果，确定本工程评价范围见表</w:t>
      </w:r>
      <w:r>
        <w:rPr>
          <w:rFonts w:hint="eastAsia" w:ascii="Times New Roman" w:hAnsi="Times New Roman"/>
          <w:color w:val="auto"/>
        </w:rPr>
        <w:t>2</w:t>
      </w:r>
      <w:r>
        <w:rPr>
          <w:rFonts w:hint="eastAsia"/>
          <w:color w:val="auto"/>
        </w:rPr>
        <w:t>.</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rPr>
        <w:t>1</w:t>
      </w:r>
      <w:r>
        <w:rPr>
          <w:rFonts w:hint="eastAsia"/>
          <w:color w:val="FF0000"/>
        </w:rPr>
        <w:t>，图</w:t>
      </w:r>
      <w:r>
        <w:rPr>
          <w:rFonts w:hint="eastAsia" w:ascii="Times New Roman" w:hAnsi="Times New Roman"/>
          <w:color w:val="FF0000"/>
        </w:rPr>
        <w:t>2</w:t>
      </w:r>
      <w:r>
        <w:rPr>
          <w:rFonts w:hint="eastAsia"/>
          <w:color w:val="FF0000"/>
        </w:rPr>
        <w:t>.</w:t>
      </w:r>
      <w:r>
        <w:rPr>
          <w:rFonts w:hint="eastAsia" w:ascii="Times New Roman" w:hAnsi="Times New Roman"/>
          <w:color w:val="FF0000"/>
          <w:lang w:val="en-US" w:eastAsia="zh-CN"/>
        </w:rPr>
        <w:t>6</w:t>
      </w:r>
      <w:r>
        <w:rPr>
          <w:rFonts w:hint="eastAsia"/>
          <w:color w:val="FF0000"/>
        </w:rPr>
        <w:t>-</w:t>
      </w:r>
      <w:r>
        <w:rPr>
          <w:rFonts w:hint="eastAsia" w:ascii="Times New Roman" w:hAnsi="Times New Roman"/>
          <w:color w:val="FF0000"/>
        </w:rPr>
        <w:t>1</w:t>
      </w:r>
      <w:r>
        <w:rPr>
          <w:rFonts w:hint="eastAsia"/>
          <w:color w:val="auto"/>
        </w:rPr>
        <w:t>。</w:t>
      </w:r>
    </w:p>
    <w:p>
      <w:pPr>
        <w:pStyle w:val="20"/>
        <w:widowControl w:val="0"/>
        <w:wordWrap/>
        <w:adjustRightInd/>
        <w:snapToGrid/>
        <w:spacing w:after="0"/>
        <w:textAlignment w:val="auto"/>
        <w:outlineLvl w:val="9"/>
        <w:rPr>
          <w:rFonts w:hint="eastAsia"/>
          <w:color w:val="auto"/>
        </w:rPr>
      </w:pPr>
      <w:r>
        <w:rPr>
          <w:rFonts w:hint="eastAsia"/>
          <w:color w:val="auto"/>
        </w:rPr>
        <w:t>表</w:t>
      </w:r>
      <w:r>
        <w:rPr>
          <w:rFonts w:hint="eastAsia" w:ascii="Times New Roman" w:hAnsi="Times New Roman" w:cs="Times New Roman"/>
          <w:color w:val="auto"/>
          <w:lang w:val="en-US" w:eastAsia="zh-CN"/>
        </w:rPr>
        <w:t>2</w:t>
      </w:r>
      <w:r>
        <w:rPr>
          <w:rFonts w:hint="eastAsia"/>
          <w:color w:val="auto"/>
        </w:rPr>
        <w:t>.</w:t>
      </w:r>
      <w:r>
        <w:rPr>
          <w:rFonts w:hint="eastAsia" w:ascii="Times New Roman" w:hAnsi="Times New Roman" w:cs="Times New Roman"/>
          <w:color w:val="auto"/>
          <w:lang w:val="en-US" w:eastAsia="zh-CN"/>
        </w:rPr>
        <w:t>6</w:t>
      </w:r>
      <w:r>
        <w:rPr>
          <w:rFonts w:hint="eastAsia"/>
          <w:color w:val="auto"/>
        </w:rPr>
        <w:t>-</w:t>
      </w:r>
      <w:r>
        <w:rPr>
          <w:rFonts w:hint="eastAsia" w:ascii="Times New Roman" w:hAnsi="Times New Roman" w:cs="Times New Roman"/>
          <w:color w:val="auto"/>
        </w:rPr>
        <w:t>1</w:t>
      </w:r>
      <w:r>
        <w:rPr>
          <w:rFonts w:hint="eastAsia"/>
          <w:color w:val="auto"/>
        </w:rPr>
        <w:t xml:space="preserve">  环境评价范围一览表</w:t>
      </w:r>
    </w:p>
    <w:tbl>
      <w:tblPr>
        <w:tblStyle w:val="80"/>
        <w:tblW w:w="9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118"/>
        <w:gridCol w:w="885"/>
        <w:gridCol w:w="57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环境要素</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评价等级</w:t>
            </w:r>
          </w:p>
        </w:tc>
        <w:tc>
          <w:tcPr>
            <w:tcW w:w="661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环境空气</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lang w:eastAsia="zh-CN"/>
              </w:rPr>
              <w:t>一</w:t>
            </w:r>
            <w:r>
              <w:rPr>
                <w:rFonts w:hint="eastAsia"/>
                <w:spacing w:val="-6"/>
                <w:sz w:val="21"/>
                <w:szCs w:val="16"/>
              </w:rPr>
              <w:t>级</w:t>
            </w:r>
          </w:p>
        </w:tc>
        <w:tc>
          <w:tcPr>
            <w:tcW w:w="661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厂界外延，边长</w:t>
            </w:r>
            <w:r>
              <w:rPr>
                <w:rFonts w:hint="eastAsia" w:ascii="Times New Roman" w:hAnsi="Times New Roman"/>
                <w:spacing w:val="-6"/>
                <w:sz w:val="21"/>
                <w:szCs w:val="16"/>
              </w:rPr>
              <w:t>5km</w:t>
            </w:r>
            <w:r>
              <w:rPr>
                <w:rFonts w:hint="eastAsia"/>
                <w:spacing w:val="-6"/>
                <w:sz w:val="21"/>
                <w:szCs w:val="16"/>
                <w:lang w:eastAsia="zh-CN"/>
              </w:rPr>
              <w:t>矩形</w:t>
            </w:r>
            <w:r>
              <w:rPr>
                <w:rFonts w:hint="eastAsia"/>
                <w:spacing w:val="-6"/>
                <w:sz w:val="21"/>
                <w:szCs w:val="16"/>
              </w:rPr>
              <w:t>区域为评价范围，总面积约</w:t>
            </w:r>
            <w:r>
              <w:rPr>
                <w:rFonts w:hint="eastAsia" w:ascii="Times New Roman" w:hAnsi="Times New Roman"/>
                <w:spacing w:val="-6"/>
                <w:sz w:val="21"/>
                <w:szCs w:val="16"/>
              </w:rPr>
              <w:t>25km</w:t>
            </w:r>
            <w:r>
              <w:rPr>
                <w:rFonts w:hint="eastAsia" w:ascii="Times New Roman" w:hAnsi="Times New Roman"/>
                <w:spacing w:val="-6"/>
                <w:sz w:val="21"/>
                <w:szCs w:val="16"/>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声环境</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三级</w:t>
            </w:r>
          </w:p>
        </w:tc>
        <w:tc>
          <w:tcPr>
            <w:tcW w:w="661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lang w:eastAsia="zh-CN"/>
              </w:rPr>
              <w:t>项目厂界</w:t>
            </w:r>
            <w:r>
              <w:rPr>
                <w:rFonts w:hint="eastAsia"/>
                <w:spacing w:val="-6"/>
                <w:sz w:val="21"/>
                <w:szCs w:val="16"/>
              </w:rPr>
              <w:t>外</w:t>
            </w:r>
            <w:r>
              <w:rPr>
                <w:rFonts w:hint="eastAsia" w:ascii="Times New Roman" w:hAnsi="Times New Roman"/>
                <w:spacing w:val="-6"/>
                <w:sz w:val="21"/>
                <w:szCs w:val="16"/>
                <w:lang w:val="en-US" w:eastAsia="zh-CN"/>
              </w:rPr>
              <w:t>1</w:t>
            </w:r>
            <w:r>
              <w:rPr>
                <w:rFonts w:hint="eastAsia" w:ascii="Times New Roman" w:hAnsi="Times New Roman"/>
                <w:spacing w:val="-6"/>
                <w:sz w:val="21"/>
                <w:szCs w:val="16"/>
              </w:rPr>
              <w:t>m</w:t>
            </w:r>
            <w:r>
              <w:rPr>
                <w:rFonts w:hint="eastAsia"/>
                <w:spacing w:val="-6"/>
                <w:sz w:val="21"/>
                <w:szCs w:val="16"/>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地表水环境</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sz w:val="21"/>
                <w:szCs w:val="16"/>
              </w:rPr>
            </w:pPr>
            <w:r>
              <w:rPr>
                <w:rFonts w:hint="eastAsia"/>
                <w:spacing w:val="-6"/>
                <w:sz w:val="21"/>
                <w:szCs w:val="16"/>
              </w:rPr>
              <w:t>三级</w:t>
            </w:r>
            <w:r>
              <w:rPr>
                <w:rFonts w:hint="eastAsia" w:ascii="Times New Roman" w:hAnsi="Times New Roman"/>
                <w:spacing w:val="-6"/>
                <w:sz w:val="21"/>
                <w:szCs w:val="16"/>
              </w:rPr>
              <w:t>B</w:t>
            </w:r>
          </w:p>
        </w:tc>
        <w:tc>
          <w:tcPr>
            <w:tcW w:w="661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地下水环境</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lang w:eastAsia="zh-CN"/>
              </w:rPr>
              <w:t>二</w:t>
            </w:r>
            <w:r>
              <w:rPr>
                <w:rFonts w:hint="eastAsia"/>
                <w:spacing w:val="-6"/>
                <w:sz w:val="21"/>
                <w:szCs w:val="16"/>
              </w:rPr>
              <w:t>级</w:t>
            </w:r>
          </w:p>
        </w:tc>
        <w:tc>
          <w:tcPr>
            <w:tcW w:w="661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以</w:t>
            </w:r>
            <w:r>
              <w:rPr>
                <w:spacing w:val="-6"/>
                <w:sz w:val="21"/>
                <w:szCs w:val="16"/>
              </w:rPr>
              <w:t>项目</w:t>
            </w:r>
            <w:r>
              <w:rPr>
                <w:rFonts w:hint="eastAsia"/>
                <w:spacing w:val="-6"/>
                <w:sz w:val="21"/>
                <w:szCs w:val="16"/>
              </w:rPr>
              <w:t>下游</w:t>
            </w:r>
            <w:r>
              <w:rPr>
                <w:rFonts w:hint="eastAsia" w:ascii="Times New Roman" w:hAnsi="Times New Roman"/>
                <w:spacing w:val="-6"/>
                <w:sz w:val="21"/>
                <w:szCs w:val="16"/>
                <w:lang w:val="en-US" w:eastAsia="zh-CN"/>
              </w:rPr>
              <w:t>2</w:t>
            </w:r>
            <w:r>
              <w:rPr>
                <w:rFonts w:hint="eastAsia" w:ascii="Times New Roman" w:hAnsi="Times New Roman"/>
                <w:spacing w:val="-6"/>
                <w:sz w:val="21"/>
                <w:szCs w:val="16"/>
              </w:rPr>
              <w:t>km</w:t>
            </w:r>
            <w:r>
              <w:rPr>
                <w:rFonts w:hint="eastAsia"/>
                <w:spacing w:val="-6"/>
                <w:sz w:val="21"/>
                <w:szCs w:val="16"/>
              </w:rPr>
              <w:t>，两侧</w:t>
            </w:r>
            <w:r>
              <w:rPr>
                <w:rFonts w:hint="eastAsia"/>
                <w:spacing w:val="-6"/>
                <w:sz w:val="21"/>
                <w:szCs w:val="16"/>
                <w:lang w:eastAsia="zh-CN"/>
              </w:rPr>
              <w:t>各</w:t>
            </w:r>
            <w:r>
              <w:rPr>
                <w:rFonts w:hint="eastAsia" w:ascii="Times New Roman" w:hAnsi="Times New Roman"/>
                <w:spacing w:val="-6"/>
                <w:sz w:val="21"/>
                <w:szCs w:val="16"/>
                <w:lang w:val="en-US" w:eastAsia="zh-CN"/>
              </w:rPr>
              <w:t>1</w:t>
            </w:r>
            <w:r>
              <w:rPr>
                <w:rFonts w:hint="eastAsia" w:ascii="Times New Roman" w:hAnsi="Times New Roman"/>
                <w:spacing w:val="-6"/>
                <w:sz w:val="21"/>
                <w:szCs w:val="16"/>
              </w:rPr>
              <w:t>km</w:t>
            </w:r>
            <w:r>
              <w:rPr>
                <w:rFonts w:hint="eastAsia"/>
                <w:spacing w:val="-6"/>
                <w:sz w:val="21"/>
                <w:szCs w:val="16"/>
              </w:rPr>
              <w:t>，上游</w:t>
            </w:r>
            <w:r>
              <w:rPr>
                <w:rFonts w:hint="eastAsia" w:ascii="Times New Roman" w:hAnsi="Times New Roman"/>
                <w:spacing w:val="-6"/>
                <w:sz w:val="21"/>
                <w:szCs w:val="16"/>
                <w:lang w:val="en-US" w:eastAsia="zh-CN"/>
              </w:rPr>
              <w:t>1</w:t>
            </w:r>
            <w:r>
              <w:rPr>
                <w:rFonts w:hint="eastAsia" w:ascii="Times New Roman" w:hAnsi="Times New Roman"/>
                <w:spacing w:val="-6"/>
                <w:sz w:val="21"/>
                <w:szCs w:val="16"/>
              </w:rPr>
              <w:t>km</w:t>
            </w:r>
            <w:r>
              <w:rPr>
                <w:rFonts w:hint="eastAsia"/>
                <w:spacing w:val="-6"/>
                <w:sz w:val="21"/>
                <w:szCs w:val="16"/>
              </w:rPr>
              <w:t>为界，共计约</w:t>
            </w:r>
            <w:r>
              <w:rPr>
                <w:rFonts w:hint="eastAsia" w:ascii="Times New Roman" w:hAnsi="Times New Roman"/>
                <w:spacing w:val="-6"/>
                <w:sz w:val="21"/>
                <w:szCs w:val="16"/>
                <w:lang w:val="en-US" w:eastAsia="zh-CN"/>
              </w:rPr>
              <w:t>6</w:t>
            </w:r>
            <w:r>
              <w:rPr>
                <w:rFonts w:ascii="Times New Roman" w:hAnsi="Times New Roman"/>
                <w:spacing w:val="-6"/>
                <w:sz w:val="21"/>
                <w:szCs w:val="16"/>
              </w:rPr>
              <w:t>km</w:t>
            </w:r>
            <w:r>
              <w:rPr>
                <w:rFonts w:ascii="Times New Roman" w:hAnsi="Times New Roman"/>
                <w:spacing w:val="-6"/>
                <w:sz w:val="21"/>
                <w:szCs w:val="16"/>
                <w:vertAlign w:val="superscript"/>
              </w:rPr>
              <w:t>2</w:t>
            </w:r>
            <w:r>
              <w:rPr>
                <w:spacing w:val="-6"/>
                <w:sz w:val="21"/>
                <w:szCs w:val="16"/>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6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环境风险</w:t>
            </w:r>
          </w:p>
        </w:tc>
        <w:tc>
          <w:tcPr>
            <w:tcW w:w="11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sz w:val="21"/>
                <w:szCs w:val="16"/>
                <w:lang w:eastAsia="zh-CN"/>
              </w:rPr>
            </w:pPr>
            <w:r>
              <w:rPr>
                <w:rFonts w:hint="eastAsia"/>
                <w:spacing w:val="-6"/>
                <w:sz w:val="21"/>
                <w:szCs w:val="16"/>
                <w:lang w:val="en-US" w:eastAsia="zh-CN"/>
              </w:rPr>
              <w:t>三级</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lang w:val="en-US" w:eastAsia="zh-CN"/>
              </w:rPr>
            </w:pPr>
            <w:r>
              <w:rPr>
                <w:rFonts w:hint="eastAsia"/>
                <w:spacing w:val="-6"/>
                <w:sz w:val="21"/>
                <w:szCs w:val="16"/>
                <w:lang w:val="en-US" w:eastAsia="zh-CN"/>
              </w:rPr>
              <w:t>大气</w:t>
            </w:r>
          </w:p>
        </w:tc>
        <w:tc>
          <w:tcPr>
            <w:tcW w:w="57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sz w:val="21"/>
                <w:szCs w:val="16"/>
                <w:lang w:val="en-US" w:eastAsia="zh-CN"/>
              </w:rPr>
            </w:pPr>
            <w:r>
              <w:rPr>
                <w:rFonts w:hint="eastAsia"/>
                <w:spacing w:val="-6"/>
                <w:sz w:val="21"/>
                <w:szCs w:val="16"/>
                <w:lang w:val="en-US" w:eastAsia="zh-CN"/>
              </w:rPr>
              <w:t>以项目边界外延</w:t>
            </w:r>
            <w:r>
              <w:rPr>
                <w:rFonts w:hint="eastAsia" w:ascii="Times New Roman" w:hAnsi="Times New Roman"/>
                <w:spacing w:val="-6"/>
                <w:sz w:val="21"/>
                <w:szCs w:val="16"/>
                <w:lang w:val="en-US" w:eastAsia="zh-CN"/>
              </w:rPr>
              <w:t>3km</w:t>
            </w:r>
            <w:r>
              <w:rPr>
                <w:rFonts w:hint="eastAsia"/>
                <w:spacing w:val="-6"/>
                <w:sz w:val="21"/>
                <w:szCs w:val="16"/>
                <w:lang w:val="en-US" w:eastAsia="zh-CN"/>
              </w:rPr>
              <w:t>为半径的区域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6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p>
        </w:tc>
        <w:tc>
          <w:tcPr>
            <w:tcW w:w="11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lang w:val="en-US" w:eastAsia="zh-CN"/>
              </w:rPr>
            </w:pPr>
            <w:r>
              <w:rPr>
                <w:rFonts w:hint="eastAsia"/>
                <w:spacing w:val="-6"/>
                <w:sz w:val="21"/>
                <w:szCs w:val="16"/>
                <w:lang w:val="en-US" w:eastAsia="zh-CN"/>
              </w:rPr>
              <w:t>地表水</w:t>
            </w:r>
          </w:p>
        </w:tc>
        <w:tc>
          <w:tcPr>
            <w:tcW w:w="57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sz w:val="21"/>
                <w:szCs w:val="16"/>
                <w:lang w:val="en-US" w:eastAsia="zh-CN"/>
              </w:rPr>
            </w:pPr>
            <w:r>
              <w:rPr>
                <w:rFonts w:hint="eastAsia"/>
                <w:spacing w:val="-6"/>
                <w:sz w:val="21"/>
                <w:szCs w:val="16"/>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6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p>
        </w:tc>
        <w:tc>
          <w:tcPr>
            <w:tcW w:w="11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lang w:val="en-US" w:eastAsia="zh-CN"/>
              </w:rPr>
            </w:pPr>
            <w:r>
              <w:rPr>
                <w:rFonts w:hint="eastAsia"/>
                <w:spacing w:val="-6"/>
                <w:sz w:val="21"/>
                <w:szCs w:val="16"/>
                <w:lang w:val="en-US" w:eastAsia="zh-CN"/>
              </w:rPr>
              <w:t>地下水</w:t>
            </w:r>
          </w:p>
        </w:tc>
        <w:tc>
          <w:tcPr>
            <w:tcW w:w="57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sz w:val="21"/>
                <w:szCs w:val="16"/>
                <w:lang w:val="en-US" w:eastAsia="zh-CN"/>
              </w:rPr>
            </w:pPr>
            <w:r>
              <w:rPr>
                <w:rFonts w:hint="eastAsia"/>
                <w:spacing w:val="-6"/>
                <w:sz w:val="21"/>
                <w:szCs w:val="16"/>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土壤环境</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sz w:val="21"/>
                <w:szCs w:val="16"/>
              </w:rPr>
            </w:pPr>
            <w:r>
              <w:rPr>
                <w:rFonts w:hint="eastAsia"/>
                <w:spacing w:val="-6"/>
                <w:sz w:val="21"/>
                <w:szCs w:val="16"/>
              </w:rPr>
              <w:t>二级</w:t>
            </w:r>
          </w:p>
        </w:tc>
        <w:tc>
          <w:tcPr>
            <w:tcW w:w="661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sz w:val="21"/>
                <w:szCs w:val="16"/>
              </w:rPr>
            </w:pPr>
            <w:r>
              <w:rPr>
                <w:rFonts w:hint="eastAsia"/>
                <w:spacing w:val="-6"/>
                <w:sz w:val="21"/>
                <w:szCs w:val="16"/>
              </w:rPr>
              <w:t>项目占地范围及占地范围外</w:t>
            </w:r>
            <w:r>
              <w:rPr>
                <w:rFonts w:hint="eastAsia" w:ascii="Times New Roman" w:hAnsi="Times New Roman"/>
                <w:spacing w:val="-6"/>
                <w:sz w:val="21"/>
                <w:szCs w:val="16"/>
              </w:rPr>
              <w:t>0</w:t>
            </w:r>
            <w:r>
              <w:rPr>
                <w:rFonts w:hint="eastAsia"/>
                <w:spacing w:val="-6"/>
                <w:sz w:val="21"/>
                <w:szCs w:val="16"/>
              </w:rPr>
              <w:t>.</w:t>
            </w:r>
            <w:r>
              <w:rPr>
                <w:rFonts w:hint="eastAsia" w:ascii="Times New Roman" w:hAnsi="Times New Roman"/>
                <w:spacing w:val="-6"/>
                <w:sz w:val="21"/>
                <w:szCs w:val="16"/>
              </w:rPr>
              <w:t>2km</w:t>
            </w:r>
            <w:r>
              <w:rPr>
                <w:rFonts w:hint="eastAsia"/>
                <w:spacing w:val="-6"/>
                <w:sz w:val="21"/>
                <w:szCs w:val="16"/>
              </w:rPr>
              <w:t>范围</w:t>
            </w:r>
          </w:p>
        </w:tc>
      </w:tr>
    </w:tbl>
    <w:p>
      <w:pPr>
        <w:pStyle w:val="5"/>
        <w:spacing w:before="156"/>
        <w:rPr>
          <w:rFonts w:hint="eastAsia"/>
        </w:rPr>
      </w:pPr>
      <w:r>
        <w:rPr>
          <w:rFonts w:hint="eastAsia" w:ascii="Times New Roman" w:hAnsi="Times New Roman"/>
        </w:rPr>
        <w:t>2</w:t>
      </w:r>
      <w:r>
        <w:rPr>
          <w:rFonts w:hint="eastAsia"/>
        </w:rPr>
        <w:t>.</w:t>
      </w:r>
      <w:r>
        <w:rPr>
          <w:rFonts w:hint="eastAsia" w:ascii="Times New Roman" w:hAnsi="Times New Roman"/>
          <w:lang w:val="en-US" w:eastAsia="zh-CN"/>
        </w:rPr>
        <w:t>6</w:t>
      </w:r>
      <w:r>
        <w:rPr>
          <w:rFonts w:hint="eastAsia"/>
        </w:rPr>
        <w:t>.</w:t>
      </w:r>
      <w:r>
        <w:rPr>
          <w:rFonts w:hint="eastAsia" w:ascii="Times New Roman" w:hAnsi="Times New Roman"/>
        </w:rPr>
        <w:t>2</w:t>
      </w:r>
      <w:r>
        <w:rPr>
          <w:rFonts w:hint="eastAsia"/>
        </w:rPr>
        <w:t>环境</w:t>
      </w:r>
      <w:bookmarkEnd w:id="95"/>
      <w:bookmarkEnd w:id="96"/>
      <w:bookmarkEnd w:id="97"/>
      <w:r>
        <w:rPr>
          <w:rFonts w:hint="eastAsia"/>
        </w:rPr>
        <w:t>保护目标</w:t>
      </w:r>
    </w:p>
    <w:p>
      <w:pPr>
        <w:ind w:firstLine="480"/>
      </w:pPr>
      <w:bookmarkStart w:id="98" w:name="_Toc327373184"/>
      <w:bookmarkStart w:id="99" w:name="_Toc332975159"/>
      <w:r>
        <w:rPr>
          <w:rFonts w:hint="eastAsia"/>
        </w:rPr>
        <w:t>根据</w:t>
      </w:r>
      <w:r>
        <w:rPr>
          <w:rFonts w:hint="eastAsia"/>
          <w:lang w:eastAsia="zh-CN"/>
        </w:rPr>
        <w:t>项目</w:t>
      </w:r>
      <w:r>
        <w:rPr>
          <w:rFonts w:hint="eastAsia"/>
        </w:rPr>
        <w:t>周围环境特征，本次评价确定需要环境保护的目标见表</w:t>
      </w:r>
      <w:r>
        <w:rPr>
          <w:rFonts w:hint="eastAsia" w:ascii="Times New Roman" w:hAnsi="Times New Roman"/>
        </w:rPr>
        <w:t>2</w:t>
      </w:r>
      <w:r>
        <w:rPr>
          <w:rFonts w:hint="eastAsia"/>
        </w:rPr>
        <w:t>.</w:t>
      </w:r>
      <w:r>
        <w:rPr>
          <w:rFonts w:hint="eastAsia" w:ascii="Times New Roman" w:hAnsi="Times New Roman"/>
          <w:lang w:val="en-US" w:eastAsia="zh-CN"/>
        </w:rPr>
        <w:t>6</w:t>
      </w:r>
      <w:r>
        <w:rPr>
          <w:rFonts w:hint="eastAsia"/>
        </w:rPr>
        <w:t>-</w:t>
      </w:r>
      <w:r>
        <w:rPr>
          <w:rFonts w:hint="eastAsia" w:ascii="Times New Roman" w:hAnsi="Times New Roman"/>
        </w:rPr>
        <w:t>2</w:t>
      </w:r>
      <w:r>
        <w:rPr>
          <w:rFonts w:hint="eastAsia"/>
        </w:rPr>
        <w:t>，</w:t>
      </w:r>
      <w:r>
        <w:rPr>
          <w:rFonts w:hint="eastAsia"/>
          <w:color w:val="FF0000"/>
        </w:rPr>
        <w:t>图</w:t>
      </w:r>
      <w:r>
        <w:rPr>
          <w:rFonts w:hint="eastAsia" w:ascii="Times New Roman" w:hAnsi="Times New Roman"/>
          <w:color w:val="FF0000"/>
        </w:rPr>
        <w:t>2</w:t>
      </w:r>
      <w:r>
        <w:rPr>
          <w:rFonts w:hint="eastAsia"/>
          <w:color w:val="FF0000"/>
        </w:rPr>
        <w:t>.</w:t>
      </w:r>
      <w:r>
        <w:rPr>
          <w:rFonts w:hint="eastAsia" w:ascii="Times New Roman" w:hAnsi="Times New Roman"/>
          <w:color w:val="FF0000"/>
          <w:lang w:val="en-US" w:eastAsia="zh-CN"/>
        </w:rPr>
        <w:t>6</w:t>
      </w:r>
      <w:r>
        <w:rPr>
          <w:rFonts w:hint="eastAsia"/>
          <w:color w:val="FF0000"/>
        </w:rPr>
        <w:t>-</w:t>
      </w:r>
      <w:r>
        <w:rPr>
          <w:rFonts w:hint="eastAsia" w:ascii="Times New Roman" w:hAnsi="Times New Roman"/>
          <w:color w:val="FF0000"/>
        </w:rPr>
        <w:t>2</w:t>
      </w:r>
      <w:r>
        <w:t>。</w:t>
      </w:r>
    </w:p>
    <w:p>
      <w:pPr>
        <w:pStyle w:val="20"/>
        <w:spacing w:before="156"/>
        <w:rPr>
          <w:rFonts w:hint="eastAsia"/>
        </w:rPr>
      </w:pPr>
      <w:r>
        <w:rPr>
          <w:rFonts w:hint="eastAsia"/>
        </w:rPr>
        <w:t>表</w:t>
      </w:r>
      <w:r>
        <w:rPr>
          <w:rFonts w:hint="eastAsia" w:ascii="Times New Roman" w:hAnsi="Times New Roman"/>
        </w:rPr>
        <w:t>2</w:t>
      </w:r>
      <w:r>
        <w:rPr>
          <w:rFonts w:hint="eastAsia"/>
        </w:rPr>
        <w:t>.</w:t>
      </w:r>
      <w:r>
        <w:rPr>
          <w:rFonts w:hint="eastAsia" w:ascii="Times New Roman" w:hAnsi="Times New Roman"/>
          <w:lang w:val="en-US" w:eastAsia="zh-CN"/>
        </w:rPr>
        <w:t>6</w:t>
      </w:r>
      <w:r>
        <w:rPr>
          <w:rFonts w:hint="eastAsia"/>
        </w:rPr>
        <w:t>-</w:t>
      </w:r>
      <w:r>
        <w:rPr>
          <w:rFonts w:hint="eastAsia" w:ascii="Times New Roman" w:hAnsi="Times New Roman"/>
        </w:rPr>
        <w:t>2</w:t>
      </w:r>
      <w:r>
        <w:rPr>
          <w:rFonts w:hint="eastAsia"/>
        </w:rPr>
        <w:t xml:space="preserve">  评价区环境保护目标</w:t>
      </w:r>
    </w:p>
    <w:tbl>
      <w:tblPr>
        <w:tblStyle w:val="1095"/>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20"/>
        <w:gridCol w:w="1157"/>
        <w:gridCol w:w="800"/>
        <w:gridCol w:w="767"/>
        <w:gridCol w:w="1933"/>
        <w:gridCol w:w="1350"/>
        <w:gridCol w:w="922"/>
        <w:gridCol w:w="11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3" w:hRule="atLeast"/>
          <w:tblHeader/>
          <w:jc w:val="center"/>
        </w:trPr>
        <w:tc>
          <w:tcPr>
            <w:tcW w:w="820" w:type="dxa"/>
            <w:vMerge w:val="restart"/>
            <w:tcBorders>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eastAsia="zh-CN"/>
              </w:rPr>
            </w:pPr>
            <w:r>
              <w:rPr>
                <w:rFonts w:hint="eastAsia"/>
                <w:color w:val="auto"/>
                <w:spacing w:val="-11"/>
                <w:sz w:val="21"/>
                <w:szCs w:val="21"/>
                <w:lang w:eastAsia="zh-CN"/>
              </w:rPr>
              <w:t>环境</w:t>
            </w:r>
          </w:p>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eastAsia="宋体"/>
                <w:color w:val="auto"/>
                <w:spacing w:val="-11"/>
                <w:sz w:val="21"/>
                <w:szCs w:val="21"/>
                <w:lang w:eastAsia="zh-CN"/>
              </w:rPr>
            </w:pPr>
            <w:r>
              <w:rPr>
                <w:rFonts w:hint="eastAsia"/>
                <w:color w:val="auto"/>
                <w:spacing w:val="-11"/>
                <w:sz w:val="21"/>
                <w:szCs w:val="21"/>
                <w:lang w:eastAsia="zh-CN"/>
              </w:rPr>
              <w:t>要素</w:t>
            </w:r>
          </w:p>
        </w:tc>
        <w:tc>
          <w:tcPr>
            <w:tcW w:w="1157"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eastAsia="宋体"/>
                <w:color w:val="auto"/>
                <w:spacing w:val="-11"/>
                <w:sz w:val="21"/>
                <w:szCs w:val="21"/>
                <w:lang w:eastAsia="zh-CN"/>
              </w:rPr>
            </w:pPr>
            <w:r>
              <w:rPr>
                <w:rFonts w:hint="eastAsia"/>
                <w:color w:val="auto"/>
                <w:spacing w:val="-11"/>
                <w:sz w:val="21"/>
                <w:szCs w:val="21"/>
                <w:lang w:eastAsia="zh-CN"/>
              </w:rPr>
              <w:t>名称</w:t>
            </w:r>
          </w:p>
        </w:tc>
        <w:tc>
          <w:tcPr>
            <w:tcW w:w="1567" w:type="dxa"/>
            <w:gridSpan w:val="2"/>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r>
              <w:rPr>
                <w:rFonts w:hint="eastAsia"/>
                <w:color w:val="auto"/>
                <w:spacing w:val="-11"/>
                <w:sz w:val="21"/>
                <w:szCs w:val="21"/>
              </w:rPr>
              <w:t>坐标/</w:t>
            </w:r>
            <w:r>
              <w:rPr>
                <w:rFonts w:ascii="Times New Roman" w:hAnsi="Times New Roman"/>
                <w:color w:val="auto"/>
                <w:spacing w:val="-11"/>
                <w:sz w:val="21"/>
                <w:szCs w:val="21"/>
              </w:rPr>
              <w:t>m</w:t>
            </w:r>
          </w:p>
        </w:tc>
        <w:tc>
          <w:tcPr>
            <w:tcW w:w="1933"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rPr>
            </w:pPr>
            <w:r>
              <w:rPr>
                <w:rFonts w:hint="eastAsia"/>
                <w:color w:val="auto"/>
                <w:spacing w:val="-11"/>
                <w:sz w:val="21"/>
                <w:szCs w:val="21"/>
              </w:rPr>
              <w:t>保护</w:t>
            </w:r>
          </w:p>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r>
              <w:rPr>
                <w:rFonts w:hint="eastAsia"/>
                <w:color w:val="auto"/>
                <w:spacing w:val="-11"/>
                <w:sz w:val="21"/>
                <w:szCs w:val="21"/>
              </w:rPr>
              <w:t>对象</w:t>
            </w:r>
          </w:p>
        </w:tc>
        <w:tc>
          <w:tcPr>
            <w:tcW w:w="1350"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eastAsia="zh-CN"/>
              </w:rPr>
            </w:pPr>
            <w:r>
              <w:rPr>
                <w:rFonts w:hint="eastAsia"/>
                <w:color w:val="auto"/>
                <w:spacing w:val="-11"/>
                <w:sz w:val="21"/>
                <w:szCs w:val="21"/>
                <w:lang w:eastAsia="zh-CN"/>
              </w:rPr>
              <w:t>控制</w:t>
            </w:r>
          </w:p>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eastAsia="zh-CN"/>
              </w:rPr>
            </w:pPr>
            <w:r>
              <w:rPr>
                <w:rFonts w:hint="eastAsia"/>
                <w:color w:val="auto"/>
                <w:spacing w:val="-11"/>
                <w:sz w:val="21"/>
                <w:szCs w:val="21"/>
                <w:lang w:eastAsia="zh-CN"/>
              </w:rPr>
              <w:t>要求</w:t>
            </w:r>
          </w:p>
        </w:tc>
        <w:tc>
          <w:tcPr>
            <w:tcW w:w="922" w:type="dxa"/>
            <w:vMerge w:val="restart"/>
            <w:tcBorders>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r>
              <w:rPr>
                <w:rFonts w:hint="eastAsia"/>
                <w:color w:val="auto"/>
                <w:spacing w:val="-11"/>
                <w:sz w:val="21"/>
                <w:szCs w:val="21"/>
              </w:rPr>
              <w:t>相对厂址方位</w:t>
            </w:r>
          </w:p>
        </w:tc>
        <w:tc>
          <w:tcPr>
            <w:tcW w:w="1173" w:type="dxa"/>
            <w:vMerge w:val="restart"/>
            <w:tcBorders>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r>
              <w:rPr>
                <w:rFonts w:hint="eastAsia"/>
                <w:color w:val="auto"/>
                <w:spacing w:val="-11"/>
                <w:sz w:val="21"/>
                <w:szCs w:val="21"/>
              </w:rPr>
              <w:t>相对厂界距离/</w:t>
            </w:r>
            <w:r>
              <w:rPr>
                <w:rFonts w:ascii="Times New Roman" w:hAnsi="Times New Roman"/>
                <w:color w:val="auto"/>
                <w:spacing w:val="-11"/>
                <w:sz w:val="21"/>
                <w:szCs w:val="21"/>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8" w:hRule="atLeast"/>
          <w:jc w:val="center"/>
        </w:trPr>
        <w:tc>
          <w:tcPr>
            <w:tcW w:w="820" w:type="dxa"/>
            <w:vMerge w:val="continue"/>
            <w:tcBorders>
              <w:top w:val="single" w:color="000000" w:sz="4" w:space="0"/>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r>
              <w:rPr>
                <w:rFonts w:ascii="Times New Roman" w:hAnsi="Times New Roman"/>
                <w:color w:val="auto"/>
                <w:spacing w:val="-11"/>
                <w:sz w:val="21"/>
                <w:szCs w:val="21"/>
              </w:rPr>
              <w:t>X</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r>
              <w:rPr>
                <w:rFonts w:ascii="Times New Roman" w:hAnsi="Times New Roman"/>
                <w:color w:val="auto"/>
                <w:spacing w:val="-11"/>
                <w:sz w:val="21"/>
                <w:szCs w:val="21"/>
              </w:rPr>
              <w:t>Y</w:t>
            </w:r>
          </w:p>
        </w:tc>
        <w:tc>
          <w:tcPr>
            <w:tcW w:w="193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p>
        </w:tc>
        <w:tc>
          <w:tcPr>
            <w:tcW w:w="1173" w:type="dxa"/>
            <w:vMerge w:val="continue"/>
            <w:tcBorders>
              <w:top w:val="single" w:color="000000" w:sz="4" w:space="0"/>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color w:val="auto"/>
                <w:spacing w:val="-11"/>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820" w:type="dxa"/>
            <w:vMerge w:val="restart"/>
            <w:tcBorders>
              <w:top w:val="single" w:color="000000" w:sz="4" w:space="0"/>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val="en-US" w:eastAsia="zh-CN"/>
              </w:rPr>
            </w:pPr>
            <w:r>
              <w:rPr>
                <w:rFonts w:hint="eastAsia"/>
                <w:color w:val="auto"/>
                <w:spacing w:val="-11"/>
                <w:sz w:val="21"/>
                <w:szCs w:val="21"/>
                <w:lang w:val="en-US" w:eastAsia="zh-CN"/>
              </w:rPr>
              <w:t>环境空气</w:t>
            </w:r>
          </w:p>
        </w:tc>
        <w:tc>
          <w:tcPr>
            <w:tcW w:w="11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宋体" w:hAnsi="Times New Roman"/>
                <w:color w:val="auto"/>
                <w:spacing w:val="-11"/>
                <w:sz w:val="20"/>
                <w:szCs w:val="20"/>
                <w:lang w:val="en-US" w:eastAsia="zh-CN" w:bidi="ar-SA"/>
              </w:rPr>
            </w:pPr>
            <w:r>
              <w:rPr>
                <w:rFonts w:hint="eastAsia" w:hAnsi="Times New Roman"/>
                <w:color w:val="auto"/>
                <w:spacing w:val="-11"/>
                <w:sz w:val="20"/>
                <w:szCs w:val="20"/>
                <w:lang w:val="en-US" w:eastAsia="zh-CN" w:bidi="ar-SA"/>
              </w:rPr>
              <w:t>园区办公室</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宋体" w:hAnsi="Times New Roman"/>
                <w:color w:val="auto"/>
                <w:spacing w:val="-11"/>
                <w:sz w:val="20"/>
                <w:szCs w:val="20"/>
                <w:lang w:val="en-US" w:eastAsia="zh-CN" w:bidi="ar-SA"/>
              </w:rPr>
            </w:pPr>
            <w:r>
              <w:rPr>
                <w:rFonts w:hint="eastAsia" w:ascii="Times New Roman" w:hAnsi="Times New Roman"/>
                <w:color w:val="auto"/>
                <w:spacing w:val="-11"/>
                <w:sz w:val="20"/>
                <w:szCs w:val="20"/>
                <w:lang w:val="en-US" w:eastAsia="zh-CN" w:bidi="ar-SA"/>
              </w:rPr>
              <w:t>84</w:t>
            </w:r>
            <w:r>
              <w:rPr>
                <w:rFonts w:hint="eastAsia" w:hAnsi="Times New Roman"/>
                <w:color w:val="auto"/>
                <w:spacing w:val="-11"/>
                <w:sz w:val="20"/>
                <w:szCs w:val="20"/>
                <w:lang w:val="en-US" w:eastAsia="zh-CN" w:bidi="ar-SA"/>
              </w:rPr>
              <w:t>.</w:t>
            </w:r>
            <w:r>
              <w:rPr>
                <w:rFonts w:hint="eastAsia" w:ascii="Times New Roman" w:hAnsi="Times New Roman"/>
                <w:color w:val="auto"/>
                <w:spacing w:val="-11"/>
                <w:sz w:val="20"/>
                <w:szCs w:val="20"/>
                <w:lang w:val="en-US" w:eastAsia="zh-CN" w:bidi="ar-SA"/>
              </w:rPr>
              <w:t>29</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宋体" w:hAnsi="Times New Roman"/>
                <w:color w:val="auto"/>
                <w:spacing w:val="-11"/>
                <w:sz w:val="20"/>
                <w:szCs w:val="20"/>
                <w:lang w:val="en-US" w:eastAsia="zh-CN" w:bidi="ar-SA"/>
              </w:rPr>
            </w:pPr>
            <w:r>
              <w:rPr>
                <w:rFonts w:hint="eastAsia" w:ascii="Times New Roman" w:hAnsi="Times New Roman"/>
                <w:color w:val="auto"/>
                <w:spacing w:val="-11"/>
                <w:sz w:val="20"/>
                <w:szCs w:val="20"/>
                <w:lang w:val="en-US" w:eastAsia="zh-CN" w:bidi="ar-SA"/>
              </w:rPr>
              <w:t>44</w:t>
            </w:r>
            <w:r>
              <w:rPr>
                <w:rFonts w:hint="eastAsia" w:hAnsi="Times New Roman"/>
                <w:color w:val="auto"/>
                <w:spacing w:val="-11"/>
                <w:sz w:val="20"/>
                <w:szCs w:val="20"/>
                <w:lang w:val="en-US" w:eastAsia="zh-CN" w:bidi="ar-SA"/>
              </w:rPr>
              <w:t>.</w:t>
            </w:r>
            <w:r>
              <w:rPr>
                <w:rFonts w:hint="eastAsia" w:ascii="Times New Roman" w:hAnsi="Times New Roman"/>
                <w:color w:val="auto"/>
                <w:spacing w:val="-11"/>
                <w:sz w:val="20"/>
                <w:szCs w:val="20"/>
                <w:lang w:val="en-US" w:eastAsia="zh-CN" w:bidi="ar-SA"/>
              </w:rPr>
              <w:t>34</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宋体" w:hAnsi="Times New Roman" w:eastAsia="宋体"/>
                <w:color w:val="auto"/>
                <w:spacing w:val="-11"/>
                <w:sz w:val="20"/>
                <w:szCs w:val="20"/>
                <w:lang w:val="en-US" w:eastAsia="zh-CN" w:bidi="ar-SA"/>
              </w:rPr>
            </w:pPr>
            <w:r>
              <w:rPr>
                <w:rFonts w:hint="eastAsia" w:hAnsi="Times New Roman"/>
                <w:color w:val="auto"/>
                <w:spacing w:val="-11"/>
                <w:sz w:val="20"/>
                <w:szCs w:val="20"/>
                <w:lang w:val="en-US" w:eastAsia="zh-CN" w:bidi="ar-SA"/>
              </w:rPr>
              <w:t>居住人群（约</w:t>
            </w:r>
            <w:r>
              <w:rPr>
                <w:rFonts w:hint="eastAsia" w:ascii="Times New Roman" w:hAnsi="Times New Roman"/>
                <w:color w:val="auto"/>
                <w:spacing w:val="-11"/>
                <w:sz w:val="20"/>
                <w:szCs w:val="20"/>
                <w:lang w:val="en-US" w:eastAsia="zh-CN" w:bidi="ar-SA"/>
              </w:rPr>
              <w:t>60</w:t>
            </w:r>
            <w:r>
              <w:rPr>
                <w:rFonts w:hint="eastAsia" w:hAnsi="Times New Roman"/>
                <w:color w:val="auto"/>
                <w:spacing w:val="-11"/>
                <w:sz w:val="20"/>
                <w:szCs w:val="20"/>
                <w:lang w:val="en-US" w:eastAsia="zh-CN" w:bidi="ar-SA"/>
              </w:rPr>
              <w:t>人）</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eastAsia="宋体"/>
                <w:color w:val="auto"/>
                <w:spacing w:val="-11"/>
                <w:sz w:val="21"/>
                <w:szCs w:val="21"/>
                <w:lang w:val="en-US" w:eastAsia="zh-CN"/>
              </w:rPr>
            </w:pPr>
            <w:r>
              <w:rPr>
                <w:rFonts w:hint="eastAsia" w:ascii="Times New Roman" w:hAnsi="Times New Roman" w:eastAsia="宋体"/>
                <w:color w:val="auto"/>
                <w:spacing w:val="-11"/>
                <w:sz w:val="21"/>
                <w:szCs w:val="21"/>
                <w:lang w:val="en-US" w:eastAsia="zh-CN"/>
              </w:rPr>
              <w:t>GB3095</w:t>
            </w:r>
            <w:r>
              <w:rPr>
                <w:rFonts w:hint="eastAsia" w:eastAsia="宋体"/>
                <w:color w:val="auto"/>
                <w:spacing w:val="-11"/>
                <w:sz w:val="21"/>
                <w:szCs w:val="21"/>
                <w:lang w:val="en-US" w:eastAsia="zh-CN"/>
              </w:rPr>
              <w:t>-</w:t>
            </w:r>
            <w:r>
              <w:rPr>
                <w:rFonts w:hint="eastAsia" w:ascii="Times New Roman" w:hAnsi="Times New Roman" w:eastAsia="宋体"/>
                <w:color w:val="auto"/>
                <w:spacing w:val="-11"/>
                <w:sz w:val="21"/>
                <w:szCs w:val="21"/>
                <w:lang w:val="en-US" w:eastAsia="zh-CN"/>
              </w:rPr>
              <w:t>2012</w:t>
            </w:r>
            <w:r>
              <w:rPr>
                <w:rFonts w:hint="eastAsia" w:eastAsia="宋体"/>
                <w:color w:val="auto"/>
                <w:spacing w:val="-11"/>
                <w:sz w:val="21"/>
                <w:szCs w:val="21"/>
                <w:lang w:val="en-US" w:eastAsia="zh-CN"/>
              </w:rPr>
              <w:t>二级</w:t>
            </w: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宋体" w:hAnsi="Times New Roman" w:eastAsia="宋体"/>
                <w:color w:val="auto"/>
                <w:spacing w:val="-11"/>
                <w:sz w:val="21"/>
                <w:szCs w:val="21"/>
                <w:lang w:val="en-US" w:eastAsia="zh-CN" w:bidi="ar-SA"/>
              </w:rPr>
            </w:pPr>
            <w:r>
              <w:rPr>
                <w:rFonts w:hint="eastAsia" w:ascii="Times New Roman" w:hAnsi="Times New Roman"/>
                <w:color w:val="auto"/>
                <w:spacing w:val="-11"/>
                <w:sz w:val="21"/>
                <w:szCs w:val="21"/>
                <w:lang w:val="en-US" w:eastAsia="zh-CN" w:bidi="ar-SA"/>
              </w:rPr>
              <w:t>E</w:t>
            </w:r>
          </w:p>
        </w:tc>
        <w:tc>
          <w:tcPr>
            <w:tcW w:w="1173" w:type="dxa"/>
            <w:tcBorders>
              <w:top w:val="single" w:color="000000" w:sz="4" w:space="0"/>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宋体" w:hAnsi="Times New Roman" w:eastAsia="宋体"/>
                <w:color w:val="auto"/>
                <w:spacing w:val="-11"/>
                <w:sz w:val="21"/>
                <w:szCs w:val="21"/>
                <w:lang w:val="en-US" w:eastAsia="zh-CN" w:bidi="ar-SA"/>
              </w:rPr>
            </w:pPr>
            <w:r>
              <w:rPr>
                <w:rFonts w:hint="eastAsia" w:ascii="Times New Roman" w:hAnsi="Times New Roman"/>
                <w:color w:val="auto"/>
                <w:spacing w:val="-11"/>
                <w:sz w:val="21"/>
                <w:szCs w:val="21"/>
                <w:lang w:val="en-US" w:eastAsia="zh-CN" w:bidi="ar-SA"/>
              </w:rPr>
              <w:t>970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820" w:type="dxa"/>
            <w:vMerge w:val="continue"/>
            <w:tcBorders>
              <w:top w:val="single" w:color="000000" w:sz="4" w:space="0"/>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val="en-US" w:eastAsia="zh-CN"/>
              </w:rPr>
            </w:pPr>
          </w:p>
        </w:tc>
        <w:tc>
          <w:tcPr>
            <w:tcW w:w="11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宋体" w:eastAsia="宋体" w:cs="Times New Roman"/>
                <w:color w:val="auto"/>
                <w:spacing w:val="-11"/>
                <w:sz w:val="20"/>
                <w:szCs w:val="20"/>
                <w:lang w:eastAsia="zh-CN"/>
              </w:rPr>
            </w:pPr>
            <w:r>
              <w:rPr>
                <w:rFonts w:hint="eastAsia" w:cs="Times New Roman"/>
                <w:color w:val="auto"/>
                <w:spacing w:val="-11"/>
                <w:sz w:val="20"/>
                <w:szCs w:val="20"/>
                <w:lang w:eastAsia="zh-CN"/>
              </w:rPr>
              <w:t>牧民新村</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color w:val="auto"/>
                <w:spacing w:val="-11"/>
                <w:sz w:val="20"/>
                <w:szCs w:val="20"/>
                <w:lang w:val="en-US" w:eastAsia="zh-CN"/>
              </w:rPr>
            </w:pPr>
            <w:r>
              <w:rPr>
                <w:rFonts w:hint="eastAsia" w:ascii="Times New Roman" w:hAnsi="Times New Roman"/>
                <w:color w:val="auto"/>
                <w:spacing w:val="-11"/>
                <w:sz w:val="20"/>
                <w:szCs w:val="20"/>
                <w:lang w:val="en-US" w:eastAsia="zh-CN"/>
              </w:rPr>
              <w:t>84</w:t>
            </w:r>
            <w:r>
              <w:rPr>
                <w:rFonts w:hint="eastAsia"/>
                <w:color w:val="auto"/>
                <w:spacing w:val="-11"/>
                <w:sz w:val="20"/>
                <w:szCs w:val="20"/>
                <w:lang w:val="en-US" w:eastAsia="zh-CN"/>
              </w:rPr>
              <w:t>.</w:t>
            </w:r>
            <w:r>
              <w:rPr>
                <w:rFonts w:hint="eastAsia" w:ascii="Times New Roman" w:hAnsi="Times New Roman"/>
                <w:color w:val="auto"/>
                <w:spacing w:val="-11"/>
                <w:sz w:val="20"/>
                <w:szCs w:val="20"/>
                <w:lang w:val="en-US" w:eastAsia="zh-CN"/>
              </w:rPr>
              <w:t>30</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color w:val="auto"/>
                <w:spacing w:val="-11"/>
                <w:sz w:val="20"/>
                <w:szCs w:val="20"/>
                <w:lang w:val="en-US" w:eastAsia="zh-CN"/>
              </w:rPr>
            </w:pPr>
            <w:r>
              <w:rPr>
                <w:rFonts w:hint="eastAsia" w:ascii="Times New Roman" w:hAnsi="Times New Roman"/>
                <w:color w:val="auto"/>
                <w:spacing w:val="-11"/>
                <w:sz w:val="20"/>
                <w:szCs w:val="20"/>
                <w:lang w:val="en-US" w:eastAsia="zh-CN"/>
              </w:rPr>
              <w:t>44</w:t>
            </w:r>
            <w:r>
              <w:rPr>
                <w:rFonts w:hint="eastAsia"/>
                <w:color w:val="auto"/>
                <w:spacing w:val="-11"/>
                <w:sz w:val="20"/>
                <w:szCs w:val="20"/>
                <w:lang w:val="en-US" w:eastAsia="zh-CN"/>
              </w:rPr>
              <w:t>.</w:t>
            </w:r>
            <w:r>
              <w:rPr>
                <w:rFonts w:hint="eastAsia" w:ascii="Times New Roman" w:hAnsi="Times New Roman"/>
                <w:color w:val="auto"/>
                <w:spacing w:val="-11"/>
                <w:sz w:val="20"/>
                <w:szCs w:val="20"/>
                <w:lang w:val="en-US" w:eastAsia="zh-CN"/>
              </w:rPr>
              <w:t>31</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宋体" w:hAnsi="Times New Roman" w:eastAsia="宋体" w:cs="Times New Roman"/>
                <w:color w:val="auto"/>
                <w:spacing w:val="-11"/>
                <w:sz w:val="20"/>
                <w:szCs w:val="20"/>
                <w:lang w:val="en-US" w:eastAsia="zh-CN" w:bidi="ar-SA"/>
              </w:rPr>
            </w:pPr>
            <w:r>
              <w:rPr>
                <w:rFonts w:hint="eastAsia"/>
                <w:color w:val="auto"/>
                <w:spacing w:val="-11"/>
                <w:sz w:val="20"/>
                <w:szCs w:val="20"/>
                <w:lang w:val="en-US" w:eastAsia="zh-CN"/>
              </w:rPr>
              <w:t>居住人群（约</w:t>
            </w:r>
            <w:r>
              <w:rPr>
                <w:rFonts w:hint="eastAsia" w:ascii="Times New Roman" w:hAnsi="Times New Roman"/>
                <w:color w:val="auto"/>
                <w:spacing w:val="-11"/>
                <w:sz w:val="20"/>
                <w:szCs w:val="20"/>
                <w:lang w:val="en-US" w:eastAsia="zh-CN"/>
              </w:rPr>
              <w:t>170</w:t>
            </w:r>
            <w:r>
              <w:rPr>
                <w:rFonts w:hint="eastAsia"/>
                <w:color w:val="auto"/>
                <w:spacing w:val="-11"/>
                <w:sz w:val="20"/>
                <w:szCs w:val="20"/>
                <w:lang w:val="en-US" w:eastAsia="zh-CN"/>
              </w:rPr>
              <w:t>人）</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Times New Roman" w:hAnsi="Times New Roman" w:eastAsia="宋体"/>
                <w:color w:val="auto"/>
                <w:spacing w:val="-11"/>
                <w:sz w:val="21"/>
                <w:szCs w:val="21"/>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Times New Roman" w:eastAsia="宋体"/>
                <w:color w:val="auto"/>
                <w:spacing w:val="-11"/>
                <w:sz w:val="21"/>
                <w:szCs w:val="21"/>
                <w:lang w:val="en-US" w:eastAsia="zh-CN"/>
              </w:rPr>
            </w:pPr>
            <w:r>
              <w:rPr>
                <w:rFonts w:hint="eastAsia" w:ascii="Times New Roman" w:hAnsi="Times New Roman"/>
                <w:color w:val="auto"/>
                <w:spacing w:val="-11"/>
                <w:sz w:val="21"/>
                <w:szCs w:val="21"/>
                <w:lang w:val="en-US" w:eastAsia="zh-CN"/>
              </w:rPr>
              <w:t>SE</w:t>
            </w:r>
          </w:p>
        </w:tc>
        <w:tc>
          <w:tcPr>
            <w:tcW w:w="1173" w:type="dxa"/>
            <w:tcBorders>
              <w:top w:val="single" w:color="000000" w:sz="4" w:space="0"/>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Times New Roman" w:eastAsia="宋体"/>
                <w:color w:val="auto"/>
                <w:spacing w:val="-11"/>
                <w:sz w:val="21"/>
                <w:szCs w:val="21"/>
                <w:lang w:val="en-US" w:eastAsia="zh-CN"/>
              </w:rPr>
            </w:pPr>
            <w:r>
              <w:rPr>
                <w:rFonts w:hint="eastAsia" w:ascii="Times New Roman" w:hAnsi="Times New Roman"/>
                <w:color w:val="auto"/>
                <w:spacing w:val="-11"/>
                <w:sz w:val="21"/>
                <w:szCs w:val="21"/>
                <w:lang w:val="en-US" w:eastAsia="zh-CN"/>
              </w:rPr>
              <w:t>2900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820" w:type="dxa"/>
            <w:vMerge w:val="continue"/>
            <w:tcBorders>
              <w:top w:val="single" w:color="000000" w:sz="4" w:space="0"/>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val="en-US" w:eastAsia="zh-CN"/>
              </w:rPr>
            </w:pPr>
          </w:p>
        </w:tc>
        <w:tc>
          <w:tcPr>
            <w:tcW w:w="11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宋体" w:eastAsia="宋体" w:cs="Times New Roman"/>
                <w:color w:val="auto"/>
                <w:spacing w:val="-11"/>
                <w:sz w:val="20"/>
                <w:szCs w:val="20"/>
                <w:lang w:eastAsia="zh-CN"/>
              </w:rPr>
            </w:pPr>
            <w:r>
              <w:rPr>
                <w:rFonts w:hint="eastAsia" w:cs="Times New Roman"/>
                <w:color w:val="auto"/>
                <w:spacing w:val="-11"/>
                <w:sz w:val="20"/>
                <w:szCs w:val="20"/>
                <w:lang w:eastAsia="zh-CN"/>
              </w:rPr>
              <w:t>哈尔扎木村</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color w:val="auto"/>
                <w:spacing w:val="-11"/>
                <w:sz w:val="20"/>
                <w:szCs w:val="20"/>
                <w:lang w:val="en-US" w:eastAsia="zh-CN"/>
              </w:rPr>
            </w:pPr>
            <w:r>
              <w:rPr>
                <w:rFonts w:hint="eastAsia" w:ascii="Times New Roman" w:hAnsi="Times New Roman"/>
                <w:color w:val="auto"/>
                <w:spacing w:val="-11"/>
                <w:sz w:val="20"/>
                <w:szCs w:val="20"/>
                <w:lang w:val="en-US" w:eastAsia="zh-CN"/>
              </w:rPr>
              <w:t>84</w:t>
            </w:r>
            <w:r>
              <w:rPr>
                <w:rFonts w:hint="eastAsia"/>
                <w:color w:val="auto"/>
                <w:spacing w:val="-11"/>
                <w:sz w:val="20"/>
                <w:szCs w:val="20"/>
                <w:lang w:val="en-US" w:eastAsia="zh-CN"/>
              </w:rPr>
              <w:t>.</w:t>
            </w:r>
            <w:r>
              <w:rPr>
                <w:rFonts w:hint="eastAsia" w:ascii="Times New Roman" w:hAnsi="Times New Roman"/>
                <w:color w:val="auto"/>
                <w:spacing w:val="-11"/>
                <w:sz w:val="20"/>
                <w:szCs w:val="20"/>
                <w:lang w:val="en-US" w:eastAsia="zh-CN"/>
              </w:rPr>
              <w:t>23</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color w:val="auto"/>
                <w:spacing w:val="-11"/>
                <w:sz w:val="20"/>
                <w:szCs w:val="20"/>
                <w:lang w:val="en-US" w:eastAsia="zh-CN"/>
              </w:rPr>
            </w:pPr>
            <w:r>
              <w:rPr>
                <w:rFonts w:hint="eastAsia" w:ascii="Times New Roman" w:hAnsi="Times New Roman"/>
                <w:color w:val="auto"/>
                <w:spacing w:val="-11"/>
                <w:sz w:val="20"/>
                <w:szCs w:val="20"/>
                <w:lang w:val="en-US" w:eastAsia="zh-CN"/>
              </w:rPr>
              <w:t>44</w:t>
            </w:r>
            <w:r>
              <w:rPr>
                <w:rFonts w:hint="eastAsia"/>
                <w:color w:val="auto"/>
                <w:spacing w:val="-11"/>
                <w:sz w:val="20"/>
                <w:szCs w:val="20"/>
                <w:lang w:val="en-US" w:eastAsia="zh-CN"/>
              </w:rPr>
              <w:t>.</w:t>
            </w:r>
            <w:r>
              <w:rPr>
                <w:rFonts w:hint="eastAsia" w:ascii="Times New Roman" w:hAnsi="Times New Roman"/>
                <w:color w:val="auto"/>
                <w:spacing w:val="-11"/>
                <w:sz w:val="20"/>
                <w:szCs w:val="20"/>
                <w:lang w:val="en-US" w:eastAsia="zh-CN"/>
              </w:rPr>
              <w:t>34</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宋体" w:hAnsi="Times New Roman" w:eastAsia="宋体" w:cs="Times New Roman"/>
                <w:color w:val="auto"/>
                <w:spacing w:val="-11"/>
                <w:sz w:val="20"/>
                <w:szCs w:val="20"/>
                <w:lang w:val="en-US" w:eastAsia="zh-CN" w:bidi="ar-SA"/>
              </w:rPr>
            </w:pPr>
            <w:r>
              <w:rPr>
                <w:rFonts w:hint="eastAsia" w:eastAsia="宋体"/>
                <w:color w:val="auto"/>
                <w:spacing w:val="-11"/>
                <w:sz w:val="20"/>
                <w:szCs w:val="20"/>
                <w:lang w:val="en-US" w:eastAsia="zh-CN"/>
              </w:rPr>
              <w:t>居</w:t>
            </w:r>
            <w:r>
              <w:rPr>
                <w:rFonts w:hint="eastAsia"/>
                <w:color w:val="auto"/>
                <w:spacing w:val="-11"/>
                <w:sz w:val="20"/>
                <w:szCs w:val="20"/>
                <w:lang w:val="en-US" w:eastAsia="zh-CN"/>
              </w:rPr>
              <w:t>住人群（约</w:t>
            </w:r>
            <w:r>
              <w:rPr>
                <w:rFonts w:hint="eastAsia" w:ascii="Times New Roman" w:hAnsi="Times New Roman"/>
                <w:color w:val="auto"/>
                <w:spacing w:val="-11"/>
                <w:sz w:val="20"/>
                <w:szCs w:val="20"/>
                <w:lang w:val="en-US" w:eastAsia="zh-CN"/>
              </w:rPr>
              <w:t>370</w:t>
            </w:r>
            <w:r>
              <w:rPr>
                <w:rFonts w:hint="eastAsia"/>
                <w:color w:val="auto"/>
                <w:spacing w:val="-11"/>
                <w:sz w:val="20"/>
                <w:szCs w:val="20"/>
                <w:lang w:val="en-US" w:eastAsia="zh-CN"/>
              </w:rPr>
              <w:t>人）</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Times New Roman" w:hAnsi="Times New Roman" w:eastAsia="宋体"/>
                <w:color w:val="auto"/>
                <w:spacing w:val="-11"/>
                <w:sz w:val="21"/>
                <w:szCs w:val="21"/>
                <w:lang w:val="en-US" w:eastAsia="zh-CN"/>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Times New Roman" w:eastAsia="宋体"/>
                <w:color w:val="auto"/>
                <w:spacing w:val="-11"/>
                <w:sz w:val="21"/>
                <w:szCs w:val="21"/>
                <w:lang w:val="en-US" w:eastAsia="zh-CN"/>
              </w:rPr>
            </w:pPr>
            <w:r>
              <w:rPr>
                <w:rFonts w:hint="eastAsia" w:ascii="Times New Roman" w:hAnsi="Times New Roman"/>
                <w:color w:val="auto"/>
                <w:spacing w:val="-11"/>
                <w:sz w:val="21"/>
                <w:szCs w:val="21"/>
                <w:lang w:val="en-US" w:eastAsia="zh-CN"/>
              </w:rPr>
              <w:t>NW</w:t>
            </w:r>
          </w:p>
        </w:tc>
        <w:tc>
          <w:tcPr>
            <w:tcW w:w="1173" w:type="dxa"/>
            <w:tcBorders>
              <w:top w:val="single" w:color="000000" w:sz="4" w:space="0"/>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Times New Roman" w:eastAsia="宋体"/>
                <w:color w:val="auto"/>
                <w:spacing w:val="-11"/>
                <w:sz w:val="21"/>
                <w:szCs w:val="21"/>
                <w:lang w:val="en-US" w:eastAsia="zh-CN"/>
              </w:rPr>
            </w:pPr>
            <w:r>
              <w:rPr>
                <w:rFonts w:hint="eastAsia" w:ascii="Times New Roman" w:hAnsi="Times New Roman"/>
                <w:color w:val="auto"/>
                <w:spacing w:val="-11"/>
                <w:sz w:val="21"/>
                <w:szCs w:val="21"/>
                <w:lang w:val="en-US" w:eastAsia="zh-CN"/>
              </w:rPr>
              <w:t>2530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820"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val="en-US" w:eastAsia="zh-CN"/>
              </w:rPr>
            </w:pPr>
            <w:r>
              <w:rPr>
                <w:rFonts w:hint="eastAsia"/>
                <w:color w:val="auto"/>
                <w:spacing w:val="-11"/>
                <w:sz w:val="21"/>
                <w:szCs w:val="21"/>
                <w:lang w:val="en-US" w:eastAsia="zh-CN"/>
              </w:rPr>
              <w:t>声环境</w:t>
            </w:r>
          </w:p>
        </w:tc>
        <w:tc>
          <w:tcPr>
            <w:tcW w:w="11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color w:val="auto"/>
                <w:spacing w:val="-11"/>
                <w:sz w:val="21"/>
                <w:szCs w:val="21"/>
                <w:lang w:eastAsia="zh-CN"/>
              </w:rPr>
            </w:pPr>
            <w:r>
              <w:rPr>
                <w:rFonts w:hint="eastAsia"/>
                <w:color w:val="auto"/>
                <w:spacing w:val="-11"/>
                <w:sz w:val="21"/>
                <w:szCs w:val="21"/>
                <w:lang w:eastAsia="zh-CN"/>
              </w:rPr>
              <w:t>项目周边</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eastAsia="宋体"/>
                <w:color w:val="auto"/>
                <w:spacing w:val="-11"/>
                <w:sz w:val="21"/>
                <w:szCs w:val="21"/>
                <w:lang w:val="en-US" w:eastAsia="zh-CN"/>
              </w:rPr>
            </w:pPr>
            <w:r>
              <w:rPr>
                <w:rFonts w:hint="eastAsia" w:eastAsia="宋体"/>
                <w:color w:val="auto"/>
                <w:spacing w:val="-11"/>
                <w:sz w:val="21"/>
                <w:szCs w:val="21"/>
                <w:lang w:val="en-US" w:eastAsia="zh-CN"/>
              </w:rPr>
              <w:t>-</w:t>
            </w:r>
          </w:p>
        </w:tc>
        <w:tc>
          <w:tcPr>
            <w:tcW w:w="1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eastAsia="宋体"/>
                <w:color w:val="auto"/>
                <w:spacing w:val="-11"/>
                <w:sz w:val="21"/>
                <w:szCs w:val="21"/>
                <w:lang w:val="en-US" w:eastAsia="zh-CN" w:bidi="ar-SA"/>
              </w:rPr>
            </w:pPr>
            <w:r>
              <w:rPr>
                <w:rFonts w:hint="eastAsia" w:ascii="Times New Roman" w:hAnsi="Times New Roman" w:eastAsia="宋体"/>
                <w:color w:val="auto"/>
                <w:spacing w:val="-11"/>
                <w:sz w:val="21"/>
                <w:szCs w:val="21"/>
                <w:lang w:val="en-US" w:eastAsia="zh-CN" w:bidi="ar-SA"/>
              </w:rPr>
              <w:t>GB3096</w:t>
            </w:r>
            <w:r>
              <w:rPr>
                <w:rFonts w:hint="eastAsia" w:eastAsia="宋体"/>
                <w:color w:val="auto"/>
                <w:spacing w:val="-11"/>
                <w:sz w:val="21"/>
                <w:szCs w:val="21"/>
                <w:lang w:val="en-US" w:eastAsia="zh-CN" w:bidi="ar-SA"/>
              </w:rPr>
              <w:t>-</w:t>
            </w:r>
            <w:r>
              <w:rPr>
                <w:rFonts w:hint="eastAsia" w:ascii="Times New Roman" w:hAnsi="Times New Roman" w:eastAsia="宋体"/>
                <w:color w:val="auto"/>
                <w:spacing w:val="-11"/>
                <w:sz w:val="21"/>
                <w:szCs w:val="21"/>
                <w:lang w:val="en-US" w:eastAsia="zh-CN" w:bidi="ar-SA"/>
              </w:rPr>
              <w:t>20083</w:t>
            </w:r>
            <w:r>
              <w:rPr>
                <w:rFonts w:hint="eastAsia" w:eastAsia="宋体"/>
                <w:color w:val="auto"/>
                <w:spacing w:val="-11"/>
                <w:sz w:val="21"/>
                <w:szCs w:val="21"/>
                <w:lang w:val="en-US" w:eastAsia="zh-CN" w:bidi="ar-SA"/>
              </w:rPr>
              <w:t>类</w:t>
            </w: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1173" w:type="dxa"/>
            <w:tcBorders>
              <w:top w:val="single" w:color="000000" w:sz="4" w:space="0"/>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820"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val="en-US" w:eastAsia="zh-CN"/>
              </w:rPr>
            </w:pPr>
            <w:r>
              <w:rPr>
                <w:rFonts w:hint="eastAsia"/>
                <w:color w:val="auto"/>
                <w:spacing w:val="-11"/>
                <w:sz w:val="21"/>
                <w:szCs w:val="21"/>
                <w:lang w:val="en-US" w:eastAsia="zh-CN"/>
              </w:rPr>
              <w:t>地下水环境</w:t>
            </w:r>
          </w:p>
        </w:tc>
        <w:tc>
          <w:tcPr>
            <w:tcW w:w="11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color w:val="auto"/>
                <w:spacing w:val="-11"/>
                <w:sz w:val="21"/>
                <w:szCs w:val="21"/>
                <w:lang w:eastAsia="zh-CN"/>
              </w:rPr>
            </w:pPr>
            <w:r>
              <w:rPr>
                <w:rFonts w:hint="eastAsia"/>
                <w:color w:val="auto"/>
                <w:spacing w:val="-11"/>
                <w:sz w:val="21"/>
                <w:szCs w:val="21"/>
                <w:lang w:eastAsia="zh-CN"/>
              </w:rPr>
              <w:t>厂区</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color w:val="auto"/>
                <w:spacing w:val="-11"/>
                <w:sz w:val="21"/>
                <w:szCs w:val="21"/>
                <w:lang w:eastAsia="zh-CN"/>
              </w:rPr>
            </w:pPr>
            <w:r>
              <w:rPr>
                <w:rFonts w:hint="eastAsia"/>
                <w:color w:val="auto"/>
                <w:spacing w:val="-11"/>
                <w:sz w:val="21"/>
                <w:szCs w:val="21"/>
                <w:lang w:eastAsia="zh-CN"/>
              </w:rPr>
              <w:t>地下水</w:t>
            </w:r>
          </w:p>
        </w:tc>
        <w:tc>
          <w:tcPr>
            <w:tcW w:w="1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color w:val="auto"/>
                <w:spacing w:val="-11"/>
                <w:sz w:val="21"/>
                <w:szCs w:val="21"/>
                <w:lang w:val="en-US" w:eastAsia="zh-CN"/>
              </w:rPr>
            </w:pPr>
            <w:r>
              <w:rPr>
                <w:rFonts w:hint="eastAsia" w:ascii="Times New Roman" w:hAnsi="Times New Roman"/>
                <w:color w:val="auto"/>
                <w:spacing w:val="-11"/>
                <w:sz w:val="21"/>
                <w:szCs w:val="21"/>
                <w:lang w:val="en-US" w:eastAsia="zh-CN"/>
              </w:rPr>
              <w:t>GB</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T14848</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2017</w:t>
            </w:r>
            <w:r>
              <w:rPr>
                <w:rFonts w:hint="eastAsia"/>
                <w:color w:val="auto"/>
                <w:spacing w:val="-11"/>
                <w:sz w:val="21"/>
                <w:szCs w:val="21"/>
                <w:lang w:val="en-US" w:eastAsia="zh-CN"/>
              </w:rPr>
              <w:t>Ⅲ类</w:t>
            </w: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1173" w:type="dxa"/>
            <w:tcBorders>
              <w:top w:val="single" w:color="000000" w:sz="4" w:space="0"/>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820" w:type="dxa"/>
            <w:tcBorders>
              <w:top w:val="single" w:color="000000" w:sz="4" w:space="0"/>
              <w:left w:val="single" w:color="000000" w:sz="12"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val="en-US" w:eastAsia="zh-CN"/>
              </w:rPr>
            </w:pPr>
            <w:r>
              <w:rPr>
                <w:rFonts w:hint="eastAsia"/>
                <w:color w:val="auto"/>
                <w:spacing w:val="-11"/>
                <w:sz w:val="21"/>
                <w:szCs w:val="21"/>
                <w:lang w:val="en-US" w:eastAsia="zh-CN"/>
              </w:rPr>
              <w:t>土壤环境</w:t>
            </w:r>
          </w:p>
        </w:tc>
        <w:tc>
          <w:tcPr>
            <w:tcW w:w="11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color w:val="auto"/>
                <w:spacing w:val="-11"/>
                <w:sz w:val="21"/>
                <w:szCs w:val="21"/>
                <w:lang w:eastAsia="zh-CN"/>
              </w:rPr>
            </w:pPr>
            <w:r>
              <w:rPr>
                <w:rFonts w:hint="eastAsia"/>
                <w:color w:val="auto"/>
                <w:spacing w:val="-11"/>
                <w:sz w:val="21"/>
                <w:szCs w:val="21"/>
                <w:lang w:eastAsia="zh-CN"/>
              </w:rPr>
              <w:t>厂区</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宋体" w:hAnsi="Times New Roman"/>
                <w:color w:val="auto"/>
                <w:spacing w:val="-11"/>
                <w:sz w:val="21"/>
                <w:szCs w:val="21"/>
                <w:lang w:val="en-US" w:eastAsia="zh-CN" w:bidi="ar-SA"/>
              </w:rPr>
            </w:pPr>
            <w:r>
              <w:rPr>
                <w:rFonts w:hint="eastAsia" w:hAnsi="Times New Roman"/>
                <w:color w:val="auto"/>
                <w:spacing w:val="-11"/>
                <w:sz w:val="21"/>
                <w:szCs w:val="21"/>
                <w:lang w:val="en-US" w:eastAsia="zh-CN" w:bidi="ar-SA"/>
              </w:rPr>
              <w:t>/</w:t>
            </w:r>
          </w:p>
        </w:tc>
        <w:tc>
          <w:tcPr>
            <w:tcW w:w="7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ascii="宋体" w:hAnsi="Times New Roman"/>
                <w:color w:val="auto"/>
                <w:spacing w:val="-11"/>
                <w:sz w:val="21"/>
                <w:szCs w:val="21"/>
                <w:lang w:val="en-US" w:eastAsia="zh-CN" w:bidi="ar-SA"/>
              </w:rPr>
            </w:pPr>
            <w:r>
              <w:rPr>
                <w:rFonts w:hint="eastAsia" w:hAnsi="Times New Roman"/>
                <w:color w:val="auto"/>
                <w:spacing w:val="-11"/>
                <w:sz w:val="21"/>
                <w:szCs w:val="21"/>
                <w:lang w:val="en-US" w:eastAsia="zh-CN" w:bidi="ar-SA"/>
              </w:rPr>
              <w:t>/</w:t>
            </w:r>
          </w:p>
        </w:tc>
        <w:tc>
          <w:tcPr>
            <w:tcW w:w="1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color w:val="auto"/>
                <w:spacing w:val="-11"/>
                <w:sz w:val="21"/>
                <w:szCs w:val="21"/>
                <w:lang w:eastAsia="zh-CN"/>
              </w:rPr>
            </w:pPr>
            <w:r>
              <w:rPr>
                <w:rFonts w:hint="eastAsia"/>
                <w:color w:val="auto"/>
                <w:spacing w:val="-11"/>
                <w:sz w:val="21"/>
                <w:szCs w:val="21"/>
                <w:lang w:eastAsia="zh-CN"/>
              </w:rPr>
              <w:t>土壤</w:t>
            </w:r>
          </w:p>
        </w:tc>
        <w:tc>
          <w:tcPr>
            <w:tcW w:w="13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color w:val="auto"/>
                <w:spacing w:val="-11"/>
                <w:sz w:val="21"/>
                <w:szCs w:val="21"/>
                <w:lang w:val="en-US" w:eastAsia="zh-CN"/>
              </w:rPr>
            </w:pPr>
            <w:r>
              <w:rPr>
                <w:rFonts w:hint="eastAsia" w:ascii="Times New Roman" w:hAnsi="Times New Roman"/>
                <w:color w:val="auto"/>
                <w:spacing w:val="-17"/>
                <w:sz w:val="20"/>
                <w:szCs w:val="20"/>
                <w:lang w:val="en-US" w:eastAsia="zh-CN"/>
              </w:rPr>
              <w:t>GB36600</w:t>
            </w:r>
            <w:r>
              <w:rPr>
                <w:rFonts w:hint="eastAsia"/>
                <w:color w:val="auto"/>
                <w:spacing w:val="-17"/>
                <w:sz w:val="20"/>
                <w:szCs w:val="20"/>
                <w:lang w:val="en-US" w:eastAsia="zh-CN"/>
              </w:rPr>
              <w:t>-</w:t>
            </w:r>
            <w:r>
              <w:rPr>
                <w:rFonts w:hint="eastAsia" w:ascii="Times New Roman" w:hAnsi="Times New Roman"/>
                <w:color w:val="auto"/>
                <w:spacing w:val="-17"/>
                <w:sz w:val="20"/>
                <w:szCs w:val="20"/>
                <w:lang w:val="en-US" w:eastAsia="zh-CN"/>
              </w:rPr>
              <w:t>2018</w:t>
            </w:r>
            <w:r>
              <w:rPr>
                <w:rFonts w:hint="eastAsia"/>
                <w:color w:val="auto"/>
                <w:spacing w:val="-17"/>
                <w:sz w:val="20"/>
                <w:szCs w:val="20"/>
                <w:lang w:val="en-US" w:eastAsia="zh-CN"/>
              </w:rPr>
              <w:t>第二类筛选值</w:t>
            </w: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1173" w:type="dxa"/>
            <w:tcBorders>
              <w:top w:val="single" w:color="000000" w:sz="4" w:space="0"/>
              <w:left w:val="single" w:color="000000" w:sz="4" w:space="0"/>
              <w:bottom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ascii="Times New Roman" w:hAnsi="Times New Roman"/>
                <w:color w:val="auto"/>
                <w:spacing w:val="-11"/>
                <w:sz w:val="21"/>
                <w:szCs w:val="21"/>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820" w:type="dxa"/>
            <w:tcBorders>
              <w:top w:val="single" w:color="000000" w:sz="4" w:space="0"/>
              <w:left w:val="single" w:color="000000" w:sz="12" w:space="0"/>
              <w:bottom w:val="single" w:color="000000" w:sz="12"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eastAsia"/>
                <w:color w:val="auto"/>
                <w:spacing w:val="-11"/>
                <w:sz w:val="21"/>
                <w:szCs w:val="21"/>
                <w:lang w:val="en-US" w:eastAsia="zh-CN"/>
              </w:rPr>
            </w:pPr>
            <w:r>
              <w:rPr>
                <w:rFonts w:hint="eastAsia"/>
                <w:color w:val="auto"/>
                <w:spacing w:val="-11"/>
                <w:sz w:val="21"/>
                <w:szCs w:val="21"/>
                <w:lang w:val="en-US" w:eastAsia="zh-CN"/>
              </w:rPr>
              <w:t>环境风险</w:t>
            </w:r>
          </w:p>
        </w:tc>
        <w:tc>
          <w:tcPr>
            <w:tcW w:w="1157"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color w:val="auto"/>
                <w:spacing w:val="-11"/>
                <w:sz w:val="21"/>
                <w:szCs w:val="21"/>
                <w:lang w:eastAsia="zh-CN"/>
              </w:rPr>
            </w:pPr>
            <w:r>
              <w:rPr>
                <w:rFonts w:hint="eastAsia"/>
                <w:color w:val="auto"/>
                <w:spacing w:val="-11"/>
                <w:sz w:val="21"/>
                <w:szCs w:val="21"/>
                <w:lang w:eastAsia="zh-CN"/>
              </w:rPr>
              <w:t>项目及周边</w:t>
            </w:r>
          </w:p>
        </w:tc>
        <w:tc>
          <w:tcPr>
            <w:tcW w:w="800"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hAnsi="Times New Roman"/>
                <w:color w:val="auto"/>
                <w:spacing w:val="-11"/>
                <w:sz w:val="21"/>
                <w:szCs w:val="21"/>
                <w:lang w:val="en-US" w:eastAsia="zh-CN" w:bidi="ar-SA"/>
              </w:rPr>
            </w:pPr>
            <w:r>
              <w:rPr>
                <w:rFonts w:hint="eastAsia" w:hAnsi="Times New Roman"/>
                <w:color w:val="auto"/>
                <w:spacing w:val="-11"/>
                <w:sz w:val="21"/>
                <w:szCs w:val="21"/>
                <w:lang w:val="en-US" w:eastAsia="zh-CN" w:bidi="ar-SA"/>
              </w:rPr>
              <w:t>/</w:t>
            </w:r>
          </w:p>
        </w:tc>
        <w:tc>
          <w:tcPr>
            <w:tcW w:w="767"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default" w:hAnsi="Times New Roman"/>
                <w:color w:val="auto"/>
                <w:spacing w:val="-11"/>
                <w:sz w:val="21"/>
                <w:szCs w:val="21"/>
                <w:lang w:val="en-US" w:eastAsia="zh-CN" w:bidi="ar-SA"/>
              </w:rPr>
            </w:pPr>
            <w:r>
              <w:rPr>
                <w:rFonts w:hint="eastAsia" w:hAnsi="Times New Roman"/>
                <w:color w:val="auto"/>
                <w:spacing w:val="-11"/>
                <w:sz w:val="21"/>
                <w:szCs w:val="21"/>
                <w:lang w:val="en-US" w:eastAsia="zh-CN" w:bidi="ar-SA"/>
              </w:rPr>
              <w:t>/</w:t>
            </w:r>
          </w:p>
        </w:tc>
        <w:tc>
          <w:tcPr>
            <w:tcW w:w="1933"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color w:val="auto"/>
                <w:spacing w:val="-11"/>
                <w:sz w:val="21"/>
                <w:szCs w:val="21"/>
                <w:lang w:eastAsia="zh-CN"/>
              </w:rPr>
            </w:pPr>
            <w:r>
              <w:rPr>
                <w:rFonts w:hint="eastAsia"/>
                <w:color w:val="auto"/>
                <w:spacing w:val="-11"/>
                <w:sz w:val="21"/>
                <w:szCs w:val="21"/>
                <w:lang w:eastAsia="zh-CN"/>
              </w:rPr>
              <w:t>企业职工</w:t>
            </w:r>
          </w:p>
        </w:tc>
        <w:tc>
          <w:tcPr>
            <w:tcW w:w="1350"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firstLineChars="0"/>
              <w:jc w:val="center"/>
              <w:textAlignment w:val="auto"/>
              <w:rPr>
                <w:rFonts w:hint="eastAsia" w:ascii="Times New Roman" w:hAnsi="Times New Roman"/>
                <w:color w:val="auto"/>
                <w:spacing w:val="-17"/>
                <w:sz w:val="20"/>
                <w:szCs w:val="20"/>
                <w:lang w:val="en-US" w:eastAsia="zh-CN"/>
              </w:rPr>
            </w:pPr>
            <w:r>
              <w:rPr>
                <w:rFonts w:hint="eastAsia" w:ascii="Times New Roman" w:hAnsi="Times New Roman"/>
                <w:color w:val="auto"/>
                <w:spacing w:val="-17"/>
                <w:sz w:val="20"/>
                <w:szCs w:val="20"/>
                <w:lang w:val="en-US" w:eastAsia="zh-CN"/>
              </w:rPr>
              <w:t>环境风险可控</w:t>
            </w:r>
          </w:p>
        </w:tc>
        <w:tc>
          <w:tcPr>
            <w:tcW w:w="922" w:type="dxa"/>
            <w:tcBorders>
              <w:top w:val="single" w:color="000000" w:sz="4" w:space="0"/>
              <w:left w:val="single" w:color="000000" w:sz="4" w:space="0"/>
              <w:bottom w:val="single" w:color="000000" w:sz="12" w:space="0"/>
              <w:right w:val="single" w:color="000000"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color w:val="auto"/>
                <w:spacing w:val="-11"/>
                <w:sz w:val="21"/>
                <w:szCs w:val="21"/>
                <w:lang w:val="en-US" w:eastAsia="zh-CN"/>
              </w:rPr>
            </w:pPr>
            <w:r>
              <w:rPr>
                <w:rFonts w:hint="eastAsia"/>
                <w:color w:val="auto"/>
                <w:spacing w:val="-11"/>
                <w:sz w:val="21"/>
                <w:szCs w:val="21"/>
                <w:lang w:val="en-US" w:eastAsia="zh-CN"/>
              </w:rPr>
              <w:t>-</w:t>
            </w:r>
          </w:p>
        </w:tc>
        <w:tc>
          <w:tcPr>
            <w:tcW w:w="1173" w:type="dxa"/>
            <w:tcBorders>
              <w:top w:val="single" w:color="000000" w:sz="4" w:space="0"/>
              <w:left w:val="single" w:color="000000" w:sz="4" w:space="0"/>
              <w:bottom w:val="single" w:color="000000" w:sz="12"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before="74" w:line="240" w:lineRule="auto"/>
              <w:ind w:firstLine="0"/>
              <w:jc w:val="center"/>
              <w:textAlignment w:val="auto"/>
              <w:rPr>
                <w:rFonts w:hint="default" w:ascii="Times New Roman" w:hAnsi="Times New Roman"/>
                <w:color w:val="auto"/>
                <w:spacing w:val="-11"/>
                <w:sz w:val="21"/>
                <w:szCs w:val="21"/>
                <w:lang w:val="en-US" w:eastAsia="zh-CN"/>
              </w:rPr>
            </w:pPr>
            <w:r>
              <w:rPr>
                <w:rFonts w:hint="eastAsia" w:ascii="Times New Roman" w:hAnsi="Times New Roman"/>
                <w:color w:val="auto"/>
                <w:spacing w:val="-11"/>
                <w:sz w:val="21"/>
                <w:szCs w:val="21"/>
                <w:lang w:val="en-US" w:eastAsia="zh-CN"/>
              </w:rPr>
              <w:t>-</w:t>
            </w:r>
          </w:p>
        </w:tc>
      </w:tr>
      <w:bookmarkEnd w:id="98"/>
      <w:bookmarkEnd w:id="99"/>
    </w:tbl>
    <w:p>
      <w:pPr>
        <w:pStyle w:val="3"/>
        <w:numPr>
          <w:ilvl w:val="0"/>
          <w:numId w:val="0"/>
        </w:numPr>
        <w:rPr>
          <w:rFonts w:hint="eastAsia" w:eastAsia="楷体_GB2312"/>
          <w:lang w:eastAsia="zh-CN"/>
        </w:rPr>
      </w:pPr>
      <w:r>
        <w:rPr>
          <w:rFonts w:hint="eastAsia"/>
        </w:rPr>
        <w:br w:type="page"/>
      </w:r>
      <w:bookmarkStart w:id="100" w:name="_Toc6805"/>
      <w:bookmarkStart w:id="101" w:name="_Toc20377"/>
      <w:r>
        <w:rPr>
          <w:rFonts w:hint="eastAsia" w:ascii="Times New Roman" w:hAnsi="Times New Roman"/>
        </w:rPr>
        <w:t>3</w:t>
      </w:r>
      <w:r>
        <w:rPr>
          <w:rFonts w:hint="eastAsia"/>
          <w:lang w:eastAsia="zh-CN"/>
        </w:rPr>
        <w:t>现有工程回顾性评价</w:t>
      </w:r>
      <w:bookmarkEnd w:id="100"/>
    </w:p>
    <w:p>
      <w:pPr>
        <w:pStyle w:val="4"/>
        <w:bidi w:val="0"/>
        <w:rPr>
          <w:rFonts w:hint="default"/>
          <w:lang w:val="en-US" w:eastAsia="zh-CN"/>
        </w:rPr>
      </w:pPr>
      <w:bookmarkStart w:id="102" w:name="_Toc5825"/>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现有工程基本情况</w:t>
      </w:r>
      <w:bookmarkEnd w:id="102"/>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现有工程概况</w:t>
      </w:r>
    </w:p>
    <w:p>
      <w:pPr>
        <w:spacing w:beforeLines="0" w:line="360" w:lineRule="auto"/>
        <w:ind w:firstLine="480"/>
        <w:rPr>
          <w:rFonts w:hint="eastAsia"/>
          <w:lang w:val="en-US" w:eastAsia="zh-CN"/>
        </w:rPr>
      </w:pPr>
      <w:r>
        <w:rPr>
          <w:rFonts w:hint="eastAsia"/>
          <w:lang w:val="en-US" w:eastAsia="zh-CN"/>
        </w:rPr>
        <w:t>凯赛（乌苏）生物材料有限公司位于塔城地区乌苏工业园区西区（乌苏市马吉克工业园区），经五路与纬八路南侧。企业占地面积约</w:t>
      </w:r>
      <w:r>
        <w:rPr>
          <w:rFonts w:hint="eastAsia" w:ascii="Times New Roman" w:hAnsi="Times New Roman"/>
          <w:lang w:val="en-US" w:eastAsia="zh-CN"/>
        </w:rPr>
        <w:t>455030</w:t>
      </w:r>
      <w:r>
        <w:rPr>
          <w:rFonts w:hint="eastAsia"/>
          <w:lang w:val="en-US" w:eastAsia="zh-CN"/>
        </w:rPr>
        <w:t>㎡。</w:t>
      </w:r>
      <w:r>
        <w:rPr>
          <w:rFonts w:hint="eastAsia" w:ascii="Times New Roman" w:hAnsi="Times New Roman"/>
          <w:lang w:val="en-US" w:eastAsia="zh-CN"/>
        </w:rPr>
        <w:t>2017</w:t>
      </w:r>
      <w:r>
        <w:rPr>
          <w:rFonts w:hint="eastAsia"/>
          <w:lang w:val="en-US" w:eastAsia="zh-CN"/>
        </w:rPr>
        <w:t>年</w:t>
      </w:r>
      <w:r>
        <w:rPr>
          <w:rFonts w:hint="eastAsia" w:ascii="Times New Roman" w:hAnsi="Times New Roman"/>
          <w:lang w:val="en-US" w:eastAsia="zh-CN"/>
        </w:rPr>
        <w:t>8</w:t>
      </w:r>
      <w:r>
        <w:rPr>
          <w:rFonts w:hint="eastAsia"/>
          <w:lang w:val="en-US" w:eastAsia="zh-CN"/>
        </w:rPr>
        <w:t>月</w:t>
      </w:r>
      <w:r>
        <w:rPr>
          <w:rFonts w:hint="eastAsia" w:ascii="Times New Roman" w:hAnsi="Times New Roman"/>
          <w:lang w:val="en-US" w:eastAsia="zh-CN"/>
        </w:rPr>
        <w:t>24</w:t>
      </w:r>
      <w:r>
        <w:rPr>
          <w:rFonts w:hint="eastAsia"/>
          <w:lang w:val="en-US" w:eastAsia="zh-CN"/>
        </w:rPr>
        <w:t>日，原新疆维吾尔自治区环境保护厅以《关于凯赛（乌苏）生物材料有限公司年产</w:t>
      </w:r>
      <w:r>
        <w:rPr>
          <w:rFonts w:hint="eastAsia" w:ascii="Times New Roman" w:hAnsi="Times New Roman"/>
          <w:lang w:val="en-US" w:eastAsia="zh-CN"/>
        </w:rPr>
        <w:t>10</w:t>
      </w:r>
      <w:r>
        <w:rPr>
          <w:rFonts w:hint="eastAsia"/>
          <w:lang w:val="en-US" w:eastAsia="zh-CN"/>
        </w:rPr>
        <w:t>万吨生物基聚酰胺项目环境影响报告书的批复》（新环函[</w:t>
      </w:r>
      <w:r>
        <w:rPr>
          <w:rFonts w:hint="eastAsia" w:ascii="Times New Roman" w:hAnsi="Times New Roman"/>
          <w:lang w:val="en-US" w:eastAsia="zh-CN"/>
        </w:rPr>
        <w:t>2017</w:t>
      </w:r>
      <w:r>
        <w:rPr>
          <w:rFonts w:hint="eastAsia"/>
          <w:lang w:val="en-US" w:eastAsia="zh-CN"/>
        </w:rPr>
        <w:t>]</w:t>
      </w:r>
      <w:r>
        <w:rPr>
          <w:rFonts w:hint="eastAsia" w:ascii="Times New Roman" w:hAnsi="Times New Roman"/>
          <w:lang w:val="en-US" w:eastAsia="zh-CN"/>
        </w:rPr>
        <w:t>1315</w:t>
      </w:r>
      <w:r>
        <w:rPr>
          <w:rFonts w:hint="eastAsia"/>
          <w:lang w:val="en-US" w:eastAsia="zh-CN"/>
        </w:rPr>
        <w:t>号）对该工程进行了批复；一期工程于</w:t>
      </w:r>
      <w:r>
        <w:rPr>
          <w:rFonts w:hint="eastAsia" w:ascii="Times New Roman" w:hAnsi="Times New Roman"/>
          <w:lang w:val="en-US" w:eastAsia="zh-CN"/>
        </w:rPr>
        <w:t>2019</w:t>
      </w:r>
      <w:r>
        <w:rPr>
          <w:rFonts w:hint="eastAsia"/>
          <w:lang w:val="en-US" w:eastAsia="zh-CN"/>
        </w:rPr>
        <w:t>年</w:t>
      </w:r>
      <w:r>
        <w:rPr>
          <w:rFonts w:hint="eastAsia" w:ascii="Times New Roman" w:hAnsi="Times New Roman"/>
          <w:lang w:val="en-US" w:eastAsia="zh-CN"/>
        </w:rPr>
        <w:t>6</w:t>
      </w:r>
      <w:r>
        <w:rPr>
          <w:rFonts w:hint="eastAsia"/>
          <w:lang w:val="en-US" w:eastAsia="zh-CN"/>
        </w:rPr>
        <w:t>月建设完成，</w:t>
      </w:r>
      <w:r>
        <w:rPr>
          <w:rFonts w:hint="eastAsia" w:ascii="Times New Roman" w:hAnsi="Times New Roman"/>
          <w:lang w:val="en-US" w:eastAsia="zh-CN"/>
        </w:rPr>
        <w:t>2019</w:t>
      </w:r>
      <w:r>
        <w:rPr>
          <w:rFonts w:hint="eastAsia"/>
          <w:lang w:val="en-US" w:eastAsia="zh-CN"/>
        </w:rPr>
        <w:t>年</w:t>
      </w:r>
      <w:r>
        <w:rPr>
          <w:rFonts w:hint="eastAsia" w:ascii="Times New Roman" w:hAnsi="Times New Roman"/>
          <w:lang w:val="en-US" w:eastAsia="zh-CN"/>
        </w:rPr>
        <w:t>10</w:t>
      </w:r>
      <w:r>
        <w:rPr>
          <w:rFonts w:hint="eastAsia"/>
          <w:lang w:val="en-US" w:eastAsia="zh-CN"/>
        </w:rPr>
        <w:t>月取得了排污许可证（证书编号：</w:t>
      </w:r>
      <w:r>
        <w:rPr>
          <w:rFonts w:hint="eastAsia" w:ascii="Times New Roman" w:hAnsi="Times New Roman"/>
          <w:lang w:val="en-US" w:eastAsia="zh-CN"/>
        </w:rPr>
        <w:t>91654202MA775WL12K001Q</w:t>
      </w:r>
      <w:r>
        <w:rPr>
          <w:rFonts w:hint="eastAsia"/>
          <w:lang w:val="en-US" w:eastAsia="zh-CN"/>
        </w:rPr>
        <w:t>），</w:t>
      </w:r>
      <w:r>
        <w:rPr>
          <w:rFonts w:hint="eastAsia" w:ascii="Times New Roman" w:hAnsi="Times New Roman"/>
          <w:lang w:val="en-US" w:eastAsia="zh-CN"/>
        </w:rPr>
        <w:t>2019</w:t>
      </w:r>
      <w:r>
        <w:rPr>
          <w:rFonts w:hint="eastAsia"/>
          <w:lang w:val="en-US" w:eastAsia="zh-CN"/>
        </w:rPr>
        <w:t>年</w:t>
      </w:r>
      <w:r>
        <w:rPr>
          <w:rFonts w:hint="eastAsia" w:ascii="Times New Roman" w:hAnsi="Times New Roman"/>
          <w:lang w:val="en-US" w:eastAsia="zh-CN"/>
        </w:rPr>
        <w:t>12</w:t>
      </w:r>
      <w:r>
        <w:rPr>
          <w:rFonts w:hint="eastAsia"/>
          <w:lang w:val="en-US" w:eastAsia="zh-CN"/>
        </w:rPr>
        <w:t>月</w:t>
      </w:r>
      <w:r>
        <w:rPr>
          <w:rFonts w:hint="eastAsia" w:ascii="Times New Roman" w:hAnsi="Times New Roman"/>
          <w:lang w:val="en-US" w:eastAsia="zh-CN"/>
        </w:rPr>
        <w:t>28</w:t>
      </w:r>
      <w:r>
        <w:rPr>
          <w:rFonts w:hint="eastAsia"/>
          <w:lang w:val="en-US" w:eastAsia="zh-CN"/>
        </w:rPr>
        <w:t>日，建设单位完成了一期工程的自主环境保护验收。已建主体工程包括：</w:t>
      </w:r>
      <w:r>
        <w:rPr>
          <w:rFonts w:hint="eastAsia" w:ascii="Times New Roman" w:hAnsi="Times New Roman"/>
          <w:lang w:val="en-US" w:eastAsia="zh-CN"/>
        </w:rPr>
        <w:t>30</w:t>
      </w:r>
      <w:r>
        <w:rPr>
          <w:rFonts w:hint="eastAsia"/>
          <w:lang w:val="en-US" w:eastAsia="zh-CN"/>
        </w:rPr>
        <w:t>万吨/年玉米深加工单元、</w:t>
      </w:r>
      <w:r>
        <w:rPr>
          <w:rFonts w:hint="eastAsia" w:ascii="Times New Roman" w:hAnsi="Times New Roman"/>
          <w:lang w:val="en-US" w:eastAsia="zh-CN"/>
        </w:rPr>
        <w:t>5</w:t>
      </w:r>
      <w:r>
        <w:rPr>
          <w:rFonts w:hint="eastAsia"/>
          <w:lang w:val="en-US" w:eastAsia="zh-CN"/>
        </w:rPr>
        <w:t>万吨/年</w:t>
      </w:r>
      <w:r>
        <w:rPr>
          <w:rFonts w:hint="eastAsia" w:ascii="Times New Roman" w:hAnsi="Times New Roman"/>
          <w:lang w:val="en-US" w:eastAsia="zh-CN"/>
        </w:rPr>
        <w:t>DN</w:t>
      </w:r>
      <w:r>
        <w:rPr>
          <w:rFonts w:hint="eastAsia"/>
          <w:lang w:val="en-US" w:eastAsia="zh-CN"/>
        </w:rPr>
        <w:t>溶液生产单元、</w:t>
      </w:r>
      <w:r>
        <w:rPr>
          <w:rFonts w:hint="eastAsia" w:ascii="Times New Roman" w:hAnsi="Times New Roman"/>
          <w:lang w:val="en-US" w:eastAsia="zh-CN"/>
        </w:rPr>
        <w:t>10</w:t>
      </w:r>
      <w:r>
        <w:rPr>
          <w:rFonts w:hint="eastAsia"/>
          <w:lang w:val="en-US" w:eastAsia="zh-CN"/>
        </w:rPr>
        <w:t>万吨/年聚酰胺生产单元。二期年产</w:t>
      </w:r>
      <w:r>
        <w:rPr>
          <w:rFonts w:hint="eastAsia" w:ascii="Times New Roman" w:hAnsi="Times New Roman"/>
          <w:lang w:val="en-US" w:eastAsia="zh-CN"/>
        </w:rPr>
        <w:t>30000</w:t>
      </w:r>
      <w:r>
        <w:rPr>
          <w:rFonts w:hint="eastAsia"/>
          <w:lang w:val="en-US" w:eastAsia="zh-CN"/>
        </w:rPr>
        <w:t>吨短纤产品主体工程及配套设施暂未建设。已建公用辅助工程包括：动力站、空压站、氮气站、氢气站、纯水站、导热油系统、制冷站、备品备料及维修仓库、供电系统、循环水系统、消防系统等；储运设施包括：玉米仓储、玉米筒仓、酸碱储罐区、液氨罐区、</w:t>
      </w:r>
      <w:r>
        <w:rPr>
          <w:rFonts w:hint="eastAsia" w:ascii="Times New Roman" w:hAnsi="Times New Roman"/>
          <w:lang w:val="en-US" w:eastAsia="zh-CN"/>
        </w:rPr>
        <w:t>DN</w:t>
      </w:r>
      <w:r>
        <w:rPr>
          <w:rFonts w:hint="eastAsia"/>
          <w:lang w:val="en-US" w:eastAsia="zh-CN"/>
        </w:rPr>
        <w:t>溶液罐区、封闭煤仓等。</w:t>
      </w:r>
      <w:r>
        <w:rPr>
          <w:rFonts w:hint="eastAsia" w:ascii="Times New Roman" w:hAnsi="Times New Roman"/>
          <w:lang w:val="en-US" w:eastAsia="zh-CN"/>
        </w:rPr>
        <w:t>2021</w:t>
      </w:r>
      <w:r>
        <w:rPr>
          <w:rFonts w:hint="eastAsia"/>
          <w:lang w:val="en-US" w:eastAsia="zh-CN"/>
        </w:rPr>
        <w:t>年</w:t>
      </w:r>
      <w:r>
        <w:rPr>
          <w:rFonts w:hint="eastAsia" w:ascii="Times New Roman" w:hAnsi="Times New Roman"/>
          <w:lang w:val="en-US" w:eastAsia="zh-CN"/>
        </w:rPr>
        <w:t>5</w:t>
      </w:r>
      <w:r>
        <w:rPr>
          <w:rFonts w:hint="eastAsia"/>
          <w:lang w:val="en-US" w:eastAsia="zh-CN"/>
        </w:rPr>
        <w:t>月建设单位对《凯赛（乌苏）生物材料有限公司突发环境事件应急预案》进行了修订并在塔城地区生态环境局备案（备案文号：</w:t>
      </w:r>
      <w:r>
        <w:rPr>
          <w:rFonts w:hint="eastAsia" w:ascii="Times New Roman" w:hAnsi="Times New Roman"/>
          <w:lang w:val="en-US" w:eastAsia="zh-CN"/>
        </w:rPr>
        <w:t>654200</w:t>
      </w:r>
      <w:r>
        <w:rPr>
          <w:rFonts w:hint="eastAsia"/>
          <w:lang w:val="en-US" w:eastAsia="zh-CN"/>
        </w:rPr>
        <w:t>-</w:t>
      </w:r>
      <w:r>
        <w:rPr>
          <w:rFonts w:hint="eastAsia" w:ascii="Times New Roman" w:hAnsi="Times New Roman"/>
          <w:lang w:val="en-US" w:eastAsia="zh-CN"/>
        </w:rPr>
        <w:t>2021</w:t>
      </w:r>
      <w:r>
        <w:rPr>
          <w:rFonts w:hint="eastAsia"/>
          <w:lang w:val="en-US" w:eastAsia="zh-CN"/>
        </w:rPr>
        <w:t>-</w:t>
      </w:r>
      <w:r>
        <w:rPr>
          <w:rFonts w:hint="eastAsia" w:ascii="Times New Roman" w:hAnsi="Times New Roman"/>
          <w:lang w:val="en-US" w:eastAsia="zh-CN"/>
        </w:rPr>
        <w:t>040</w:t>
      </w:r>
      <w:r>
        <w:rPr>
          <w:rFonts w:hint="eastAsia"/>
          <w:lang w:val="en-US" w:eastAsia="zh-CN"/>
        </w:rPr>
        <w:t>-</w:t>
      </w:r>
      <w:r>
        <w:rPr>
          <w:rFonts w:hint="eastAsia" w:ascii="Times New Roman" w:hAnsi="Times New Roman"/>
          <w:lang w:val="en-US" w:eastAsia="zh-CN"/>
        </w:rPr>
        <w:t>M</w:t>
      </w:r>
      <w:r>
        <w:rPr>
          <w:rFonts w:hint="eastAsia"/>
          <w:lang w:val="en-US" w:eastAsia="zh-CN"/>
        </w:rPr>
        <w:t>）。</w:t>
      </w:r>
    </w:p>
    <w:p>
      <w:pPr>
        <w:bidi w:val="0"/>
        <w:rPr>
          <w:rFonts w:hint="eastAsia"/>
          <w:lang w:val="en-US" w:eastAsia="zh-CN"/>
        </w:rPr>
      </w:pPr>
      <w:r>
        <w:rPr>
          <w:rFonts w:hint="eastAsia"/>
          <w:lang w:val="en-US" w:eastAsia="zh-CN"/>
        </w:rPr>
        <w:t>现有一期工程建设规模为：生物基聚酰胺</w:t>
      </w:r>
      <w:r>
        <w:rPr>
          <w:rFonts w:hint="eastAsia" w:ascii="Times New Roman" w:hAnsi="Times New Roman"/>
          <w:lang w:val="en-US" w:eastAsia="zh-CN"/>
        </w:rPr>
        <w:t>70000t</w:t>
      </w:r>
      <w:r>
        <w:rPr>
          <w:rFonts w:hint="eastAsia"/>
          <w:lang w:val="en-US" w:eastAsia="zh-CN"/>
        </w:rPr>
        <w:t>/</w:t>
      </w:r>
      <w:r>
        <w:rPr>
          <w:rFonts w:hint="eastAsia" w:ascii="Times New Roman" w:hAnsi="Times New Roman"/>
          <w:lang w:val="en-US" w:eastAsia="zh-CN"/>
        </w:rPr>
        <w:t>a</w:t>
      </w:r>
      <w:r>
        <w:rPr>
          <w:rFonts w:hint="eastAsia"/>
          <w:lang w:val="en-US" w:eastAsia="zh-CN"/>
        </w:rPr>
        <w:t>、副产品喷浆玉米纤维</w:t>
      </w:r>
      <w:r>
        <w:rPr>
          <w:rFonts w:hint="eastAsia" w:ascii="Times New Roman" w:hAnsi="Times New Roman"/>
          <w:lang w:val="en-US" w:eastAsia="zh-CN"/>
        </w:rPr>
        <w:t>86190t</w:t>
      </w:r>
      <w:r>
        <w:rPr>
          <w:rFonts w:hint="eastAsia"/>
          <w:lang w:val="en-US" w:eastAsia="zh-CN"/>
        </w:rPr>
        <w:t>/</w:t>
      </w:r>
      <w:r>
        <w:rPr>
          <w:rFonts w:hint="eastAsia" w:ascii="Times New Roman" w:hAnsi="Times New Roman"/>
          <w:lang w:val="en-US" w:eastAsia="zh-CN"/>
        </w:rPr>
        <w:t>a</w:t>
      </w:r>
      <w:r>
        <w:rPr>
          <w:rFonts w:hint="eastAsia"/>
          <w:lang w:val="en-US" w:eastAsia="zh-CN"/>
        </w:rPr>
        <w:t>、玉米高蛋白饲料</w:t>
      </w:r>
      <w:r>
        <w:rPr>
          <w:rFonts w:hint="eastAsia" w:ascii="Times New Roman" w:hAnsi="Times New Roman"/>
          <w:lang w:val="en-US" w:eastAsia="zh-CN"/>
        </w:rPr>
        <w:t>16300t</w:t>
      </w:r>
      <w:r>
        <w:rPr>
          <w:rFonts w:hint="eastAsia"/>
          <w:lang w:val="en-US" w:eastAsia="zh-CN"/>
        </w:rPr>
        <w:t>/</w:t>
      </w:r>
      <w:r>
        <w:rPr>
          <w:rFonts w:hint="eastAsia" w:ascii="Times New Roman" w:hAnsi="Times New Roman"/>
          <w:lang w:val="en-US" w:eastAsia="zh-CN"/>
        </w:rPr>
        <w:t>a</w:t>
      </w:r>
      <w:r>
        <w:rPr>
          <w:rFonts w:hint="eastAsia"/>
          <w:lang w:val="en-US" w:eastAsia="zh-CN"/>
        </w:rPr>
        <w:t>、干胚芽</w:t>
      </w:r>
      <w:r>
        <w:rPr>
          <w:rFonts w:hint="eastAsia" w:ascii="Times New Roman" w:hAnsi="Times New Roman"/>
          <w:lang w:val="en-US" w:eastAsia="zh-CN"/>
        </w:rPr>
        <w:t>19000t</w:t>
      </w:r>
      <w:r>
        <w:rPr>
          <w:rFonts w:hint="eastAsia"/>
          <w:lang w:val="en-US" w:eastAsia="zh-CN"/>
        </w:rPr>
        <w:t>/</w:t>
      </w:r>
      <w:r>
        <w:rPr>
          <w:rFonts w:hint="eastAsia" w:ascii="Times New Roman" w:hAnsi="Times New Roman"/>
          <w:lang w:val="en-US" w:eastAsia="zh-CN"/>
        </w:rPr>
        <w:t>a</w:t>
      </w:r>
      <w:r>
        <w:rPr>
          <w:rFonts w:hint="eastAsia"/>
          <w:lang w:val="en-US" w:eastAsia="zh-CN"/>
        </w:rPr>
        <w:t>。</w:t>
      </w:r>
      <w:r>
        <w:rPr>
          <w:rFonts w:hint="eastAsia"/>
          <w:sz w:val="24"/>
          <w:szCs w:val="24"/>
        </w:rPr>
        <w:t>劳动定员及工</w:t>
      </w:r>
      <w:r>
        <w:rPr>
          <w:rFonts w:hint="eastAsia"/>
          <w:color w:val="auto"/>
          <w:sz w:val="24"/>
          <w:szCs w:val="24"/>
        </w:rPr>
        <w:t>作制度：全厂</w:t>
      </w:r>
      <w:r>
        <w:rPr>
          <w:rFonts w:hint="eastAsia"/>
          <w:color w:val="auto"/>
          <w:sz w:val="24"/>
          <w:szCs w:val="24"/>
          <w:lang w:eastAsia="zh-CN"/>
        </w:rPr>
        <w:t>实际</w:t>
      </w:r>
      <w:r>
        <w:rPr>
          <w:rFonts w:hint="eastAsia"/>
          <w:color w:val="auto"/>
          <w:sz w:val="24"/>
          <w:szCs w:val="24"/>
        </w:rPr>
        <w:t>劳动定员</w:t>
      </w:r>
      <w:r>
        <w:rPr>
          <w:rFonts w:hint="eastAsia" w:ascii="Times New Roman" w:hAnsi="Times New Roman"/>
          <w:color w:val="auto"/>
          <w:sz w:val="24"/>
          <w:szCs w:val="24"/>
          <w:lang w:val="en-US" w:eastAsia="zh-CN"/>
        </w:rPr>
        <w:t>60</w:t>
      </w:r>
      <w:r>
        <w:rPr>
          <w:rFonts w:hint="eastAsia" w:ascii="Times New Roman" w:hAnsi="Times New Roman"/>
          <w:color w:val="auto"/>
          <w:sz w:val="24"/>
          <w:szCs w:val="24"/>
        </w:rPr>
        <w:t>8</w:t>
      </w:r>
      <w:r>
        <w:rPr>
          <w:rFonts w:hint="eastAsia"/>
          <w:color w:val="auto"/>
          <w:sz w:val="24"/>
          <w:szCs w:val="24"/>
        </w:rPr>
        <w:t>人，实行</w:t>
      </w:r>
      <w:r>
        <w:rPr>
          <w:rFonts w:hint="eastAsia" w:ascii="Times New Roman" w:hAnsi="Times New Roman"/>
          <w:color w:val="auto"/>
          <w:sz w:val="24"/>
          <w:szCs w:val="24"/>
        </w:rPr>
        <w:t>3</w:t>
      </w:r>
      <w:r>
        <w:rPr>
          <w:rFonts w:hint="eastAsia"/>
          <w:color w:val="auto"/>
          <w:sz w:val="24"/>
          <w:szCs w:val="24"/>
        </w:rPr>
        <w:t>运转</w:t>
      </w:r>
      <w:r>
        <w:rPr>
          <w:rFonts w:hint="eastAsia"/>
          <w:color w:val="auto"/>
          <w:sz w:val="24"/>
          <w:szCs w:val="24"/>
          <w:lang w:eastAsia="zh-CN"/>
        </w:rPr>
        <w:t>工作</w:t>
      </w:r>
      <w:r>
        <w:rPr>
          <w:rFonts w:hint="eastAsia"/>
          <w:color w:val="auto"/>
          <w:sz w:val="24"/>
          <w:szCs w:val="24"/>
        </w:rPr>
        <w:t>制度，年操作时间</w:t>
      </w:r>
      <w:r>
        <w:rPr>
          <w:rFonts w:hint="eastAsia" w:ascii="Times New Roman" w:hAnsi="Times New Roman"/>
          <w:color w:val="auto"/>
          <w:sz w:val="24"/>
          <w:szCs w:val="24"/>
        </w:rPr>
        <w:t>33</w:t>
      </w:r>
      <w:r>
        <w:rPr>
          <w:rFonts w:hint="eastAsia" w:ascii="Times New Roman" w:hAnsi="Times New Roman"/>
          <w:color w:val="auto"/>
          <w:sz w:val="24"/>
          <w:szCs w:val="24"/>
          <w:lang w:val="en-US" w:eastAsia="zh-CN"/>
        </w:rPr>
        <w:t>3</w:t>
      </w:r>
      <w:r>
        <w:rPr>
          <w:rFonts w:hint="eastAsia"/>
          <w:color w:val="auto"/>
          <w:sz w:val="24"/>
          <w:szCs w:val="24"/>
        </w:rPr>
        <w:t>天，全年运行</w:t>
      </w:r>
      <w:r>
        <w:rPr>
          <w:rFonts w:hint="eastAsia" w:ascii="Times New Roman" w:hAnsi="Times New Roman"/>
          <w:color w:val="auto"/>
          <w:sz w:val="24"/>
          <w:szCs w:val="24"/>
          <w:lang w:val="en-US" w:eastAsia="zh-CN"/>
        </w:rPr>
        <w:t>800</w:t>
      </w:r>
      <w:r>
        <w:rPr>
          <w:rFonts w:hint="eastAsia" w:ascii="Times New Roman" w:hAnsi="Times New Roman"/>
          <w:color w:val="auto"/>
          <w:sz w:val="24"/>
          <w:szCs w:val="24"/>
        </w:rPr>
        <w:t>0h</w:t>
      </w:r>
      <w:r>
        <w:rPr>
          <w:rFonts w:hint="eastAsia"/>
          <w:sz w:val="24"/>
          <w:szCs w:val="24"/>
        </w:rPr>
        <w:t>。</w:t>
      </w:r>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现有工程组成</w:t>
      </w:r>
    </w:p>
    <w:p>
      <w:pPr>
        <w:spacing w:beforeLines="0" w:line="360" w:lineRule="auto"/>
        <w:ind w:firstLine="480"/>
        <w:rPr>
          <w:rFonts w:hint="default"/>
          <w:lang w:val="en-US" w:eastAsia="zh-CN"/>
        </w:rPr>
      </w:pPr>
      <w:r>
        <w:rPr>
          <w:rFonts w:hint="eastAsia"/>
          <w:lang w:val="en-US" w:eastAsia="zh-CN"/>
        </w:rPr>
        <w:t>现有工程主要建设组成见表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 xml:space="preserve">  现有工程主要建设组成一览表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83"/>
        <w:gridCol w:w="2234"/>
        <w:gridCol w:w="4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工程类别</w:t>
            </w:r>
          </w:p>
        </w:tc>
        <w:tc>
          <w:tcPr>
            <w:tcW w:w="1583"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工程名称</w:t>
            </w:r>
          </w:p>
        </w:tc>
        <w:tc>
          <w:tcPr>
            <w:tcW w:w="6842" w:type="dxa"/>
            <w:gridSpan w:val="2"/>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主体工程</w:t>
            </w: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30</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w:t>
            </w:r>
            <w:r>
              <w:rPr>
                <w:rFonts w:hint="eastAsia"/>
                <w:spacing w:val="-11"/>
                <w:sz w:val="20"/>
                <w:szCs w:val="15"/>
                <w:vertAlign w:val="baseline"/>
                <w:lang w:val="en-US" w:eastAsia="zh-CN"/>
              </w:rPr>
              <w:t>玉米深加工单元</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包括占地</w:t>
            </w:r>
            <w:r>
              <w:rPr>
                <w:rFonts w:hint="eastAsia" w:ascii="Times New Roman" w:hAnsi="Times New Roman"/>
                <w:spacing w:val="-11"/>
                <w:sz w:val="20"/>
                <w:szCs w:val="15"/>
                <w:vertAlign w:val="baseline"/>
                <w:lang w:val="en-US" w:eastAsia="zh-CN"/>
              </w:rPr>
              <w:t>40650</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9</w:t>
            </w:r>
            <w:r>
              <w:rPr>
                <w:rFonts w:hint="eastAsia"/>
                <w:spacing w:val="-11"/>
                <w:sz w:val="20"/>
                <w:szCs w:val="15"/>
                <w:vertAlign w:val="baseline"/>
                <w:lang w:val="en-US" w:eastAsia="zh-CN"/>
              </w:rPr>
              <w:t>㎡淀粉乳车间和</w:t>
            </w:r>
            <w:r>
              <w:rPr>
                <w:rFonts w:hint="eastAsia" w:ascii="Times New Roman" w:hAnsi="Times New Roman"/>
                <w:spacing w:val="-11"/>
                <w:sz w:val="20"/>
                <w:szCs w:val="15"/>
                <w:vertAlign w:val="baseline"/>
                <w:lang w:val="en-US" w:eastAsia="zh-CN"/>
              </w:rPr>
              <w:t>1793</w:t>
            </w:r>
            <w:r>
              <w:rPr>
                <w:rFonts w:hint="eastAsia"/>
                <w:spacing w:val="-11"/>
                <w:sz w:val="20"/>
                <w:szCs w:val="15"/>
                <w:vertAlign w:val="baseline"/>
                <w:lang w:val="en-US" w:eastAsia="zh-CN"/>
              </w:rPr>
              <w:t>㎡制糖车间，以玉米为原料，经过湿磨闭路生产工艺，将淀粉乳分离出来，经液化、糖化后得到浸出液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aDN</w:t>
            </w:r>
            <w:r>
              <w:rPr>
                <w:rFonts w:hint="eastAsia"/>
                <w:spacing w:val="-11"/>
                <w:sz w:val="20"/>
                <w:szCs w:val="15"/>
                <w:vertAlign w:val="baseline"/>
                <w:lang w:val="en-US" w:eastAsia="zh-CN"/>
              </w:rPr>
              <w:t>溶液生产单元</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包括提包括占地</w:t>
            </w:r>
            <w:r>
              <w:rPr>
                <w:rFonts w:hint="eastAsia" w:ascii="Times New Roman" w:hAnsi="Times New Roman"/>
                <w:spacing w:val="-11"/>
                <w:sz w:val="20"/>
                <w:szCs w:val="15"/>
                <w:vertAlign w:val="baseline"/>
                <w:lang w:val="en-US" w:eastAsia="zh-CN"/>
              </w:rPr>
              <w:t>4590</w:t>
            </w:r>
            <w:r>
              <w:rPr>
                <w:rFonts w:hint="eastAsia"/>
                <w:spacing w:val="-11"/>
                <w:sz w:val="20"/>
                <w:szCs w:val="15"/>
                <w:vertAlign w:val="baseline"/>
                <w:lang w:val="en-US" w:eastAsia="zh-CN"/>
              </w:rPr>
              <w:t>㎡提取原料仓库、</w:t>
            </w:r>
            <w:r>
              <w:rPr>
                <w:rFonts w:hint="eastAsia" w:ascii="Times New Roman" w:hAnsi="Times New Roman"/>
                <w:spacing w:val="-11"/>
                <w:sz w:val="20"/>
                <w:szCs w:val="15"/>
                <w:vertAlign w:val="baseline"/>
                <w:lang w:val="en-US" w:eastAsia="zh-CN"/>
              </w:rPr>
              <w:t>500</w:t>
            </w:r>
            <w:r>
              <w:rPr>
                <w:rFonts w:hint="eastAsia"/>
                <w:spacing w:val="-11"/>
                <w:sz w:val="20"/>
                <w:szCs w:val="15"/>
                <w:vertAlign w:val="baseline"/>
                <w:lang w:val="en-US" w:eastAsia="zh-CN"/>
              </w:rPr>
              <w:t>㎡卸料站、</w:t>
            </w:r>
            <w:r>
              <w:rPr>
                <w:rFonts w:hint="eastAsia" w:ascii="Times New Roman" w:hAnsi="Times New Roman"/>
                <w:spacing w:val="-11"/>
                <w:sz w:val="20"/>
                <w:szCs w:val="15"/>
                <w:vertAlign w:val="baseline"/>
                <w:lang w:val="en-US" w:eastAsia="zh-CN"/>
              </w:rPr>
              <w:t>810</w:t>
            </w:r>
            <w:r>
              <w:rPr>
                <w:rFonts w:hint="eastAsia"/>
                <w:spacing w:val="-11"/>
                <w:sz w:val="20"/>
                <w:szCs w:val="15"/>
                <w:vertAlign w:val="baseline"/>
                <w:lang w:val="en-US" w:eastAsia="zh-CN"/>
              </w:rPr>
              <w:t>㎡配料站、</w:t>
            </w:r>
            <w:r>
              <w:rPr>
                <w:rFonts w:hint="eastAsia" w:ascii="Times New Roman" w:hAnsi="Times New Roman"/>
                <w:spacing w:val="-11"/>
                <w:sz w:val="20"/>
                <w:szCs w:val="15"/>
                <w:vertAlign w:val="baseline"/>
                <w:lang w:val="en-US" w:eastAsia="zh-CN"/>
              </w:rPr>
              <w:t>1785</w:t>
            </w:r>
            <w:r>
              <w:rPr>
                <w:rFonts w:hint="eastAsia"/>
                <w:spacing w:val="-11"/>
                <w:sz w:val="20"/>
                <w:szCs w:val="15"/>
                <w:vertAlign w:val="baseline"/>
                <w:lang w:val="en-US" w:eastAsia="zh-CN"/>
              </w:rPr>
              <w:t>㎡发酵区、</w:t>
            </w:r>
            <w:r>
              <w:rPr>
                <w:rFonts w:hint="eastAsia" w:ascii="Times New Roman" w:hAnsi="Times New Roman"/>
                <w:spacing w:val="-11"/>
                <w:sz w:val="20"/>
                <w:szCs w:val="15"/>
                <w:vertAlign w:val="baseline"/>
                <w:lang w:val="en-US" w:eastAsia="zh-CN"/>
              </w:rPr>
              <w:t>19742</w:t>
            </w:r>
            <w:r>
              <w:rPr>
                <w:rFonts w:hint="eastAsia"/>
                <w:spacing w:val="-11"/>
                <w:sz w:val="20"/>
                <w:szCs w:val="15"/>
                <w:vertAlign w:val="baseline"/>
                <w:lang w:val="en-US" w:eastAsia="zh-CN"/>
              </w:rPr>
              <w:t>㎡提取区、</w:t>
            </w:r>
            <w:r>
              <w:rPr>
                <w:rFonts w:hint="eastAsia" w:ascii="Times New Roman" w:hAnsi="Times New Roman"/>
                <w:spacing w:val="-11"/>
                <w:sz w:val="20"/>
                <w:szCs w:val="15"/>
                <w:vertAlign w:val="baseline"/>
                <w:lang w:val="en-US" w:eastAsia="zh-CN"/>
              </w:rPr>
              <w:t>3011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54</w:t>
            </w:r>
            <w:r>
              <w:rPr>
                <w:rFonts w:hint="eastAsia"/>
                <w:spacing w:val="-11"/>
                <w:sz w:val="20"/>
                <w:szCs w:val="15"/>
                <w:vertAlign w:val="baseline"/>
                <w:lang w:val="en-US" w:eastAsia="zh-CN"/>
              </w:rPr>
              <w:t>㎡精馏区、</w:t>
            </w:r>
            <w:r>
              <w:rPr>
                <w:rFonts w:hint="eastAsia" w:ascii="Times New Roman" w:hAnsi="Times New Roman"/>
                <w:spacing w:val="-11"/>
                <w:sz w:val="20"/>
                <w:szCs w:val="15"/>
                <w:vertAlign w:val="baseline"/>
                <w:lang w:val="en-US" w:eastAsia="zh-CN"/>
              </w:rPr>
              <w:t>2619</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8</w:t>
            </w:r>
            <w:r>
              <w:rPr>
                <w:rFonts w:hint="eastAsia"/>
                <w:spacing w:val="-11"/>
                <w:sz w:val="20"/>
                <w:szCs w:val="15"/>
                <w:vertAlign w:val="baseline"/>
                <w:lang w:val="en-US" w:eastAsia="zh-CN"/>
              </w:rPr>
              <w:t>㎡储存及装车区。将生产处的淀粉糖在工业微生物作用下，发酵得到</w:t>
            </w: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溶液，再经过加工、提纯制得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10</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w:t>
            </w:r>
            <w:r>
              <w:rPr>
                <w:rFonts w:hint="eastAsia"/>
                <w:spacing w:val="-11"/>
                <w:sz w:val="20"/>
                <w:szCs w:val="15"/>
                <w:vertAlign w:val="baseline"/>
                <w:lang w:val="en-US" w:eastAsia="zh-CN"/>
              </w:rPr>
              <w:t>聚酰胺单元</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包括</w:t>
            </w:r>
            <w:r>
              <w:rPr>
                <w:rFonts w:hint="eastAsia" w:ascii="Times New Roman" w:hAnsi="Times New Roman"/>
                <w:spacing w:val="-11"/>
                <w:sz w:val="20"/>
                <w:szCs w:val="15"/>
                <w:vertAlign w:val="baseline"/>
                <w:lang w:val="en-US" w:eastAsia="zh-CN"/>
              </w:rPr>
              <w:t>1980</w:t>
            </w:r>
            <w:r>
              <w:rPr>
                <w:rFonts w:hint="eastAsia"/>
                <w:spacing w:val="-11"/>
                <w:sz w:val="20"/>
                <w:szCs w:val="15"/>
                <w:vertAlign w:val="baseline"/>
                <w:lang w:val="en-US" w:eastAsia="zh-CN"/>
              </w:rPr>
              <w:t>㎡原料仓库、</w:t>
            </w:r>
            <w:r>
              <w:rPr>
                <w:rFonts w:hint="eastAsia" w:ascii="Times New Roman" w:hAnsi="Times New Roman"/>
                <w:spacing w:val="-11"/>
                <w:sz w:val="20"/>
                <w:szCs w:val="15"/>
                <w:vertAlign w:val="baseline"/>
                <w:lang w:val="en-US" w:eastAsia="zh-CN"/>
              </w:rPr>
              <w:t>38655</w:t>
            </w:r>
            <w:r>
              <w:rPr>
                <w:rFonts w:hint="eastAsia"/>
                <w:spacing w:val="-11"/>
                <w:sz w:val="20"/>
                <w:szCs w:val="15"/>
                <w:vertAlign w:val="baseline"/>
                <w:lang w:val="en-US" w:eastAsia="zh-CN"/>
              </w:rPr>
              <w:t>㎡生产车间、</w:t>
            </w:r>
            <w:r>
              <w:rPr>
                <w:rFonts w:hint="eastAsia" w:ascii="Times New Roman" w:hAnsi="Times New Roman"/>
                <w:spacing w:val="-11"/>
                <w:sz w:val="20"/>
                <w:szCs w:val="15"/>
                <w:vertAlign w:val="baseline"/>
                <w:lang w:val="en-US" w:eastAsia="zh-CN"/>
              </w:rPr>
              <w:t>2160</w:t>
            </w:r>
            <w:r>
              <w:rPr>
                <w:rFonts w:hint="eastAsia"/>
                <w:spacing w:val="-11"/>
                <w:sz w:val="20"/>
                <w:szCs w:val="15"/>
                <w:vertAlign w:val="baseline"/>
                <w:lang w:val="en-US" w:eastAsia="zh-CN"/>
              </w:rPr>
              <w:t>㎡产品库、</w:t>
            </w:r>
            <w:r>
              <w:rPr>
                <w:rFonts w:hint="eastAsia" w:ascii="Times New Roman" w:hAnsi="Times New Roman"/>
                <w:spacing w:val="-11"/>
                <w:sz w:val="20"/>
                <w:szCs w:val="15"/>
                <w:vertAlign w:val="baseline"/>
                <w:lang w:val="en-US" w:eastAsia="zh-CN"/>
              </w:rPr>
              <w:t>3800</w:t>
            </w:r>
            <w:r>
              <w:rPr>
                <w:rFonts w:hint="eastAsia"/>
                <w:spacing w:val="-11"/>
                <w:sz w:val="20"/>
                <w:szCs w:val="15"/>
                <w:vertAlign w:val="baseline"/>
                <w:lang w:val="en-US" w:eastAsia="zh-CN"/>
              </w:rPr>
              <w:t>㎡包装车间。采用聚酰胺聚合工艺，生产的</w:t>
            </w: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溶液与己二酸通过调配、浓缩、缩聚过程，得到聚酰胺</w:t>
            </w:r>
            <w:r>
              <w:rPr>
                <w:rFonts w:hint="eastAsia" w:ascii="Times New Roman" w:hAnsi="Times New Roman"/>
                <w:spacing w:val="-11"/>
                <w:sz w:val="20"/>
                <w:szCs w:val="15"/>
                <w:vertAlign w:val="baseline"/>
                <w:lang w:val="en-US" w:eastAsia="zh-CN"/>
              </w:rPr>
              <w:t>56</w:t>
            </w:r>
            <w:r>
              <w:rPr>
                <w:rFonts w:hint="eastAsia"/>
                <w:spacing w:val="-11"/>
                <w:sz w:val="20"/>
                <w:szCs w:val="15"/>
                <w:vertAlign w:val="baseline"/>
                <w:lang w:val="en-US" w:eastAsia="zh-CN"/>
              </w:rPr>
              <w:t>，聚酰胺生产分为间歇生产线和连续生产线，其中间歇生产线产能为</w:t>
            </w:r>
            <w:r>
              <w:rPr>
                <w:rFonts w:hint="eastAsia" w:ascii="Times New Roman" w:hAnsi="Times New Roman"/>
                <w:spacing w:val="-11"/>
                <w:sz w:val="20"/>
                <w:szCs w:val="15"/>
                <w:vertAlign w:val="baseline"/>
                <w:lang w:val="en-US" w:eastAsia="zh-CN"/>
              </w:rPr>
              <w:t>7</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w:t>
            </w:r>
            <w:r>
              <w:rPr>
                <w:rFonts w:hint="eastAsia"/>
                <w:spacing w:val="-11"/>
                <w:sz w:val="20"/>
                <w:szCs w:val="15"/>
                <w:vertAlign w:val="baseline"/>
                <w:lang w:val="en-US" w:eastAsia="zh-CN"/>
              </w:rPr>
              <w:t>，连续生产线产能为</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辅助工程</w:t>
            </w: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热动锅炉及配套设施</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锅炉房一座，设置</w:t>
            </w: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台</w:t>
            </w:r>
            <w:r>
              <w:rPr>
                <w:rFonts w:hint="eastAsia" w:ascii="Times New Roman" w:hAnsi="Times New Roman"/>
                <w:spacing w:val="-11"/>
                <w:sz w:val="20"/>
                <w:szCs w:val="15"/>
                <w:vertAlign w:val="baseline"/>
                <w:lang w:val="en-US" w:eastAsia="zh-CN"/>
              </w:rPr>
              <w:t>75t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4</w:t>
            </w:r>
            <w:r>
              <w:rPr>
                <w:rFonts w:hint="eastAsia"/>
                <w:spacing w:val="-11"/>
                <w:sz w:val="20"/>
                <w:szCs w:val="15"/>
                <w:vertAlign w:val="baseline"/>
                <w:lang w:val="en-US" w:eastAsia="zh-CN"/>
              </w:rPr>
              <w:t>开</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备）燃煤锅炉，</w:t>
            </w:r>
            <w:r>
              <w:rPr>
                <w:rFonts w:hint="eastAsia" w:ascii="Times New Roman" w:hAnsi="Times New Roman"/>
                <w:spacing w:val="-11"/>
                <w:sz w:val="20"/>
                <w:szCs w:val="15"/>
                <w:vertAlign w:val="baseline"/>
                <w:lang w:val="en-US" w:eastAsia="zh-CN"/>
              </w:rPr>
              <w:t>2021</w:t>
            </w:r>
            <w:r>
              <w:rPr>
                <w:rFonts w:hint="eastAsia"/>
                <w:spacing w:val="-11"/>
                <w:sz w:val="20"/>
                <w:szCs w:val="15"/>
                <w:vertAlign w:val="baseline"/>
                <w:lang w:val="en-US" w:eastAsia="zh-CN"/>
              </w:rPr>
              <w:t>年</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月完成了锅炉烟气超低排放改造工作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导热油炉</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设置导热油系统，包括</w:t>
            </w:r>
            <w:r>
              <w:rPr>
                <w:rFonts w:hint="eastAsia" w:ascii="Times New Roman" w:hAnsi="Times New Roman"/>
                <w:color w:val="auto"/>
                <w:spacing w:val="-11"/>
                <w:sz w:val="20"/>
                <w:szCs w:val="15"/>
                <w:vertAlign w:val="baseline"/>
                <w:lang w:val="en-US" w:eastAsia="zh-CN"/>
              </w:rPr>
              <w:t>2</w:t>
            </w:r>
            <w:r>
              <w:rPr>
                <w:rFonts w:hint="eastAsia"/>
                <w:color w:val="auto"/>
                <w:spacing w:val="-11"/>
                <w:sz w:val="20"/>
                <w:szCs w:val="15"/>
                <w:vertAlign w:val="baseline"/>
                <w:lang w:val="en-US" w:eastAsia="zh-CN"/>
              </w:rPr>
              <w:t>台</w:t>
            </w:r>
            <w:r>
              <w:rPr>
                <w:rFonts w:hint="eastAsia" w:ascii="Times New Roman" w:hAnsi="Times New Roman"/>
                <w:color w:val="auto"/>
                <w:spacing w:val="-11"/>
                <w:sz w:val="20"/>
                <w:szCs w:val="15"/>
                <w:vertAlign w:val="baseline"/>
                <w:lang w:val="en-US" w:eastAsia="zh-CN"/>
              </w:rPr>
              <w:t>8100kW</w:t>
            </w:r>
            <w:r>
              <w:rPr>
                <w:rFonts w:hint="eastAsia"/>
                <w:color w:val="auto"/>
                <w:spacing w:val="-11"/>
                <w:sz w:val="20"/>
                <w:szCs w:val="15"/>
                <w:vertAlign w:val="baseline"/>
                <w:lang w:val="en-US" w:eastAsia="zh-CN"/>
              </w:rPr>
              <w:t>燃气导热油炉配套</w:t>
            </w:r>
            <w:r>
              <w:rPr>
                <w:rFonts w:hint="eastAsia" w:ascii="Times New Roman" w:hAnsi="Times New Roman"/>
                <w:color w:val="auto"/>
                <w:spacing w:val="-11"/>
                <w:sz w:val="20"/>
                <w:szCs w:val="15"/>
                <w:vertAlign w:val="baseline"/>
                <w:lang w:val="en-US" w:eastAsia="zh-CN"/>
              </w:rPr>
              <w:t>2</w:t>
            </w:r>
            <w:r>
              <w:rPr>
                <w:rFonts w:hint="eastAsia"/>
                <w:color w:val="auto"/>
                <w:spacing w:val="-11"/>
                <w:sz w:val="20"/>
                <w:szCs w:val="15"/>
                <w:vertAlign w:val="baseline"/>
                <w:lang w:val="en-US" w:eastAsia="zh-CN"/>
              </w:rPr>
              <w:t>台</w:t>
            </w:r>
            <w:r>
              <w:rPr>
                <w:rFonts w:hint="eastAsia" w:ascii="Times New Roman" w:hAnsi="Times New Roman"/>
                <w:color w:val="auto"/>
                <w:spacing w:val="-11"/>
                <w:sz w:val="20"/>
                <w:szCs w:val="15"/>
                <w:vertAlign w:val="baseline"/>
                <w:lang w:val="en-US" w:eastAsia="zh-CN"/>
              </w:rPr>
              <w:t>0</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75t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余热蒸汽发生器，主要</w:t>
            </w:r>
            <w:r>
              <w:rPr>
                <w:rFonts w:hint="eastAsia"/>
                <w:spacing w:val="-11"/>
                <w:sz w:val="20"/>
                <w:szCs w:val="15"/>
                <w:vertAlign w:val="baseline"/>
                <w:lang w:val="en-US" w:eastAsia="zh-CN"/>
              </w:rPr>
              <w:t>为技术公司</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万吨长链二元酸和</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万吨长链聚酰胺项目供热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循环水站</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#循环水场规模</w:t>
            </w:r>
            <w:r>
              <w:rPr>
                <w:rFonts w:hint="eastAsia" w:ascii="Times New Roman" w:hAnsi="Times New Roman"/>
                <w:spacing w:val="-11"/>
                <w:sz w:val="20"/>
                <w:szCs w:val="15"/>
                <w:vertAlign w:val="baseline"/>
                <w:lang w:val="en-US" w:eastAsia="zh-CN"/>
              </w:rPr>
              <w:t>4200m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6000m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#循环水场规模为</w:t>
            </w:r>
            <w:r>
              <w:rPr>
                <w:rFonts w:hint="eastAsia" w:ascii="Times New Roman" w:hAnsi="Times New Roman"/>
                <w:spacing w:val="-11"/>
                <w:sz w:val="20"/>
                <w:szCs w:val="15"/>
                <w:vertAlign w:val="baseline"/>
                <w:lang w:val="en-US" w:eastAsia="zh-CN"/>
              </w:rPr>
              <w:t>12000m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，配套循环水泵房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纯水站</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依托凯赛（乌苏）生物技术有限公司年产</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万吨长链二元酸和</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万吨长链聚酰胺项目的</w:t>
            </w:r>
            <w:r>
              <w:rPr>
                <w:rFonts w:hint="eastAsia" w:ascii="Times New Roman" w:hAnsi="Times New Roman"/>
                <w:spacing w:val="-11"/>
                <w:sz w:val="20"/>
                <w:szCs w:val="15"/>
                <w:vertAlign w:val="baseline"/>
                <w:lang w:val="en-US" w:eastAsia="zh-CN"/>
              </w:rPr>
              <w:t>75m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纯水站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除盐水站</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动力站配套设置规模</w:t>
            </w:r>
            <w:r>
              <w:rPr>
                <w:rFonts w:hint="eastAsia" w:ascii="Times New Roman" w:hAnsi="Times New Roman"/>
                <w:spacing w:val="-11"/>
                <w:sz w:val="20"/>
                <w:szCs w:val="15"/>
                <w:vertAlign w:val="baseline"/>
                <w:lang w:val="en-US" w:eastAsia="zh-CN"/>
              </w:rPr>
              <w:t>420m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除盐水站，为动力站提供软化水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空压站</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设</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台轴流空压机，单台流量为</w:t>
            </w:r>
            <w:r>
              <w:rPr>
                <w:rFonts w:hint="eastAsia" w:ascii="Times New Roman" w:hAnsi="Times New Roman"/>
                <w:spacing w:val="-11"/>
                <w:sz w:val="20"/>
                <w:szCs w:val="15"/>
                <w:vertAlign w:val="baseline"/>
                <w:lang w:val="en-US" w:eastAsia="zh-CN"/>
              </w:rPr>
              <w:t>92000Nm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制冷站</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设置</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台溴化锂热水制冷剂和</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台溴化锂蒸汽制冷剂，用于夏季发酵罐降温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氮气站</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设置</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套</w:t>
            </w:r>
            <w:r>
              <w:rPr>
                <w:rFonts w:hint="eastAsia" w:ascii="Times New Roman" w:hAnsi="Times New Roman"/>
                <w:spacing w:val="-11"/>
                <w:sz w:val="20"/>
                <w:szCs w:val="15"/>
                <w:vertAlign w:val="baseline"/>
                <w:lang w:val="en-US" w:eastAsia="zh-CN"/>
              </w:rPr>
              <w:t>PSA</w:t>
            </w:r>
            <w:r>
              <w:rPr>
                <w:rFonts w:hint="eastAsia"/>
                <w:spacing w:val="-11"/>
                <w:sz w:val="20"/>
                <w:szCs w:val="15"/>
                <w:vertAlign w:val="baseline"/>
                <w:lang w:val="en-US" w:eastAsia="zh-CN"/>
              </w:rPr>
              <w:t>制氮设备，单台送风量</w:t>
            </w:r>
            <w:r>
              <w:rPr>
                <w:rFonts w:hint="eastAsia" w:ascii="Times New Roman" w:hAnsi="Times New Roman"/>
                <w:spacing w:val="-11"/>
                <w:sz w:val="20"/>
                <w:szCs w:val="15"/>
                <w:vertAlign w:val="baseline"/>
                <w:lang w:val="en-US" w:eastAsia="zh-CN"/>
              </w:rPr>
              <w:t>1500Nm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备品备料及维修仓库</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15"/>
                <w:vertAlign w:val="baseline"/>
                <w:lang w:val="en-US" w:eastAsia="zh-CN"/>
              </w:rPr>
            </w:pPr>
            <w:r>
              <w:rPr>
                <w:rFonts w:hint="eastAsia"/>
                <w:spacing w:val="-11"/>
                <w:sz w:val="20"/>
                <w:szCs w:val="15"/>
                <w:vertAlign w:val="baseline"/>
                <w:lang w:val="en-US" w:eastAsia="zh-CN"/>
              </w:rPr>
              <w:t>占地</w:t>
            </w:r>
            <w:r>
              <w:rPr>
                <w:rFonts w:hint="eastAsia" w:ascii="Times New Roman" w:hAnsi="Times New Roman"/>
                <w:spacing w:val="-11"/>
                <w:sz w:val="20"/>
                <w:szCs w:val="15"/>
                <w:vertAlign w:val="baseline"/>
                <w:lang w:val="en-US" w:eastAsia="zh-CN"/>
              </w:rPr>
              <w:t>3600</w:t>
            </w:r>
            <w:r>
              <w:rPr>
                <w:rFonts w:hint="eastAsia"/>
                <w:spacing w:val="-11"/>
                <w:sz w:val="20"/>
                <w:szCs w:val="15"/>
                <w:vertAlign w:val="baseline"/>
                <w:lang w:val="en-US" w:eastAsia="zh-CN"/>
              </w:rPr>
              <w:t>㎡一座，用于机修服务和存放备品备件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消防水系统</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设置两座消防水池，一座</w:t>
            </w:r>
            <w:r>
              <w:rPr>
                <w:rFonts w:hint="eastAsia" w:ascii="Times New Roman" w:hAnsi="Times New Roman"/>
                <w:spacing w:val="-11"/>
                <w:sz w:val="20"/>
                <w:szCs w:val="15"/>
                <w:vertAlign w:val="baseline"/>
                <w:lang w:val="en-US" w:eastAsia="zh-CN"/>
              </w:rPr>
              <w:t>7477m</w:t>
            </w:r>
            <w:r>
              <w:rPr>
                <w:rFonts w:hint="eastAsia"/>
                <w:spacing w:val="-11"/>
                <w:sz w:val="20"/>
                <w:szCs w:val="15"/>
                <w:vertAlign w:val="baseline"/>
                <w:lang w:val="en-US" w:eastAsia="zh-CN"/>
              </w:rPr>
              <w:t>³消防水池和一座</w:t>
            </w:r>
            <w:r>
              <w:rPr>
                <w:rFonts w:hint="eastAsia" w:ascii="Times New Roman" w:hAnsi="Times New Roman"/>
                <w:spacing w:val="-11"/>
                <w:sz w:val="20"/>
                <w:szCs w:val="15"/>
                <w:vertAlign w:val="baseline"/>
                <w:lang w:val="en-US" w:eastAsia="zh-CN"/>
              </w:rPr>
              <w:t>3600m</w:t>
            </w:r>
            <w:r>
              <w:rPr>
                <w:rFonts w:hint="eastAsia"/>
                <w:spacing w:val="-11"/>
                <w:sz w:val="20"/>
                <w:szCs w:val="15"/>
                <w:vertAlign w:val="baseline"/>
                <w:lang w:val="en-US" w:eastAsia="zh-CN"/>
              </w:rPr>
              <w:t>³消防水池，配套消防水泵房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储运工程</w:t>
            </w: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燃料煤储存</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座封闭式煤棚，一座占地</w:t>
            </w:r>
            <w:r>
              <w:rPr>
                <w:rFonts w:hint="eastAsia" w:ascii="Times New Roman" w:hAnsi="Times New Roman"/>
                <w:spacing w:val="-11"/>
                <w:sz w:val="20"/>
                <w:szCs w:val="15"/>
                <w:vertAlign w:val="baseline"/>
                <w:lang w:val="en-US" w:eastAsia="zh-CN"/>
              </w:rPr>
              <w:t>4830</w:t>
            </w:r>
            <w:r>
              <w:rPr>
                <w:rFonts w:hint="eastAsia"/>
                <w:spacing w:val="-11"/>
                <w:sz w:val="20"/>
                <w:szCs w:val="15"/>
                <w:vertAlign w:val="baseline"/>
                <w:lang w:val="en-US" w:eastAsia="zh-CN"/>
              </w:rPr>
              <w:t>㎡，一座占地</w:t>
            </w:r>
            <w:r>
              <w:rPr>
                <w:rFonts w:hint="eastAsia" w:ascii="Times New Roman" w:hAnsi="Times New Roman"/>
                <w:spacing w:val="-11"/>
                <w:sz w:val="20"/>
                <w:szCs w:val="15"/>
                <w:vertAlign w:val="baseline"/>
                <w:lang w:val="en-US" w:eastAsia="zh-CN"/>
              </w:rPr>
              <w:t>2100</w:t>
            </w:r>
            <w:r>
              <w:rPr>
                <w:rFonts w:hint="eastAsia"/>
                <w:spacing w:val="-11"/>
                <w:sz w:val="20"/>
                <w:szCs w:val="15"/>
                <w:vertAlign w:val="baseline"/>
                <w:lang w:val="en-US" w:eastAsia="zh-CN"/>
              </w:rPr>
              <w:t>㎡，燃煤来自乌苏四棵树煤矿（乌苏四棵树煤炭有限责任公司）供应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炉渣贮存</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封闭式渣场一座，面积</w:t>
            </w:r>
            <w:r>
              <w:rPr>
                <w:rFonts w:hint="eastAsia" w:ascii="Times New Roman" w:hAnsi="Times New Roman"/>
                <w:spacing w:val="-11"/>
                <w:sz w:val="20"/>
                <w:szCs w:val="15"/>
                <w:vertAlign w:val="baseline"/>
                <w:lang w:val="en-US" w:eastAsia="zh-CN"/>
              </w:rPr>
              <w:t>2610</w:t>
            </w:r>
            <w:r>
              <w:rPr>
                <w:rFonts w:hint="eastAsia"/>
                <w:spacing w:val="-11"/>
                <w:sz w:val="20"/>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煤灰除尘</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采用</w:t>
            </w:r>
            <w:r>
              <w:rPr>
                <w:rFonts w:hint="eastAsia" w:ascii="Times New Roman" w:hAnsi="Times New Roman"/>
                <w:spacing w:val="-11"/>
                <w:sz w:val="20"/>
                <w:szCs w:val="15"/>
                <w:vertAlign w:val="baseline"/>
                <w:lang w:val="en-US" w:eastAsia="zh-CN"/>
              </w:rPr>
              <w:t>700m</w:t>
            </w:r>
            <w:r>
              <w:rPr>
                <w:rFonts w:hint="eastAsia"/>
                <w:spacing w:val="-11"/>
                <w:sz w:val="20"/>
                <w:szCs w:val="15"/>
                <w:vertAlign w:val="baseline"/>
                <w:lang w:val="en-US" w:eastAsia="zh-CN"/>
              </w:rPr>
              <w:t>³密闭灰仓暂存，满足</w:t>
            </w:r>
            <w:r>
              <w:rPr>
                <w:rFonts w:hint="eastAsia" w:ascii="Times New Roman" w:hAnsi="Times New Roman"/>
                <w:spacing w:val="-11"/>
                <w:sz w:val="20"/>
                <w:szCs w:val="15"/>
                <w:vertAlign w:val="baseline"/>
                <w:lang w:val="en-US" w:eastAsia="zh-CN"/>
              </w:rPr>
              <w:t>10</w:t>
            </w:r>
            <w:r>
              <w:rPr>
                <w:rFonts w:hint="eastAsia"/>
                <w:spacing w:val="-11"/>
                <w:sz w:val="20"/>
                <w:szCs w:val="15"/>
                <w:vertAlign w:val="baseline"/>
                <w:lang w:val="en-US" w:eastAsia="zh-CN"/>
              </w:rPr>
              <w:t>天的储存量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氨水罐</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热动锅炉配套</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75m</w:t>
            </w:r>
            <w:r>
              <w:rPr>
                <w:rFonts w:hint="eastAsia"/>
                <w:spacing w:val="-11"/>
                <w:sz w:val="20"/>
                <w:szCs w:val="15"/>
                <w:vertAlign w:val="baseline"/>
                <w:lang w:val="en-US" w:eastAsia="zh-CN"/>
              </w:rPr>
              <w:t>³脱硫用氨水罐，</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65m</w:t>
            </w:r>
            <w:r>
              <w:rPr>
                <w:rFonts w:hint="eastAsia"/>
                <w:spacing w:val="-11"/>
                <w:sz w:val="20"/>
                <w:szCs w:val="15"/>
                <w:vertAlign w:val="baseline"/>
                <w:lang w:val="en-US" w:eastAsia="zh-CN"/>
              </w:rPr>
              <w:t>³脱硝用氨水罐，导热油炉脱硫配套</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20m</w:t>
            </w:r>
            <w:r>
              <w:rPr>
                <w:rFonts w:hint="eastAsia"/>
                <w:spacing w:val="-11"/>
                <w:sz w:val="20"/>
                <w:szCs w:val="15"/>
                <w:vertAlign w:val="baseline"/>
                <w:lang w:val="en-US" w:eastAsia="zh-CN"/>
              </w:rPr>
              <w:t>³氨水罐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液氨储罐</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座</w:t>
            </w:r>
            <w:r>
              <w:rPr>
                <w:rFonts w:hint="eastAsia" w:ascii="Times New Roman" w:hAnsi="Times New Roman"/>
                <w:spacing w:val="-11"/>
                <w:sz w:val="20"/>
                <w:szCs w:val="15"/>
                <w:vertAlign w:val="baseline"/>
                <w:lang w:val="en-US" w:eastAsia="zh-CN"/>
              </w:rPr>
              <w:t>600m</w:t>
            </w:r>
            <w:r>
              <w:rPr>
                <w:rFonts w:hint="eastAsia"/>
                <w:spacing w:val="-11"/>
                <w:sz w:val="20"/>
                <w:szCs w:val="15"/>
                <w:vertAlign w:val="baseline"/>
                <w:lang w:val="en-US" w:eastAsia="zh-CN"/>
              </w:rPr>
              <w:t>³液氨球罐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玉米筒仓</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7</w:t>
            </w:r>
            <w:r>
              <w:rPr>
                <w:rFonts w:hint="eastAsia"/>
                <w:spacing w:val="-11"/>
                <w:sz w:val="20"/>
                <w:szCs w:val="15"/>
                <w:vertAlign w:val="baseline"/>
                <w:lang w:val="en-US" w:eastAsia="zh-CN"/>
              </w:rPr>
              <w:t>座</w:t>
            </w:r>
            <w:r>
              <w:rPr>
                <w:rFonts w:hint="eastAsia" w:ascii="Times New Roman" w:hAnsi="Times New Roman"/>
                <w:spacing w:val="-11"/>
                <w:sz w:val="20"/>
                <w:szCs w:val="15"/>
                <w:vertAlign w:val="baseline"/>
                <w:lang w:val="en-US" w:eastAsia="zh-CN"/>
              </w:rPr>
              <w:t>6000t</w:t>
            </w:r>
            <w:r>
              <w:rPr>
                <w:rFonts w:hint="eastAsia"/>
                <w:spacing w:val="-11"/>
                <w:sz w:val="20"/>
                <w:szCs w:val="15"/>
                <w:vertAlign w:val="baseline"/>
                <w:lang w:val="en-US" w:eastAsia="zh-CN"/>
              </w:rPr>
              <w:t>钢板仓+</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座</w:t>
            </w:r>
            <w:r>
              <w:rPr>
                <w:rFonts w:hint="eastAsia" w:ascii="Times New Roman" w:hAnsi="Times New Roman"/>
                <w:spacing w:val="-11"/>
                <w:sz w:val="20"/>
                <w:szCs w:val="15"/>
                <w:vertAlign w:val="baseline"/>
                <w:lang w:val="en-US" w:eastAsia="zh-CN"/>
              </w:rPr>
              <w:t>50000t</w:t>
            </w:r>
            <w:r>
              <w:rPr>
                <w:rFonts w:hint="eastAsia"/>
                <w:spacing w:val="-11"/>
                <w:sz w:val="20"/>
                <w:szCs w:val="15"/>
                <w:vertAlign w:val="baseline"/>
                <w:lang w:val="en-US" w:eastAsia="zh-CN"/>
              </w:rPr>
              <w:t>平方仓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酸碱罐区</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300m</w:t>
            </w:r>
            <w:r>
              <w:rPr>
                <w:rFonts w:hint="eastAsia"/>
                <w:spacing w:val="-11"/>
                <w:sz w:val="20"/>
                <w:szCs w:val="15"/>
                <w:vertAlign w:val="baseline"/>
                <w:lang w:val="en-US" w:eastAsia="zh-CN"/>
              </w:rPr>
              <w:t>³液碱储罐、</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300m</w:t>
            </w:r>
            <w:r>
              <w:rPr>
                <w:rFonts w:hint="eastAsia"/>
                <w:spacing w:val="-11"/>
                <w:sz w:val="20"/>
                <w:szCs w:val="15"/>
                <w:vertAlign w:val="baseline"/>
                <w:lang w:val="en-US" w:eastAsia="zh-CN"/>
              </w:rPr>
              <w:t>³硫酸储罐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溶液储罐</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1500m</w:t>
            </w:r>
            <w:r>
              <w:rPr>
                <w:rFonts w:hint="eastAsia"/>
                <w:spacing w:val="-11"/>
                <w:sz w:val="20"/>
                <w:szCs w:val="15"/>
                <w:vertAlign w:val="baseline"/>
                <w:lang w:val="en-US" w:eastAsia="zh-CN"/>
              </w:rPr>
              <w:t>³储罐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硝酸储罐</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50m</w:t>
            </w:r>
            <w:r>
              <w:rPr>
                <w:rFonts w:hint="eastAsia"/>
                <w:spacing w:val="-11"/>
                <w:sz w:val="20"/>
                <w:szCs w:val="15"/>
                <w:vertAlign w:val="baseline"/>
                <w:lang w:val="en-US" w:eastAsia="zh-CN"/>
              </w:rPr>
              <w:t>³硝酸储罐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硫磺、硫酸铵、碳酸氢铵、絮凝剂、氢氧化钠、己二酸</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硫磺（袋装位于淀粉乳化单元），硫酸铵、碳酸氢铵、絮凝剂、己二酸均为袋装位于厂区西南角占地</w:t>
            </w:r>
            <w:r>
              <w:rPr>
                <w:rFonts w:hint="eastAsia" w:ascii="Times New Roman" w:hAnsi="Times New Roman"/>
                <w:spacing w:val="-11"/>
                <w:sz w:val="20"/>
                <w:szCs w:val="15"/>
                <w:vertAlign w:val="baseline"/>
                <w:lang w:val="en-US" w:eastAsia="zh-CN"/>
              </w:rPr>
              <w:t>2000</w:t>
            </w:r>
            <w:r>
              <w:rPr>
                <w:rFonts w:hint="eastAsia"/>
                <w:spacing w:val="-11"/>
                <w:sz w:val="20"/>
                <w:szCs w:val="15"/>
                <w:vertAlign w:val="baseline"/>
                <w:lang w:val="en-US" w:eastAsia="zh-CN"/>
              </w:rPr>
              <w:t>㎡的化学品库房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培养基、催化剂</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使用时直接外运至厂区，厂内不存放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成品库房</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占地</w:t>
            </w:r>
            <w:r>
              <w:rPr>
                <w:rFonts w:hint="eastAsia" w:ascii="Times New Roman" w:hAnsi="Times New Roman"/>
                <w:spacing w:val="-11"/>
                <w:sz w:val="20"/>
                <w:szCs w:val="15"/>
                <w:vertAlign w:val="baseline"/>
                <w:lang w:val="en-US" w:eastAsia="zh-CN"/>
              </w:rPr>
              <w:t>2150</w:t>
            </w:r>
            <w:r>
              <w:rPr>
                <w:rFonts w:hint="eastAsia"/>
                <w:spacing w:val="-11"/>
                <w:sz w:val="20"/>
                <w:szCs w:val="15"/>
                <w:vertAlign w:val="baseline"/>
                <w:lang w:val="en-US" w:eastAsia="zh-CN"/>
              </w:rPr>
              <w:t>㎡产品库用于存放产品聚酰胺切粒物料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公用工程</w:t>
            </w: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供水</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园区净水厂供给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供电</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园区供电电网提供，厂内设</w:t>
            </w:r>
            <w:r>
              <w:rPr>
                <w:rFonts w:hint="eastAsia" w:ascii="Times New Roman" w:hAnsi="Times New Roman"/>
                <w:spacing w:val="-11"/>
                <w:sz w:val="20"/>
                <w:szCs w:val="15"/>
                <w:vertAlign w:val="baseline"/>
                <w:lang w:val="en-US" w:eastAsia="zh-CN"/>
              </w:rPr>
              <w:t>110kV</w:t>
            </w:r>
            <w:r>
              <w:rPr>
                <w:rFonts w:hint="eastAsia"/>
                <w:spacing w:val="-11"/>
                <w:sz w:val="20"/>
                <w:szCs w:val="15"/>
                <w:vertAlign w:val="baseline"/>
                <w:lang w:val="en-US" w:eastAsia="zh-CN"/>
              </w:rPr>
              <w:t>总降压站，电压等级包括：高压：</w:t>
            </w:r>
            <w:r>
              <w:rPr>
                <w:rFonts w:hint="eastAsia" w:ascii="Times New Roman" w:hAnsi="Times New Roman"/>
                <w:spacing w:val="-11"/>
                <w:sz w:val="20"/>
                <w:szCs w:val="15"/>
                <w:vertAlign w:val="baseline"/>
                <w:lang w:val="en-US" w:eastAsia="zh-CN"/>
              </w:rPr>
              <w:t>AC110kV</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AC10kV</w:t>
            </w:r>
            <w:r>
              <w:rPr>
                <w:rFonts w:hint="eastAsia"/>
                <w:spacing w:val="-11"/>
                <w:sz w:val="20"/>
                <w:szCs w:val="15"/>
                <w:vertAlign w:val="baseline"/>
                <w:lang w:val="en-US" w:eastAsia="zh-CN"/>
              </w:rPr>
              <w:t>；低压：</w:t>
            </w:r>
            <w:r>
              <w:rPr>
                <w:rFonts w:hint="eastAsia" w:ascii="Times New Roman" w:hAnsi="Times New Roman"/>
                <w:spacing w:val="-11"/>
                <w:sz w:val="20"/>
                <w:szCs w:val="15"/>
                <w:vertAlign w:val="baseline"/>
                <w:lang w:val="en-US" w:eastAsia="zh-CN"/>
              </w:rPr>
              <w:t>AC380</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220V</w:t>
            </w:r>
            <w:r>
              <w:rPr>
                <w:rFonts w:hint="eastAsia"/>
                <w:spacing w:val="-11"/>
                <w:sz w:val="20"/>
                <w:szCs w:val="15"/>
                <w:vertAlign w:val="baseline"/>
                <w:lang w:val="en-US" w:eastAsia="zh-CN"/>
              </w:rPr>
              <w:t>；控制电压：</w:t>
            </w:r>
            <w:r>
              <w:rPr>
                <w:rFonts w:hint="eastAsia" w:ascii="Times New Roman" w:hAnsi="Times New Roman"/>
                <w:spacing w:val="-11"/>
                <w:sz w:val="20"/>
                <w:szCs w:val="15"/>
                <w:vertAlign w:val="baseline"/>
                <w:lang w:val="en-US" w:eastAsia="zh-CN"/>
              </w:rPr>
              <w:t>AC220V</w:t>
            </w:r>
            <w:r>
              <w:rPr>
                <w:rFonts w:hint="eastAsia"/>
                <w:spacing w:val="-11"/>
                <w:sz w:val="20"/>
                <w:szCs w:val="15"/>
                <w:vertAlign w:val="baseline"/>
                <w:lang w:val="en-US" w:eastAsia="zh-CN"/>
              </w:rPr>
              <w:t>（低压系统）；</w:t>
            </w:r>
            <w:r>
              <w:rPr>
                <w:rFonts w:hint="eastAsia" w:ascii="Times New Roman" w:hAnsi="Times New Roman"/>
                <w:spacing w:val="-11"/>
                <w:sz w:val="20"/>
                <w:szCs w:val="15"/>
                <w:vertAlign w:val="baseline"/>
                <w:lang w:val="en-US" w:eastAsia="zh-CN"/>
              </w:rPr>
              <w:t>DC220V</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10kV</w:t>
            </w:r>
            <w:r>
              <w:rPr>
                <w:rFonts w:hint="eastAsia"/>
                <w:spacing w:val="-11"/>
                <w:sz w:val="20"/>
                <w:szCs w:val="15"/>
                <w:vertAlign w:val="baseline"/>
                <w:lang w:val="en-US" w:eastAsia="zh-CN"/>
              </w:rPr>
              <w:t>系统）；安全照明用电电压为：</w:t>
            </w:r>
            <w:r>
              <w:rPr>
                <w:rFonts w:hint="eastAsia" w:ascii="Times New Roman" w:hAnsi="Times New Roman"/>
                <w:spacing w:val="-11"/>
                <w:sz w:val="20"/>
                <w:szCs w:val="15"/>
                <w:vertAlign w:val="baseline"/>
                <w:lang w:val="en-US" w:eastAsia="zh-CN"/>
              </w:rPr>
              <w:t>AC36V</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AC12V</w:t>
            </w:r>
            <w:r>
              <w:rPr>
                <w:rFonts w:hint="eastAsia"/>
                <w:spacing w:val="-11"/>
                <w:sz w:val="20"/>
                <w:szCs w:val="15"/>
                <w:vertAlign w:val="baseline"/>
                <w:lang w:val="en-US" w:eastAsia="zh-CN"/>
              </w:rPr>
              <w:t>，主要工艺生产负荷及配套公用工程系统为二级负荷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供热</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厂内设置</w:t>
            </w: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台</w:t>
            </w:r>
            <w:r>
              <w:rPr>
                <w:rFonts w:hint="eastAsia" w:ascii="Times New Roman" w:hAnsi="Times New Roman"/>
                <w:spacing w:val="-11"/>
                <w:sz w:val="20"/>
                <w:szCs w:val="15"/>
                <w:vertAlign w:val="baseline"/>
                <w:lang w:val="en-US" w:eastAsia="zh-CN"/>
              </w:rPr>
              <w:t>75t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4</w:t>
            </w:r>
            <w:r>
              <w:rPr>
                <w:rFonts w:hint="eastAsia"/>
                <w:spacing w:val="-11"/>
                <w:sz w:val="20"/>
                <w:szCs w:val="15"/>
                <w:vertAlign w:val="baseline"/>
                <w:lang w:val="en-US" w:eastAsia="zh-CN"/>
              </w:rPr>
              <w:t>开</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备）锅炉及配套设施，为厂内及技术公司提供生产供热及园区采暖供热，厂内（包括技术公司）最大用汽量约</w:t>
            </w:r>
            <w:r>
              <w:rPr>
                <w:rFonts w:hint="eastAsia" w:ascii="Times New Roman" w:hAnsi="Times New Roman"/>
                <w:spacing w:val="-11"/>
                <w:sz w:val="20"/>
                <w:szCs w:val="15"/>
                <w:vertAlign w:val="baseline"/>
                <w:lang w:val="en-US" w:eastAsia="zh-CN"/>
              </w:rPr>
              <w:t>266</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6t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排水</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生产废水、生活污水经厂内污水站处理达标后排入园区管网，清净下水直接排入园区管网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环保工程</w:t>
            </w:r>
          </w:p>
        </w:tc>
        <w:tc>
          <w:tcPr>
            <w:tcW w:w="158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废气治理</w:t>
            </w: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玉米净化废气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套布袋除尘器+</w:t>
            </w:r>
            <w:r>
              <w:rPr>
                <w:rFonts w:hint="eastAsia" w:ascii="Times New Roman" w:hAnsi="Times New Roman"/>
                <w:spacing w:val="-11"/>
                <w:sz w:val="20"/>
                <w:szCs w:val="15"/>
                <w:vertAlign w:val="baseline"/>
                <w:lang w:val="en-US" w:eastAsia="zh-CN"/>
              </w:rPr>
              <w:t>20m</w:t>
            </w:r>
            <w:r>
              <w:rPr>
                <w:rFonts w:hint="eastAsia"/>
                <w:spacing w:val="-11"/>
                <w:sz w:val="20"/>
                <w:szCs w:val="15"/>
                <w:vertAlign w:val="baseline"/>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制酸浸泡废气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碱喷淋吸收塔+</w:t>
            </w:r>
            <w:r>
              <w:rPr>
                <w:rFonts w:hint="eastAsia" w:ascii="Times New Roman" w:hAnsi="Times New Roman"/>
                <w:spacing w:val="-11"/>
                <w:sz w:val="20"/>
                <w:szCs w:val="15"/>
                <w:vertAlign w:val="baseline"/>
                <w:lang w:val="en-US" w:eastAsia="zh-CN"/>
              </w:rPr>
              <w:t>22m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副产品干燥废气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套袋式除尘器+</w:t>
            </w:r>
            <w:r>
              <w:rPr>
                <w:rFonts w:hint="eastAsia" w:ascii="Times New Roman" w:hAnsi="Times New Roman"/>
                <w:spacing w:val="-11"/>
                <w:sz w:val="20"/>
                <w:szCs w:val="15"/>
                <w:vertAlign w:val="baseline"/>
                <w:lang w:val="en-US" w:eastAsia="zh-CN"/>
              </w:rPr>
              <w:t>16m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副产品风送废气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4</w:t>
            </w:r>
            <w:r>
              <w:rPr>
                <w:rFonts w:hint="eastAsia"/>
                <w:spacing w:val="-11"/>
                <w:sz w:val="20"/>
                <w:szCs w:val="15"/>
                <w:vertAlign w:val="baseline"/>
                <w:lang w:val="en-US" w:eastAsia="zh-CN"/>
              </w:rPr>
              <w:t>套布袋除尘器+</w:t>
            </w:r>
            <w:r>
              <w:rPr>
                <w:rFonts w:hint="eastAsia" w:ascii="Times New Roman" w:hAnsi="Times New Roman"/>
                <w:spacing w:val="-11"/>
                <w:sz w:val="20"/>
                <w:szCs w:val="15"/>
                <w:vertAlign w:val="baseline"/>
                <w:lang w:val="en-US" w:eastAsia="zh-CN"/>
              </w:rPr>
              <w:t>4</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20m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淀粉干燥废气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6</w:t>
            </w:r>
            <w:r>
              <w:rPr>
                <w:rFonts w:hint="eastAsia"/>
                <w:spacing w:val="-11"/>
                <w:sz w:val="20"/>
                <w:szCs w:val="15"/>
                <w:vertAlign w:val="baseline"/>
                <w:lang w:val="en-US" w:eastAsia="zh-CN"/>
              </w:rPr>
              <w:t>套旋风分离器+</w:t>
            </w:r>
            <w:r>
              <w:rPr>
                <w:rFonts w:hint="eastAsia" w:ascii="Times New Roman" w:hAnsi="Times New Roman"/>
                <w:spacing w:val="-11"/>
                <w:sz w:val="20"/>
                <w:szCs w:val="15"/>
                <w:vertAlign w:val="baseline"/>
                <w:lang w:val="en-US" w:eastAsia="zh-CN"/>
              </w:rPr>
              <w:t>6</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17m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包装车间废气（副产品）</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套布袋除尘器+</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15m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包装车间废气（淀粉）</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套布袋除尘器+</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15m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主产品风送废气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套布袋除尘器+</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17m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玉米烘干转送废气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14</w:t>
            </w:r>
            <w:r>
              <w:rPr>
                <w:rFonts w:hint="eastAsia"/>
                <w:spacing w:val="-11"/>
                <w:sz w:val="20"/>
                <w:szCs w:val="15"/>
                <w:vertAlign w:val="baseline"/>
                <w:lang w:val="en-US" w:eastAsia="zh-CN"/>
              </w:rPr>
              <w:t>套脉冲除尘+</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26m</w:t>
            </w:r>
            <w:r>
              <w:rPr>
                <w:rFonts w:hint="eastAsia"/>
                <w:spacing w:val="-11"/>
                <w:sz w:val="20"/>
                <w:szCs w:val="15"/>
                <w:vertAlign w:val="baseline"/>
                <w:lang w:val="en-US" w:eastAsia="zh-CN"/>
              </w:rPr>
              <w:t>高排气筒+</w:t>
            </w: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24m</w:t>
            </w:r>
            <w:r>
              <w:rPr>
                <w:rFonts w:hint="eastAsia"/>
                <w:spacing w:val="-11"/>
                <w:sz w:val="20"/>
                <w:szCs w:val="15"/>
                <w:vertAlign w:val="baseline"/>
                <w:lang w:val="en-US" w:eastAsia="zh-CN"/>
              </w:rPr>
              <w:t>高排气筒+</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29m</w:t>
            </w:r>
            <w:r>
              <w:rPr>
                <w:rFonts w:hint="eastAsia"/>
                <w:spacing w:val="-11"/>
                <w:sz w:val="20"/>
                <w:szCs w:val="15"/>
                <w:vertAlign w:val="baseline"/>
                <w:lang w:val="en-US" w:eastAsia="zh-CN"/>
              </w:rPr>
              <w:t>高排气筒+</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16m</w:t>
            </w:r>
            <w:r>
              <w:rPr>
                <w:rFonts w:hint="eastAsia"/>
                <w:spacing w:val="-11"/>
                <w:sz w:val="20"/>
                <w:szCs w:val="15"/>
                <w:vertAlign w:val="baseline"/>
                <w:lang w:val="en-US" w:eastAsia="zh-CN"/>
              </w:rPr>
              <w:t>高排气筒+</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34m</w:t>
            </w:r>
            <w:r>
              <w:rPr>
                <w:rFonts w:hint="eastAsia"/>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发酵间发酵罐废气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送污水站曝气池，与污水站废气一并采用生物除臭处理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热动锅炉烟气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套</w:t>
            </w:r>
            <w:r>
              <w:rPr>
                <w:rFonts w:hint="eastAsia" w:ascii="Times New Roman" w:hAnsi="Times New Roman"/>
                <w:spacing w:val="-11"/>
                <w:sz w:val="20"/>
                <w:szCs w:val="15"/>
                <w:vertAlign w:val="baseline"/>
                <w:lang w:val="en-US" w:eastAsia="zh-CN"/>
              </w:rPr>
              <w:t>SCR</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SNCR</w:t>
            </w:r>
            <w:r>
              <w:rPr>
                <w:rFonts w:hint="eastAsia"/>
                <w:spacing w:val="-11"/>
                <w:sz w:val="20"/>
                <w:szCs w:val="15"/>
                <w:vertAlign w:val="baseline"/>
                <w:lang w:val="en-US" w:eastAsia="zh-CN"/>
              </w:rPr>
              <w:t>脱硝设施+</w:t>
            </w: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套电袋复合除尘设施+</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套氨法脱硫设施+</w:t>
            </w:r>
            <w:r>
              <w:rPr>
                <w:rFonts w:hint="eastAsia" w:ascii="Times New Roman" w:hAnsi="Times New Roman"/>
                <w:spacing w:val="-11"/>
                <w:sz w:val="20"/>
                <w:szCs w:val="15"/>
                <w:vertAlign w:val="baseline"/>
                <w:lang w:val="en-US" w:eastAsia="zh-CN"/>
              </w:rPr>
              <w:t>100m</w:t>
            </w:r>
            <w:r>
              <w:rPr>
                <w:rFonts w:hint="eastAsia"/>
                <w:spacing w:val="-11"/>
                <w:sz w:val="20"/>
                <w:szCs w:val="15"/>
                <w:vertAlign w:val="baseline"/>
                <w:lang w:val="en-US" w:eastAsia="zh-CN"/>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导热油炉烟气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煤改气后采用天然气为燃料，配套低氮燃烧器，通过</w:t>
            </w:r>
            <w:r>
              <w:rPr>
                <w:rFonts w:hint="eastAsia" w:ascii="Times New Roman" w:hAnsi="Times New Roman"/>
                <w:spacing w:val="-11"/>
                <w:sz w:val="20"/>
                <w:szCs w:val="15"/>
                <w:vertAlign w:val="baseline"/>
                <w:lang w:val="en-US" w:eastAsia="zh-CN"/>
              </w:rPr>
              <w:t>40m</w:t>
            </w:r>
            <w:r>
              <w:rPr>
                <w:rFonts w:hint="eastAsia"/>
                <w:spacing w:val="-11"/>
                <w:sz w:val="20"/>
                <w:szCs w:val="15"/>
                <w:vertAlign w:val="baseline"/>
                <w:lang w:val="en-US" w:eastAsia="zh-CN"/>
              </w:rPr>
              <w:t>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发酵车间</w:t>
            </w:r>
            <w:r>
              <w:rPr>
                <w:rFonts w:hint="eastAsia" w:ascii="Times New Roman" w:hAnsi="Times New Roman"/>
                <w:spacing w:val="-11"/>
                <w:sz w:val="20"/>
                <w:szCs w:val="15"/>
                <w:vertAlign w:val="baseline"/>
                <w:lang w:val="en-US" w:eastAsia="zh-CN"/>
              </w:rPr>
              <w:t>300</w:t>
            </w:r>
            <w:r>
              <w:rPr>
                <w:rFonts w:hint="eastAsia"/>
                <w:spacing w:val="-11"/>
                <w:sz w:val="20"/>
                <w:szCs w:val="15"/>
                <w:vertAlign w:val="baseline"/>
                <w:lang w:val="en-US" w:eastAsia="zh-CN"/>
              </w:rPr>
              <w:t>#罐废气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污水站曝气时送污水曝气池，通过污水站生物除臭+</w:t>
            </w:r>
            <w:r>
              <w:rPr>
                <w:rFonts w:hint="eastAsia" w:ascii="Times New Roman" w:hAnsi="Times New Roman"/>
                <w:spacing w:val="-11"/>
                <w:sz w:val="20"/>
                <w:szCs w:val="15"/>
                <w:vertAlign w:val="baseline"/>
                <w:lang w:val="en-US" w:eastAsia="zh-CN"/>
              </w:rPr>
              <w:t>30m</w:t>
            </w:r>
            <w:r>
              <w:rPr>
                <w:rFonts w:hint="eastAsia"/>
                <w:spacing w:val="-11"/>
                <w:sz w:val="20"/>
                <w:szCs w:val="15"/>
                <w:vertAlign w:val="baseline"/>
                <w:lang w:val="en-US" w:eastAsia="zh-CN"/>
              </w:rPr>
              <w:t>排气筒排放，污水站停止曝气时经二级水喷淋+</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27m</w:t>
            </w:r>
            <w:r>
              <w:rPr>
                <w:rFonts w:hint="eastAsia"/>
                <w:spacing w:val="-11"/>
                <w:sz w:val="20"/>
                <w:szCs w:val="15"/>
                <w:vertAlign w:val="baseline"/>
                <w:lang w:val="en-US" w:eastAsia="zh-CN"/>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发酵车间</w:t>
            </w:r>
            <w:r>
              <w:rPr>
                <w:rFonts w:hint="eastAsia" w:ascii="Times New Roman" w:hAnsi="Times New Roman"/>
                <w:spacing w:val="-11"/>
                <w:sz w:val="20"/>
                <w:szCs w:val="15"/>
                <w:vertAlign w:val="baseline"/>
                <w:lang w:val="en-US" w:eastAsia="zh-CN"/>
              </w:rPr>
              <w:t>800</w:t>
            </w:r>
            <w:r>
              <w:rPr>
                <w:rFonts w:hint="eastAsia"/>
                <w:spacing w:val="-11"/>
                <w:sz w:val="20"/>
                <w:szCs w:val="15"/>
                <w:vertAlign w:val="baseline"/>
                <w:lang w:val="en-US" w:eastAsia="zh-CN"/>
              </w:rPr>
              <w:t>#罐废气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污水站曝气时送污水曝气池，通过污水站生物除臭+</w:t>
            </w:r>
            <w:r>
              <w:rPr>
                <w:rFonts w:hint="eastAsia" w:ascii="Times New Roman" w:hAnsi="Times New Roman"/>
                <w:spacing w:val="-11"/>
                <w:sz w:val="20"/>
                <w:szCs w:val="15"/>
                <w:vertAlign w:val="baseline"/>
                <w:lang w:val="en-US" w:eastAsia="zh-CN"/>
              </w:rPr>
              <w:t>30m</w:t>
            </w:r>
            <w:r>
              <w:rPr>
                <w:rFonts w:hint="eastAsia"/>
                <w:spacing w:val="-11"/>
                <w:sz w:val="20"/>
                <w:szCs w:val="15"/>
                <w:vertAlign w:val="baseline"/>
                <w:lang w:val="en-US" w:eastAsia="zh-CN"/>
              </w:rPr>
              <w:t>排气筒排放，污水站停止曝气时经二级水喷淋+</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27m</w:t>
            </w:r>
            <w:r>
              <w:rPr>
                <w:rFonts w:hint="eastAsia"/>
                <w:spacing w:val="-11"/>
                <w:sz w:val="20"/>
                <w:szCs w:val="15"/>
                <w:vertAlign w:val="baseline"/>
                <w:lang w:val="en-US" w:eastAsia="zh-CN"/>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提取车间精馏废气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二级水膜+水喷淋+</w:t>
            </w:r>
            <w:r>
              <w:rPr>
                <w:rFonts w:hint="eastAsia" w:ascii="Times New Roman" w:hAnsi="Times New Roman"/>
                <w:color w:val="auto"/>
                <w:spacing w:val="-11"/>
                <w:sz w:val="20"/>
                <w:szCs w:val="15"/>
                <w:vertAlign w:val="baseline"/>
                <w:lang w:val="en-US" w:eastAsia="zh-CN"/>
              </w:rPr>
              <w:t>1</w:t>
            </w:r>
            <w:r>
              <w:rPr>
                <w:rFonts w:hint="eastAsia"/>
                <w:color w:val="auto"/>
                <w:spacing w:val="-11"/>
                <w:sz w:val="20"/>
                <w:szCs w:val="15"/>
                <w:vertAlign w:val="baseline"/>
                <w:lang w:val="en-US" w:eastAsia="zh-CN"/>
              </w:rPr>
              <w:t>根</w:t>
            </w:r>
            <w:r>
              <w:rPr>
                <w:rFonts w:hint="eastAsia" w:ascii="Times New Roman" w:hAnsi="Times New Roman"/>
                <w:color w:val="auto"/>
                <w:spacing w:val="-11"/>
                <w:sz w:val="20"/>
                <w:szCs w:val="15"/>
                <w:vertAlign w:val="baseline"/>
                <w:lang w:val="en-US" w:eastAsia="zh-CN"/>
              </w:rPr>
              <w:t>20m</w:t>
            </w:r>
            <w:r>
              <w:rPr>
                <w:rFonts w:hint="eastAsia"/>
                <w:color w:val="auto"/>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提取车间提取废气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一级水膜+一根</w:t>
            </w:r>
            <w:r>
              <w:rPr>
                <w:rFonts w:hint="eastAsia" w:ascii="Times New Roman" w:hAnsi="Times New Roman"/>
                <w:color w:val="auto"/>
                <w:spacing w:val="-11"/>
                <w:sz w:val="20"/>
                <w:szCs w:val="15"/>
                <w:vertAlign w:val="baseline"/>
                <w:lang w:val="en-US" w:eastAsia="zh-CN"/>
              </w:rPr>
              <w:t>23m</w:t>
            </w:r>
            <w:r>
              <w:rPr>
                <w:rFonts w:hint="eastAsia"/>
                <w:color w:val="auto"/>
                <w:spacing w:val="-11"/>
                <w:sz w:val="20"/>
                <w:szCs w:val="15"/>
                <w:vertAlign w:val="baseline"/>
                <w:lang w:val="en-US" w:eastAsia="zh-CN"/>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污水站废气</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站内废气密闭收集，采用</w:t>
            </w: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套生物除臭设施+</w:t>
            </w: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根</w:t>
            </w:r>
            <w:r>
              <w:rPr>
                <w:rFonts w:hint="eastAsia" w:ascii="Times New Roman" w:hAnsi="Times New Roman"/>
                <w:spacing w:val="-11"/>
                <w:sz w:val="20"/>
                <w:szCs w:val="15"/>
                <w:vertAlign w:val="baseline"/>
                <w:lang w:val="en-US" w:eastAsia="zh-CN"/>
              </w:rPr>
              <w:t>30m</w:t>
            </w:r>
            <w:r>
              <w:rPr>
                <w:rFonts w:hint="eastAsia"/>
                <w:spacing w:val="-11"/>
                <w:sz w:val="20"/>
                <w:szCs w:val="15"/>
                <w:vertAlign w:val="baseline"/>
                <w:lang w:val="en-US" w:eastAsia="zh-CN"/>
              </w:rPr>
              <w:t>高排气筒排放，验收后，污水站东北角设一套酸碱喷淋+生物除臭+</w:t>
            </w:r>
            <w:r>
              <w:rPr>
                <w:rFonts w:hint="eastAsia" w:ascii="Times New Roman" w:hAnsi="Times New Roman"/>
                <w:spacing w:val="-11"/>
                <w:sz w:val="20"/>
                <w:szCs w:val="15"/>
                <w:vertAlign w:val="baseline"/>
                <w:lang w:val="en-US" w:eastAsia="zh-CN"/>
              </w:rPr>
              <w:t>30m</w:t>
            </w:r>
            <w:r>
              <w:rPr>
                <w:rFonts w:hint="eastAsia"/>
                <w:spacing w:val="-11"/>
                <w:sz w:val="20"/>
                <w:szCs w:val="15"/>
                <w:vertAlign w:val="baseline"/>
                <w:lang w:val="en-US" w:eastAsia="zh-CN"/>
              </w:rPr>
              <w:t>高排气筒，共计</w:t>
            </w:r>
            <w:r>
              <w:rPr>
                <w:rFonts w:hint="eastAsia" w:ascii="Times New Roman" w:hAnsi="Times New Roman"/>
                <w:spacing w:val="-11"/>
                <w:sz w:val="20"/>
                <w:szCs w:val="15"/>
                <w:vertAlign w:val="baseline"/>
                <w:lang w:val="en-US" w:eastAsia="zh-CN"/>
              </w:rPr>
              <w:t>6</w:t>
            </w:r>
            <w:r>
              <w:rPr>
                <w:rFonts w:hint="eastAsia"/>
                <w:spacing w:val="-11"/>
                <w:sz w:val="20"/>
                <w:szCs w:val="15"/>
                <w:vertAlign w:val="baseline"/>
                <w:lang w:val="en-US" w:eastAsia="zh-CN"/>
              </w:rPr>
              <w:t>套除臭系统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350</w:t>
            </w:r>
            <w:r>
              <w:rPr>
                <w:rFonts w:hint="eastAsia"/>
                <w:spacing w:val="-11"/>
                <w:sz w:val="20"/>
                <w:szCs w:val="15"/>
                <w:vertAlign w:val="baseline"/>
                <w:lang w:val="en-US" w:eastAsia="zh-CN"/>
              </w:rPr>
              <w:t>单元车间废气</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（验收后设置）</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将</w:t>
            </w:r>
            <w:r>
              <w:rPr>
                <w:rFonts w:hint="eastAsia" w:ascii="Times New Roman" w:hAnsi="Times New Roman"/>
                <w:spacing w:val="-11"/>
                <w:sz w:val="20"/>
                <w:szCs w:val="15"/>
                <w:vertAlign w:val="baseline"/>
                <w:lang w:val="en-US" w:eastAsia="zh-CN"/>
              </w:rPr>
              <w:t>350</w:t>
            </w:r>
            <w:r>
              <w:rPr>
                <w:rFonts w:hint="eastAsia"/>
                <w:spacing w:val="-11"/>
                <w:sz w:val="20"/>
                <w:szCs w:val="15"/>
                <w:vertAlign w:val="baseline"/>
                <w:lang w:val="en-US" w:eastAsia="zh-CN"/>
              </w:rPr>
              <w:t>单元出料口封闭，车辆密闭装车，车间内设置一套酸吸收+水洗工艺，将车间无组织废气经收集处理后通过有组织排放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PA</w:t>
            </w:r>
            <w:r>
              <w:rPr>
                <w:rFonts w:hint="eastAsia"/>
                <w:spacing w:val="-11"/>
                <w:sz w:val="20"/>
                <w:szCs w:val="15"/>
                <w:vertAlign w:val="baseline"/>
                <w:lang w:val="en-US" w:eastAsia="zh-CN"/>
              </w:rPr>
              <w:t>聚合车间废气</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（验收后设置）</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验收后设置，收集</w:t>
            </w:r>
            <w:r>
              <w:rPr>
                <w:rFonts w:hint="eastAsia" w:ascii="Times New Roman" w:hAnsi="Times New Roman"/>
                <w:spacing w:val="-11"/>
                <w:sz w:val="20"/>
                <w:szCs w:val="15"/>
                <w:vertAlign w:val="baseline"/>
                <w:lang w:val="en-US" w:eastAsia="zh-CN"/>
              </w:rPr>
              <w:t>PA</w:t>
            </w:r>
            <w:r>
              <w:rPr>
                <w:rFonts w:hint="eastAsia"/>
                <w:spacing w:val="-11"/>
                <w:sz w:val="20"/>
                <w:szCs w:val="15"/>
                <w:vertAlign w:val="baseline"/>
                <w:lang w:val="en-US" w:eastAsia="zh-CN"/>
              </w:rPr>
              <w:t>聚合车间内无组织废气，采用二级水膜+碱喷淋处理后，通过一根</w:t>
            </w:r>
            <w:r>
              <w:rPr>
                <w:rFonts w:hint="eastAsia" w:ascii="Times New Roman" w:hAnsi="Times New Roman"/>
                <w:spacing w:val="-11"/>
                <w:sz w:val="20"/>
                <w:szCs w:val="15"/>
                <w:vertAlign w:val="baseline"/>
                <w:lang w:val="en-US" w:eastAsia="zh-CN"/>
              </w:rPr>
              <w:t>40m</w:t>
            </w:r>
            <w:r>
              <w:rPr>
                <w:rFonts w:hint="eastAsia"/>
                <w:spacing w:val="-11"/>
                <w:sz w:val="20"/>
                <w:szCs w:val="15"/>
                <w:vertAlign w:val="baseline"/>
                <w:lang w:val="en-US" w:eastAsia="zh-CN"/>
              </w:rPr>
              <w:t>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干燥车间压滤机废气</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（验收后设置）</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取消煅烧工艺后，为处理废絮凝剂及菌体污泥，设置干燥车间负责该部分固废的干燥处理，压滤机上部设置集气罩，采用二级水喷淋处理后，通过</w:t>
            </w:r>
            <w:r>
              <w:rPr>
                <w:rFonts w:hint="eastAsia" w:ascii="Times New Roman" w:hAnsi="Times New Roman"/>
                <w:spacing w:val="-11"/>
                <w:sz w:val="20"/>
                <w:szCs w:val="15"/>
                <w:vertAlign w:val="baseline"/>
                <w:lang w:val="en-US" w:eastAsia="zh-CN"/>
              </w:rPr>
              <w:t>30m</w:t>
            </w:r>
            <w:r>
              <w:rPr>
                <w:rFonts w:hint="eastAsia"/>
                <w:spacing w:val="-11"/>
                <w:sz w:val="20"/>
                <w:szCs w:val="15"/>
                <w:vertAlign w:val="baseline"/>
                <w:lang w:val="en-US" w:eastAsia="zh-CN"/>
              </w:rPr>
              <w:t>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固废库除臭设施废气</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（验收后设置）</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经干燥车间处理后的废絮凝剂及菌体污泥，进入固废库暂存，收集固废库无组织废气，采用酸吸收（</w:t>
            </w:r>
            <w:r>
              <w:rPr>
                <w:rFonts w:hint="eastAsia" w:ascii="Times New Roman" w:hAnsi="Times New Roman"/>
                <w:spacing w:val="-11"/>
                <w:sz w:val="20"/>
                <w:szCs w:val="15"/>
                <w:vertAlign w:val="baseline"/>
                <w:lang w:val="en-US" w:eastAsia="zh-CN"/>
              </w:rPr>
              <w:t>30</w:t>
            </w:r>
            <w:r>
              <w:rPr>
                <w:rFonts w:hint="eastAsia"/>
                <w:spacing w:val="-11"/>
                <w:sz w:val="20"/>
                <w:szCs w:val="15"/>
                <w:vertAlign w:val="baseline"/>
                <w:lang w:val="en-US" w:eastAsia="zh-CN"/>
              </w:rPr>
              <w:t>%硫酸）+水洗处理后，通过</w:t>
            </w:r>
            <w:r>
              <w:rPr>
                <w:rFonts w:hint="eastAsia" w:ascii="Times New Roman" w:hAnsi="Times New Roman"/>
                <w:spacing w:val="-11"/>
                <w:sz w:val="20"/>
                <w:szCs w:val="15"/>
                <w:vertAlign w:val="baseline"/>
                <w:lang w:val="en-US" w:eastAsia="zh-CN"/>
              </w:rPr>
              <w:t>30m</w:t>
            </w:r>
            <w:r>
              <w:rPr>
                <w:rFonts w:hint="eastAsia"/>
                <w:spacing w:val="-11"/>
                <w:sz w:val="20"/>
                <w:szCs w:val="15"/>
                <w:vertAlign w:val="baseline"/>
                <w:lang w:val="en-US" w:eastAsia="zh-CN"/>
              </w:rPr>
              <w:t>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废水处理</w:t>
            </w:r>
          </w:p>
        </w:tc>
        <w:tc>
          <w:tcPr>
            <w:tcW w:w="6842"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一座规模</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d</w:t>
            </w:r>
            <w:r>
              <w:rPr>
                <w:rFonts w:hint="eastAsia"/>
                <w:spacing w:val="-11"/>
                <w:sz w:val="20"/>
                <w:szCs w:val="15"/>
                <w:vertAlign w:val="baseline"/>
                <w:lang w:val="en-US" w:eastAsia="zh-CN"/>
              </w:rPr>
              <w:t>污水处理站，废水采用水解酸化+</w:t>
            </w:r>
            <w:r>
              <w:rPr>
                <w:rFonts w:hint="eastAsia" w:ascii="Times New Roman" w:hAnsi="Times New Roman"/>
                <w:spacing w:val="-11"/>
                <w:sz w:val="20"/>
                <w:szCs w:val="15"/>
                <w:vertAlign w:val="baseline"/>
                <w:lang w:val="en-US" w:eastAsia="zh-CN"/>
              </w:rPr>
              <w:t>A2O</w:t>
            </w:r>
            <w:r>
              <w:rPr>
                <w:rFonts w:hint="eastAsia"/>
                <w:spacing w:val="-11"/>
                <w:sz w:val="20"/>
                <w:szCs w:val="15"/>
                <w:vertAlign w:val="baseline"/>
                <w:lang w:val="en-US" w:eastAsia="zh-CN"/>
              </w:rPr>
              <w:t>工艺进行处理，污水处理站后半段设置有</w:t>
            </w:r>
            <w:r>
              <w:rPr>
                <w:rFonts w:hint="eastAsia" w:ascii="Times New Roman" w:hAnsi="Times New Roman"/>
                <w:spacing w:val="-11"/>
                <w:sz w:val="20"/>
                <w:szCs w:val="15"/>
                <w:vertAlign w:val="baseline"/>
                <w:lang w:val="en-US" w:eastAsia="zh-CN"/>
              </w:rPr>
              <w:t>MBR</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RO</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MVR</w:t>
            </w:r>
            <w:r>
              <w:rPr>
                <w:rFonts w:hint="eastAsia"/>
                <w:spacing w:val="-11"/>
                <w:sz w:val="20"/>
                <w:szCs w:val="15"/>
                <w:vertAlign w:val="baseline"/>
                <w:lang w:val="en-US" w:eastAsia="zh-CN"/>
              </w:rPr>
              <w:t>装置用于应急备用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固废暂存与处理</w:t>
            </w: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锅炉灰</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全封闭皮带输送至密封灰仓，</w:t>
            </w:r>
            <w:r>
              <w:rPr>
                <w:rFonts w:hint="eastAsia" w:ascii="Times New Roman" w:hAnsi="Times New Roman"/>
                <w:spacing w:val="-11"/>
                <w:sz w:val="20"/>
                <w:szCs w:val="15"/>
                <w:vertAlign w:val="baseline"/>
                <w:lang w:val="en-US" w:eastAsia="zh-CN"/>
              </w:rPr>
              <w:t>700m</w:t>
            </w:r>
            <w:r>
              <w:rPr>
                <w:rFonts w:hint="eastAsia"/>
                <w:spacing w:val="-11"/>
                <w:sz w:val="20"/>
                <w:szCs w:val="15"/>
                <w:vertAlign w:val="baseline"/>
                <w:lang w:val="en-US" w:eastAsia="zh-CN"/>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锅炉煤渣</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全封闭皮带输送至封闭渣仓，</w:t>
            </w:r>
            <w:r>
              <w:rPr>
                <w:rFonts w:hint="eastAsia" w:ascii="Times New Roman" w:hAnsi="Times New Roman"/>
                <w:spacing w:val="-11"/>
                <w:sz w:val="20"/>
                <w:szCs w:val="15"/>
                <w:vertAlign w:val="baseline"/>
                <w:lang w:val="en-US" w:eastAsia="zh-CN"/>
              </w:rPr>
              <w:t>72m</w:t>
            </w:r>
            <w:r>
              <w:rPr>
                <w:rFonts w:hint="eastAsia"/>
                <w:spacing w:val="-11"/>
                <w:sz w:val="20"/>
                <w:szCs w:val="15"/>
                <w:vertAlign w:val="baseline"/>
                <w:lang w:val="en-US" w:eastAsia="zh-CN"/>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玉米原料杂质</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渣斗盛放，定期清运至乌苏工业园区一般工业固废填埋场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污水处理站污泥</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由新疆易路通物流有限公司清运至乌苏工业园区一般工业固废填埋场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提取车间废絮凝剂</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属于一般固废，验收后增设干燥车间，将废絮凝剂通过干燥设施干燥后，厂内一般固废暂存库暂存，外运乌苏工业园区一般工业固废填埋场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发酵罐罐底残渣</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属于一般固废，在提取车间东侧的菌体污泥干化车间干燥，与废絮凝剂一并暂存于占地</w:t>
            </w:r>
            <w:r>
              <w:rPr>
                <w:rFonts w:hint="eastAsia" w:ascii="Times New Roman" w:hAnsi="Times New Roman"/>
                <w:spacing w:val="-11"/>
                <w:sz w:val="20"/>
                <w:szCs w:val="15"/>
                <w:vertAlign w:val="baseline"/>
                <w:lang w:val="en-US" w:eastAsia="zh-CN"/>
              </w:rPr>
              <w:t>2700</w:t>
            </w:r>
            <w:r>
              <w:rPr>
                <w:rFonts w:hint="eastAsia"/>
                <w:spacing w:val="-11"/>
                <w:sz w:val="20"/>
                <w:szCs w:val="15"/>
                <w:vertAlign w:val="baseline"/>
                <w:lang w:val="en-US" w:eastAsia="zh-CN"/>
              </w:rPr>
              <w:t>㎡一般固废暂存库，外运乌苏工业园区一般工业固废填埋场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办公区生活垃圾</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生活垃圾收集池收集，委托园区环卫定期清运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一般固废暂存库</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占地</w:t>
            </w:r>
            <w:r>
              <w:rPr>
                <w:rFonts w:hint="eastAsia" w:ascii="Times New Roman" w:hAnsi="Times New Roman"/>
                <w:spacing w:val="-11"/>
                <w:sz w:val="20"/>
                <w:szCs w:val="15"/>
                <w:vertAlign w:val="baseline"/>
                <w:lang w:val="en-US" w:eastAsia="zh-CN"/>
              </w:rPr>
              <w:t>2700</w:t>
            </w:r>
            <w:r>
              <w:rPr>
                <w:rFonts w:hint="eastAsia"/>
                <w:spacing w:val="-11"/>
                <w:sz w:val="20"/>
                <w:szCs w:val="15"/>
                <w:vertAlign w:val="baseline"/>
                <w:lang w:val="en-US" w:eastAsia="zh-CN"/>
              </w:rPr>
              <w:t>㎡一般固废暂存库，库内采用酸吸收+水洗处理工艺处理库内异味和粉尘，配套</w:t>
            </w:r>
            <w:r>
              <w:rPr>
                <w:rFonts w:hint="eastAsia" w:ascii="Times New Roman" w:hAnsi="Times New Roman"/>
                <w:spacing w:val="-11"/>
                <w:sz w:val="20"/>
                <w:szCs w:val="15"/>
                <w:vertAlign w:val="baseline"/>
                <w:lang w:val="en-US" w:eastAsia="zh-CN"/>
              </w:rPr>
              <w:t>50000m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危险废物暂存</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占地</w:t>
            </w:r>
            <w:r>
              <w:rPr>
                <w:rFonts w:hint="eastAsia" w:ascii="Times New Roman" w:hAnsi="Times New Roman"/>
                <w:spacing w:val="-11"/>
                <w:sz w:val="20"/>
                <w:szCs w:val="15"/>
                <w:vertAlign w:val="baseline"/>
                <w:lang w:val="en-US" w:eastAsia="zh-CN"/>
              </w:rPr>
              <w:t>800</w:t>
            </w:r>
            <w:r>
              <w:rPr>
                <w:rFonts w:hint="eastAsia"/>
                <w:spacing w:val="-11"/>
                <w:sz w:val="20"/>
                <w:szCs w:val="15"/>
                <w:vertAlign w:val="baseline"/>
                <w:lang w:val="en-US" w:eastAsia="zh-CN"/>
              </w:rPr>
              <w:t>㎡危险废物贮存库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溶液生产废树脂</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危险废物贮存库暂存，委托有资质的单位处理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环境风险防范</w:t>
            </w: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锅炉房</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套烟气在线监测设施、火灾自动报警系统、可燃有毒气体检测报警系统及应急物资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废水处理站</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套在线监测设施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导热油炉</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套在线监测设施、火灾自动报警系统、可燃有毒气体检测报警系统及应急物资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罐区</w:t>
            </w:r>
          </w:p>
        </w:tc>
        <w:tc>
          <w:tcPr>
            <w:tcW w:w="460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液氨、液碱、戊二胺等罐区设置围堰并防渗，设置液位报警、喷淋稀释装置等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583"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2234"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事故池</w:t>
            </w:r>
          </w:p>
        </w:tc>
        <w:tc>
          <w:tcPr>
            <w:tcW w:w="4608"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设置有一座容积</w:t>
            </w:r>
            <w:r>
              <w:rPr>
                <w:rFonts w:hint="eastAsia" w:ascii="Times New Roman" w:hAnsi="Times New Roman"/>
                <w:spacing w:val="-11"/>
                <w:sz w:val="20"/>
                <w:szCs w:val="15"/>
                <w:vertAlign w:val="baseline"/>
                <w:lang w:val="en-US" w:eastAsia="zh-CN"/>
              </w:rPr>
              <w:t>6000m</w:t>
            </w:r>
            <w:r>
              <w:rPr>
                <w:rFonts w:hint="eastAsia"/>
                <w:spacing w:val="-11"/>
                <w:sz w:val="20"/>
                <w:szCs w:val="15"/>
                <w:vertAlign w:val="baseline"/>
                <w:lang w:val="en-US" w:eastAsia="zh-CN"/>
              </w:rPr>
              <w:t>³事故池</w:t>
            </w:r>
          </w:p>
        </w:tc>
      </w:tr>
    </w:tbl>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公用辅助工程</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给水</w:t>
      </w:r>
    </w:p>
    <w:p>
      <w:pPr>
        <w:bidi w:val="0"/>
        <w:rPr>
          <w:rFonts w:hint="eastAsia"/>
          <w:lang w:val="en-US" w:eastAsia="zh-CN"/>
        </w:rPr>
      </w:pPr>
      <w:r>
        <w:rPr>
          <w:rFonts w:hint="eastAsia"/>
          <w:lang w:val="en-US" w:eastAsia="zh-CN"/>
        </w:rPr>
        <w:t>全厂水源由园区管网接入，供水能力</w:t>
      </w:r>
      <w:r>
        <w:rPr>
          <w:rFonts w:hint="eastAsia" w:ascii="Times New Roman" w:hAnsi="Times New Roman"/>
          <w:lang w:val="en-US" w:eastAsia="zh-CN"/>
        </w:rPr>
        <w:t>700m</w:t>
      </w:r>
      <w:r>
        <w:rPr>
          <w:rFonts w:hint="eastAsia"/>
          <w:lang w:val="en-US" w:eastAsia="zh-CN"/>
        </w:rPr>
        <w:t>³/</w:t>
      </w:r>
      <w:r>
        <w:rPr>
          <w:rFonts w:hint="eastAsia" w:ascii="Times New Roman" w:hAnsi="Times New Roman"/>
          <w:lang w:val="en-US" w:eastAsia="zh-CN"/>
        </w:rPr>
        <w:t>h</w:t>
      </w:r>
      <w:r>
        <w:rPr>
          <w:rFonts w:hint="eastAsia"/>
          <w:lang w:val="en-US" w:eastAsia="zh-CN"/>
        </w:rPr>
        <w:t>，提供厂内生产装置用水、除盐水站用水、循环水场用水、纯水站用水和生活设施用水。</w:t>
      </w:r>
    </w:p>
    <w:p>
      <w:pPr>
        <w:numPr>
          <w:ilvl w:val="0"/>
          <w:numId w:val="5"/>
        </w:numPr>
        <w:bidi w:val="0"/>
        <w:rPr>
          <w:rFonts w:hint="eastAsia"/>
          <w:lang w:val="en-US" w:eastAsia="zh-CN"/>
        </w:rPr>
      </w:pPr>
      <w:r>
        <w:rPr>
          <w:rFonts w:hint="eastAsia"/>
          <w:lang w:val="en-US" w:eastAsia="zh-CN"/>
        </w:rPr>
        <w:t>消防水系统</w:t>
      </w:r>
    </w:p>
    <w:p>
      <w:pPr>
        <w:bidi w:val="0"/>
        <w:rPr>
          <w:rFonts w:hint="eastAsia"/>
          <w:lang w:val="en-US" w:eastAsia="zh-CN"/>
        </w:rPr>
      </w:pPr>
      <w:r>
        <w:rPr>
          <w:rFonts w:hint="eastAsia"/>
          <w:lang w:val="en-US" w:eastAsia="zh-CN"/>
        </w:rPr>
        <w:t>现有工程一次消防用水量</w:t>
      </w:r>
      <w:r>
        <w:rPr>
          <w:rFonts w:hint="eastAsia" w:ascii="Times New Roman" w:hAnsi="Times New Roman"/>
          <w:lang w:val="en-US" w:eastAsia="zh-CN"/>
        </w:rPr>
        <w:t>2710m</w:t>
      </w:r>
      <w:r>
        <w:rPr>
          <w:rFonts w:hint="eastAsia"/>
          <w:lang w:val="en-US" w:eastAsia="zh-CN"/>
        </w:rPr>
        <w:t>³，现有容积</w:t>
      </w:r>
      <w:r>
        <w:rPr>
          <w:rFonts w:hint="eastAsia" w:ascii="Times New Roman" w:hAnsi="Times New Roman"/>
          <w:lang w:val="en-US" w:eastAsia="zh-CN"/>
        </w:rPr>
        <w:t>7477m</w:t>
      </w:r>
      <w:r>
        <w:rPr>
          <w:rFonts w:hint="eastAsia"/>
          <w:lang w:val="en-US" w:eastAsia="zh-CN"/>
        </w:rPr>
        <w:t>³消防水池作为消防水源。厂内设置有消防泵站，生产装置周围设环状供水管网，煤仓设地上式消火栓。</w:t>
      </w:r>
    </w:p>
    <w:p>
      <w:pPr>
        <w:numPr>
          <w:ilvl w:val="0"/>
          <w:numId w:val="5"/>
        </w:numPr>
        <w:bidi w:val="0"/>
        <w:ind w:left="0" w:leftChars="0" w:firstLine="482" w:firstLineChars="0"/>
        <w:rPr>
          <w:rFonts w:hint="eastAsia"/>
          <w:lang w:val="en-US" w:eastAsia="zh-CN"/>
        </w:rPr>
      </w:pPr>
      <w:r>
        <w:rPr>
          <w:rFonts w:hint="eastAsia"/>
          <w:lang w:val="en-US" w:eastAsia="zh-CN"/>
        </w:rPr>
        <w:t>循环水系统</w:t>
      </w:r>
    </w:p>
    <w:p>
      <w:pPr>
        <w:bidi w:val="0"/>
        <w:rPr>
          <w:rFonts w:hint="default"/>
          <w:lang w:val="en-US" w:eastAsia="zh-CN"/>
        </w:rPr>
      </w:pPr>
      <w:r>
        <w:rPr>
          <w:rFonts w:hint="eastAsia"/>
          <w:lang w:val="en-US" w:eastAsia="zh-CN"/>
        </w:rPr>
        <w:t>现有工程循环水池提供生产循环冷却水，动力站</w:t>
      </w:r>
      <w:r>
        <w:rPr>
          <w:rFonts w:hint="eastAsia" w:ascii="Times New Roman" w:hAnsi="Times New Roman"/>
          <w:lang w:val="en-US" w:eastAsia="zh-CN"/>
        </w:rPr>
        <w:t>1</w:t>
      </w:r>
      <w:r>
        <w:rPr>
          <w:rFonts w:hint="eastAsia" w:ascii="Times New Roman" w:hAnsi="Times New Roman"/>
          <w:lang w:val="en-US" w:eastAsia="zh-CN"/>
        </w:rPr>
        <w:t>#</w:t>
      </w:r>
      <w:r>
        <w:rPr>
          <w:rFonts w:hint="eastAsia"/>
          <w:lang w:val="en-US" w:eastAsia="zh-CN"/>
        </w:rPr>
        <w:t>设置两套循环水系统，规模分别为</w:t>
      </w:r>
      <w:r>
        <w:rPr>
          <w:rFonts w:hint="eastAsia" w:ascii="Times New Roman" w:hAnsi="Times New Roman"/>
          <w:lang w:val="en-US" w:eastAsia="zh-CN"/>
        </w:rPr>
        <w:t>4200t</w:t>
      </w:r>
      <w:r>
        <w:rPr>
          <w:rFonts w:hint="eastAsia"/>
          <w:lang w:val="en-US" w:eastAsia="zh-CN"/>
        </w:rPr>
        <w:t>/</w:t>
      </w:r>
      <w:r>
        <w:rPr>
          <w:rFonts w:hint="eastAsia" w:ascii="Times New Roman" w:hAnsi="Times New Roman"/>
          <w:lang w:val="en-US" w:eastAsia="zh-CN"/>
        </w:rPr>
        <w:t>h</w:t>
      </w:r>
      <w:r>
        <w:rPr>
          <w:rFonts w:hint="eastAsia"/>
          <w:lang w:val="en-US" w:eastAsia="zh-CN"/>
        </w:rPr>
        <w:t>和</w:t>
      </w:r>
      <w:r>
        <w:rPr>
          <w:rFonts w:hint="eastAsia" w:ascii="Times New Roman" w:hAnsi="Times New Roman"/>
          <w:lang w:val="en-US" w:eastAsia="zh-CN"/>
        </w:rPr>
        <w:t>6000t</w:t>
      </w:r>
      <w:r>
        <w:rPr>
          <w:rFonts w:hint="eastAsia"/>
          <w:lang w:val="en-US" w:eastAsia="zh-CN"/>
        </w:rPr>
        <w:t>/</w:t>
      </w:r>
      <w:r>
        <w:rPr>
          <w:rFonts w:hint="eastAsia" w:ascii="Times New Roman" w:hAnsi="Times New Roman"/>
          <w:lang w:val="en-US" w:eastAsia="zh-CN"/>
        </w:rPr>
        <w:t>h</w:t>
      </w:r>
      <w:r>
        <w:rPr>
          <w:rFonts w:hint="eastAsia"/>
          <w:lang w:val="en-US" w:eastAsia="zh-CN"/>
        </w:rPr>
        <w:t>，动力站</w:t>
      </w:r>
      <w:r>
        <w:rPr>
          <w:rFonts w:hint="eastAsia" w:ascii="Times New Roman" w:hAnsi="Times New Roman"/>
          <w:lang w:val="en-US" w:eastAsia="zh-CN"/>
        </w:rPr>
        <w:t>3</w:t>
      </w:r>
      <w:r>
        <w:rPr>
          <w:rFonts w:hint="eastAsia" w:ascii="Times New Roman" w:hAnsi="Times New Roman"/>
          <w:lang w:val="en-US" w:eastAsia="zh-CN"/>
        </w:rPr>
        <w:t>#</w:t>
      </w:r>
      <w:r>
        <w:rPr>
          <w:rFonts w:hint="eastAsia"/>
          <w:lang w:val="en-US" w:eastAsia="zh-CN"/>
        </w:rPr>
        <w:t>设置一套规模为</w:t>
      </w:r>
      <w:r>
        <w:rPr>
          <w:rFonts w:hint="eastAsia" w:ascii="Times New Roman" w:hAnsi="Times New Roman"/>
          <w:lang w:val="en-US" w:eastAsia="zh-CN"/>
        </w:rPr>
        <w:t>12000t</w:t>
      </w:r>
      <w:r>
        <w:rPr>
          <w:rFonts w:hint="eastAsia"/>
          <w:lang w:val="en-US" w:eastAsia="zh-CN"/>
        </w:rPr>
        <w:t>/</w:t>
      </w:r>
      <w:r>
        <w:rPr>
          <w:rFonts w:hint="eastAsia" w:ascii="Times New Roman" w:hAnsi="Times New Roman"/>
          <w:lang w:val="en-US" w:eastAsia="zh-CN"/>
        </w:rPr>
        <w:t>h</w:t>
      </w:r>
      <w:r>
        <w:rPr>
          <w:rFonts w:hint="eastAsia"/>
          <w:lang w:val="en-US" w:eastAsia="zh-CN"/>
        </w:rPr>
        <w:t>的循环水场，配套加药设施。循环水补充水采用新鲜水和部分回用水。循环水补水水质要求见表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 xml:space="preserve">  循环水补水水质要求</w:t>
      </w:r>
    </w:p>
    <w:tbl>
      <w:tblPr>
        <w:tblStyle w:val="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2332"/>
        <w:gridCol w:w="5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pc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序号</w:t>
            </w:r>
          </w:p>
        </w:tc>
        <w:tc>
          <w:tcPr>
            <w:tcW w:w="1271"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名称</w:t>
            </w:r>
          </w:p>
        </w:tc>
        <w:tc>
          <w:tcPr>
            <w:tcW w:w="2772"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12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pH</w:t>
            </w:r>
          </w:p>
        </w:tc>
        <w:tc>
          <w:tcPr>
            <w:tcW w:w="277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6</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w:t>
            </w:r>
          </w:p>
        </w:tc>
        <w:tc>
          <w:tcPr>
            <w:tcW w:w="12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总硬度</w:t>
            </w:r>
          </w:p>
        </w:tc>
        <w:tc>
          <w:tcPr>
            <w:tcW w:w="277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450mg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L</w:t>
            </w:r>
            <w:r>
              <w:rPr>
                <w:rFonts w:hint="eastAsia"/>
                <w:sz w:val="21"/>
                <w:szCs w:val="16"/>
                <w:vertAlign w:val="baseline"/>
                <w:lang w:val="en-US" w:eastAsia="zh-CN"/>
              </w:rPr>
              <w:t xml:space="preserve">  </w:t>
            </w:r>
            <w:r>
              <w:rPr>
                <w:rFonts w:hint="eastAsia" w:ascii="Times New Roman" w:hAnsi="Times New Roman"/>
                <w:sz w:val="21"/>
                <w:szCs w:val="16"/>
                <w:vertAlign w:val="baseline"/>
                <w:lang w:val="en-US" w:eastAsia="zh-CN"/>
              </w:rPr>
              <w:t>CaCO</w:t>
            </w:r>
            <w:r>
              <w:rPr>
                <w:rFonts w:hint="eastAsia" w:ascii="Times New Roman" w:hAnsi="Times New Roman"/>
                <w:sz w:val="21"/>
                <w:szCs w:val="16"/>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w:t>
            </w:r>
          </w:p>
        </w:tc>
        <w:tc>
          <w:tcPr>
            <w:tcW w:w="12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硫酸盐</w:t>
            </w:r>
          </w:p>
        </w:tc>
        <w:tc>
          <w:tcPr>
            <w:tcW w:w="277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250mg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w:t>
            </w:r>
          </w:p>
        </w:tc>
        <w:tc>
          <w:tcPr>
            <w:tcW w:w="12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氯化物</w:t>
            </w:r>
          </w:p>
        </w:tc>
        <w:tc>
          <w:tcPr>
            <w:tcW w:w="277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250mg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5</w:t>
            </w:r>
          </w:p>
        </w:tc>
        <w:tc>
          <w:tcPr>
            <w:tcW w:w="12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铁</w:t>
            </w:r>
          </w:p>
        </w:tc>
        <w:tc>
          <w:tcPr>
            <w:tcW w:w="2772"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3mg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6</w:t>
            </w:r>
          </w:p>
        </w:tc>
        <w:tc>
          <w:tcPr>
            <w:tcW w:w="127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锰</w:t>
            </w:r>
          </w:p>
        </w:tc>
        <w:tc>
          <w:tcPr>
            <w:tcW w:w="2772"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1mg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L</w:t>
            </w:r>
          </w:p>
        </w:tc>
      </w:tr>
    </w:tbl>
    <w:p>
      <w:pPr>
        <w:numPr>
          <w:ilvl w:val="0"/>
          <w:numId w:val="5"/>
        </w:numPr>
        <w:bidi w:val="0"/>
        <w:ind w:left="0" w:leftChars="0" w:firstLine="482" w:firstLineChars="0"/>
        <w:rPr>
          <w:rFonts w:hint="eastAsia"/>
          <w:lang w:val="en-US" w:eastAsia="zh-CN"/>
        </w:rPr>
      </w:pPr>
      <w:r>
        <w:rPr>
          <w:rFonts w:hint="eastAsia"/>
          <w:lang w:val="en-US" w:eastAsia="zh-CN"/>
        </w:rPr>
        <w:t>纯水站</w:t>
      </w:r>
    </w:p>
    <w:p>
      <w:pPr>
        <w:bidi w:val="0"/>
        <w:rPr>
          <w:rFonts w:hint="eastAsia"/>
          <w:lang w:val="en-US" w:eastAsia="zh-CN"/>
        </w:rPr>
      </w:pPr>
      <w:r>
        <w:rPr>
          <w:rFonts w:hint="eastAsia"/>
          <w:lang w:val="en-US" w:eastAsia="zh-CN"/>
        </w:rPr>
        <w:t>现有工程纯水系统配套供水能力可满足现有工程</w:t>
      </w:r>
      <w:r>
        <w:rPr>
          <w:rFonts w:hint="eastAsia" w:ascii="Times New Roman" w:hAnsi="Times New Roman"/>
          <w:lang w:val="en-US" w:eastAsia="zh-CN"/>
        </w:rPr>
        <w:t>10</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生物基聚酰胺项目及凯赛（乌苏）生物技术有限公司年产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万吨长链聚酰胺项目使用，纯水制备系统规模为</w:t>
      </w:r>
      <w:r>
        <w:rPr>
          <w:rFonts w:hint="eastAsia" w:ascii="Times New Roman" w:hAnsi="Times New Roman"/>
          <w:lang w:val="en-US" w:eastAsia="zh-CN"/>
        </w:rPr>
        <w:t>75t</w:t>
      </w:r>
      <w:r>
        <w:rPr>
          <w:rFonts w:hint="eastAsia"/>
          <w:lang w:val="en-US" w:eastAsia="zh-CN"/>
        </w:rPr>
        <w:t>/</w:t>
      </w:r>
      <w:r>
        <w:rPr>
          <w:rFonts w:hint="eastAsia" w:ascii="Times New Roman" w:hAnsi="Times New Roman"/>
          <w:lang w:val="en-US" w:eastAsia="zh-CN"/>
        </w:rPr>
        <w:t>h</w:t>
      </w:r>
      <w:r>
        <w:rPr>
          <w:rFonts w:hint="eastAsia"/>
          <w:lang w:val="en-US" w:eastAsia="zh-CN"/>
        </w:rPr>
        <w:t>，采用新鲜水制备。</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 xml:space="preserve">  纯水使用情况一览表  单位：</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h</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1834"/>
        <w:gridCol w:w="1835"/>
        <w:gridCol w:w="1835"/>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restar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纯水种类</w:t>
            </w:r>
          </w:p>
        </w:tc>
        <w:tc>
          <w:tcPr>
            <w:tcW w:w="3669" w:type="dxa"/>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现有工程</w:t>
            </w:r>
          </w:p>
        </w:tc>
        <w:tc>
          <w:tcPr>
            <w:tcW w:w="3670" w:type="dxa"/>
            <w:gridSpan w:val="2"/>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凯赛（乌苏）生物技术有限公司年产</w:t>
            </w:r>
            <w:r>
              <w:rPr>
                <w:rFonts w:hint="eastAsia" w:ascii="Times New Roman" w:hAnsi="Times New Roman"/>
                <w:sz w:val="21"/>
                <w:szCs w:val="16"/>
                <w:vertAlign w:val="baseline"/>
                <w:lang w:val="en-US" w:eastAsia="zh-CN"/>
              </w:rPr>
              <w:t>3</w:t>
            </w:r>
            <w:r>
              <w:rPr>
                <w:rFonts w:hint="eastAsia"/>
                <w:sz w:val="21"/>
                <w:szCs w:val="16"/>
                <w:vertAlign w:val="baseline"/>
                <w:lang w:val="en-US" w:eastAsia="zh-CN"/>
              </w:rPr>
              <w:t>万吨长链二元酸和</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万吨长链聚酰胺项目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生产单元</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使用量</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生产单元</w:t>
            </w: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电导率＜</w:t>
            </w:r>
            <w:r>
              <w:rPr>
                <w:rFonts w:hint="eastAsia" w:ascii="Times New Roman" w:hAnsi="Times New Roman"/>
                <w:sz w:val="21"/>
                <w:szCs w:val="16"/>
                <w:vertAlign w:val="baseline"/>
                <w:lang w:val="en-US" w:eastAsia="zh-CN"/>
              </w:rPr>
              <w:t>20us</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cm</w:t>
            </w:r>
          </w:p>
        </w:tc>
        <w:tc>
          <w:tcPr>
            <w:tcW w:w="183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精馏（吸收和水环密封）</w:t>
            </w:r>
          </w:p>
        </w:tc>
        <w:tc>
          <w:tcPr>
            <w:tcW w:w="18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5</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提取工段</w:t>
            </w: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183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精制工段</w:t>
            </w: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183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重组分工段</w:t>
            </w: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电导率＜</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5us</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cm</w:t>
            </w: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提取工段</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间歇聚酰胺生产</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12</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连续聚酰胺生产</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纺丝</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10</w:t>
            </w:r>
          </w:p>
        </w:tc>
        <w:tc>
          <w:tcPr>
            <w:tcW w:w="18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合计</w:t>
            </w:r>
          </w:p>
        </w:tc>
        <w:tc>
          <w:tcPr>
            <w:tcW w:w="1834"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35</w:t>
            </w:r>
          </w:p>
        </w:tc>
        <w:tc>
          <w:tcPr>
            <w:tcW w:w="183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835"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35</w:t>
            </w:r>
          </w:p>
        </w:tc>
      </w:tr>
    </w:tbl>
    <w:p>
      <w:pPr>
        <w:numPr>
          <w:ilvl w:val="0"/>
          <w:numId w:val="5"/>
        </w:numPr>
        <w:bidi w:val="0"/>
        <w:ind w:left="0" w:leftChars="0" w:firstLine="482" w:firstLineChars="0"/>
        <w:rPr>
          <w:rFonts w:hint="eastAsia"/>
          <w:lang w:val="en-US" w:eastAsia="zh-CN"/>
        </w:rPr>
      </w:pPr>
      <w:r>
        <w:rPr>
          <w:rFonts w:hint="eastAsia"/>
          <w:lang w:val="en-US" w:eastAsia="zh-CN"/>
        </w:rPr>
        <w:t>冷冻水系统</w:t>
      </w:r>
    </w:p>
    <w:p>
      <w:pPr>
        <w:bidi w:val="0"/>
        <w:rPr>
          <w:rFonts w:hint="default"/>
          <w:lang w:val="en-US" w:eastAsia="zh-CN"/>
        </w:rPr>
      </w:pPr>
      <w:r>
        <w:rPr>
          <w:rFonts w:hint="eastAsia"/>
          <w:lang w:val="en-US" w:eastAsia="zh-CN"/>
        </w:rPr>
        <w:t>制冷站提供冷冻水用于</w:t>
      </w:r>
      <w:r>
        <w:rPr>
          <w:rFonts w:hint="eastAsia" w:ascii="Times New Roman" w:hAnsi="Times New Roman"/>
          <w:lang w:val="en-US" w:eastAsia="zh-CN"/>
        </w:rPr>
        <w:t>DN</w:t>
      </w:r>
      <w:r>
        <w:rPr>
          <w:rFonts w:hint="eastAsia"/>
          <w:lang w:val="en-US" w:eastAsia="zh-CN"/>
        </w:rPr>
        <w:t>溶液发酵和聚合生产，除此之外还提供给凯赛（乌苏）生物技术有限公司年产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万吨长链聚酰胺项目二元酸发酵使用。配套</w:t>
      </w:r>
      <w:r>
        <w:rPr>
          <w:rFonts w:hint="eastAsia" w:ascii="Times New Roman" w:hAnsi="Times New Roman"/>
          <w:lang w:val="en-US" w:eastAsia="zh-CN"/>
        </w:rPr>
        <w:t>280</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4</w:t>
      </w:r>
      <w:r>
        <w:rPr>
          <w:rFonts w:hint="eastAsia" w:ascii="Times New Roman" w:hAnsi="Times New Roman"/>
          <w:lang w:val="en-US" w:eastAsia="zh-CN"/>
        </w:rPr>
        <w:t>kcal</w:t>
      </w:r>
      <w:r>
        <w:rPr>
          <w:rFonts w:hint="eastAsia"/>
          <w:lang w:val="en-US" w:eastAsia="zh-CN"/>
        </w:rPr>
        <w:t>/</w:t>
      </w:r>
      <w:r>
        <w:rPr>
          <w:rFonts w:hint="eastAsia" w:ascii="Times New Roman" w:hAnsi="Times New Roman"/>
          <w:lang w:val="en-US" w:eastAsia="zh-CN"/>
        </w:rPr>
        <w:t>h</w:t>
      </w:r>
      <w:r>
        <w:rPr>
          <w:rFonts w:hint="eastAsia"/>
          <w:lang w:val="en-US" w:eastAsia="zh-CN"/>
        </w:rPr>
        <w:t>热水溴化锂制冷机</w:t>
      </w:r>
      <w:r>
        <w:rPr>
          <w:rFonts w:hint="eastAsia" w:ascii="Times New Roman" w:hAnsi="Times New Roman"/>
          <w:lang w:val="en-US" w:eastAsia="zh-CN"/>
        </w:rPr>
        <w:t>2</w:t>
      </w:r>
      <w:r>
        <w:rPr>
          <w:rFonts w:hint="eastAsia"/>
          <w:lang w:val="en-US" w:eastAsia="zh-CN"/>
        </w:rPr>
        <w:t>台，</w:t>
      </w:r>
      <w:r>
        <w:rPr>
          <w:rFonts w:hint="eastAsia" w:ascii="Times New Roman" w:hAnsi="Times New Roman"/>
          <w:lang w:val="en-US" w:eastAsia="zh-CN"/>
        </w:rPr>
        <w:t>600</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4</w:t>
      </w:r>
      <w:r>
        <w:rPr>
          <w:rFonts w:hint="eastAsia" w:ascii="Times New Roman" w:hAnsi="Times New Roman"/>
          <w:lang w:val="en-US" w:eastAsia="zh-CN"/>
        </w:rPr>
        <w:t>kcal</w:t>
      </w:r>
      <w:r>
        <w:rPr>
          <w:rFonts w:hint="eastAsia"/>
          <w:lang w:val="en-US" w:eastAsia="zh-CN"/>
        </w:rPr>
        <w:t>/</w:t>
      </w:r>
      <w:r>
        <w:rPr>
          <w:rFonts w:hint="eastAsia" w:ascii="Times New Roman" w:hAnsi="Times New Roman"/>
          <w:lang w:val="en-US" w:eastAsia="zh-CN"/>
        </w:rPr>
        <w:t>h</w:t>
      </w:r>
      <w:r>
        <w:rPr>
          <w:rFonts w:hint="eastAsia"/>
          <w:lang w:val="en-US" w:eastAsia="zh-CN"/>
        </w:rPr>
        <w:t>蒸汽溴化锂制冷机</w:t>
      </w:r>
      <w:r>
        <w:rPr>
          <w:rFonts w:hint="eastAsia" w:ascii="Times New Roman" w:hAnsi="Times New Roman"/>
          <w:lang w:val="en-US" w:eastAsia="zh-CN"/>
        </w:rPr>
        <w:t>1</w:t>
      </w:r>
      <w:r>
        <w:rPr>
          <w:rFonts w:hint="eastAsia"/>
          <w:lang w:val="en-US" w:eastAsia="zh-CN"/>
        </w:rPr>
        <w:t>台和</w:t>
      </w:r>
      <w:r>
        <w:rPr>
          <w:rFonts w:hint="eastAsia" w:ascii="Times New Roman" w:hAnsi="Times New Roman"/>
          <w:lang w:val="en-US" w:eastAsia="zh-CN"/>
        </w:rPr>
        <w:t>1000</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4</w:t>
      </w:r>
      <w:r>
        <w:rPr>
          <w:rFonts w:hint="eastAsia" w:ascii="Times New Roman" w:hAnsi="Times New Roman"/>
          <w:lang w:val="en-US" w:eastAsia="zh-CN"/>
        </w:rPr>
        <w:t>kcal</w:t>
      </w:r>
      <w:r>
        <w:rPr>
          <w:rFonts w:hint="eastAsia"/>
          <w:lang w:val="en-US" w:eastAsia="zh-CN"/>
        </w:rPr>
        <w:t>/</w:t>
      </w:r>
      <w:r>
        <w:rPr>
          <w:rFonts w:hint="eastAsia" w:ascii="Times New Roman" w:hAnsi="Times New Roman"/>
          <w:lang w:val="en-US" w:eastAsia="zh-CN"/>
        </w:rPr>
        <w:t>h</w:t>
      </w:r>
      <w:r>
        <w:rPr>
          <w:rFonts w:hint="eastAsia"/>
          <w:lang w:val="en-US" w:eastAsia="zh-CN"/>
        </w:rPr>
        <w:t>蒸汽溴化锂制冷机</w:t>
      </w:r>
      <w:r>
        <w:rPr>
          <w:rFonts w:hint="eastAsia" w:ascii="Times New Roman" w:hAnsi="Times New Roman"/>
          <w:lang w:val="en-US" w:eastAsia="zh-CN"/>
        </w:rPr>
        <w:t>2</w:t>
      </w:r>
      <w:r>
        <w:rPr>
          <w:rFonts w:hint="eastAsia"/>
          <w:lang w:val="en-US" w:eastAsia="zh-CN"/>
        </w:rPr>
        <w:t>台。制冷能力可以满足全厂生产装置需求。</w:t>
      </w:r>
    </w:p>
    <w:p>
      <w:pPr>
        <w:bidi w:val="0"/>
        <w:rPr>
          <w:rFonts w:hint="eastAsia"/>
          <w:lang w:val="en-US" w:eastAsia="zh-CN"/>
        </w:rPr>
      </w:pPr>
      <w:r>
        <w:rPr>
          <w:rFonts w:hint="eastAsia"/>
          <w:lang w:val="en-US" w:eastAsia="zh-CN"/>
        </w:rPr>
        <w:t>（</w:t>
      </w:r>
      <w:r>
        <w:rPr>
          <w:rFonts w:hint="eastAsia" w:ascii="Times New Roman" w:hAnsi="Times New Roman"/>
          <w:lang w:val="en-US" w:eastAsia="zh-CN"/>
        </w:rPr>
        <w:t>5</w:t>
      </w:r>
      <w:r>
        <w:rPr>
          <w:rFonts w:hint="eastAsia"/>
          <w:lang w:val="en-US" w:eastAsia="zh-CN"/>
        </w:rPr>
        <w:t>）凝结水系统</w:t>
      </w:r>
    </w:p>
    <w:p>
      <w:pPr>
        <w:bidi w:val="0"/>
        <w:rPr>
          <w:rFonts w:hint="eastAsia"/>
          <w:lang w:val="en-US" w:eastAsia="zh-CN"/>
        </w:rPr>
      </w:pPr>
      <w:r>
        <w:rPr>
          <w:rFonts w:hint="eastAsia"/>
          <w:lang w:val="en-US" w:eastAsia="zh-CN"/>
        </w:rPr>
        <w:t>现有工程工艺装置间接加热用汽及污水处理</w:t>
      </w:r>
      <w:r>
        <w:rPr>
          <w:rFonts w:hint="eastAsia" w:ascii="Times New Roman" w:hAnsi="Times New Roman"/>
          <w:lang w:val="en-US" w:eastAsia="zh-CN"/>
        </w:rPr>
        <w:t>MVR</w:t>
      </w:r>
      <w:r>
        <w:rPr>
          <w:rFonts w:hint="eastAsia"/>
          <w:lang w:val="en-US" w:eastAsia="zh-CN"/>
        </w:rPr>
        <w:t>间接蒸发用汽产生的凝结水，送除盐水站处理后作为锅炉补水使用。</w:t>
      </w:r>
    </w:p>
    <w:p>
      <w:pPr>
        <w:bidi w:val="0"/>
        <w:rPr>
          <w:rFonts w:hint="eastAsia"/>
          <w:lang w:val="en-US" w:eastAsia="zh-CN"/>
        </w:rPr>
      </w:pPr>
      <w:r>
        <w:rPr>
          <w:rFonts w:hint="eastAsia"/>
          <w:lang w:val="en-US" w:eastAsia="zh-CN"/>
        </w:rPr>
        <w:t>（</w:t>
      </w:r>
      <w:r>
        <w:rPr>
          <w:rFonts w:hint="eastAsia" w:ascii="Times New Roman" w:hAnsi="Times New Roman"/>
          <w:lang w:val="en-US" w:eastAsia="zh-CN"/>
        </w:rPr>
        <w:t>6</w:t>
      </w:r>
      <w:r>
        <w:rPr>
          <w:rFonts w:hint="eastAsia"/>
          <w:lang w:val="en-US" w:eastAsia="zh-CN"/>
        </w:rPr>
        <w:t>）除盐水站</w:t>
      </w:r>
    </w:p>
    <w:p>
      <w:pPr>
        <w:bidi w:val="0"/>
        <w:rPr>
          <w:rFonts w:hint="default"/>
          <w:lang w:val="en-US" w:eastAsia="zh-CN"/>
        </w:rPr>
      </w:pPr>
      <w:r>
        <w:rPr>
          <w:rFonts w:hint="eastAsia"/>
          <w:lang w:val="en-US" w:eastAsia="zh-CN"/>
        </w:rPr>
        <w:t>动力站配套一座</w:t>
      </w:r>
      <w:r>
        <w:rPr>
          <w:rFonts w:hint="eastAsia" w:ascii="Times New Roman" w:hAnsi="Times New Roman"/>
          <w:lang w:val="en-US" w:eastAsia="zh-CN"/>
        </w:rPr>
        <w:t>420m</w:t>
      </w:r>
      <w:r>
        <w:rPr>
          <w:rFonts w:hint="eastAsia"/>
          <w:lang w:val="en-US" w:eastAsia="zh-CN"/>
        </w:rPr>
        <w:t>³/</w:t>
      </w:r>
      <w:r>
        <w:rPr>
          <w:rFonts w:hint="eastAsia" w:ascii="Times New Roman" w:hAnsi="Times New Roman"/>
          <w:lang w:val="en-US" w:eastAsia="zh-CN"/>
        </w:rPr>
        <w:t>h</w:t>
      </w:r>
      <w:r>
        <w:rPr>
          <w:rFonts w:hint="eastAsia"/>
          <w:lang w:val="en-US" w:eastAsia="zh-CN"/>
        </w:rPr>
        <w:t>除盐水站，为动力站提供软化水，原水和回收的蒸汽凝结水经除盐水站处理后返回蒸汽系统使用。</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排水</w:t>
      </w:r>
    </w:p>
    <w:p>
      <w:pPr>
        <w:bidi w:val="0"/>
        <w:rPr>
          <w:rFonts w:hint="eastAsia"/>
          <w:lang w:val="en-US" w:eastAsia="zh-CN"/>
        </w:rPr>
      </w:pPr>
      <w:r>
        <w:rPr>
          <w:rFonts w:hint="eastAsia"/>
          <w:lang w:val="en-US" w:eastAsia="zh-CN"/>
        </w:rPr>
        <w:t>现有工程根据“污污分流、分质处理”的原则将排放污水划分为生产废水（含初期雨水）、清净水系统和生活污水系统。</w:t>
      </w:r>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）生产废水系统</w:t>
      </w:r>
    </w:p>
    <w:p>
      <w:pPr>
        <w:bidi w:val="0"/>
        <w:rPr>
          <w:rFonts w:hint="eastAsia"/>
          <w:lang w:val="en-US" w:eastAsia="zh-CN"/>
        </w:rPr>
      </w:pPr>
      <w:r>
        <w:rPr>
          <w:rFonts w:hint="eastAsia"/>
          <w:lang w:val="en-US" w:eastAsia="zh-CN"/>
        </w:rPr>
        <w:t>厂内生产设备大多布置在车间内，少部分装置区露天布置，装置区周围设置有截流沟，收集雨雪水与生产过程中产生的工艺废水一起送污水站处理后排入园区管网。</w:t>
      </w:r>
    </w:p>
    <w:p>
      <w:pPr>
        <w:bidi w:val="0"/>
        <w:rPr>
          <w:rFonts w:hint="eastAsia"/>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）清净下水系统</w:t>
      </w:r>
    </w:p>
    <w:p>
      <w:pPr>
        <w:bidi w:val="0"/>
        <w:rPr>
          <w:rFonts w:hint="eastAsia"/>
          <w:lang w:val="en-US" w:eastAsia="zh-CN"/>
        </w:rPr>
      </w:pPr>
      <w:r>
        <w:rPr>
          <w:rFonts w:hint="eastAsia"/>
          <w:lang w:val="en-US" w:eastAsia="zh-CN"/>
        </w:rPr>
        <w:t>收集循环水场、除盐水站及动力站锅炉排水，该部分排水为清净下水，含盐量较高，送园区污水处理厂进一步处理。</w:t>
      </w:r>
    </w:p>
    <w:p>
      <w:pPr>
        <w:bidi w:val="0"/>
        <w:rPr>
          <w:rFonts w:hint="eastAsia"/>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）生活污水系统</w:t>
      </w:r>
    </w:p>
    <w:p>
      <w:pPr>
        <w:bidi w:val="0"/>
        <w:rPr>
          <w:rFonts w:hint="eastAsia"/>
          <w:lang w:val="en-US" w:eastAsia="zh-CN"/>
        </w:rPr>
      </w:pPr>
      <w:r>
        <w:rPr>
          <w:rFonts w:hint="eastAsia"/>
          <w:lang w:val="en-US" w:eastAsia="zh-CN"/>
        </w:rPr>
        <w:t>厂内员工生活污水，经厕所和盥洗室收集，送污水处理站处理后排入园区管网。</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动力车间</w:t>
      </w:r>
    </w:p>
    <w:p>
      <w:pPr>
        <w:bidi w:val="0"/>
        <w:rPr>
          <w:rFonts w:hint="eastAsia"/>
          <w:lang w:val="en-US" w:eastAsia="zh-CN"/>
        </w:rPr>
      </w:pPr>
      <w:r>
        <w:rPr>
          <w:rFonts w:hint="eastAsia"/>
          <w:lang w:val="en-US" w:eastAsia="zh-CN"/>
        </w:rPr>
        <w:t>厂内现有工程</w:t>
      </w:r>
      <w:r>
        <w:rPr>
          <w:rFonts w:hint="eastAsia" w:ascii="Times New Roman" w:hAnsi="Times New Roman"/>
          <w:lang w:val="en-US" w:eastAsia="zh-CN"/>
        </w:rPr>
        <w:t>10</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生物基聚酰胺项目与凯赛（乌苏）生物技术有限公司年产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万吨长链聚酰胺项目用汽由厂内</w:t>
      </w:r>
      <w:r>
        <w:rPr>
          <w:rFonts w:hint="eastAsia" w:ascii="Times New Roman" w:hAnsi="Times New Roman"/>
          <w:lang w:val="en-US" w:eastAsia="zh-CN"/>
        </w:rPr>
        <w:t>5</w:t>
      </w:r>
      <w:r>
        <w:rPr>
          <w:rFonts w:hint="eastAsia"/>
          <w:lang w:val="en-US" w:eastAsia="zh-CN"/>
        </w:rPr>
        <w:t>台</w:t>
      </w:r>
      <w:r>
        <w:rPr>
          <w:rFonts w:hint="eastAsia" w:ascii="Times New Roman" w:hAnsi="Times New Roman"/>
          <w:lang w:val="en-US" w:eastAsia="zh-CN"/>
        </w:rPr>
        <w:t>75t</w:t>
      </w:r>
      <w:r>
        <w:rPr>
          <w:rFonts w:hint="eastAsia"/>
          <w:lang w:val="en-US" w:eastAsia="zh-CN"/>
        </w:rPr>
        <w:t>/</w:t>
      </w:r>
      <w:r>
        <w:rPr>
          <w:rFonts w:hint="eastAsia" w:ascii="Times New Roman" w:hAnsi="Times New Roman"/>
          <w:lang w:val="en-US" w:eastAsia="zh-CN"/>
        </w:rPr>
        <w:t>h</w:t>
      </w:r>
      <w:r>
        <w:rPr>
          <w:rFonts w:hint="eastAsia"/>
          <w:lang w:val="en-US" w:eastAsia="zh-CN"/>
        </w:rPr>
        <w:t>（</w:t>
      </w:r>
      <w:r>
        <w:rPr>
          <w:rFonts w:hint="eastAsia" w:ascii="Times New Roman" w:hAnsi="Times New Roman"/>
          <w:lang w:val="en-US" w:eastAsia="zh-CN"/>
        </w:rPr>
        <w:t>4</w:t>
      </w:r>
      <w:r>
        <w:rPr>
          <w:rFonts w:hint="eastAsia"/>
          <w:lang w:val="en-US" w:eastAsia="zh-CN"/>
        </w:rPr>
        <w:t>开</w:t>
      </w:r>
      <w:r>
        <w:rPr>
          <w:rFonts w:hint="eastAsia" w:ascii="Times New Roman" w:hAnsi="Times New Roman"/>
          <w:lang w:val="en-US" w:eastAsia="zh-CN"/>
        </w:rPr>
        <w:t>1</w:t>
      </w:r>
      <w:r>
        <w:rPr>
          <w:rFonts w:hint="eastAsia"/>
          <w:lang w:val="en-US" w:eastAsia="zh-CN"/>
        </w:rPr>
        <w:t>备）锅炉及其配套的辅助设施提供。锅炉为</w:t>
      </w:r>
      <w:r>
        <w:rPr>
          <w:rFonts w:hint="eastAsia" w:ascii="Times New Roman" w:hAnsi="Times New Roman"/>
          <w:lang w:val="en-US" w:eastAsia="zh-CN"/>
        </w:rPr>
        <w:t>CCG</w:t>
      </w:r>
      <w:r>
        <w:rPr>
          <w:rFonts w:hint="eastAsia"/>
          <w:lang w:val="en-US" w:eastAsia="zh-CN"/>
        </w:rPr>
        <w:t>-</w:t>
      </w:r>
      <w:r>
        <w:rPr>
          <w:rFonts w:hint="eastAsia" w:ascii="Times New Roman" w:hAnsi="Times New Roman"/>
          <w:lang w:val="en-US" w:eastAsia="zh-CN"/>
        </w:rPr>
        <w:t>75</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MX</w:t>
      </w:r>
      <w:r>
        <w:rPr>
          <w:rFonts w:hint="eastAsia"/>
          <w:lang w:val="en-US" w:eastAsia="zh-CN"/>
        </w:rPr>
        <w:t>燃煤蒸汽流化床锅炉，除可满足两套装置生产用气和供暖，还可为区域发展预留部分供热能力。</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4</w:t>
      </w:r>
      <w:r>
        <w:rPr>
          <w:rFonts w:hint="eastAsia"/>
          <w:lang w:val="en-US" w:eastAsia="zh-CN"/>
        </w:rPr>
        <w:t>空压站</w:t>
      </w:r>
    </w:p>
    <w:p>
      <w:pPr>
        <w:bidi w:val="0"/>
        <w:rPr>
          <w:rFonts w:hint="eastAsia"/>
          <w:lang w:val="en-US" w:eastAsia="zh-CN"/>
        </w:rPr>
      </w:pPr>
      <w:r>
        <w:rPr>
          <w:rFonts w:hint="eastAsia"/>
          <w:lang w:val="en-US" w:eastAsia="zh-CN"/>
        </w:rPr>
        <w:t>厂内现有工程</w:t>
      </w:r>
      <w:r>
        <w:rPr>
          <w:rFonts w:hint="eastAsia" w:ascii="Times New Roman" w:hAnsi="Times New Roman"/>
          <w:lang w:val="en-US" w:eastAsia="zh-CN"/>
        </w:rPr>
        <w:t>10</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生物基聚酰胺项目与凯赛（乌苏）生物技术有限公司年产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万吨长链聚酰胺项目共设置</w:t>
      </w:r>
      <w:r>
        <w:rPr>
          <w:rFonts w:hint="eastAsia" w:ascii="Times New Roman" w:hAnsi="Times New Roman"/>
          <w:lang w:val="en-US" w:eastAsia="zh-CN"/>
        </w:rPr>
        <w:t>2</w:t>
      </w:r>
      <w:r>
        <w:rPr>
          <w:rFonts w:hint="eastAsia"/>
          <w:lang w:val="en-US" w:eastAsia="zh-CN"/>
        </w:rPr>
        <w:t>套</w:t>
      </w:r>
      <w:r>
        <w:rPr>
          <w:rFonts w:hint="eastAsia" w:ascii="Times New Roman" w:hAnsi="Times New Roman"/>
          <w:lang w:val="en-US" w:eastAsia="zh-CN"/>
        </w:rPr>
        <w:t>PSA</w:t>
      </w:r>
      <w:r>
        <w:rPr>
          <w:rFonts w:hint="eastAsia"/>
          <w:lang w:val="en-US" w:eastAsia="zh-CN"/>
        </w:rPr>
        <w:t>制氮设备，单台送风量</w:t>
      </w:r>
      <w:r>
        <w:rPr>
          <w:rFonts w:hint="eastAsia" w:ascii="Times New Roman" w:hAnsi="Times New Roman"/>
          <w:lang w:val="en-US" w:eastAsia="zh-CN"/>
        </w:rPr>
        <w:t>1500Nm</w:t>
      </w:r>
      <w:r>
        <w:rPr>
          <w:rFonts w:hint="eastAsia"/>
          <w:lang w:val="en-US" w:eastAsia="zh-CN"/>
        </w:rPr>
        <w:t>³/</w:t>
      </w:r>
      <w:r>
        <w:rPr>
          <w:rFonts w:hint="eastAsia" w:ascii="Times New Roman" w:hAnsi="Times New Roman"/>
          <w:lang w:val="en-US" w:eastAsia="zh-CN"/>
        </w:rPr>
        <w:t>h</w:t>
      </w:r>
      <w:r>
        <w:rPr>
          <w:rFonts w:hint="eastAsia"/>
          <w:lang w:val="en-US" w:eastAsia="zh-CN"/>
        </w:rPr>
        <w:t>。氮气主要用于</w:t>
      </w:r>
      <w:r>
        <w:rPr>
          <w:rFonts w:hint="eastAsia" w:ascii="Times New Roman" w:hAnsi="Times New Roman"/>
          <w:lang w:val="en-US" w:eastAsia="zh-CN"/>
        </w:rPr>
        <w:t>DN</w:t>
      </w:r>
      <w:r>
        <w:rPr>
          <w:rFonts w:hint="eastAsia"/>
          <w:lang w:val="en-US" w:eastAsia="zh-CN"/>
        </w:rPr>
        <w:t>溶液聚合工艺，二元酸提取及导热油炉吹扫。</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供风系统</w:t>
      </w:r>
    </w:p>
    <w:p>
      <w:pPr>
        <w:bidi w:val="0"/>
        <w:rPr>
          <w:rFonts w:hint="eastAsia"/>
          <w:lang w:val="en-US" w:eastAsia="zh-CN"/>
        </w:rPr>
      </w:pPr>
      <w:r>
        <w:rPr>
          <w:rFonts w:hint="eastAsia"/>
          <w:lang w:val="en-US" w:eastAsia="zh-CN"/>
        </w:rPr>
        <w:t>厂内现有工程</w:t>
      </w:r>
      <w:r>
        <w:rPr>
          <w:rFonts w:hint="eastAsia" w:ascii="Times New Roman" w:hAnsi="Times New Roman"/>
          <w:lang w:val="en-US" w:eastAsia="zh-CN"/>
        </w:rPr>
        <w:t>10</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生物基聚酰胺项目与凯赛（乌苏）生物技术有限公司年产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万吨长链聚酰胺项目联合设置了</w:t>
      </w:r>
      <w:r>
        <w:rPr>
          <w:rFonts w:hint="eastAsia" w:ascii="Times New Roman" w:hAnsi="Times New Roman"/>
          <w:lang w:val="en-US" w:eastAsia="zh-CN"/>
        </w:rPr>
        <w:t>2</w:t>
      </w:r>
      <w:r>
        <w:rPr>
          <w:rFonts w:hint="eastAsia"/>
          <w:lang w:val="en-US" w:eastAsia="zh-CN"/>
        </w:rPr>
        <w:t>台轴流空压机，单台流量为</w:t>
      </w:r>
      <w:r>
        <w:rPr>
          <w:rFonts w:hint="eastAsia" w:ascii="Times New Roman" w:hAnsi="Times New Roman"/>
          <w:lang w:val="en-US" w:eastAsia="zh-CN"/>
        </w:rPr>
        <w:t>92000Nm</w:t>
      </w:r>
      <w:r>
        <w:rPr>
          <w:rFonts w:hint="eastAsia"/>
          <w:lang w:val="en-US" w:eastAsia="zh-CN"/>
        </w:rPr>
        <w:t>³/</w:t>
      </w:r>
      <w:r>
        <w:rPr>
          <w:rFonts w:hint="eastAsia" w:ascii="Times New Roman" w:hAnsi="Times New Roman"/>
          <w:lang w:val="en-US" w:eastAsia="zh-CN"/>
        </w:rPr>
        <w:t>h</w:t>
      </w:r>
      <w:r>
        <w:rPr>
          <w:rFonts w:hint="eastAsia"/>
          <w:lang w:val="en-US" w:eastAsia="zh-CN"/>
        </w:rPr>
        <w:t>，经过滤器、空压机、冷却器、分离器、加热器处理后送各个工段使用。</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6</w:t>
      </w:r>
      <w:r>
        <w:rPr>
          <w:rFonts w:hint="eastAsia"/>
          <w:lang w:val="en-US" w:eastAsia="zh-CN"/>
        </w:rPr>
        <w:t>导热油系统</w:t>
      </w:r>
    </w:p>
    <w:p>
      <w:pPr>
        <w:bidi w:val="0"/>
        <w:rPr>
          <w:rFonts w:hint="default"/>
          <w:lang w:val="en-US" w:eastAsia="zh-CN"/>
        </w:rPr>
      </w:pPr>
      <w:r>
        <w:rPr>
          <w:rFonts w:hint="eastAsia"/>
          <w:lang w:val="en-US" w:eastAsia="zh-CN"/>
        </w:rPr>
        <w:t>厂内现有工程淘汰了原</w:t>
      </w:r>
      <w:r>
        <w:rPr>
          <w:rFonts w:hint="eastAsia" w:ascii="Times New Roman" w:hAnsi="Times New Roman"/>
          <w:lang w:val="en-US" w:eastAsia="zh-CN"/>
        </w:rPr>
        <w:t>600</w:t>
      </w:r>
      <w:r>
        <w:rPr>
          <w:rFonts w:hint="eastAsia"/>
          <w:lang w:val="en-US" w:eastAsia="zh-CN"/>
        </w:rPr>
        <w:t>万大卡（</w:t>
      </w:r>
      <w:r>
        <w:rPr>
          <w:rFonts w:hint="eastAsia" w:ascii="Times New Roman" w:hAnsi="Times New Roman"/>
          <w:lang w:val="en-US" w:eastAsia="zh-CN"/>
        </w:rPr>
        <w:t>10t</w:t>
      </w:r>
      <w:r>
        <w:rPr>
          <w:rFonts w:hint="eastAsia"/>
          <w:lang w:val="en-US" w:eastAsia="zh-CN"/>
        </w:rPr>
        <w:t>/</w:t>
      </w:r>
      <w:r>
        <w:rPr>
          <w:rFonts w:hint="eastAsia" w:ascii="Times New Roman" w:hAnsi="Times New Roman"/>
          <w:lang w:val="en-US" w:eastAsia="zh-CN"/>
        </w:rPr>
        <w:t>h</w:t>
      </w:r>
      <w:r>
        <w:rPr>
          <w:rFonts w:hint="eastAsia"/>
          <w:lang w:val="en-US" w:eastAsia="zh-CN"/>
        </w:rPr>
        <w:t>）燃煤导热油炉，新建了</w:t>
      </w:r>
      <w:r>
        <w:rPr>
          <w:rFonts w:hint="eastAsia" w:ascii="Times New Roman" w:hAnsi="Times New Roman"/>
          <w:lang w:val="en-US" w:eastAsia="zh-CN"/>
        </w:rPr>
        <w:t>2</w:t>
      </w:r>
      <w:r>
        <w:rPr>
          <w:rFonts w:hint="eastAsia"/>
          <w:lang w:val="en-US" w:eastAsia="zh-CN"/>
        </w:rPr>
        <w:t>台</w:t>
      </w:r>
      <w:r>
        <w:rPr>
          <w:rFonts w:hint="eastAsia" w:ascii="Times New Roman" w:hAnsi="Times New Roman"/>
          <w:lang w:val="en-US" w:eastAsia="zh-CN"/>
        </w:rPr>
        <w:t>8100kW</w:t>
      </w:r>
      <w:r>
        <w:rPr>
          <w:rFonts w:hint="eastAsia"/>
          <w:lang w:val="en-US" w:eastAsia="zh-CN"/>
        </w:rPr>
        <w:t>燃气导热油炉，主要为凯赛（乌苏）生物技术有限公司年产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万吨长链聚酰胺项目生产供热。</w:t>
      </w:r>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总图布置</w:t>
      </w:r>
    </w:p>
    <w:p>
      <w:pPr>
        <w:bidi w:val="0"/>
        <w:rPr>
          <w:rFonts w:hint="eastAsia"/>
          <w:lang w:val="en-US" w:eastAsia="zh-CN"/>
        </w:rPr>
      </w:pPr>
      <w:r>
        <w:rPr>
          <w:rFonts w:hint="eastAsia"/>
          <w:lang w:val="en-US" w:eastAsia="zh-CN"/>
        </w:rPr>
        <w:t>现有工程总图布置中，各建筑、构筑物间的防火间距均按要求设置。各主要通道满足消防、安全卫生、地下管线及管架布置等方面的要求。各类厂房以自然通风为主，机械通风为辅。储罐区设置有防火堤。化学品罐区、生产装置区、化学品库及危险废物贮存库、一般废物贮存间内及周边均为硬化地面并采取防渗措施，罐区设置围堰，装置区周边设置截水沟，可将收集的事故废水排入事故池。</w:t>
      </w:r>
    </w:p>
    <w:p>
      <w:pPr>
        <w:bidi w:val="0"/>
        <w:rPr>
          <w:rFonts w:hint="eastAsia"/>
          <w:lang w:val="en-US" w:eastAsia="zh-CN"/>
        </w:rPr>
      </w:pPr>
      <w:r>
        <w:rPr>
          <w:rFonts w:hint="eastAsia"/>
          <w:lang w:val="en-US" w:eastAsia="zh-CN"/>
        </w:rPr>
        <w:t>厂区主要分为生产区及办公区。生产区包括玉米深加工区、</w:t>
      </w:r>
      <w:r>
        <w:rPr>
          <w:rFonts w:hint="eastAsia" w:ascii="Times New Roman" w:hAnsi="Times New Roman"/>
          <w:lang w:val="en-US" w:eastAsia="zh-CN"/>
        </w:rPr>
        <w:t>DN</w:t>
      </w:r>
      <w:r>
        <w:rPr>
          <w:rFonts w:hint="eastAsia"/>
          <w:lang w:val="en-US" w:eastAsia="zh-CN"/>
        </w:rPr>
        <w:t>溶液生产区、聚酰胺生产区，预留短纤生产区，公用工程设施、煤仓、热动锅炉区、导热油炉区、原料玉米筒仓、酸碱罐区、液氨罐区、</w:t>
      </w:r>
      <w:r>
        <w:rPr>
          <w:rFonts w:hint="eastAsia" w:ascii="Times New Roman" w:hAnsi="Times New Roman"/>
          <w:lang w:val="en-US" w:eastAsia="zh-CN"/>
        </w:rPr>
        <w:t>DN</w:t>
      </w:r>
      <w:r>
        <w:rPr>
          <w:rFonts w:hint="eastAsia"/>
          <w:lang w:val="en-US" w:eastAsia="zh-CN"/>
        </w:rPr>
        <w:t>溶液储罐区、循环水场、消防水池及泵房、污水处理系统等。办公楼布置在厂区的东侧，临近东侧人流出口，方便对外联络；玉米筒仓布置在玉米深加工区附近，成品库房布置在厂区中部，距离西侧物流口较近，便于运输。生产线的布置总体是按照由南向北的物料流向。</w:t>
      </w:r>
    </w:p>
    <w:p>
      <w:pPr>
        <w:bidi w:val="0"/>
        <w:rPr>
          <w:rFonts w:hint="default"/>
          <w:lang w:val="en-US" w:eastAsia="zh-CN"/>
        </w:rPr>
      </w:pPr>
      <w:r>
        <w:rPr>
          <w:rFonts w:hint="eastAsia"/>
          <w:lang w:val="en-US" w:eastAsia="zh-CN"/>
        </w:rPr>
        <w:t>与本项目有关的现有工程厂区总平面布置示意图见图</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95104" behindDoc="0" locked="0" layoutInCell="1" allowOverlap="1">
            <wp:simplePos x="0" y="0"/>
            <wp:positionH relativeFrom="column">
              <wp:posOffset>221615</wp:posOffset>
            </wp:positionH>
            <wp:positionV relativeFrom="page">
              <wp:posOffset>1121410</wp:posOffset>
            </wp:positionV>
            <wp:extent cx="5377180" cy="6452235"/>
            <wp:effectExtent l="0" t="0" r="13970" b="5715"/>
            <wp:wrapTopAndBottom/>
            <wp:docPr id="24"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IMG_256"/>
                    <pic:cNvPicPr>
                      <a:picLocks noChangeAspect="1"/>
                    </pic:cNvPicPr>
                  </pic:nvPicPr>
                  <pic:blipFill>
                    <a:blip r:embed="rId35"/>
                    <a:stretch>
                      <a:fillRect/>
                    </a:stretch>
                  </pic:blipFill>
                  <pic:spPr>
                    <a:xfrm>
                      <a:off x="0" y="0"/>
                      <a:ext cx="5377180" cy="6452235"/>
                    </a:xfrm>
                    <a:prstGeom prst="rect">
                      <a:avLst/>
                    </a:prstGeom>
                    <a:noFill/>
                    <a:ln w="9525">
                      <a:noFill/>
                    </a:ln>
                  </pic:spPr>
                </pic:pic>
              </a:graphicData>
            </a:graphic>
          </wp:anchor>
        </w:drawing>
      </w:r>
    </w:p>
    <w:p>
      <w:pPr>
        <w:bidi w:val="0"/>
        <w:rPr>
          <w:rFonts w:hint="eastAsia"/>
          <w:lang w:val="en-US" w:eastAsia="zh-CN"/>
        </w:rPr>
      </w:pPr>
    </w:p>
    <w:p>
      <w:pPr>
        <w:pStyle w:val="20"/>
        <w:bidi w:val="0"/>
        <w:rPr>
          <w:rFonts w:hint="default"/>
          <w:lang w:val="en-US" w:eastAsia="zh-CN"/>
        </w:rPr>
      </w:pPr>
      <w:r>
        <w:rPr>
          <w:rFonts w:hint="eastAsia"/>
          <w:lang w:val="en-US" w:eastAsia="zh-CN"/>
        </w:rPr>
        <w:t>图</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 xml:space="preserve">  与本项目有关的现有工程厂区平面布置示意图</w:t>
      </w:r>
    </w:p>
    <w:p>
      <w:pPr>
        <w:bidi w:val="0"/>
        <w:rPr>
          <w:rFonts w:hint="eastAsia"/>
          <w:lang w:val="en-US" w:eastAsia="zh-CN"/>
        </w:rPr>
      </w:pPr>
    </w:p>
    <w:p>
      <w:pPr>
        <w:pStyle w:val="4"/>
        <w:bidi w:val="0"/>
        <w:rPr>
          <w:rFonts w:hint="default"/>
          <w:lang w:val="en-US" w:eastAsia="zh-CN"/>
        </w:rPr>
      </w:pPr>
      <w:bookmarkStart w:id="103" w:name="_Toc2609"/>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现有工程分析</w:t>
      </w:r>
      <w:bookmarkEnd w:id="103"/>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建设规模及产品方案</w:t>
      </w:r>
    </w:p>
    <w:p>
      <w:pPr>
        <w:rPr>
          <w:rFonts w:hint="eastAsia"/>
          <w:color w:val="auto"/>
        </w:rPr>
      </w:pPr>
      <w:r>
        <w:rPr>
          <w:rFonts w:hint="eastAsia"/>
          <w:color w:val="auto"/>
          <w:lang w:val="en-US" w:eastAsia="zh-CN"/>
        </w:rPr>
        <w:t>现有工程</w:t>
      </w:r>
      <w:r>
        <w:rPr>
          <w:rFonts w:hint="eastAsia"/>
          <w:color w:val="auto"/>
          <w:lang w:eastAsia="zh-CN"/>
        </w:rPr>
        <w:t>装置</w:t>
      </w:r>
      <w:r>
        <w:rPr>
          <w:rFonts w:hint="eastAsia"/>
          <w:color w:val="auto"/>
          <w:lang w:val="en-US" w:eastAsia="zh-CN"/>
        </w:rPr>
        <w:t>建设规模</w:t>
      </w:r>
      <w:r>
        <w:rPr>
          <w:rFonts w:hint="eastAsia"/>
          <w:color w:val="auto"/>
        </w:rPr>
        <w:t>见表</w:t>
      </w:r>
      <w:r>
        <w:rPr>
          <w:rFonts w:hint="eastAsia" w:ascii="Times New Roman" w:hAnsi="Times New Roman" w:cs="Times New Roman"/>
          <w:color w:val="auto"/>
          <w:lang w:val="en-US" w:eastAsia="zh-CN"/>
        </w:rPr>
        <w:t>3</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eastAsia"/>
          <w:color w:val="auto"/>
        </w:rPr>
        <w:t>-</w:t>
      </w:r>
      <w:r>
        <w:rPr>
          <w:rFonts w:hint="eastAsia" w:ascii="Times New Roman" w:hAnsi="Times New Roman" w:cs="Times New Roman"/>
          <w:color w:val="auto"/>
        </w:rPr>
        <w:t>1</w:t>
      </w:r>
      <w:r>
        <w:rPr>
          <w:rFonts w:hint="eastAsia"/>
          <w:color w:val="auto"/>
          <w:lang w:eastAsia="zh-CN"/>
        </w:rPr>
        <w:t>，</w:t>
      </w:r>
      <w:r>
        <w:rPr>
          <w:rFonts w:hint="default"/>
          <w:color w:val="auto"/>
        </w:rPr>
        <w:t>产品方案见表</w:t>
      </w:r>
      <w:r>
        <w:rPr>
          <w:rFonts w:hint="eastAsia" w:ascii="Times New Roman" w:hAnsi="Times New Roman" w:cs="Times New Roman"/>
          <w:color w:val="auto"/>
          <w:lang w:val="en-US" w:eastAsia="zh-CN"/>
        </w:rPr>
        <w:t>3</w:t>
      </w:r>
      <w:r>
        <w:rPr>
          <w:rFonts w:hint="eastAsia" w:cs="Times New Roman"/>
          <w:color w:val="auto"/>
          <w:lang w:val="en-US" w:eastAsia="zh-CN"/>
        </w:rPr>
        <w:t>.</w:t>
      </w:r>
      <w:r>
        <w:rPr>
          <w:rFonts w:hint="eastAsia" w:ascii="Times New Roman" w:hAnsi="Times New Roman" w:cs="Times New Roman"/>
          <w:color w:val="auto"/>
          <w:lang w:val="en-US" w:eastAsia="zh-CN"/>
        </w:rPr>
        <w:t>2</w:t>
      </w:r>
      <w:r>
        <w:rPr>
          <w:rFonts w:hint="default"/>
          <w:color w:val="auto"/>
        </w:rPr>
        <w:t>-</w:t>
      </w:r>
      <w:r>
        <w:rPr>
          <w:rFonts w:hint="eastAsia" w:ascii="Times New Roman" w:hAnsi="Times New Roman" w:cs="Times New Roman"/>
          <w:color w:val="auto"/>
          <w:lang w:val="en-US" w:eastAsia="zh-CN"/>
        </w:rPr>
        <w:t>2</w:t>
      </w:r>
      <w:r>
        <w:rPr>
          <w:rFonts w:hint="default"/>
          <w:color w:val="auto"/>
        </w:rPr>
        <w:t>。</w:t>
      </w:r>
    </w:p>
    <w:p>
      <w:pPr>
        <w:pStyle w:val="20"/>
        <w:spacing w:before="156"/>
        <w:rPr>
          <w:color w:val="auto"/>
        </w:rPr>
      </w:pPr>
      <w:r>
        <w:rPr>
          <w:color w:val="auto"/>
        </w:rPr>
        <w:t>表</w:t>
      </w:r>
      <w:r>
        <w:rPr>
          <w:rFonts w:hint="eastAsia" w:ascii="Times New Roman" w:hAnsi="Times New Roman" w:cs="Times New Roman"/>
          <w:color w:val="auto"/>
          <w:lang w:val="en-US" w:eastAsia="zh-CN"/>
        </w:rPr>
        <w:t>3</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eastAsia"/>
          <w:color w:val="auto"/>
        </w:rPr>
        <w:t>-</w:t>
      </w:r>
      <w:r>
        <w:rPr>
          <w:rFonts w:hint="eastAsia" w:ascii="Times New Roman" w:hAnsi="Times New Roman" w:cs="Times New Roman"/>
          <w:color w:val="auto"/>
        </w:rPr>
        <w:t>1</w:t>
      </w:r>
      <w:r>
        <w:rPr>
          <w:rFonts w:hint="eastAsia"/>
          <w:color w:val="auto"/>
        </w:rPr>
        <w:t xml:space="preserve">  </w:t>
      </w:r>
      <w:r>
        <w:rPr>
          <w:rFonts w:hint="eastAsia"/>
          <w:color w:val="auto"/>
          <w:lang w:val="en-US" w:eastAsia="zh-CN"/>
        </w:rPr>
        <w:t>现有工程装置建设规模</w:t>
      </w:r>
      <w:r>
        <w:rPr>
          <w:color w:val="auto"/>
        </w:rPr>
        <w:t>一览表</w:t>
      </w:r>
    </w:p>
    <w:tbl>
      <w:tblPr>
        <w:tblStyle w:val="80"/>
        <w:tblW w:w="4998"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30" w:type="dxa"/>
          <w:bottom w:w="0" w:type="dxa"/>
          <w:right w:w="30" w:type="dxa"/>
        </w:tblCellMar>
      </w:tblPr>
      <w:tblGrid>
        <w:gridCol w:w="622"/>
        <w:gridCol w:w="1512"/>
        <w:gridCol w:w="1412"/>
        <w:gridCol w:w="1018"/>
        <w:gridCol w:w="1018"/>
        <w:gridCol w:w="358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blHeader/>
          <w:jc w:val="center"/>
        </w:trPr>
        <w:tc>
          <w:tcPr>
            <w:tcW w:w="339" w:type="pct"/>
            <w:tcBorders>
              <w:top w:val="single" w:color="auto" w:sz="12" w:space="0"/>
              <w:left w:val="single" w:color="auto" w:sz="12" w:space="0"/>
              <w:bottom w:val="single" w:color="auto" w:sz="4" w:space="0"/>
              <w:right w:val="single" w:color="auto" w:sz="4" w:space="0"/>
            </w:tcBorders>
            <w:tcMar>
              <w:left w:w="108" w:type="dxa"/>
              <w:right w:w="108" w:type="dxa"/>
            </w:tcMar>
            <w:vAlign w:val="center"/>
          </w:tcPr>
          <w:p>
            <w:pPr>
              <w:spacing w:line="240" w:lineRule="auto"/>
              <w:ind w:firstLine="0"/>
              <w:jc w:val="center"/>
              <w:rPr>
                <w:color w:val="auto"/>
                <w:spacing w:val="-11"/>
                <w:sz w:val="21"/>
                <w:szCs w:val="21"/>
              </w:rPr>
            </w:pPr>
            <w:r>
              <w:rPr>
                <w:color w:val="auto"/>
                <w:spacing w:val="-11"/>
                <w:sz w:val="21"/>
                <w:szCs w:val="21"/>
              </w:rPr>
              <w:t>序号</w:t>
            </w:r>
          </w:p>
        </w:tc>
        <w:tc>
          <w:tcPr>
            <w:tcW w:w="824" w:type="pct"/>
            <w:tcBorders>
              <w:top w:val="single" w:color="auto" w:sz="12"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color w:val="auto"/>
                <w:spacing w:val="-11"/>
                <w:sz w:val="21"/>
                <w:szCs w:val="21"/>
              </w:rPr>
            </w:pPr>
            <w:r>
              <w:rPr>
                <w:rFonts w:hint="eastAsia"/>
                <w:color w:val="auto"/>
                <w:spacing w:val="-11"/>
                <w:sz w:val="21"/>
                <w:szCs w:val="21"/>
                <w:lang w:val="en-US" w:eastAsia="zh-CN"/>
              </w:rPr>
              <w:t>装置/工程</w:t>
            </w:r>
            <w:r>
              <w:rPr>
                <w:color w:val="auto"/>
                <w:spacing w:val="-11"/>
                <w:sz w:val="21"/>
                <w:szCs w:val="21"/>
              </w:rPr>
              <w:t>名称</w:t>
            </w:r>
          </w:p>
        </w:tc>
        <w:tc>
          <w:tcPr>
            <w:tcW w:w="770" w:type="pct"/>
            <w:tcBorders>
              <w:top w:val="single" w:color="auto" w:sz="12"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default" w:eastAsia="宋体"/>
                <w:color w:val="auto"/>
                <w:spacing w:val="-11"/>
                <w:sz w:val="21"/>
                <w:szCs w:val="21"/>
                <w:lang w:val="en-US" w:eastAsia="zh-CN"/>
              </w:rPr>
            </w:pPr>
            <w:r>
              <w:rPr>
                <w:rFonts w:hint="eastAsia"/>
                <w:color w:val="auto"/>
                <w:spacing w:val="-11"/>
                <w:sz w:val="21"/>
                <w:szCs w:val="21"/>
                <w:lang w:val="en-US" w:eastAsia="zh-CN"/>
              </w:rPr>
              <w:t>设计建设规模</w:t>
            </w:r>
          </w:p>
        </w:tc>
        <w:tc>
          <w:tcPr>
            <w:tcW w:w="555" w:type="pct"/>
            <w:tcBorders>
              <w:top w:val="single" w:color="auto" w:sz="12"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default"/>
                <w:color w:val="auto"/>
                <w:spacing w:val="-11"/>
                <w:sz w:val="21"/>
                <w:szCs w:val="21"/>
                <w:lang w:val="en-US" w:eastAsia="zh-CN"/>
              </w:rPr>
            </w:pPr>
            <w:r>
              <w:rPr>
                <w:rFonts w:hint="eastAsia"/>
                <w:color w:val="auto"/>
                <w:spacing w:val="-11"/>
                <w:sz w:val="21"/>
                <w:szCs w:val="21"/>
                <w:lang w:val="en-US" w:eastAsia="zh-CN"/>
              </w:rPr>
              <w:t>一期工程</w:t>
            </w:r>
          </w:p>
        </w:tc>
        <w:tc>
          <w:tcPr>
            <w:tcW w:w="555" w:type="pct"/>
            <w:tcBorders>
              <w:top w:val="single" w:color="auto" w:sz="12"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eastAsia"/>
                <w:color w:val="auto"/>
                <w:spacing w:val="-11"/>
                <w:sz w:val="21"/>
                <w:szCs w:val="21"/>
                <w:lang w:val="en-US" w:eastAsia="zh-CN"/>
              </w:rPr>
            </w:pPr>
            <w:r>
              <w:rPr>
                <w:rFonts w:hint="eastAsia"/>
                <w:color w:val="auto"/>
                <w:spacing w:val="-11"/>
                <w:sz w:val="21"/>
                <w:szCs w:val="21"/>
                <w:lang w:val="en-US" w:eastAsia="zh-CN"/>
              </w:rPr>
              <w:t>二期工程</w:t>
            </w:r>
          </w:p>
        </w:tc>
        <w:tc>
          <w:tcPr>
            <w:tcW w:w="1956" w:type="pct"/>
            <w:tcBorders>
              <w:top w:val="single" w:color="auto" w:sz="12" w:space="0"/>
              <w:left w:val="single" w:color="auto" w:sz="4" w:space="0"/>
              <w:bottom w:val="single" w:color="auto" w:sz="4" w:space="0"/>
              <w:right w:val="single" w:color="auto" w:sz="12" w:space="0"/>
            </w:tcBorders>
            <w:tcMar>
              <w:left w:w="108" w:type="dxa"/>
              <w:right w:w="108" w:type="dxa"/>
            </w:tcMar>
            <w:vAlign w:val="center"/>
          </w:tcPr>
          <w:p>
            <w:pPr>
              <w:spacing w:line="240" w:lineRule="auto"/>
              <w:ind w:firstLine="0"/>
              <w:jc w:val="center"/>
              <w:rPr>
                <w:color w:val="auto"/>
                <w:spacing w:val="-11"/>
                <w:sz w:val="21"/>
                <w:szCs w:val="21"/>
              </w:rPr>
            </w:pPr>
            <w:r>
              <w:rPr>
                <w:color w:val="auto"/>
                <w:spacing w:val="-11"/>
                <w:sz w:val="21"/>
                <w:szCs w:val="21"/>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jc w:val="center"/>
        </w:trPr>
        <w:tc>
          <w:tcPr>
            <w:tcW w:w="339" w:type="pct"/>
            <w:tcBorders>
              <w:top w:val="single" w:color="auto" w:sz="4" w:space="0"/>
              <w:left w:val="single" w:color="auto" w:sz="12" w:space="0"/>
              <w:bottom w:val="single" w:color="auto" w:sz="4" w:space="0"/>
              <w:right w:val="single" w:color="auto" w:sz="4" w:space="0"/>
            </w:tcBorders>
            <w:tcMar>
              <w:left w:w="108" w:type="dxa"/>
              <w:right w:w="108" w:type="dxa"/>
            </w:tcMar>
            <w:vAlign w:val="center"/>
          </w:tcPr>
          <w:p>
            <w:pPr>
              <w:spacing w:line="240" w:lineRule="auto"/>
              <w:ind w:firstLine="0"/>
              <w:jc w:val="center"/>
              <w:rPr>
                <w:color w:val="auto"/>
                <w:spacing w:val="-11"/>
                <w:sz w:val="21"/>
                <w:szCs w:val="21"/>
              </w:rPr>
            </w:pPr>
            <w:r>
              <w:rPr>
                <w:rFonts w:ascii="Times New Roman" w:hAnsi="Times New Roman" w:cs="Times New Roman"/>
                <w:color w:val="auto"/>
                <w:spacing w:val="-11"/>
                <w:sz w:val="21"/>
                <w:szCs w:val="21"/>
              </w:rPr>
              <w:t>1</w:t>
            </w:r>
          </w:p>
        </w:tc>
        <w:tc>
          <w:tcPr>
            <w:tcW w:w="824"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eastAsia" w:eastAsia="宋体"/>
                <w:color w:val="auto"/>
                <w:spacing w:val="-11"/>
                <w:sz w:val="21"/>
                <w:szCs w:val="21"/>
                <w:lang w:eastAsia="zh-CN"/>
              </w:rPr>
            </w:pPr>
            <w:r>
              <w:rPr>
                <w:rFonts w:hint="eastAsia" w:eastAsia="宋体"/>
                <w:color w:val="auto"/>
                <w:spacing w:val="-11"/>
                <w:sz w:val="21"/>
                <w:szCs w:val="21"/>
                <w:lang w:eastAsia="zh-CN"/>
              </w:rPr>
              <w:t>玉米深加工</w:t>
            </w:r>
          </w:p>
        </w:tc>
        <w:tc>
          <w:tcPr>
            <w:tcW w:w="770"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default" w:ascii="Times New Roman" w:hAnsi="Times New Roman" w:eastAsia="宋体"/>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30</w:t>
            </w:r>
            <w:r>
              <w:rPr>
                <w:rFonts w:hint="eastAsia" w:ascii="Times New Roman" w:hAnsi="Times New Roman" w:cs="Times New Roman"/>
                <w:color w:val="auto"/>
                <w:spacing w:val="-11"/>
                <w:sz w:val="21"/>
                <w:szCs w:val="21"/>
                <w:lang w:val="en-US" w:eastAsia="zh-CN"/>
              </w:rPr>
              <w:t>万</w:t>
            </w:r>
            <w:r>
              <w:rPr>
                <w:rFonts w:hint="eastAsia" w:ascii="Times New Roman" w:hAnsi="Times New Roman" w:cs="Times New Roman"/>
                <w:color w:val="auto"/>
                <w:spacing w:val="-11"/>
                <w:sz w:val="21"/>
                <w:szCs w:val="21"/>
                <w:lang w:val="en-US" w:eastAsia="zh-CN"/>
              </w:rPr>
              <w:t>t</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a</w:t>
            </w:r>
          </w:p>
        </w:tc>
        <w:tc>
          <w:tcPr>
            <w:tcW w:w="555"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default" w:ascii="Times New Roman" w:hAnsi="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30</w:t>
            </w:r>
            <w:r>
              <w:rPr>
                <w:rFonts w:hint="eastAsia" w:ascii="Times New Roman" w:hAnsi="Times New Roman" w:cs="Times New Roman"/>
                <w:color w:val="auto"/>
                <w:spacing w:val="-11"/>
                <w:sz w:val="21"/>
                <w:szCs w:val="21"/>
                <w:lang w:val="en-US" w:eastAsia="zh-CN"/>
              </w:rPr>
              <w:t>万</w:t>
            </w:r>
            <w:r>
              <w:rPr>
                <w:rFonts w:hint="eastAsia" w:ascii="Times New Roman" w:hAnsi="Times New Roman" w:cs="Times New Roman"/>
                <w:color w:val="auto"/>
                <w:spacing w:val="-11"/>
                <w:sz w:val="21"/>
                <w:szCs w:val="21"/>
                <w:lang w:val="en-US" w:eastAsia="zh-CN"/>
              </w:rPr>
              <w:t>t</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a</w:t>
            </w:r>
          </w:p>
        </w:tc>
        <w:tc>
          <w:tcPr>
            <w:tcW w:w="555"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default" w:ascii="Times New Roman" w:hAnsi="Times New Roman" w:cs="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0</w:t>
            </w:r>
          </w:p>
        </w:tc>
        <w:tc>
          <w:tcPr>
            <w:tcW w:w="1956" w:type="pct"/>
            <w:tcBorders>
              <w:top w:val="single" w:color="auto" w:sz="4" w:space="0"/>
              <w:left w:val="single" w:color="auto" w:sz="4" w:space="0"/>
              <w:bottom w:val="single" w:color="auto" w:sz="4" w:space="0"/>
              <w:right w:val="single" w:color="auto" w:sz="12" w:space="0"/>
            </w:tcBorders>
            <w:tcMar>
              <w:left w:w="108" w:type="dxa"/>
              <w:right w:w="108" w:type="dxa"/>
            </w:tcMar>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lang w:eastAsia="zh-CN"/>
              </w:rPr>
              <w:t>包括淀粉乳车间、制糖单元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jc w:val="center"/>
        </w:trPr>
        <w:tc>
          <w:tcPr>
            <w:tcW w:w="339" w:type="pct"/>
            <w:tcBorders>
              <w:top w:val="single" w:color="auto" w:sz="4" w:space="0"/>
              <w:left w:val="single" w:color="auto" w:sz="12" w:space="0"/>
              <w:bottom w:val="single" w:color="auto" w:sz="4" w:space="0"/>
              <w:right w:val="single" w:color="auto" w:sz="4" w:space="0"/>
            </w:tcBorders>
            <w:tcMar>
              <w:left w:w="108" w:type="dxa"/>
              <w:right w:w="108" w:type="dxa"/>
            </w:tcMar>
            <w:vAlign w:val="center"/>
          </w:tcPr>
          <w:p>
            <w:pPr>
              <w:spacing w:line="240" w:lineRule="auto"/>
              <w:ind w:firstLine="0"/>
              <w:jc w:val="center"/>
              <w:rPr>
                <w:color w:val="auto"/>
                <w:spacing w:val="-11"/>
                <w:sz w:val="21"/>
                <w:szCs w:val="21"/>
              </w:rPr>
            </w:pPr>
            <w:r>
              <w:rPr>
                <w:rFonts w:ascii="Times New Roman" w:hAnsi="Times New Roman" w:cs="Times New Roman"/>
                <w:color w:val="auto"/>
                <w:spacing w:val="-11"/>
                <w:sz w:val="21"/>
                <w:szCs w:val="21"/>
              </w:rPr>
              <w:t>2</w:t>
            </w:r>
          </w:p>
        </w:tc>
        <w:tc>
          <w:tcPr>
            <w:tcW w:w="824"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ascii="宋体" w:hAnsi="宋体" w:eastAsia="宋体"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bidi="ar-SA"/>
              </w:rPr>
              <w:t>DN</w:t>
            </w:r>
            <w:r>
              <w:rPr>
                <w:rFonts w:hint="eastAsia" w:cs="Times New Roman"/>
                <w:color w:val="auto"/>
                <w:spacing w:val="-11"/>
                <w:sz w:val="21"/>
                <w:szCs w:val="21"/>
                <w:lang w:val="en-US" w:eastAsia="zh-CN" w:bidi="ar-SA"/>
              </w:rPr>
              <w:t>溶液</w:t>
            </w:r>
            <w:r>
              <w:rPr>
                <w:rFonts w:hint="eastAsia" w:ascii="宋体" w:hAnsi="宋体" w:eastAsia="宋体" w:cs="Times New Roman"/>
                <w:color w:val="auto"/>
                <w:spacing w:val="-11"/>
                <w:sz w:val="21"/>
                <w:szCs w:val="21"/>
                <w:lang w:val="en-US" w:eastAsia="zh-CN" w:bidi="ar-SA"/>
              </w:rPr>
              <w:t>生产</w:t>
            </w:r>
          </w:p>
        </w:tc>
        <w:tc>
          <w:tcPr>
            <w:tcW w:w="770"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eastAsia="宋体"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rPr>
              <w:t>5</w:t>
            </w:r>
            <w:r>
              <w:rPr>
                <w:rFonts w:hint="eastAsia" w:ascii="Times New Roman" w:hAnsi="Times New Roman" w:cs="Times New Roman"/>
                <w:color w:val="auto"/>
                <w:spacing w:val="-11"/>
                <w:sz w:val="21"/>
                <w:szCs w:val="21"/>
                <w:lang w:val="en-US" w:eastAsia="zh-CN"/>
              </w:rPr>
              <w:t>万</w:t>
            </w:r>
            <w:r>
              <w:rPr>
                <w:rFonts w:hint="eastAsia" w:ascii="Times New Roman" w:hAnsi="Times New Roman" w:cs="Times New Roman"/>
                <w:color w:val="auto"/>
                <w:spacing w:val="-11"/>
                <w:sz w:val="21"/>
                <w:szCs w:val="21"/>
                <w:lang w:val="en-US" w:eastAsia="zh-CN"/>
              </w:rPr>
              <w:t>t</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a</w:t>
            </w:r>
          </w:p>
        </w:tc>
        <w:tc>
          <w:tcPr>
            <w:tcW w:w="555"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rPr>
              <w:t>5</w:t>
            </w:r>
            <w:r>
              <w:rPr>
                <w:rFonts w:hint="eastAsia" w:ascii="Times New Roman" w:hAnsi="Times New Roman" w:cs="Times New Roman"/>
                <w:color w:val="auto"/>
                <w:spacing w:val="-11"/>
                <w:sz w:val="21"/>
                <w:szCs w:val="21"/>
                <w:lang w:val="en-US" w:eastAsia="zh-CN"/>
              </w:rPr>
              <w:t>万</w:t>
            </w:r>
            <w:r>
              <w:rPr>
                <w:rFonts w:hint="eastAsia" w:ascii="Times New Roman" w:hAnsi="Times New Roman" w:cs="Times New Roman"/>
                <w:color w:val="auto"/>
                <w:spacing w:val="-11"/>
                <w:sz w:val="21"/>
                <w:szCs w:val="21"/>
                <w:lang w:val="en-US" w:eastAsia="zh-CN"/>
              </w:rPr>
              <w:t>t</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a</w:t>
            </w:r>
          </w:p>
        </w:tc>
        <w:tc>
          <w:tcPr>
            <w:tcW w:w="555"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0</w:t>
            </w:r>
          </w:p>
        </w:tc>
        <w:tc>
          <w:tcPr>
            <w:tcW w:w="1956" w:type="pct"/>
            <w:tcBorders>
              <w:top w:val="single" w:color="auto" w:sz="4" w:space="0"/>
              <w:left w:val="single" w:color="auto" w:sz="4" w:space="0"/>
              <w:bottom w:val="single" w:color="auto" w:sz="4" w:space="0"/>
              <w:right w:val="single" w:color="auto" w:sz="12" w:space="0"/>
            </w:tcBorders>
            <w:tcMar>
              <w:left w:w="108" w:type="dxa"/>
              <w:right w:w="108" w:type="dxa"/>
            </w:tcMar>
            <w:vAlign w:val="center"/>
          </w:tcPr>
          <w:p>
            <w:pPr>
              <w:spacing w:line="240" w:lineRule="auto"/>
              <w:ind w:firstLine="0" w:firstLineChars="0"/>
              <w:jc w:val="center"/>
              <w:rPr>
                <w:rFonts w:ascii="宋体" w:hAnsi="宋体" w:eastAsia="宋体" w:cs="Times New Roman"/>
                <w:color w:val="auto"/>
                <w:spacing w:val="-11"/>
                <w:sz w:val="21"/>
                <w:szCs w:val="21"/>
                <w:lang w:val="en-US" w:eastAsia="zh-CN" w:bidi="ar-SA"/>
              </w:rPr>
            </w:pPr>
            <w:r>
              <w:rPr>
                <w:rFonts w:hint="eastAsia" w:ascii="宋体" w:hAnsi="宋体" w:eastAsia="宋体" w:cs="Times New Roman"/>
                <w:color w:val="auto"/>
                <w:spacing w:val="-11"/>
                <w:sz w:val="21"/>
                <w:szCs w:val="21"/>
                <w:lang w:val="en-US" w:eastAsia="zh-CN" w:bidi="ar-SA"/>
              </w:rPr>
              <w:t>包括配料、发酵、提取、精馏、储存等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jc w:val="center"/>
        </w:trPr>
        <w:tc>
          <w:tcPr>
            <w:tcW w:w="339" w:type="pct"/>
            <w:tcBorders>
              <w:top w:val="single" w:color="auto" w:sz="4" w:space="0"/>
              <w:left w:val="single" w:color="auto" w:sz="12"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ascii="宋体" w:hAnsi="宋体" w:eastAsia="宋体" w:cs="Times New Roman"/>
                <w:color w:val="auto"/>
                <w:spacing w:val="-11"/>
                <w:sz w:val="21"/>
                <w:szCs w:val="21"/>
                <w:lang w:val="en-US" w:eastAsia="zh-CN" w:bidi="ar-SA"/>
              </w:rPr>
            </w:pPr>
            <w:r>
              <w:rPr>
                <w:rFonts w:ascii="Times New Roman" w:hAnsi="Times New Roman" w:cs="Times New Roman"/>
                <w:color w:val="auto"/>
                <w:spacing w:val="-11"/>
                <w:sz w:val="21"/>
                <w:szCs w:val="21"/>
              </w:rPr>
              <w:t>3</w:t>
            </w:r>
          </w:p>
        </w:tc>
        <w:tc>
          <w:tcPr>
            <w:tcW w:w="824"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eastAsia="宋体"/>
                <w:color w:val="auto"/>
                <w:spacing w:val="-11"/>
                <w:sz w:val="21"/>
                <w:szCs w:val="21"/>
                <w:lang w:val="en-US" w:eastAsia="zh-CN"/>
              </w:rPr>
            </w:pPr>
            <w:r>
              <w:rPr>
                <w:rFonts w:hint="eastAsia" w:eastAsia="宋体"/>
                <w:color w:val="auto"/>
                <w:spacing w:val="-11"/>
                <w:sz w:val="21"/>
                <w:szCs w:val="21"/>
                <w:lang w:val="en-US" w:eastAsia="zh-CN"/>
              </w:rPr>
              <w:t>聚酰胺生产</w:t>
            </w:r>
          </w:p>
        </w:tc>
        <w:tc>
          <w:tcPr>
            <w:tcW w:w="770"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bidi="ar-SA"/>
              </w:rPr>
              <w:t>10</w:t>
            </w:r>
            <w:r>
              <w:rPr>
                <w:rFonts w:hint="eastAsia" w:ascii="Times New Roman" w:hAnsi="Times New Roman" w:cs="Times New Roman"/>
                <w:color w:val="auto"/>
                <w:spacing w:val="-11"/>
                <w:sz w:val="21"/>
                <w:szCs w:val="21"/>
                <w:lang w:val="en-US" w:eastAsia="zh-CN" w:bidi="ar-SA"/>
              </w:rPr>
              <w:t>万</w:t>
            </w:r>
            <w:r>
              <w:rPr>
                <w:rFonts w:hint="eastAsia" w:ascii="Times New Roman" w:hAnsi="Times New Roman" w:cs="Times New Roman"/>
                <w:color w:val="auto"/>
                <w:spacing w:val="-11"/>
                <w:sz w:val="21"/>
                <w:szCs w:val="21"/>
                <w:lang w:val="en-US" w:eastAsia="zh-CN" w:bidi="ar-SA"/>
              </w:rPr>
              <w:t>t</w:t>
            </w:r>
            <w:r>
              <w:rPr>
                <w:rFonts w:hint="eastAsia" w:ascii="Times New Roman" w:hAnsi="Times New Roman" w:cs="Times New Roman"/>
                <w:color w:val="auto"/>
                <w:spacing w:val="-11"/>
                <w:sz w:val="21"/>
                <w:szCs w:val="21"/>
                <w:lang w:val="en-US" w:eastAsia="zh-CN" w:bidi="ar-SA"/>
              </w:rPr>
              <w:t>/</w:t>
            </w:r>
            <w:r>
              <w:rPr>
                <w:rFonts w:hint="eastAsia" w:ascii="Times New Roman" w:hAnsi="Times New Roman" w:cs="Times New Roman"/>
                <w:color w:val="auto"/>
                <w:spacing w:val="-11"/>
                <w:sz w:val="21"/>
                <w:szCs w:val="21"/>
                <w:lang w:val="en-US" w:eastAsia="zh-CN" w:bidi="ar-SA"/>
              </w:rPr>
              <w:t>a</w:t>
            </w:r>
          </w:p>
        </w:tc>
        <w:tc>
          <w:tcPr>
            <w:tcW w:w="555"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bidi="ar-SA"/>
              </w:rPr>
              <w:t>7</w:t>
            </w:r>
            <w:r>
              <w:rPr>
                <w:rFonts w:hint="eastAsia" w:ascii="Times New Roman" w:hAnsi="Times New Roman" w:cs="Times New Roman"/>
                <w:color w:val="auto"/>
                <w:spacing w:val="-11"/>
                <w:sz w:val="21"/>
                <w:szCs w:val="21"/>
                <w:lang w:val="en-US" w:eastAsia="zh-CN" w:bidi="ar-SA"/>
              </w:rPr>
              <w:t>万</w:t>
            </w:r>
            <w:r>
              <w:rPr>
                <w:rFonts w:hint="eastAsia" w:ascii="Times New Roman" w:hAnsi="Times New Roman" w:cs="Times New Roman"/>
                <w:color w:val="auto"/>
                <w:spacing w:val="-11"/>
                <w:sz w:val="21"/>
                <w:szCs w:val="21"/>
                <w:lang w:val="en-US" w:eastAsia="zh-CN" w:bidi="ar-SA"/>
              </w:rPr>
              <w:t>t</w:t>
            </w:r>
            <w:r>
              <w:rPr>
                <w:rFonts w:hint="eastAsia" w:ascii="Times New Roman" w:hAnsi="Times New Roman" w:cs="Times New Roman"/>
                <w:color w:val="auto"/>
                <w:spacing w:val="-11"/>
                <w:sz w:val="21"/>
                <w:szCs w:val="21"/>
                <w:lang w:val="en-US" w:eastAsia="zh-CN" w:bidi="ar-SA"/>
              </w:rPr>
              <w:t>/</w:t>
            </w:r>
            <w:r>
              <w:rPr>
                <w:rFonts w:hint="eastAsia" w:ascii="Times New Roman" w:hAnsi="Times New Roman" w:cs="Times New Roman"/>
                <w:color w:val="auto"/>
                <w:spacing w:val="-11"/>
                <w:sz w:val="21"/>
                <w:szCs w:val="21"/>
                <w:lang w:val="en-US" w:eastAsia="zh-CN" w:bidi="ar-SA"/>
              </w:rPr>
              <w:t>a</w:t>
            </w:r>
          </w:p>
        </w:tc>
        <w:tc>
          <w:tcPr>
            <w:tcW w:w="555" w:type="pct"/>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bidi="ar-SA"/>
              </w:rPr>
              <w:t>3</w:t>
            </w:r>
            <w:r>
              <w:rPr>
                <w:rFonts w:hint="eastAsia" w:ascii="Times New Roman" w:hAnsi="Times New Roman" w:cs="Times New Roman"/>
                <w:color w:val="auto"/>
                <w:spacing w:val="-11"/>
                <w:sz w:val="21"/>
                <w:szCs w:val="21"/>
                <w:lang w:val="en-US" w:eastAsia="zh-CN" w:bidi="ar-SA"/>
              </w:rPr>
              <w:t>万</w:t>
            </w:r>
            <w:r>
              <w:rPr>
                <w:rFonts w:hint="eastAsia" w:ascii="Times New Roman" w:hAnsi="Times New Roman" w:cs="Times New Roman"/>
                <w:color w:val="auto"/>
                <w:spacing w:val="-11"/>
                <w:sz w:val="21"/>
                <w:szCs w:val="21"/>
                <w:lang w:val="en-US" w:eastAsia="zh-CN" w:bidi="ar-SA"/>
              </w:rPr>
              <w:t>t</w:t>
            </w:r>
            <w:r>
              <w:rPr>
                <w:rFonts w:hint="eastAsia" w:ascii="Times New Roman" w:hAnsi="Times New Roman" w:cs="Times New Roman"/>
                <w:color w:val="auto"/>
                <w:spacing w:val="-11"/>
                <w:sz w:val="21"/>
                <w:szCs w:val="21"/>
                <w:lang w:val="en-US" w:eastAsia="zh-CN" w:bidi="ar-SA"/>
              </w:rPr>
              <w:t>/</w:t>
            </w:r>
            <w:r>
              <w:rPr>
                <w:rFonts w:hint="eastAsia" w:ascii="Times New Roman" w:hAnsi="Times New Roman" w:cs="Times New Roman"/>
                <w:color w:val="auto"/>
                <w:spacing w:val="-11"/>
                <w:sz w:val="21"/>
                <w:szCs w:val="21"/>
                <w:lang w:val="en-US" w:eastAsia="zh-CN" w:bidi="ar-SA"/>
              </w:rPr>
              <w:t>a</w:t>
            </w:r>
          </w:p>
        </w:tc>
        <w:tc>
          <w:tcPr>
            <w:tcW w:w="1956" w:type="pct"/>
            <w:tcBorders>
              <w:top w:val="single" w:color="auto" w:sz="4" w:space="0"/>
              <w:left w:val="single" w:color="auto" w:sz="4" w:space="0"/>
              <w:bottom w:val="single" w:color="auto" w:sz="4" w:space="0"/>
              <w:right w:val="single" w:color="auto" w:sz="12" w:space="0"/>
            </w:tcBorders>
            <w:tcMar>
              <w:left w:w="108" w:type="dxa"/>
              <w:right w:w="108" w:type="dxa"/>
            </w:tcMar>
            <w:vAlign w:val="center"/>
          </w:tcPr>
          <w:p>
            <w:pPr>
              <w:spacing w:line="240" w:lineRule="auto"/>
              <w:ind w:firstLine="0" w:firstLineChars="0"/>
              <w:jc w:val="center"/>
              <w:rPr>
                <w:rFonts w:hint="eastAsia" w:eastAsia="宋体"/>
                <w:color w:val="auto"/>
                <w:spacing w:val="-11"/>
                <w:sz w:val="21"/>
                <w:szCs w:val="21"/>
                <w:lang w:val="en-US" w:eastAsia="zh-CN"/>
              </w:rPr>
            </w:pPr>
            <w:r>
              <w:rPr>
                <w:rFonts w:hint="eastAsia" w:eastAsia="宋体"/>
                <w:color w:val="auto"/>
                <w:spacing w:val="-11"/>
                <w:sz w:val="21"/>
                <w:szCs w:val="21"/>
                <w:lang w:val="en-US" w:eastAsia="zh-CN"/>
              </w:rPr>
              <w:t>包括聚酰胺生产、包装、储运</w:t>
            </w:r>
            <w:r>
              <w:rPr>
                <w:rFonts w:hint="eastAsia"/>
                <w:color w:val="auto"/>
                <w:spacing w:val="-11"/>
                <w:sz w:val="21"/>
                <w:szCs w:val="21"/>
                <w:lang w:val="en-US" w:eastAsia="zh-CN"/>
              </w:rPr>
              <w:t>，二期未建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jc w:val="center"/>
        </w:trPr>
        <w:tc>
          <w:tcPr>
            <w:tcW w:w="339" w:type="pct"/>
            <w:tcBorders>
              <w:top w:val="single" w:color="auto" w:sz="4" w:space="0"/>
              <w:left w:val="single" w:color="auto" w:sz="12" w:space="0"/>
              <w:bottom w:val="single" w:color="auto" w:sz="12" w:space="0"/>
              <w:right w:val="single" w:color="auto" w:sz="4" w:space="0"/>
            </w:tcBorders>
            <w:tcMar>
              <w:left w:w="108" w:type="dxa"/>
              <w:right w:w="108" w:type="dxa"/>
            </w:tcMar>
            <w:vAlign w:val="center"/>
          </w:tcPr>
          <w:p>
            <w:pPr>
              <w:spacing w:line="240" w:lineRule="auto"/>
              <w:ind w:firstLine="0" w:firstLineChars="0"/>
              <w:jc w:val="center"/>
              <w:rPr>
                <w:rFonts w:hint="eastAsia" w:ascii="Times New Roman" w:hAnsi="Times New Roman" w:eastAsia="宋体" w:cs="Times New Roman"/>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4</w:t>
            </w:r>
          </w:p>
        </w:tc>
        <w:tc>
          <w:tcPr>
            <w:tcW w:w="824" w:type="pct"/>
            <w:tcBorders>
              <w:top w:val="single" w:color="auto" w:sz="4" w:space="0"/>
              <w:left w:val="single" w:color="auto" w:sz="4" w:space="0"/>
              <w:bottom w:val="single" w:color="auto" w:sz="12" w:space="0"/>
              <w:right w:val="single" w:color="auto" w:sz="4" w:space="0"/>
            </w:tcBorders>
            <w:tcMar>
              <w:left w:w="108" w:type="dxa"/>
              <w:right w:w="108" w:type="dxa"/>
            </w:tcMar>
            <w:vAlign w:val="center"/>
          </w:tcPr>
          <w:p>
            <w:pPr>
              <w:spacing w:line="240" w:lineRule="auto"/>
              <w:ind w:firstLine="0" w:firstLineChars="0"/>
              <w:jc w:val="center"/>
              <w:rPr>
                <w:rFonts w:hint="eastAsia" w:eastAsia="宋体"/>
                <w:color w:val="auto"/>
                <w:spacing w:val="-11"/>
                <w:sz w:val="21"/>
                <w:szCs w:val="21"/>
                <w:lang w:val="en-US" w:eastAsia="zh-CN"/>
              </w:rPr>
            </w:pPr>
            <w:r>
              <w:rPr>
                <w:rFonts w:hint="eastAsia" w:eastAsia="宋体"/>
                <w:color w:val="auto"/>
                <w:spacing w:val="-11"/>
                <w:sz w:val="21"/>
                <w:szCs w:val="21"/>
                <w:lang w:val="en-US" w:eastAsia="zh-CN"/>
              </w:rPr>
              <w:t>短纤生产</w:t>
            </w:r>
          </w:p>
        </w:tc>
        <w:tc>
          <w:tcPr>
            <w:tcW w:w="770" w:type="pct"/>
            <w:tcBorders>
              <w:top w:val="single" w:color="auto" w:sz="4" w:space="0"/>
              <w:left w:val="single" w:color="auto" w:sz="4" w:space="0"/>
              <w:bottom w:val="single" w:color="auto" w:sz="12"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bidi="ar-SA"/>
              </w:rPr>
              <w:t>3</w:t>
            </w:r>
            <w:r>
              <w:rPr>
                <w:rFonts w:hint="eastAsia" w:ascii="Times New Roman" w:hAnsi="Times New Roman" w:cs="Times New Roman"/>
                <w:color w:val="auto"/>
                <w:spacing w:val="-11"/>
                <w:sz w:val="21"/>
                <w:szCs w:val="21"/>
                <w:lang w:val="en-US" w:eastAsia="zh-CN" w:bidi="ar-SA"/>
              </w:rPr>
              <w:t>万</w:t>
            </w:r>
            <w:r>
              <w:rPr>
                <w:rFonts w:hint="eastAsia" w:ascii="Times New Roman" w:hAnsi="Times New Roman" w:cs="Times New Roman"/>
                <w:color w:val="auto"/>
                <w:spacing w:val="-11"/>
                <w:sz w:val="21"/>
                <w:szCs w:val="21"/>
                <w:lang w:val="en-US" w:eastAsia="zh-CN" w:bidi="ar-SA"/>
              </w:rPr>
              <w:t>t</w:t>
            </w:r>
            <w:r>
              <w:rPr>
                <w:rFonts w:hint="eastAsia" w:ascii="Times New Roman" w:hAnsi="Times New Roman" w:cs="Times New Roman"/>
                <w:color w:val="auto"/>
                <w:spacing w:val="-11"/>
                <w:sz w:val="21"/>
                <w:szCs w:val="21"/>
                <w:lang w:val="en-US" w:eastAsia="zh-CN" w:bidi="ar-SA"/>
              </w:rPr>
              <w:t>/</w:t>
            </w:r>
            <w:r>
              <w:rPr>
                <w:rFonts w:hint="eastAsia" w:ascii="Times New Roman" w:hAnsi="Times New Roman" w:cs="Times New Roman"/>
                <w:color w:val="auto"/>
                <w:spacing w:val="-11"/>
                <w:sz w:val="21"/>
                <w:szCs w:val="21"/>
                <w:lang w:val="en-US" w:eastAsia="zh-CN" w:bidi="ar-SA"/>
              </w:rPr>
              <w:t>a</w:t>
            </w:r>
          </w:p>
        </w:tc>
        <w:tc>
          <w:tcPr>
            <w:tcW w:w="555" w:type="pct"/>
            <w:tcBorders>
              <w:top w:val="single" w:color="auto" w:sz="4" w:space="0"/>
              <w:left w:val="single" w:color="auto" w:sz="4" w:space="0"/>
              <w:bottom w:val="single" w:color="auto" w:sz="12"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bidi="ar-SA"/>
              </w:rPr>
              <w:t>0</w:t>
            </w:r>
          </w:p>
        </w:tc>
        <w:tc>
          <w:tcPr>
            <w:tcW w:w="555" w:type="pct"/>
            <w:tcBorders>
              <w:top w:val="single" w:color="auto" w:sz="4" w:space="0"/>
              <w:left w:val="single" w:color="auto" w:sz="4" w:space="0"/>
              <w:bottom w:val="single" w:color="auto" w:sz="12" w:space="0"/>
              <w:right w:val="single" w:color="auto" w:sz="4" w:space="0"/>
            </w:tcBorders>
            <w:tcMar>
              <w:left w:w="108" w:type="dxa"/>
              <w:right w:w="108" w:type="dxa"/>
            </w:tcMar>
            <w:vAlign w:val="center"/>
          </w:tcPr>
          <w:p>
            <w:pPr>
              <w:spacing w:line="240" w:lineRule="auto"/>
              <w:ind w:firstLine="0" w:firstLineChars="0"/>
              <w:jc w:val="center"/>
              <w:rPr>
                <w:rFonts w:hint="default" w:ascii="Times New Roman" w:hAnsi="Times New Roman" w:cs="Times New Roman"/>
                <w:color w:val="auto"/>
                <w:spacing w:val="-11"/>
                <w:sz w:val="21"/>
                <w:szCs w:val="21"/>
                <w:lang w:val="en-US" w:eastAsia="zh-CN" w:bidi="ar-SA"/>
              </w:rPr>
            </w:pPr>
            <w:r>
              <w:rPr>
                <w:rFonts w:hint="eastAsia" w:ascii="Times New Roman" w:hAnsi="Times New Roman" w:cs="Times New Roman"/>
                <w:color w:val="auto"/>
                <w:spacing w:val="-11"/>
                <w:sz w:val="21"/>
                <w:szCs w:val="21"/>
                <w:lang w:val="en-US" w:eastAsia="zh-CN" w:bidi="ar-SA"/>
              </w:rPr>
              <w:t>3</w:t>
            </w:r>
            <w:r>
              <w:rPr>
                <w:rFonts w:hint="eastAsia" w:ascii="Times New Roman" w:hAnsi="Times New Roman" w:cs="Times New Roman"/>
                <w:color w:val="auto"/>
                <w:spacing w:val="-11"/>
                <w:sz w:val="21"/>
                <w:szCs w:val="21"/>
                <w:lang w:val="en-US" w:eastAsia="zh-CN" w:bidi="ar-SA"/>
              </w:rPr>
              <w:t>万</w:t>
            </w:r>
            <w:r>
              <w:rPr>
                <w:rFonts w:hint="eastAsia" w:ascii="Times New Roman" w:hAnsi="Times New Roman" w:cs="Times New Roman"/>
                <w:color w:val="auto"/>
                <w:spacing w:val="-11"/>
                <w:sz w:val="21"/>
                <w:szCs w:val="21"/>
                <w:lang w:val="en-US" w:eastAsia="zh-CN" w:bidi="ar-SA"/>
              </w:rPr>
              <w:t>t</w:t>
            </w:r>
            <w:r>
              <w:rPr>
                <w:rFonts w:hint="eastAsia" w:ascii="Times New Roman" w:hAnsi="Times New Roman" w:cs="Times New Roman"/>
                <w:color w:val="auto"/>
                <w:spacing w:val="-11"/>
                <w:sz w:val="21"/>
                <w:szCs w:val="21"/>
                <w:lang w:val="en-US" w:eastAsia="zh-CN" w:bidi="ar-SA"/>
              </w:rPr>
              <w:t>/</w:t>
            </w:r>
            <w:r>
              <w:rPr>
                <w:rFonts w:hint="eastAsia" w:ascii="Times New Roman" w:hAnsi="Times New Roman" w:cs="Times New Roman"/>
                <w:color w:val="auto"/>
                <w:spacing w:val="-11"/>
                <w:sz w:val="21"/>
                <w:szCs w:val="21"/>
                <w:lang w:val="en-US" w:eastAsia="zh-CN" w:bidi="ar-SA"/>
              </w:rPr>
              <w:t>a</w:t>
            </w:r>
          </w:p>
        </w:tc>
        <w:tc>
          <w:tcPr>
            <w:tcW w:w="1956" w:type="pct"/>
            <w:tcBorders>
              <w:top w:val="single" w:color="auto" w:sz="4" w:space="0"/>
              <w:left w:val="single" w:color="auto" w:sz="4" w:space="0"/>
              <w:bottom w:val="single" w:color="auto" w:sz="12" w:space="0"/>
              <w:right w:val="single" w:color="auto" w:sz="12" w:space="0"/>
            </w:tcBorders>
            <w:tcMar>
              <w:left w:w="108" w:type="dxa"/>
              <w:right w:w="108" w:type="dxa"/>
            </w:tcMar>
            <w:vAlign w:val="center"/>
          </w:tcPr>
          <w:p>
            <w:pPr>
              <w:spacing w:line="240" w:lineRule="auto"/>
              <w:ind w:firstLine="0" w:firstLineChars="0"/>
              <w:jc w:val="center"/>
              <w:rPr>
                <w:rFonts w:hint="eastAsia"/>
                <w:color w:val="auto"/>
                <w:spacing w:val="-11"/>
                <w:sz w:val="21"/>
                <w:szCs w:val="21"/>
                <w:lang w:val="en-US" w:eastAsia="zh-CN"/>
              </w:rPr>
            </w:pPr>
            <w:r>
              <w:rPr>
                <w:rFonts w:hint="eastAsia"/>
                <w:color w:val="auto"/>
                <w:spacing w:val="-11"/>
                <w:sz w:val="21"/>
                <w:szCs w:val="21"/>
                <w:lang w:val="en-US" w:eastAsia="zh-CN"/>
              </w:rPr>
              <w:t>二期未建</w:t>
            </w:r>
          </w:p>
        </w:tc>
      </w:tr>
    </w:tbl>
    <w:p>
      <w:pPr>
        <w:autoSpaceDE w:val="0"/>
        <w:autoSpaceDN w:val="0"/>
        <w:adjustRightInd w:val="0"/>
        <w:ind w:left="0" w:leftChars="0" w:firstLine="0" w:firstLineChars="0"/>
        <w:jc w:val="center"/>
        <w:rPr>
          <w:rFonts w:hint="eastAsia"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cs="Times New Roman"/>
          <w:b/>
          <w:bCs/>
          <w:color w:val="auto"/>
          <w:sz w:val="21"/>
          <w:szCs w:val="21"/>
          <w:lang w:val="en-US" w:eastAsia="zh-CN"/>
        </w:rPr>
        <w:t>3</w:t>
      </w:r>
      <w:r>
        <w:rPr>
          <w:rFonts w:hint="eastAsia" w:ascii="Times New Roman" w:hAnsi="Times New Roman"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2</w:t>
      </w:r>
      <w:r>
        <w:rPr>
          <w:rFonts w:hint="eastAsia"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xml:space="preserve">  现有工程</w:t>
      </w:r>
      <w:r>
        <w:rPr>
          <w:rFonts w:hint="default" w:ascii="Times New Roman" w:hAnsi="Times New Roman" w:eastAsia="宋体" w:cs="Times New Roman"/>
          <w:b/>
          <w:bCs/>
          <w:color w:val="auto"/>
          <w:sz w:val="21"/>
          <w:szCs w:val="21"/>
        </w:rPr>
        <w:t>产品方案表</w:t>
      </w:r>
    </w:p>
    <w:tbl>
      <w:tblPr>
        <w:tblStyle w:val="8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288"/>
        <w:gridCol w:w="862"/>
        <w:gridCol w:w="1147"/>
        <w:gridCol w:w="1431"/>
        <w:gridCol w:w="1431"/>
        <w:gridCol w:w="11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eastAsia"/>
                <w:color w:val="auto"/>
                <w:sz w:val="21"/>
                <w:szCs w:val="21"/>
              </w:rPr>
            </w:pPr>
            <w:r>
              <w:rPr>
                <w:rFonts w:hint="eastAsia"/>
                <w:color w:val="auto"/>
                <w:sz w:val="21"/>
                <w:szCs w:val="21"/>
              </w:rPr>
              <w:t>序号</w:t>
            </w:r>
          </w:p>
        </w:tc>
        <w:tc>
          <w:tcPr>
            <w:tcW w:w="1247" w:type="pct"/>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项目</w:t>
            </w:r>
          </w:p>
        </w:tc>
        <w:tc>
          <w:tcPr>
            <w:tcW w:w="470" w:type="pct"/>
            <w:vAlign w:val="center"/>
          </w:tcPr>
          <w:p>
            <w:pPr>
              <w:spacing w:line="240" w:lineRule="auto"/>
              <w:ind w:firstLine="0"/>
              <w:jc w:val="center"/>
              <w:rPr>
                <w:rFonts w:hint="eastAsia"/>
                <w:color w:val="auto"/>
                <w:sz w:val="21"/>
                <w:szCs w:val="21"/>
              </w:rPr>
            </w:pPr>
            <w:r>
              <w:rPr>
                <w:rFonts w:hint="eastAsia"/>
                <w:color w:val="auto"/>
                <w:sz w:val="21"/>
                <w:szCs w:val="21"/>
              </w:rPr>
              <w:t>单位</w:t>
            </w:r>
          </w:p>
        </w:tc>
        <w:tc>
          <w:tcPr>
            <w:tcW w:w="625" w:type="pct"/>
            <w:vAlign w:val="center"/>
          </w:tcPr>
          <w:p>
            <w:pPr>
              <w:spacing w:line="240" w:lineRule="auto"/>
              <w:ind w:firstLine="0"/>
              <w:jc w:val="center"/>
              <w:rPr>
                <w:rFonts w:hint="eastAsia"/>
                <w:color w:val="auto"/>
                <w:sz w:val="21"/>
                <w:szCs w:val="21"/>
              </w:rPr>
            </w:pPr>
            <w:r>
              <w:rPr>
                <w:rFonts w:hint="eastAsia"/>
                <w:color w:val="auto"/>
                <w:sz w:val="21"/>
                <w:szCs w:val="21"/>
                <w:lang w:eastAsia="zh-CN"/>
              </w:rPr>
              <w:t>总</w:t>
            </w:r>
            <w:r>
              <w:rPr>
                <w:rFonts w:hint="eastAsia"/>
                <w:color w:val="auto"/>
                <w:sz w:val="21"/>
                <w:szCs w:val="21"/>
              </w:rPr>
              <w:t>数量</w:t>
            </w:r>
          </w:p>
        </w:tc>
        <w:tc>
          <w:tcPr>
            <w:tcW w:w="780" w:type="pct"/>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一期产量</w:t>
            </w:r>
          </w:p>
        </w:tc>
        <w:tc>
          <w:tcPr>
            <w:tcW w:w="780" w:type="pct"/>
            <w:vAlign w:val="center"/>
          </w:tcPr>
          <w:p>
            <w:pPr>
              <w:spacing w:line="240" w:lineRule="auto"/>
              <w:ind w:firstLine="0"/>
              <w:jc w:val="center"/>
              <w:rPr>
                <w:rFonts w:hint="eastAsia"/>
                <w:color w:val="auto"/>
                <w:sz w:val="21"/>
                <w:szCs w:val="21"/>
                <w:lang w:eastAsia="zh-CN"/>
              </w:rPr>
            </w:pPr>
            <w:r>
              <w:rPr>
                <w:rFonts w:hint="eastAsia"/>
                <w:color w:val="auto"/>
                <w:sz w:val="21"/>
                <w:szCs w:val="21"/>
                <w:lang w:eastAsia="zh-CN"/>
              </w:rPr>
              <w:t>二期产量</w:t>
            </w:r>
          </w:p>
        </w:tc>
        <w:tc>
          <w:tcPr>
            <w:tcW w:w="625" w:type="pct"/>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一</w:t>
            </w:r>
          </w:p>
        </w:tc>
        <w:tc>
          <w:tcPr>
            <w:tcW w:w="1247" w:type="pct"/>
            <w:vAlign w:val="center"/>
          </w:tcPr>
          <w:p>
            <w:pPr>
              <w:spacing w:line="240" w:lineRule="auto"/>
              <w:ind w:firstLine="0"/>
              <w:jc w:val="center"/>
              <w:rPr>
                <w:rFonts w:hint="eastAsia"/>
                <w:color w:val="auto"/>
                <w:sz w:val="21"/>
                <w:szCs w:val="21"/>
                <w:lang w:eastAsia="zh-CN"/>
              </w:rPr>
            </w:pPr>
            <w:r>
              <w:rPr>
                <w:rFonts w:hint="eastAsia"/>
                <w:color w:val="auto"/>
                <w:sz w:val="21"/>
                <w:szCs w:val="21"/>
                <w:lang w:eastAsia="zh-CN"/>
              </w:rPr>
              <w:t>产品</w:t>
            </w:r>
          </w:p>
        </w:tc>
        <w:tc>
          <w:tcPr>
            <w:tcW w:w="470" w:type="pct"/>
            <w:vAlign w:val="center"/>
          </w:tcPr>
          <w:p>
            <w:pPr>
              <w:spacing w:line="240" w:lineRule="auto"/>
              <w:ind w:firstLine="0"/>
              <w:jc w:val="center"/>
              <w:rPr>
                <w:rFonts w:hint="eastAsia"/>
                <w:color w:val="auto"/>
                <w:sz w:val="21"/>
                <w:szCs w:val="21"/>
              </w:rPr>
            </w:pPr>
          </w:p>
        </w:tc>
        <w:tc>
          <w:tcPr>
            <w:tcW w:w="625" w:type="pct"/>
            <w:vAlign w:val="center"/>
          </w:tcPr>
          <w:p>
            <w:pPr>
              <w:spacing w:line="240" w:lineRule="auto"/>
              <w:ind w:firstLine="0"/>
              <w:jc w:val="center"/>
              <w:rPr>
                <w:rFonts w:hint="eastAsia"/>
                <w:color w:val="auto"/>
                <w:sz w:val="21"/>
                <w:szCs w:val="21"/>
              </w:rPr>
            </w:pPr>
          </w:p>
        </w:tc>
        <w:tc>
          <w:tcPr>
            <w:tcW w:w="780" w:type="pct"/>
            <w:vAlign w:val="center"/>
          </w:tcPr>
          <w:p>
            <w:pPr>
              <w:spacing w:line="240" w:lineRule="auto"/>
              <w:ind w:firstLine="0"/>
              <w:jc w:val="center"/>
              <w:rPr>
                <w:rFonts w:hint="eastAsia"/>
                <w:color w:val="auto"/>
                <w:sz w:val="21"/>
                <w:szCs w:val="21"/>
              </w:rPr>
            </w:pPr>
          </w:p>
        </w:tc>
        <w:tc>
          <w:tcPr>
            <w:tcW w:w="780" w:type="pct"/>
            <w:vAlign w:val="center"/>
          </w:tcPr>
          <w:p>
            <w:pPr>
              <w:spacing w:line="240" w:lineRule="auto"/>
              <w:ind w:firstLine="0"/>
              <w:jc w:val="center"/>
              <w:rPr>
                <w:rFonts w:hint="eastAsia"/>
                <w:color w:val="auto"/>
                <w:sz w:val="21"/>
                <w:szCs w:val="21"/>
              </w:rPr>
            </w:pPr>
          </w:p>
        </w:tc>
        <w:tc>
          <w:tcPr>
            <w:tcW w:w="625" w:type="pct"/>
            <w:vAlign w:val="center"/>
          </w:tcPr>
          <w:p>
            <w:pPr>
              <w:spacing w:line="240" w:lineRule="auto"/>
              <w:ind w:firstLine="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eastAsia"/>
                <w:color w:val="auto"/>
                <w:sz w:val="21"/>
                <w:szCs w:val="21"/>
              </w:rPr>
            </w:pPr>
            <w:r>
              <w:rPr>
                <w:rFonts w:hint="eastAsia" w:ascii="Times New Roman" w:hAnsi="Times New Roman" w:cs="Times New Roman"/>
                <w:color w:val="auto"/>
                <w:sz w:val="21"/>
                <w:szCs w:val="21"/>
              </w:rPr>
              <w:t>1</w:t>
            </w:r>
          </w:p>
        </w:tc>
        <w:tc>
          <w:tcPr>
            <w:tcW w:w="1247" w:type="pct"/>
            <w:vAlign w:val="center"/>
          </w:tcPr>
          <w:p>
            <w:pPr>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生物基聚酰胺</w:t>
            </w:r>
          </w:p>
        </w:tc>
        <w:tc>
          <w:tcPr>
            <w:tcW w:w="470" w:type="pct"/>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625" w:type="pct"/>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100000</w:t>
            </w:r>
          </w:p>
        </w:tc>
        <w:tc>
          <w:tcPr>
            <w:tcW w:w="780" w:type="pct"/>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70000</w:t>
            </w:r>
          </w:p>
        </w:tc>
        <w:tc>
          <w:tcPr>
            <w:tcW w:w="780" w:type="pct"/>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0</w:t>
            </w:r>
          </w:p>
        </w:tc>
        <w:tc>
          <w:tcPr>
            <w:tcW w:w="625" w:type="pct"/>
            <w:vAlign w:val="center"/>
          </w:tcPr>
          <w:p>
            <w:pPr>
              <w:spacing w:line="240" w:lineRule="auto"/>
              <w:ind w:firstLine="0"/>
              <w:jc w:val="center"/>
              <w:rPr>
                <w:rFonts w:hint="eastAsia" w:eastAsia="宋体"/>
                <w:color w:val="auto"/>
                <w:sz w:val="21"/>
                <w:szCs w:val="21"/>
                <w:lang w:val="en-US" w:eastAsia="zh-CN"/>
              </w:rPr>
            </w:pPr>
            <w:r>
              <w:rPr>
                <w:rFonts w:hint="eastAsia"/>
                <w:color w:val="auto"/>
                <w:sz w:val="21"/>
                <w:szCs w:val="21"/>
                <w:lang w:val="en-US" w:eastAsia="zh-C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247" w:type="pct"/>
            <w:vAlign w:val="center"/>
          </w:tcPr>
          <w:p>
            <w:pPr>
              <w:spacing w:line="240" w:lineRule="auto"/>
              <w:ind w:firstLine="0"/>
              <w:jc w:val="center"/>
              <w:rPr>
                <w:rFonts w:hint="eastAsia"/>
                <w:color w:val="auto"/>
                <w:sz w:val="21"/>
                <w:szCs w:val="21"/>
                <w:lang w:val="en-US" w:eastAsia="zh-CN"/>
              </w:rPr>
            </w:pPr>
            <w:r>
              <w:rPr>
                <w:rFonts w:hint="eastAsia"/>
                <w:color w:val="auto"/>
                <w:sz w:val="21"/>
                <w:szCs w:val="21"/>
                <w:lang w:val="en-US" w:eastAsia="zh-CN"/>
              </w:rPr>
              <w:t>短纤产品</w:t>
            </w:r>
          </w:p>
        </w:tc>
        <w:tc>
          <w:tcPr>
            <w:tcW w:w="470" w:type="pct"/>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625" w:type="pct"/>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30000</w:t>
            </w:r>
          </w:p>
        </w:tc>
        <w:tc>
          <w:tcPr>
            <w:tcW w:w="780" w:type="pct"/>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0</w:t>
            </w:r>
          </w:p>
        </w:tc>
        <w:tc>
          <w:tcPr>
            <w:tcW w:w="780" w:type="pct"/>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30000</w:t>
            </w:r>
          </w:p>
        </w:tc>
        <w:tc>
          <w:tcPr>
            <w:tcW w:w="625" w:type="pct"/>
            <w:vAlign w:val="center"/>
          </w:tcPr>
          <w:p>
            <w:pPr>
              <w:spacing w:line="240" w:lineRule="auto"/>
              <w:ind w:firstLine="0"/>
              <w:jc w:val="center"/>
              <w:rPr>
                <w:rFonts w:hint="eastAsia"/>
                <w:color w:val="auto"/>
                <w:sz w:val="21"/>
                <w:szCs w:val="21"/>
                <w:lang w:val="en-US" w:eastAsia="zh-CN"/>
              </w:rPr>
            </w:pPr>
            <w:r>
              <w:rPr>
                <w:rFonts w:hint="eastAsia"/>
                <w:color w:val="auto"/>
                <w:sz w:val="21"/>
                <w:szCs w:val="21"/>
                <w:lang w:val="en-US" w:eastAsia="zh-CN"/>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二</w:t>
            </w:r>
          </w:p>
        </w:tc>
        <w:tc>
          <w:tcPr>
            <w:tcW w:w="1247" w:type="pct"/>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副产品</w:t>
            </w:r>
          </w:p>
        </w:tc>
        <w:tc>
          <w:tcPr>
            <w:tcW w:w="470" w:type="pct"/>
            <w:vAlign w:val="center"/>
          </w:tcPr>
          <w:p>
            <w:pPr>
              <w:spacing w:line="240" w:lineRule="auto"/>
              <w:ind w:firstLine="0"/>
              <w:jc w:val="center"/>
              <w:rPr>
                <w:rFonts w:hint="eastAsia"/>
                <w:color w:val="auto"/>
                <w:sz w:val="21"/>
                <w:szCs w:val="21"/>
              </w:rPr>
            </w:pPr>
          </w:p>
        </w:tc>
        <w:tc>
          <w:tcPr>
            <w:tcW w:w="625" w:type="pct"/>
            <w:vAlign w:val="center"/>
          </w:tcPr>
          <w:p>
            <w:pPr>
              <w:spacing w:line="240" w:lineRule="auto"/>
              <w:ind w:firstLine="0"/>
              <w:jc w:val="center"/>
              <w:rPr>
                <w:rFonts w:hint="eastAsia" w:ascii="Times New Roman" w:hAnsi="Times New Roman" w:cs="Times New Roman"/>
                <w:color w:val="auto"/>
                <w:sz w:val="21"/>
                <w:szCs w:val="21"/>
                <w:lang w:val="en-US" w:eastAsia="zh-CN"/>
              </w:rPr>
            </w:pPr>
          </w:p>
        </w:tc>
        <w:tc>
          <w:tcPr>
            <w:tcW w:w="780" w:type="pct"/>
            <w:vAlign w:val="center"/>
          </w:tcPr>
          <w:p>
            <w:pPr>
              <w:spacing w:line="240" w:lineRule="auto"/>
              <w:ind w:firstLine="0"/>
              <w:jc w:val="center"/>
              <w:rPr>
                <w:rFonts w:hint="eastAsia" w:ascii="Times New Roman" w:hAnsi="Times New Roman" w:cs="Times New Roman"/>
                <w:color w:val="auto"/>
                <w:sz w:val="21"/>
                <w:szCs w:val="21"/>
              </w:rPr>
            </w:pPr>
          </w:p>
        </w:tc>
        <w:tc>
          <w:tcPr>
            <w:tcW w:w="780" w:type="pct"/>
            <w:vAlign w:val="center"/>
          </w:tcPr>
          <w:p>
            <w:pPr>
              <w:spacing w:line="240" w:lineRule="auto"/>
              <w:ind w:firstLine="0"/>
              <w:jc w:val="center"/>
              <w:rPr>
                <w:rFonts w:hint="eastAsia" w:ascii="Times New Roman" w:hAnsi="Times New Roman" w:cs="Times New Roman"/>
                <w:color w:val="auto"/>
                <w:sz w:val="21"/>
                <w:szCs w:val="21"/>
              </w:rPr>
            </w:pPr>
          </w:p>
        </w:tc>
        <w:tc>
          <w:tcPr>
            <w:tcW w:w="625" w:type="pct"/>
            <w:vAlign w:val="center"/>
          </w:tcPr>
          <w:p>
            <w:pPr>
              <w:spacing w:line="240" w:lineRule="auto"/>
              <w:ind w:firstLine="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47" w:type="pct"/>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喷浆玉米纤维</w:t>
            </w:r>
          </w:p>
        </w:tc>
        <w:tc>
          <w:tcPr>
            <w:tcW w:w="470" w:type="pct"/>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625"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86190</w:t>
            </w:r>
          </w:p>
        </w:tc>
        <w:tc>
          <w:tcPr>
            <w:tcW w:w="780" w:type="pct"/>
            <w:vAlign w:val="center"/>
          </w:tcPr>
          <w:p>
            <w:pPr>
              <w:spacing w:line="24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86190</w:t>
            </w:r>
          </w:p>
        </w:tc>
        <w:tc>
          <w:tcPr>
            <w:tcW w:w="780"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625" w:type="pct"/>
            <w:vAlign w:val="center"/>
          </w:tcPr>
          <w:p>
            <w:pPr>
              <w:spacing w:line="240" w:lineRule="auto"/>
              <w:ind w:firstLine="0"/>
              <w:jc w:val="center"/>
              <w:rPr>
                <w:rFonts w:hint="eastAsia" w:eastAsia="宋体"/>
                <w:color w:val="auto"/>
                <w:sz w:val="21"/>
                <w:szCs w:val="21"/>
                <w:lang w:eastAsia="zh-CN"/>
              </w:rPr>
            </w:pPr>
            <w:r>
              <w:rPr>
                <w:rFonts w:hint="eastAsia" w:eastAsia="宋体"/>
                <w:color w:val="auto"/>
                <w:sz w:val="21"/>
                <w:szCs w:val="21"/>
                <w:lang w:eastAsia="zh-C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247" w:type="pct"/>
            <w:vAlign w:val="center"/>
          </w:tcPr>
          <w:p>
            <w:pPr>
              <w:spacing w:line="240" w:lineRule="auto"/>
              <w:ind w:firstLine="0"/>
              <w:jc w:val="center"/>
              <w:rPr>
                <w:rFonts w:hint="eastAsia"/>
                <w:color w:val="auto"/>
                <w:sz w:val="21"/>
                <w:szCs w:val="21"/>
                <w:lang w:eastAsia="zh-CN"/>
              </w:rPr>
            </w:pPr>
            <w:r>
              <w:rPr>
                <w:rFonts w:hint="eastAsia"/>
                <w:color w:val="auto"/>
                <w:sz w:val="21"/>
                <w:szCs w:val="21"/>
                <w:lang w:eastAsia="zh-CN"/>
              </w:rPr>
              <w:t>玉米高蛋白饲料</w:t>
            </w:r>
          </w:p>
        </w:tc>
        <w:tc>
          <w:tcPr>
            <w:tcW w:w="470" w:type="pct"/>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625"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16300</w:t>
            </w:r>
          </w:p>
        </w:tc>
        <w:tc>
          <w:tcPr>
            <w:tcW w:w="780"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16300</w:t>
            </w:r>
          </w:p>
        </w:tc>
        <w:tc>
          <w:tcPr>
            <w:tcW w:w="780"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625" w:type="pct"/>
            <w:vAlign w:val="center"/>
          </w:tcPr>
          <w:p>
            <w:pPr>
              <w:spacing w:line="240" w:lineRule="auto"/>
              <w:ind w:firstLine="0"/>
              <w:jc w:val="center"/>
              <w:rPr>
                <w:rFonts w:hint="eastAsia" w:eastAsia="宋体"/>
                <w:color w:val="auto"/>
                <w:sz w:val="21"/>
                <w:szCs w:val="21"/>
                <w:lang w:eastAsia="zh-CN"/>
              </w:rPr>
            </w:pPr>
            <w:r>
              <w:rPr>
                <w:rFonts w:hint="eastAsia" w:eastAsia="宋体"/>
                <w:color w:val="auto"/>
                <w:sz w:val="21"/>
                <w:szCs w:val="21"/>
                <w:lang w:eastAsia="zh-C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247" w:type="pct"/>
            <w:vAlign w:val="center"/>
          </w:tcPr>
          <w:p>
            <w:pPr>
              <w:spacing w:line="240" w:lineRule="auto"/>
              <w:ind w:firstLine="0"/>
              <w:jc w:val="center"/>
              <w:rPr>
                <w:rFonts w:hint="eastAsia"/>
                <w:color w:val="auto"/>
                <w:sz w:val="21"/>
                <w:szCs w:val="21"/>
                <w:lang w:eastAsia="zh-CN"/>
              </w:rPr>
            </w:pPr>
            <w:r>
              <w:rPr>
                <w:rFonts w:hint="eastAsia"/>
                <w:color w:val="auto"/>
                <w:sz w:val="21"/>
                <w:szCs w:val="21"/>
                <w:lang w:eastAsia="zh-CN"/>
              </w:rPr>
              <w:t>干胚芽</w:t>
            </w:r>
          </w:p>
        </w:tc>
        <w:tc>
          <w:tcPr>
            <w:tcW w:w="470" w:type="pct"/>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t</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625"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19000</w:t>
            </w:r>
          </w:p>
        </w:tc>
        <w:tc>
          <w:tcPr>
            <w:tcW w:w="780"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19000</w:t>
            </w:r>
          </w:p>
        </w:tc>
        <w:tc>
          <w:tcPr>
            <w:tcW w:w="780" w:type="pct"/>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625" w:type="pct"/>
            <w:vAlign w:val="center"/>
          </w:tcPr>
          <w:p>
            <w:pPr>
              <w:spacing w:line="240" w:lineRule="auto"/>
              <w:ind w:firstLine="0"/>
              <w:jc w:val="center"/>
              <w:rPr>
                <w:rFonts w:hint="eastAsia" w:eastAsia="宋体"/>
                <w:color w:val="auto"/>
                <w:sz w:val="21"/>
                <w:szCs w:val="21"/>
                <w:lang w:eastAsia="zh-CN"/>
              </w:rPr>
            </w:pPr>
            <w:r>
              <w:rPr>
                <w:rFonts w:hint="eastAsia" w:eastAsia="宋体"/>
                <w:color w:val="auto"/>
                <w:sz w:val="21"/>
                <w:szCs w:val="21"/>
                <w:lang w:eastAsia="zh-CN"/>
              </w:rPr>
              <w:t>外售</w:t>
            </w:r>
          </w:p>
        </w:tc>
      </w:tr>
    </w:tbl>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原辅材料消耗</w:t>
      </w:r>
    </w:p>
    <w:p>
      <w:pPr>
        <w:bidi w:val="0"/>
        <w:rPr>
          <w:rFonts w:hint="default"/>
          <w:lang w:val="en-US" w:eastAsia="zh-CN"/>
        </w:rPr>
      </w:pPr>
      <w:r>
        <w:rPr>
          <w:rFonts w:hint="eastAsia"/>
          <w:lang w:val="en-US" w:eastAsia="zh-CN"/>
        </w:rPr>
        <w:t>现有工程原辅材料消耗见表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 xml:space="preserve">  现有工程原辅材料消耗情况一览表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054"/>
        <w:gridCol w:w="1138"/>
        <w:gridCol w:w="2679"/>
        <w:gridCol w:w="900"/>
        <w:gridCol w:w="2047"/>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序号</w:t>
            </w:r>
          </w:p>
        </w:tc>
        <w:tc>
          <w:tcPr>
            <w:tcW w:w="1054"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名称</w:t>
            </w:r>
          </w:p>
        </w:tc>
        <w:tc>
          <w:tcPr>
            <w:tcW w:w="1138"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年消耗量</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w:t>
            </w:r>
          </w:p>
        </w:tc>
        <w:tc>
          <w:tcPr>
            <w:tcW w:w="2679"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储存位置及方式</w:t>
            </w:r>
          </w:p>
        </w:tc>
        <w:tc>
          <w:tcPr>
            <w:tcW w:w="900"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厂区最大储存量</w:t>
            </w:r>
          </w:p>
        </w:tc>
        <w:tc>
          <w:tcPr>
            <w:tcW w:w="204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用途</w:t>
            </w:r>
          </w:p>
        </w:tc>
        <w:tc>
          <w:tcPr>
            <w:tcW w:w="0" w:type="auto"/>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来源及入厂方式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商品玉米</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30</w:t>
            </w:r>
            <w:r>
              <w:rPr>
                <w:rFonts w:hint="eastAsia"/>
                <w:spacing w:val="-11"/>
                <w:sz w:val="20"/>
                <w:szCs w:val="15"/>
                <w:vertAlign w:val="baseline"/>
                <w:lang w:val="en-US" w:eastAsia="zh-CN"/>
              </w:rPr>
              <w:t>万</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玉米加工单元（玉米筒仓）</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20</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淀粉乳加工原料</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2</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硫磺</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708</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淀粉乳化单元（化学品库）</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30t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制取浸泡亚硫酸溶液</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3</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液氨</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12958</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950</w:t>
            </w:r>
            <w:r>
              <w:rPr>
                <w:rFonts w:hint="eastAsia"/>
                <w:spacing w:val="-11"/>
                <w:sz w:val="20"/>
                <w:szCs w:val="15"/>
                <w:vertAlign w:val="baseline"/>
                <w:lang w:val="en-US" w:eastAsia="zh-CN"/>
              </w:rPr>
              <w:t>罐区储罐</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550m</w:t>
            </w:r>
            <w:r>
              <w:rPr>
                <w:rFonts w:hint="eastAsia"/>
                <w:spacing w:val="-11"/>
                <w:sz w:val="20"/>
                <w:szCs w:val="15"/>
                <w:vertAlign w:val="baseline"/>
                <w:lang w:val="en-US" w:eastAsia="zh-CN"/>
              </w:rPr>
              <w:t>³</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溶液发酵剂硫酸铵反应工艺添加</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4</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氨水</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8104</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锅炉区专用储罐</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250t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锅炉烟气脱硝</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5</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碳酸氢铵</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5"/>
                <w:vertAlign w:val="baseline"/>
                <w:lang w:val="en-US" w:eastAsia="zh-CN" w:bidi="ar-SA"/>
              </w:rPr>
            </w:pPr>
            <w:r>
              <w:rPr>
                <w:rFonts w:hint="eastAsia" w:ascii="Times New Roman" w:hAnsi="Times New Roman"/>
                <w:spacing w:val="-11"/>
                <w:sz w:val="20"/>
                <w:szCs w:val="15"/>
                <w:vertAlign w:val="baseline"/>
                <w:lang w:val="en-US" w:eastAsia="zh-CN"/>
              </w:rPr>
              <w:t>41806</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cs="Times New Roman"/>
                <w:spacing w:val="-11"/>
                <w:sz w:val="20"/>
                <w:szCs w:val="15"/>
                <w:vertAlign w:val="baseline"/>
                <w:lang w:val="en-US" w:eastAsia="zh-CN" w:bidi="ar-SA"/>
              </w:rPr>
              <w:t>危险化学品库</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5"/>
                <w:vertAlign w:val="baseline"/>
                <w:lang w:val="en-US" w:eastAsia="zh-CN" w:bidi="ar-SA"/>
              </w:rPr>
            </w:pPr>
            <w:r>
              <w:rPr>
                <w:rFonts w:hint="eastAsia" w:ascii="Times New Roman" w:hAnsi="Times New Roman" w:cs="Times New Roman"/>
                <w:spacing w:val="-11"/>
                <w:sz w:val="20"/>
                <w:szCs w:val="15"/>
                <w:vertAlign w:val="baseline"/>
                <w:lang w:val="en-US" w:eastAsia="zh-CN" w:bidi="ar-SA"/>
              </w:rPr>
              <w:t>400t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硫酸铵反应工艺添加</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6</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硫酸</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41806</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940</w:t>
            </w:r>
            <w:r>
              <w:rPr>
                <w:rFonts w:hint="eastAsia"/>
                <w:spacing w:val="-11"/>
                <w:sz w:val="20"/>
                <w:szCs w:val="15"/>
                <w:vertAlign w:val="baseline"/>
                <w:lang w:val="en-US" w:eastAsia="zh-CN"/>
              </w:rPr>
              <w:t>罐区，</w:t>
            </w:r>
            <w:r>
              <w:rPr>
                <w:rFonts w:hint="eastAsia" w:ascii="Times New Roman" w:hAnsi="Times New Roman"/>
                <w:spacing w:val="-11"/>
                <w:sz w:val="20"/>
                <w:szCs w:val="15"/>
                <w:vertAlign w:val="baseline"/>
                <w:lang w:val="en-US" w:eastAsia="zh-CN"/>
              </w:rPr>
              <w:t>1</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300m</w:t>
            </w:r>
            <w:r>
              <w:rPr>
                <w:rFonts w:hint="eastAsia"/>
                <w:spacing w:val="-11"/>
                <w:sz w:val="20"/>
                <w:szCs w:val="15"/>
                <w:vertAlign w:val="baseline"/>
                <w:lang w:val="en-US" w:eastAsia="zh-CN"/>
              </w:rPr>
              <w:t>³储罐</w:t>
            </w:r>
            <w:r>
              <w:rPr>
                <w:rFonts w:hint="eastAsia" w:cs="Times New Roman"/>
                <w:spacing w:val="-11"/>
                <w:sz w:val="20"/>
                <w:szCs w:val="15"/>
                <w:vertAlign w:val="baseline"/>
                <w:lang w:val="en-US" w:eastAsia="zh-CN" w:bidi="ar-SA"/>
              </w:rPr>
              <w:t>（依托凯赛（乌苏）生物技术有限公司）</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250m</w:t>
            </w:r>
            <w:r>
              <w:rPr>
                <w:rFonts w:hint="eastAsia"/>
                <w:spacing w:val="-11"/>
                <w:sz w:val="20"/>
                <w:szCs w:val="15"/>
                <w:vertAlign w:val="baseline"/>
                <w:lang w:val="en-US" w:eastAsia="zh-CN"/>
              </w:rPr>
              <w:t>³</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制备硫酸铵和工艺尾气处理</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7</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硫酸铵</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72730</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3636</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（开工加入量/补充量）</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危险化学品库</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3000t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发酵工艺使用</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8</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己二酸</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ascii="Times New Roman" w:hAnsi="Times New Roman"/>
                <w:spacing w:val="-11"/>
                <w:sz w:val="20"/>
                <w:szCs w:val="15"/>
                <w:vertAlign w:val="baseline"/>
                <w:lang w:val="en-US" w:eastAsia="zh-CN"/>
              </w:rPr>
              <w:t>69515</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危险化学品库</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600t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聚合工艺原料</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9</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硝酸</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7</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62</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940</w:t>
            </w:r>
            <w:r>
              <w:rPr>
                <w:rFonts w:hint="eastAsia"/>
                <w:spacing w:val="-11"/>
                <w:sz w:val="20"/>
                <w:szCs w:val="15"/>
                <w:vertAlign w:val="baseline"/>
                <w:lang w:val="en-US" w:eastAsia="zh-CN"/>
              </w:rPr>
              <w:t>罐区储罐</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45m</w:t>
            </w:r>
            <w:r>
              <w:rPr>
                <w:rFonts w:hint="eastAsia"/>
                <w:spacing w:val="-11"/>
                <w:sz w:val="20"/>
                <w:szCs w:val="15"/>
                <w:vertAlign w:val="baseline"/>
                <w:lang w:val="en-US" w:eastAsia="zh-CN"/>
              </w:rPr>
              <w:t>³</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管道冲洗使用</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10</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培养基</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418386</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发酵工艺</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溶液发酵液添加，主要为营养液</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11</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催化剂</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6</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发酵工艺</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催化</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12</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树脂</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ascii="Times New Roman" w:hAnsi="Times New Roman"/>
                <w:spacing w:val="-11"/>
                <w:sz w:val="20"/>
                <w:szCs w:val="15"/>
                <w:vertAlign w:val="baseline"/>
                <w:lang w:val="en-US" w:eastAsia="zh-CN"/>
              </w:rPr>
              <w:t>29</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5"/>
                <w:vertAlign w:val="baseline"/>
                <w:lang w:val="en-US" w:eastAsia="zh-CN" w:bidi="ar-SA"/>
              </w:rPr>
            </w:pPr>
            <w:r>
              <w:rPr>
                <w:rFonts w:hint="eastAsia" w:ascii="Times New Roman" w:hAnsi="Times New Roman" w:cs="Times New Roman"/>
                <w:spacing w:val="-11"/>
                <w:sz w:val="20"/>
                <w:szCs w:val="15"/>
                <w:vertAlign w:val="baseline"/>
                <w:lang w:val="en-US" w:eastAsia="zh-CN" w:bidi="ar-SA"/>
              </w:rPr>
              <w:t>DN</w:t>
            </w:r>
            <w:r>
              <w:rPr>
                <w:rFonts w:hint="eastAsia" w:cs="Times New Roman"/>
                <w:spacing w:val="-11"/>
                <w:sz w:val="20"/>
                <w:szCs w:val="15"/>
                <w:vertAlign w:val="baseline"/>
                <w:lang w:val="en-US" w:eastAsia="zh-CN" w:bidi="ar-SA"/>
              </w:rPr>
              <w:t>提取工艺</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5"/>
                <w:vertAlign w:val="baseline"/>
                <w:lang w:val="en-US" w:eastAsia="zh-CN" w:bidi="ar-SA"/>
              </w:rPr>
            </w:pPr>
            <w:r>
              <w:rPr>
                <w:rFonts w:hint="eastAsia" w:cs="Times New Roman"/>
                <w:spacing w:val="-11"/>
                <w:sz w:val="20"/>
                <w:szCs w:val="15"/>
                <w:vertAlign w:val="baseline"/>
                <w:lang w:val="en-US" w:eastAsia="zh-CN" w:bidi="ar-SA"/>
              </w:rPr>
              <w: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溶液回收使用</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13</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树脂</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ascii="Times New Roman" w:hAnsi="Times New Roman"/>
                <w:spacing w:val="-11"/>
                <w:sz w:val="20"/>
                <w:szCs w:val="15"/>
                <w:vertAlign w:val="baseline"/>
                <w:lang w:val="en-US" w:eastAsia="zh-CN"/>
              </w:rPr>
              <w:t>11</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cs="Times New Roman"/>
                <w:spacing w:val="-11"/>
                <w:sz w:val="20"/>
                <w:szCs w:val="15"/>
                <w:vertAlign w:val="baseline"/>
                <w:lang w:val="en-US" w:eastAsia="zh-CN" w:bidi="ar-SA"/>
              </w:rPr>
              <w:t>除盐水站</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5"/>
                <w:vertAlign w:val="baseline"/>
                <w:lang w:val="en-US" w:eastAsia="zh-CN" w:bidi="ar-SA"/>
              </w:rPr>
            </w:pPr>
            <w:r>
              <w:rPr>
                <w:rFonts w:hint="eastAsia" w:cs="Times New Roman"/>
                <w:spacing w:val="-11"/>
                <w:sz w:val="20"/>
                <w:szCs w:val="15"/>
                <w:vertAlign w:val="baseline"/>
                <w:lang w:val="en-US" w:eastAsia="zh-CN" w:bidi="ar-SA"/>
              </w:rPr>
              <w: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除盐水站使用</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14</w:t>
            </w:r>
          </w:p>
        </w:tc>
        <w:tc>
          <w:tcPr>
            <w:tcW w:w="10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树脂</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5"/>
                <w:vertAlign w:val="baseline"/>
                <w:lang w:val="en-US" w:eastAsia="zh-CN" w:bidi="ar-SA"/>
              </w:rPr>
            </w:pPr>
            <w:r>
              <w:rPr>
                <w:rFonts w:hint="eastAsia" w:ascii="Times New Roman" w:hAnsi="Times New Roman"/>
                <w:spacing w:val="-11"/>
                <w:sz w:val="20"/>
                <w:szCs w:val="15"/>
                <w:vertAlign w:val="baseline"/>
                <w:lang w:val="en-US" w:eastAsia="zh-CN"/>
              </w:rPr>
              <w:t>67</w:t>
            </w:r>
          </w:p>
        </w:tc>
        <w:tc>
          <w:tcPr>
            <w:tcW w:w="2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cs="Times New Roman"/>
                <w:spacing w:val="-11"/>
                <w:sz w:val="20"/>
                <w:szCs w:val="15"/>
                <w:vertAlign w:val="baseline"/>
                <w:lang w:val="en-US" w:eastAsia="zh-CN" w:bidi="ar-SA"/>
              </w:rPr>
              <w:t>污水站</w:t>
            </w:r>
          </w:p>
        </w:tc>
        <w:tc>
          <w:tcPr>
            <w:tcW w:w="90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5"/>
                <w:vertAlign w:val="baseline"/>
                <w:lang w:val="en-US" w:eastAsia="zh-CN" w:bidi="ar-SA"/>
              </w:rPr>
            </w:pPr>
            <w:r>
              <w:rPr>
                <w:rFonts w:hint="eastAsia" w:cs="Times New Roman"/>
                <w:spacing w:val="-11"/>
                <w:sz w:val="20"/>
                <w:szCs w:val="15"/>
                <w:vertAlign w:val="baseline"/>
                <w:lang w:val="en-US" w:eastAsia="zh-CN" w:bidi="ar-SA"/>
              </w:rPr>
              <w:t>/</w:t>
            </w:r>
          </w:p>
        </w:tc>
        <w:tc>
          <w:tcPr>
            <w:tcW w:w="204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污水处理使用</w:t>
            </w:r>
          </w:p>
        </w:tc>
        <w:tc>
          <w:tcPr>
            <w:tcW w:w="0" w:type="auto"/>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5"/>
                <w:vertAlign w:val="baseline"/>
                <w:lang w:val="en-US" w:eastAsia="zh-CN" w:bidi="ar-SA"/>
              </w:rPr>
            </w:pPr>
            <w:r>
              <w:rPr>
                <w:rFonts w:hint="eastAsia"/>
                <w:spacing w:val="-11"/>
                <w:sz w:val="20"/>
                <w:szCs w:val="15"/>
                <w:vertAlign w:val="baseline"/>
                <w:lang w:val="en-US" w:eastAsia="zh-CN"/>
              </w:rPr>
              <w:t>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spacing w:val="-11"/>
                <w:sz w:val="20"/>
                <w:szCs w:val="15"/>
                <w:vertAlign w:val="baseline"/>
                <w:lang w:val="en-US" w:eastAsia="zh-CN"/>
              </w:rPr>
            </w:pPr>
            <w:r>
              <w:rPr>
                <w:rFonts w:hint="eastAsia" w:ascii="Times New Roman" w:hAnsi="Times New Roman"/>
                <w:spacing w:val="-11"/>
                <w:sz w:val="20"/>
                <w:szCs w:val="15"/>
                <w:vertAlign w:val="baseline"/>
                <w:lang w:val="en-US" w:eastAsia="zh-CN"/>
              </w:rPr>
              <w:t>15</w:t>
            </w:r>
          </w:p>
        </w:tc>
        <w:tc>
          <w:tcPr>
            <w:tcW w:w="1054"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液碱</w:t>
            </w:r>
          </w:p>
        </w:tc>
        <w:tc>
          <w:tcPr>
            <w:tcW w:w="1138"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pacing w:val="-11"/>
                <w:sz w:val="20"/>
                <w:szCs w:val="15"/>
                <w:vertAlign w:val="baseline"/>
                <w:lang w:val="en-US" w:eastAsia="zh-CN"/>
              </w:rPr>
            </w:pPr>
            <w:r>
              <w:rPr>
                <w:rFonts w:hint="eastAsia" w:ascii="Times New Roman" w:hAnsi="Times New Roman"/>
                <w:spacing w:val="-11"/>
                <w:sz w:val="20"/>
                <w:szCs w:val="15"/>
                <w:vertAlign w:val="baseline"/>
                <w:lang w:val="en-US" w:eastAsia="zh-CN"/>
              </w:rPr>
              <w:t>1630</w:t>
            </w:r>
          </w:p>
        </w:tc>
        <w:tc>
          <w:tcPr>
            <w:tcW w:w="2679"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1"/>
                <w:sz w:val="20"/>
                <w:szCs w:val="15"/>
                <w:vertAlign w:val="baseline"/>
                <w:lang w:val="en-US" w:eastAsia="zh-CN" w:bidi="ar-SA"/>
              </w:rPr>
            </w:pPr>
            <w:r>
              <w:rPr>
                <w:rFonts w:hint="eastAsia" w:ascii="Times New Roman" w:hAnsi="Times New Roman" w:cs="Times New Roman"/>
                <w:spacing w:val="-11"/>
                <w:sz w:val="20"/>
                <w:szCs w:val="15"/>
                <w:vertAlign w:val="baseline"/>
                <w:lang w:val="en-US" w:eastAsia="zh-CN" w:bidi="ar-SA"/>
              </w:rPr>
              <w:t>1</w:t>
            </w:r>
            <w:r>
              <w:rPr>
                <w:rFonts w:hint="eastAsia" w:cs="Times New Roman"/>
                <w:spacing w:val="-11"/>
                <w:sz w:val="20"/>
                <w:szCs w:val="15"/>
                <w:vertAlign w:val="baseline"/>
                <w:lang w:val="en-US" w:eastAsia="zh-CN" w:bidi="ar-SA"/>
              </w:rPr>
              <w:t>×</w:t>
            </w:r>
            <w:r>
              <w:rPr>
                <w:rFonts w:hint="eastAsia" w:ascii="Times New Roman" w:hAnsi="Times New Roman" w:cs="Times New Roman"/>
                <w:spacing w:val="-11"/>
                <w:sz w:val="20"/>
                <w:szCs w:val="15"/>
                <w:vertAlign w:val="baseline"/>
                <w:lang w:val="en-US" w:eastAsia="zh-CN" w:bidi="ar-SA"/>
              </w:rPr>
              <w:t>300m</w:t>
            </w:r>
            <w:r>
              <w:rPr>
                <w:rFonts w:hint="eastAsia" w:cs="Times New Roman"/>
                <w:spacing w:val="-11"/>
                <w:sz w:val="20"/>
                <w:szCs w:val="15"/>
                <w:vertAlign w:val="baseline"/>
                <w:lang w:val="en-US" w:eastAsia="zh-CN" w:bidi="ar-SA"/>
              </w:rPr>
              <w:t>³储罐（依托凯赛（乌苏）生物技术有限公司）</w:t>
            </w:r>
          </w:p>
        </w:tc>
        <w:tc>
          <w:tcPr>
            <w:tcW w:w="90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1"/>
                <w:sz w:val="20"/>
                <w:szCs w:val="15"/>
                <w:vertAlign w:val="baseline"/>
                <w:lang w:val="en-US" w:eastAsia="zh-CN" w:bidi="ar-SA"/>
              </w:rPr>
            </w:pPr>
            <w:r>
              <w:rPr>
                <w:rFonts w:hint="eastAsia" w:ascii="Times New Roman" w:hAnsi="Times New Roman" w:cs="Times New Roman"/>
                <w:spacing w:val="-11"/>
                <w:sz w:val="20"/>
                <w:szCs w:val="15"/>
                <w:vertAlign w:val="baseline"/>
                <w:lang w:val="en-US" w:eastAsia="zh-CN" w:bidi="ar-SA"/>
              </w:rPr>
              <w:t>250m</w:t>
            </w:r>
            <w:r>
              <w:rPr>
                <w:rFonts w:hint="eastAsia" w:cs="Times New Roman"/>
                <w:spacing w:val="-11"/>
                <w:sz w:val="20"/>
                <w:szCs w:val="15"/>
                <w:vertAlign w:val="baseline"/>
                <w:lang w:val="en-US" w:eastAsia="zh-CN" w:bidi="ar-SA"/>
              </w:rPr>
              <w:t>³</w:t>
            </w:r>
          </w:p>
        </w:tc>
        <w:tc>
          <w:tcPr>
            <w:tcW w:w="204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废气处理系统碱吸收液</w:t>
            </w:r>
          </w:p>
        </w:tc>
        <w:tc>
          <w:tcPr>
            <w:tcW w:w="0" w:type="auto"/>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汽运</w:t>
            </w:r>
          </w:p>
        </w:tc>
      </w:tr>
    </w:tbl>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现有工程工艺流程</w:t>
      </w:r>
    </w:p>
    <w:p>
      <w:pPr>
        <w:bidi w:val="0"/>
        <w:rPr>
          <w:rFonts w:hint="eastAsia"/>
          <w:lang w:val="en-US" w:eastAsia="zh-CN"/>
        </w:rPr>
      </w:pPr>
      <w:r>
        <w:rPr>
          <w:rFonts w:hint="eastAsia"/>
          <w:lang w:val="en-US" w:eastAsia="zh-CN"/>
        </w:rPr>
        <w:t>现有工程以玉米为原料，采用湿法加工工艺，制备液体葡萄糖，副产玉米胚芽、玉米皮、玉米蛋白等，玉米喷浆到玉米皮可制备喷浆玉米纤维。</w:t>
      </w:r>
    </w:p>
    <w:p>
      <w:pPr>
        <w:bidi w:val="0"/>
        <w:rPr>
          <w:rFonts w:hint="default"/>
          <w:lang w:val="en-US" w:eastAsia="zh-CN"/>
        </w:rPr>
      </w:pPr>
      <w:r>
        <w:rPr>
          <w:rFonts w:hint="eastAsia"/>
          <w:lang w:val="en-US" w:eastAsia="zh-CN"/>
        </w:rPr>
        <w:t>现有工程采用高效</w:t>
      </w:r>
      <w:r>
        <w:rPr>
          <w:rFonts w:hint="eastAsia" w:ascii="Times New Roman" w:hAnsi="Times New Roman"/>
          <w:lang w:val="en-US" w:eastAsia="zh-CN"/>
        </w:rPr>
        <w:t>DN</w:t>
      </w:r>
      <w:r>
        <w:rPr>
          <w:rFonts w:hint="eastAsia"/>
          <w:lang w:val="en-US" w:eastAsia="zh-CN"/>
        </w:rPr>
        <w:t>溶液生产菌株技术，以玉米液化、糖化制备的液体葡萄糖为主要原料，同时添加合适的营养液和微量生物生长因子，在一定温度条件下，好氧发酵来制备粗</w:t>
      </w:r>
      <w:r>
        <w:rPr>
          <w:rFonts w:hint="eastAsia" w:ascii="Times New Roman" w:hAnsi="Times New Roman"/>
          <w:lang w:val="en-US" w:eastAsia="zh-CN"/>
        </w:rPr>
        <w:t>DN</w:t>
      </w:r>
      <w:r>
        <w:rPr>
          <w:rFonts w:hint="eastAsia"/>
          <w:lang w:val="en-US" w:eastAsia="zh-CN"/>
        </w:rPr>
        <w:t>溶液。发酵结束后，将</w:t>
      </w:r>
      <w:r>
        <w:rPr>
          <w:rFonts w:hint="eastAsia" w:ascii="Times New Roman" w:hAnsi="Times New Roman"/>
          <w:lang w:val="en-US" w:eastAsia="zh-CN"/>
        </w:rPr>
        <w:t>DN</w:t>
      </w:r>
      <w:r>
        <w:rPr>
          <w:rFonts w:hint="eastAsia"/>
          <w:lang w:val="en-US" w:eastAsia="zh-CN"/>
        </w:rPr>
        <w:t>溶液发酵液通过蒸发、精馏过程提纯得到合格的</w:t>
      </w:r>
      <w:r>
        <w:rPr>
          <w:rFonts w:hint="eastAsia" w:ascii="Times New Roman" w:hAnsi="Times New Roman"/>
          <w:lang w:val="en-US" w:eastAsia="zh-CN"/>
        </w:rPr>
        <w:t>DN</w:t>
      </w:r>
      <w:r>
        <w:rPr>
          <w:rFonts w:hint="eastAsia"/>
          <w:lang w:val="en-US" w:eastAsia="zh-CN"/>
        </w:rPr>
        <w:t>溶液。</w:t>
      </w:r>
      <w:r>
        <w:rPr>
          <w:rFonts w:hint="eastAsia" w:ascii="Times New Roman" w:hAnsi="Times New Roman"/>
          <w:lang w:val="en-US" w:eastAsia="zh-CN"/>
        </w:rPr>
        <w:t>DN</w:t>
      </w:r>
      <w:r>
        <w:rPr>
          <w:rFonts w:hint="eastAsia"/>
          <w:lang w:val="en-US" w:eastAsia="zh-CN"/>
        </w:rPr>
        <w:t>溶液和己二酸通过调配、浓缩、缩聚过程，得到聚酰胺</w:t>
      </w:r>
      <w:r>
        <w:rPr>
          <w:rFonts w:hint="eastAsia" w:ascii="Times New Roman" w:hAnsi="Times New Roman"/>
          <w:lang w:val="en-US" w:eastAsia="zh-CN"/>
        </w:rPr>
        <w:t>56</w:t>
      </w:r>
      <w:r>
        <w:rPr>
          <w:rFonts w:hint="eastAsia"/>
          <w:lang w:val="en-US" w:eastAsia="zh-CN"/>
        </w:rPr>
        <w:t>；二期工程将聚酰胺</w:t>
      </w:r>
      <w:r>
        <w:rPr>
          <w:rFonts w:hint="eastAsia" w:ascii="Times New Roman" w:hAnsi="Times New Roman"/>
          <w:lang w:val="en-US" w:eastAsia="zh-CN"/>
        </w:rPr>
        <w:t>56</w:t>
      </w:r>
      <w:r>
        <w:rPr>
          <w:rFonts w:hint="eastAsia"/>
          <w:lang w:val="en-US" w:eastAsia="zh-CN"/>
        </w:rPr>
        <w:t>再经过纺丝得到短纤产品。</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淀粉乳制取</w:t>
      </w:r>
    </w:p>
    <w:p>
      <w:pPr>
        <w:bidi w:val="0"/>
        <w:rPr>
          <w:rFonts w:hint="eastAsia" w:eastAsia="宋体"/>
          <w:lang w:eastAsia="zh-CN"/>
        </w:rPr>
      </w:pPr>
      <w:r>
        <w:rPr>
          <w:rFonts w:hint="eastAsia"/>
          <w:lang w:eastAsia="zh-CN"/>
        </w:rPr>
        <w:t>（</w:t>
      </w:r>
      <w:r>
        <w:rPr>
          <w:rFonts w:hint="eastAsia" w:ascii="Times New Roman" w:hAnsi="Times New Roman"/>
          <w:lang w:val="en-US" w:eastAsia="zh-CN"/>
        </w:rPr>
        <w:t>1</w:t>
      </w:r>
      <w:r>
        <w:rPr>
          <w:rFonts w:hint="eastAsia"/>
          <w:lang w:eastAsia="zh-CN"/>
        </w:rPr>
        <w:t>）原料玉米贮存与净化</w:t>
      </w:r>
    </w:p>
    <w:p>
      <w:pPr>
        <w:bidi w:val="0"/>
        <w:rPr>
          <w:rFonts w:hint="eastAsia" w:eastAsia="宋体"/>
          <w:lang w:eastAsia="zh-CN"/>
        </w:rPr>
      </w:pPr>
      <w:r>
        <w:rPr>
          <w:rFonts w:hint="eastAsia"/>
          <w:lang w:eastAsia="zh-CN"/>
        </w:rPr>
        <w:t>原料玉米经地衡计量后卸入玉米料斗，通过输送机、斗式提升机进入清理系统，通过抖皮机和清理筛（二级筛选）除去玉米原料中的杂质，筛选后挑选出的玉米送钢制筒仓。为减少玉米泄漏、输送和清理过程产生的粉尘，全过程实施密闭化生产，各产尘部位均设有风管，将产生的粉尘收集后送除尘器处理，处理后收集的粉尘和原料中筛选出来的杂质一起送灰斗定期外运。</w:t>
      </w:r>
    </w:p>
    <w:p>
      <w:pPr>
        <w:bidi w:val="0"/>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）亚硫酸溶液制备</w:t>
      </w:r>
    </w:p>
    <w:p>
      <w:pPr>
        <w:bidi w:val="0"/>
        <w:rPr>
          <w:rFonts w:hint="default" w:eastAsia="宋体"/>
          <w:lang w:val="en-US" w:eastAsia="zh-CN"/>
        </w:rPr>
      </w:pPr>
      <w:r>
        <w:rPr>
          <w:rFonts w:hint="eastAsia"/>
          <w:lang w:eastAsia="zh-CN"/>
        </w:rPr>
        <w:t>亚硫酸溶液制备采用国内成熟的熔融燃烧炉工艺。硫磺通过燃烧炉底部加料口加入到加料室，通过燃料室顶板加热使加料室内的硫磺融化，设置调节阀调节液体硫磺加入燃烧室的量并通过调节空气量，使得硫磺均匀燃烧，连续、匀速的产生二氧化硫气体。该工艺密闭设计，通过采用低温燃烧模式，控制燃烧温度低于</w:t>
      </w:r>
      <w:r>
        <w:rPr>
          <w:rFonts w:hint="eastAsia" w:ascii="Times New Roman" w:hAnsi="Times New Roman"/>
          <w:lang w:val="en-US" w:eastAsia="zh-CN"/>
        </w:rPr>
        <w:t>550</w:t>
      </w:r>
      <w:r>
        <w:rPr>
          <w:rFonts w:hint="eastAsia"/>
          <w:lang w:val="en-US" w:eastAsia="zh-CN"/>
        </w:rPr>
        <w:t>℃，使燃烧过程产生的</w:t>
      </w:r>
      <w:r>
        <w:rPr>
          <w:rFonts w:hint="eastAsia" w:ascii="Times New Roman" w:hAnsi="Times New Roman"/>
          <w:lang w:val="en-US" w:eastAsia="zh-CN"/>
        </w:rPr>
        <w:t>SO</w:t>
      </w:r>
      <w:r>
        <w:rPr>
          <w:rFonts w:hint="eastAsia" w:ascii="Times New Roman" w:hAnsi="Times New Roman"/>
          <w:vertAlign w:val="subscript"/>
          <w:lang w:val="en-US" w:eastAsia="zh-CN"/>
        </w:rPr>
        <w:t>3</w:t>
      </w:r>
      <w:r>
        <w:rPr>
          <w:rFonts w:hint="eastAsia"/>
          <w:lang w:val="en-US" w:eastAsia="zh-CN"/>
        </w:rPr>
        <w:t>生成量极低。</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val="en-US" w:eastAsia="zh-CN"/>
        </w:rPr>
        <w:t>浓度可在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17</w:t>
      </w:r>
      <w:r>
        <w:rPr>
          <w:rFonts w:hint="eastAsia"/>
          <w:lang w:val="en-US" w:eastAsia="zh-CN"/>
        </w:rPr>
        <w:t>%范围内调节，溶液浓度控制在</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15</w:t>
      </w:r>
      <w:r>
        <w:rPr>
          <w:rFonts w:hint="eastAsia"/>
          <w:lang w:val="en-US" w:eastAsia="zh-CN"/>
        </w:rPr>
        <w:t>%左右。</w:t>
      </w:r>
    </w:p>
    <w:p>
      <w:pPr>
        <w:bidi w:val="0"/>
        <w:rPr>
          <w:rFonts w:hint="eastAsia" w:eastAsia="宋体"/>
          <w:lang w:eastAsia="zh-CN"/>
        </w:rPr>
      </w:pPr>
      <w:r>
        <w:rPr>
          <w:rFonts w:hint="eastAsia"/>
          <w:lang w:eastAsia="zh-CN"/>
        </w:rPr>
        <w:t>硫磺在燃烧炉内燃烧生成的二氧化硫气体在负压作用下引入二级吸收塔，二氧化硫从塔下部进入一级吸收塔，与自塔顶向下流动水接触并吸收、溶解成亚硫酸，从底部收集，通过泵存放到亚硫酸储罐。从一级吸收塔顶排出的未吸收二氧化硫气体，进入二级吸收塔，再从塔顶向下流动的水接触吸收，溶解成亚硫酸，从底部收集，通过泵存放在亚硫酸储罐。</w:t>
      </w:r>
    </w:p>
    <w:p>
      <w:pPr>
        <w:bidi w:val="0"/>
        <w:rPr>
          <w:rFonts w:hint="eastAsia" w:eastAsia="宋体"/>
          <w:lang w:eastAsia="zh-CN"/>
        </w:rPr>
      </w:pPr>
      <w:r>
        <w:rPr>
          <w:rFonts w:hint="eastAsia"/>
          <w:lang w:eastAsia="zh-CN"/>
        </w:rPr>
        <w:t>（</w:t>
      </w:r>
      <w:r>
        <w:rPr>
          <w:rFonts w:hint="eastAsia" w:ascii="Times New Roman" w:hAnsi="Times New Roman"/>
          <w:lang w:val="en-US" w:eastAsia="zh-CN"/>
        </w:rPr>
        <w:t>3</w:t>
      </w:r>
      <w:r>
        <w:rPr>
          <w:rFonts w:hint="eastAsia"/>
          <w:lang w:eastAsia="zh-CN"/>
        </w:rPr>
        <w:t>）玉米上料及浸泡</w:t>
      </w:r>
    </w:p>
    <w:p>
      <w:pPr>
        <w:bidi w:val="0"/>
        <w:rPr>
          <w:rFonts w:hint="default" w:eastAsia="宋体"/>
          <w:lang w:val="en-US" w:eastAsia="zh-CN"/>
        </w:rPr>
      </w:pPr>
      <w:r>
        <w:rPr>
          <w:rFonts w:hint="eastAsia"/>
          <w:lang w:eastAsia="zh-CN"/>
        </w:rPr>
        <w:t>由玉米筒仓来的净化玉米经计量后用水力输送区浸泡罐，输送水开工时使用新鲜水，正常生产后采用淀粉乳生产过程中产生的工艺水。水力输送速度为</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米/秒，玉米与输送水的比例为</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lang w:val="en-US" w:eastAsia="zh-CN"/>
        </w:rPr>
        <w:t>，温度为</w:t>
      </w:r>
      <w:r>
        <w:rPr>
          <w:rFonts w:hint="eastAsia" w:ascii="Times New Roman" w:hAnsi="Times New Roman"/>
          <w:lang w:val="en-US" w:eastAsia="zh-CN"/>
        </w:rPr>
        <w:t>50</w:t>
      </w:r>
      <w:r>
        <w:rPr>
          <w:rFonts w:hint="eastAsia"/>
          <w:lang w:val="en-US" w:eastAsia="zh-CN"/>
        </w:rPr>
        <w:t>±</w:t>
      </w:r>
      <w:r>
        <w:rPr>
          <w:rFonts w:hint="eastAsia" w:ascii="Times New Roman" w:hAnsi="Times New Roman"/>
          <w:lang w:val="en-US" w:eastAsia="zh-CN"/>
        </w:rPr>
        <w:t>2</w:t>
      </w:r>
      <w:r>
        <w:rPr>
          <w:rFonts w:hint="eastAsia"/>
          <w:lang w:val="en-US" w:eastAsia="zh-CN"/>
        </w:rPr>
        <w:t>℃。</w:t>
      </w:r>
    </w:p>
    <w:p>
      <w:pPr>
        <w:bidi w:val="0"/>
        <w:rPr>
          <w:rFonts w:hint="eastAsia"/>
        </w:rPr>
      </w:pPr>
      <w:r>
        <w:rPr>
          <w:rFonts w:hint="eastAsia"/>
        </w:rPr>
        <w:t>玉米的浸泡是在亚硫酸溶液中逆流进行的。浸泡过程中玉米留在罐内静止，用泵将浸泡液在罐内一边自身循环一边向前一级罐内输送，保持新的亚硫酸溶液与浸泡时间最长的玉米接触，而新入罐的玉米与即将排出的浸泡液接触，从而保持最佳的浸泡效果。浸泡温度</w:t>
      </w:r>
      <w:r>
        <w:rPr>
          <w:rFonts w:hint="eastAsia" w:ascii="Times New Roman" w:hAnsi="Times New Roman"/>
        </w:rPr>
        <w:t>50</w:t>
      </w:r>
      <w:r>
        <w:rPr>
          <w:rFonts w:hint="eastAsia"/>
        </w:rPr>
        <w:t>±</w:t>
      </w:r>
      <w:r>
        <w:rPr>
          <w:rFonts w:hint="eastAsia" w:ascii="Times New Roman" w:hAnsi="Times New Roman"/>
        </w:rPr>
        <w:t>2</w:t>
      </w:r>
      <w:r>
        <w:rPr>
          <w:rFonts w:hint="eastAsia"/>
        </w:rPr>
        <w:t>℃，亚硫酸溶液的浓度为</w:t>
      </w:r>
      <w:r>
        <w:rPr>
          <w:rFonts w:hint="eastAsia" w:ascii="Times New Roman" w:hAnsi="Times New Roman"/>
        </w:rPr>
        <w:t>0</w:t>
      </w:r>
      <w:r>
        <w:rPr>
          <w:rFonts w:hint="eastAsia"/>
        </w:rPr>
        <w:t>.</w:t>
      </w:r>
      <w:r>
        <w:rPr>
          <w:rFonts w:hint="eastAsia" w:ascii="Times New Roman" w:hAnsi="Times New Roman"/>
        </w:rPr>
        <w:t>10</w:t>
      </w:r>
      <w:r>
        <w:rPr>
          <w:rFonts w:hint="eastAsia"/>
        </w:rPr>
        <w:t>～</w:t>
      </w:r>
      <w:r>
        <w:rPr>
          <w:rFonts w:hint="eastAsia" w:ascii="Times New Roman" w:hAnsi="Times New Roman"/>
        </w:rPr>
        <w:t>0</w:t>
      </w:r>
      <w:r>
        <w:rPr>
          <w:rFonts w:hint="eastAsia"/>
        </w:rPr>
        <w:t>.</w:t>
      </w:r>
      <w:r>
        <w:rPr>
          <w:rFonts w:hint="eastAsia" w:ascii="Times New Roman" w:hAnsi="Times New Roman"/>
        </w:rPr>
        <w:t>15</w:t>
      </w:r>
      <w:r>
        <w:rPr>
          <w:rFonts w:hint="eastAsia"/>
        </w:rPr>
        <w:t>%，浸泡时间不小于</w:t>
      </w:r>
      <w:r>
        <w:rPr>
          <w:rFonts w:hint="eastAsia" w:ascii="Times New Roman" w:hAnsi="Times New Roman"/>
        </w:rPr>
        <w:t>48</w:t>
      </w:r>
      <w:r>
        <w:rPr>
          <w:rFonts w:hint="eastAsia" w:ascii="Times New Roman" w:hAnsi="Times New Roman"/>
          <w:lang w:val="en-US" w:eastAsia="zh-CN"/>
        </w:rPr>
        <w:t>h</w:t>
      </w:r>
      <w:r>
        <w:rPr>
          <w:rFonts w:hint="eastAsia"/>
        </w:rPr>
        <w:t>。完成浸泡的浸泡液即稀玉米浆含干物</w:t>
      </w:r>
      <w:r>
        <w:rPr>
          <w:rFonts w:hint="eastAsia" w:ascii="Times New Roman" w:hAnsi="Times New Roman"/>
        </w:rPr>
        <w:t>5</w:t>
      </w:r>
      <w:r>
        <w:rPr>
          <w:rFonts w:hint="eastAsia"/>
        </w:rPr>
        <w:t>～</w:t>
      </w:r>
      <w:r>
        <w:rPr>
          <w:rFonts w:hint="eastAsia" w:ascii="Times New Roman" w:hAnsi="Times New Roman"/>
        </w:rPr>
        <w:t>9</w:t>
      </w:r>
      <w:r>
        <w:rPr>
          <w:rFonts w:hint="eastAsia"/>
        </w:rPr>
        <w:t>%，</w:t>
      </w:r>
      <w:r>
        <w:rPr>
          <w:rFonts w:hint="eastAsia" w:ascii="Times New Roman" w:hAnsi="Times New Roman"/>
        </w:rPr>
        <w:t>pH3</w:t>
      </w:r>
      <w:r>
        <w:rPr>
          <w:rFonts w:hint="eastAsia"/>
        </w:rPr>
        <w:t>.</w:t>
      </w:r>
      <w:r>
        <w:rPr>
          <w:rFonts w:hint="eastAsia" w:ascii="Times New Roman" w:hAnsi="Times New Roman"/>
        </w:rPr>
        <w:t>9</w:t>
      </w:r>
      <w:r>
        <w:rPr>
          <w:rFonts w:hint="eastAsia"/>
        </w:rPr>
        <w:t>～</w:t>
      </w:r>
      <w:r>
        <w:rPr>
          <w:rFonts w:hint="eastAsia" w:ascii="Times New Roman" w:hAnsi="Times New Roman"/>
        </w:rPr>
        <w:t>4</w:t>
      </w:r>
      <w:r>
        <w:rPr>
          <w:rFonts w:hint="eastAsia"/>
        </w:rPr>
        <w:t>.</w:t>
      </w:r>
      <w:r>
        <w:rPr>
          <w:rFonts w:hint="eastAsia" w:ascii="Times New Roman" w:hAnsi="Times New Roman"/>
        </w:rPr>
        <w:t>1</w:t>
      </w:r>
      <w:r>
        <w:rPr>
          <w:rFonts w:hint="eastAsia"/>
        </w:rPr>
        <w:t>，送蒸发工序。浸泡终了的玉米含水</w:t>
      </w:r>
      <w:r>
        <w:rPr>
          <w:rFonts w:hint="eastAsia" w:ascii="Times New Roman" w:hAnsi="Times New Roman"/>
        </w:rPr>
        <w:t>46</w:t>
      </w:r>
      <w:r>
        <w:rPr>
          <w:rFonts w:hint="eastAsia"/>
        </w:rPr>
        <w:t>%左右，用手能挤裂，胚芽完整挤出。</w:t>
      </w:r>
    </w:p>
    <w:p>
      <w:pPr>
        <w:bidi w:val="0"/>
        <w:rPr>
          <w:rFonts w:hint="eastAsia"/>
        </w:rPr>
      </w:pPr>
      <w:r>
        <w:rPr>
          <w:rFonts w:hint="eastAsia"/>
          <w:lang w:eastAsia="zh-CN"/>
        </w:rPr>
        <w:t>（</w:t>
      </w:r>
      <w:r>
        <w:rPr>
          <w:rFonts w:hint="eastAsia" w:ascii="Times New Roman" w:hAnsi="Times New Roman"/>
          <w:lang w:val="en-US" w:eastAsia="zh-CN"/>
        </w:rPr>
        <w:t>4</w:t>
      </w:r>
      <w:r>
        <w:rPr>
          <w:rFonts w:hint="eastAsia"/>
          <w:lang w:eastAsia="zh-CN"/>
        </w:rPr>
        <w:t>）</w:t>
      </w:r>
      <w:r>
        <w:rPr>
          <w:rFonts w:hint="eastAsia"/>
        </w:rPr>
        <w:t>玉米破碎</w:t>
      </w:r>
    </w:p>
    <w:p>
      <w:pPr>
        <w:bidi w:val="0"/>
        <w:rPr>
          <w:rFonts w:hint="eastAsia"/>
        </w:rPr>
      </w:pPr>
      <w:r>
        <w:rPr>
          <w:rFonts w:hint="eastAsia"/>
        </w:rPr>
        <w:t>浸泡后的玉米由湿玉米输送泵进入湿玉米贮斗，脱出的水送工艺水罐，杂质与玉米净化过程产生的杂质一起定期外运。脱水后的玉米进入头道凸齿磨，将玉米破碎成</w:t>
      </w:r>
      <w:r>
        <w:rPr>
          <w:rFonts w:hint="eastAsia" w:ascii="Times New Roman" w:hAnsi="Times New Roman"/>
        </w:rPr>
        <w:t>4</w:t>
      </w:r>
      <w:r>
        <w:rPr>
          <w:rFonts w:hint="eastAsia"/>
        </w:rPr>
        <w:t>～</w:t>
      </w:r>
      <w:r>
        <w:rPr>
          <w:rFonts w:hint="eastAsia" w:ascii="Times New Roman" w:hAnsi="Times New Roman"/>
        </w:rPr>
        <w:t>6</w:t>
      </w:r>
      <w:r>
        <w:rPr>
          <w:rFonts w:hint="eastAsia"/>
        </w:rPr>
        <w:t xml:space="preserve">瓣，整粒玉米不超过 </w:t>
      </w:r>
      <w:r>
        <w:rPr>
          <w:rFonts w:hint="eastAsia" w:ascii="Times New Roman" w:hAnsi="Times New Roman"/>
        </w:rPr>
        <w:t>1</w:t>
      </w:r>
      <w:r>
        <w:rPr>
          <w:rFonts w:hint="eastAsia"/>
        </w:rPr>
        <w:t>%并分离出</w:t>
      </w:r>
      <w:r>
        <w:rPr>
          <w:rFonts w:hint="eastAsia" w:ascii="Times New Roman" w:hAnsi="Times New Roman"/>
        </w:rPr>
        <w:t>75</w:t>
      </w:r>
      <w:r>
        <w:rPr>
          <w:rFonts w:hint="eastAsia"/>
        </w:rPr>
        <w:t>～</w:t>
      </w:r>
      <w:r>
        <w:rPr>
          <w:rFonts w:hint="eastAsia" w:ascii="Times New Roman" w:hAnsi="Times New Roman"/>
        </w:rPr>
        <w:t>85</w:t>
      </w:r>
      <w:r>
        <w:rPr>
          <w:rFonts w:hint="eastAsia"/>
        </w:rPr>
        <w:t>%的胚芽，同时释放出</w:t>
      </w:r>
      <w:r>
        <w:rPr>
          <w:rFonts w:hint="eastAsia" w:ascii="Times New Roman" w:hAnsi="Times New Roman"/>
        </w:rPr>
        <w:t>20</w:t>
      </w:r>
      <w:r>
        <w:rPr>
          <w:rFonts w:hint="eastAsia"/>
        </w:rPr>
        <w:t>～</w:t>
      </w:r>
      <w:r>
        <w:rPr>
          <w:rFonts w:hint="eastAsia" w:ascii="Times New Roman" w:hAnsi="Times New Roman"/>
        </w:rPr>
        <w:t>25</w:t>
      </w:r>
      <w:r>
        <w:rPr>
          <w:rFonts w:hint="eastAsia"/>
        </w:rPr>
        <w:t>%的淀粉。破碎后的玉米由胚芽泵送至一级胚芽旋流器，旋流器顶流分离出的胚芽去洗涤系统，洗涤水采用工艺水罐收集水；底流物料经过曲筛过滤掉浆料，筛上物进入二道凸齿磨，玉米破碎成</w:t>
      </w:r>
      <w:r>
        <w:rPr>
          <w:rFonts w:hint="eastAsia" w:ascii="Times New Roman" w:hAnsi="Times New Roman"/>
        </w:rPr>
        <w:t>10</w:t>
      </w:r>
      <w:r>
        <w:rPr>
          <w:rFonts w:hint="eastAsia"/>
        </w:rPr>
        <w:t>～</w:t>
      </w:r>
      <w:r>
        <w:rPr>
          <w:rFonts w:hint="eastAsia" w:ascii="Times New Roman" w:hAnsi="Times New Roman"/>
        </w:rPr>
        <w:t>12</w:t>
      </w:r>
      <w:r>
        <w:rPr>
          <w:rFonts w:hint="eastAsia"/>
        </w:rPr>
        <w:t>瓣。在此浆料中不应含有整粒玉米，结合胚芽不超过</w:t>
      </w:r>
      <w:r>
        <w:rPr>
          <w:rFonts w:hint="eastAsia" w:ascii="Times New Roman" w:hAnsi="Times New Roman"/>
        </w:rPr>
        <w:t>0</w:t>
      </w:r>
      <w:r>
        <w:rPr>
          <w:rFonts w:hint="eastAsia"/>
        </w:rPr>
        <w:t>.</w:t>
      </w:r>
      <w:r>
        <w:rPr>
          <w:rFonts w:hint="eastAsia" w:ascii="Times New Roman" w:hAnsi="Times New Roman"/>
        </w:rPr>
        <w:t>3</w:t>
      </w:r>
      <w:r>
        <w:rPr>
          <w:rFonts w:hint="eastAsia"/>
        </w:rPr>
        <w:t>%。经过二次破碎的浆料经过胚芽泵送二级胚芽旋流器，顶流物料与经头道磨破碎和曲筛分出的浆料混合一起，返回第一级胚芽旋流器，底流浆料送入精磨工序。</w:t>
      </w:r>
    </w:p>
    <w:p>
      <w:pPr>
        <w:bidi w:val="0"/>
        <w:rPr>
          <w:rFonts w:hint="eastAsia"/>
        </w:rPr>
      </w:pPr>
      <w:r>
        <w:rPr>
          <w:rFonts w:hint="eastAsia"/>
          <w:lang w:eastAsia="zh-CN"/>
        </w:rPr>
        <w:t>（</w:t>
      </w:r>
      <w:r>
        <w:rPr>
          <w:rFonts w:hint="eastAsia" w:ascii="Times New Roman" w:hAnsi="Times New Roman"/>
          <w:lang w:val="en-US" w:eastAsia="zh-CN"/>
        </w:rPr>
        <w:t>5</w:t>
      </w:r>
      <w:r>
        <w:rPr>
          <w:rFonts w:hint="eastAsia"/>
          <w:lang w:eastAsia="zh-CN"/>
        </w:rPr>
        <w:t>）</w:t>
      </w:r>
      <w:r>
        <w:rPr>
          <w:rFonts w:hint="eastAsia"/>
        </w:rPr>
        <w:t>精磨</w:t>
      </w:r>
    </w:p>
    <w:p>
      <w:pPr>
        <w:bidi w:val="0"/>
        <w:rPr>
          <w:rFonts w:hint="eastAsia"/>
        </w:rPr>
      </w:pPr>
      <w:r>
        <w:rPr>
          <w:rFonts w:hint="eastAsia"/>
        </w:rPr>
        <w:t>经二级胚芽旋流器分离出胚芽的稀浆料通过压力曲筛，筛下物为粗淀粉乳，淀粉乳与精磨后分离出的粗淀粉浆液汇合进入淀粉分离工序；筛上物进入针磨进行精磨，以最大限度地使与纤维联结的淀粉分离出来。经磨碎后的浆料中，纤维联结淀粉不大于</w:t>
      </w:r>
      <w:r>
        <w:rPr>
          <w:rFonts w:hint="eastAsia" w:ascii="Times New Roman" w:hAnsi="Times New Roman"/>
        </w:rPr>
        <w:t>10</w:t>
      </w:r>
      <w:r>
        <w:rPr>
          <w:rFonts w:hint="eastAsia"/>
        </w:rPr>
        <w:t>%。精磨后的浆料进入纤维洗涤槽。</w:t>
      </w:r>
    </w:p>
    <w:p>
      <w:pPr>
        <w:bidi w:val="0"/>
        <w:rPr>
          <w:rFonts w:hint="eastAsia"/>
        </w:rPr>
      </w:pPr>
      <w:r>
        <w:rPr>
          <w:rFonts w:hint="eastAsia"/>
        </w:rPr>
        <w:t>玉米浸泡过程中使用的亚硫酸溶液通过外购硫磺煅烧生成二氧化硫再制取水溶液得到，溶液制取及浸泡温生产过程中会生成少量</w:t>
      </w:r>
      <w:r>
        <w:rPr>
          <w:rFonts w:hint="eastAsia" w:ascii="Times New Roman" w:hAnsi="Times New Roman"/>
        </w:rPr>
        <w:t>SO</w:t>
      </w:r>
      <w:r>
        <w:rPr>
          <w:rFonts w:hint="eastAsia" w:ascii="Times New Roman" w:hAnsi="Times New Roman"/>
          <w:vertAlign w:val="subscript"/>
        </w:rPr>
        <w:t>2</w:t>
      </w:r>
      <w:r>
        <w:rPr>
          <w:rFonts w:hint="eastAsia"/>
        </w:rPr>
        <w:t>。为避免分解出的</w:t>
      </w:r>
      <w:r>
        <w:rPr>
          <w:rFonts w:hint="eastAsia" w:ascii="Times New Roman" w:hAnsi="Times New Roman"/>
        </w:rPr>
        <w:t>SO</w:t>
      </w:r>
      <w:r>
        <w:rPr>
          <w:rFonts w:hint="eastAsia" w:ascii="Times New Roman" w:hAnsi="Times New Roman"/>
          <w:vertAlign w:val="subscript"/>
        </w:rPr>
        <w:t>2</w:t>
      </w:r>
      <w:r>
        <w:rPr>
          <w:rFonts w:hint="eastAsia"/>
        </w:rPr>
        <w:t>直接排入环境，在车间内设置负压抽气系统，通过风机将挥发出的</w:t>
      </w:r>
      <w:r>
        <w:rPr>
          <w:rFonts w:hint="eastAsia" w:ascii="Times New Roman" w:hAnsi="Times New Roman"/>
        </w:rPr>
        <w:t>SO</w:t>
      </w:r>
      <w:r>
        <w:rPr>
          <w:rFonts w:hint="eastAsia" w:ascii="Times New Roman" w:hAnsi="Times New Roman"/>
          <w:vertAlign w:val="subscript"/>
        </w:rPr>
        <w:t>2</w:t>
      </w:r>
      <w:r>
        <w:rPr>
          <w:rFonts w:hint="eastAsia"/>
        </w:rPr>
        <w:t>收集后送吸收塔，吸收塔采用氢氧化钠作为吸收剂进行碱洗，经两级碱洗后的净化气体通过塔顶排放。</w:t>
      </w:r>
    </w:p>
    <w:p>
      <w:pPr>
        <w:bidi w:val="0"/>
        <w:rPr>
          <w:rFonts w:hint="eastAsia"/>
        </w:rPr>
      </w:pPr>
      <w:r>
        <w:rPr>
          <w:rFonts w:hint="eastAsia"/>
          <w:lang w:eastAsia="zh-CN"/>
        </w:rPr>
        <w:t>（</w:t>
      </w:r>
      <w:r>
        <w:rPr>
          <w:rFonts w:hint="eastAsia" w:ascii="Times New Roman" w:hAnsi="Times New Roman"/>
          <w:lang w:val="en-US" w:eastAsia="zh-CN"/>
        </w:rPr>
        <w:t>6</w:t>
      </w:r>
      <w:r>
        <w:rPr>
          <w:rFonts w:hint="eastAsia"/>
          <w:lang w:eastAsia="zh-CN"/>
        </w:rPr>
        <w:t>）</w:t>
      </w:r>
      <w:r>
        <w:rPr>
          <w:rFonts w:hint="eastAsia"/>
        </w:rPr>
        <w:t>纤维的分离、洗涤</w:t>
      </w:r>
    </w:p>
    <w:p>
      <w:pPr>
        <w:bidi w:val="0"/>
        <w:rPr>
          <w:rFonts w:hint="eastAsia"/>
        </w:rPr>
      </w:pPr>
      <w:r>
        <w:rPr>
          <w:rFonts w:hint="eastAsia"/>
        </w:rPr>
        <w:t>精磨后的浆料进入纤维洗涤槽，在此与以后洗涤纤维的洗涤水一起用泵送到第一级压力曲筛。筛下分离出粗淀粉乳，筛上物经</w:t>
      </w:r>
      <w:r>
        <w:rPr>
          <w:rFonts w:hint="eastAsia" w:ascii="Times New Roman" w:hAnsi="Times New Roman"/>
        </w:rPr>
        <w:t>6</w:t>
      </w:r>
      <w:r>
        <w:rPr>
          <w:rFonts w:hint="eastAsia"/>
        </w:rPr>
        <w:t>级压力曲筛逆流洗涤，洗涤工艺水从最后级曲筛前加入通过筛面，携带洗涤下来的淀粉乳逐级向前移动，直到第一级，筛前洗涤槽中与精磨后的浆料混合，共同进入第一级压力曲筛，分离出粗淀粉乳。再与精磨前筛分出的粗淀粉乳混合，进入淀粉、麸质分离工序。筛上的纤维、皮渣与洗涤水逆流而行，从第一级进入，从最后级筛面排出，进入螺旋挤压机脱水后去纤维干燥工序。</w:t>
      </w:r>
    </w:p>
    <w:p>
      <w:pPr>
        <w:bidi w:val="0"/>
        <w:rPr>
          <w:rFonts w:hint="eastAsia"/>
        </w:rPr>
      </w:pPr>
      <w:r>
        <w:rPr>
          <w:rFonts w:hint="eastAsia"/>
          <w:lang w:eastAsia="zh-CN"/>
        </w:rPr>
        <w:t>（</w:t>
      </w:r>
      <w:r>
        <w:rPr>
          <w:rFonts w:hint="eastAsia" w:ascii="Times New Roman" w:hAnsi="Times New Roman"/>
          <w:lang w:val="en-US" w:eastAsia="zh-CN"/>
        </w:rPr>
        <w:t>7</w:t>
      </w:r>
      <w:r>
        <w:rPr>
          <w:rFonts w:hint="eastAsia"/>
          <w:lang w:eastAsia="zh-CN"/>
        </w:rPr>
        <w:t>）</w:t>
      </w:r>
      <w:r>
        <w:rPr>
          <w:rFonts w:hint="eastAsia"/>
        </w:rPr>
        <w:t>淀粉分离、洗涤</w:t>
      </w:r>
    </w:p>
    <w:p>
      <w:pPr>
        <w:bidi w:val="0"/>
        <w:rPr>
          <w:rFonts w:hint="eastAsia"/>
        </w:rPr>
      </w:pPr>
      <w:r>
        <w:rPr>
          <w:rFonts w:hint="eastAsia"/>
        </w:rPr>
        <w:t>由精磨前后曲筛分离出的粗淀粉乳经过除砂旋流器、回转过滤器、预浓缩分离机，</w:t>
      </w:r>
    </w:p>
    <w:p>
      <w:pPr>
        <w:bidi w:val="0"/>
        <w:rPr>
          <w:rFonts w:hint="eastAsia"/>
        </w:rPr>
      </w:pPr>
      <w:r>
        <w:rPr>
          <w:rFonts w:hint="eastAsia"/>
        </w:rPr>
        <w:t>进入麸质、淀粉主离心机。顶流分离出麸质水的浓度为</w:t>
      </w:r>
      <w:r>
        <w:rPr>
          <w:rFonts w:hint="eastAsia" w:ascii="Times New Roman" w:hAnsi="Times New Roman"/>
        </w:rPr>
        <w:t>1</w:t>
      </w:r>
      <w:r>
        <w:rPr>
          <w:rFonts w:hint="eastAsia"/>
        </w:rPr>
        <w:t>～</w:t>
      </w:r>
      <w:r>
        <w:rPr>
          <w:rFonts w:hint="eastAsia" w:ascii="Times New Roman" w:hAnsi="Times New Roman"/>
        </w:rPr>
        <w:t>2</w:t>
      </w:r>
      <w:r>
        <w:rPr>
          <w:rFonts w:hint="eastAsia"/>
        </w:rPr>
        <w:t>%，送浓缩分离机。底流淀粉乳浓度</w:t>
      </w:r>
      <w:r>
        <w:rPr>
          <w:rFonts w:hint="eastAsia" w:ascii="Times New Roman" w:hAnsi="Times New Roman"/>
        </w:rPr>
        <w:t>17</w:t>
      </w:r>
      <w:r>
        <w:rPr>
          <w:rFonts w:hint="eastAsia"/>
        </w:rPr>
        <w:t>～</w:t>
      </w:r>
      <w:r>
        <w:rPr>
          <w:rFonts w:hint="eastAsia" w:ascii="Times New Roman" w:hAnsi="Times New Roman"/>
        </w:rPr>
        <w:t>19</w:t>
      </w:r>
      <w:r>
        <w:rPr>
          <w:rFonts w:hint="eastAsia" w:ascii="Times New Roman" w:hAnsi="Times New Roman"/>
          <w:lang w:val="en-US" w:eastAsia="zh-CN"/>
        </w:rPr>
        <w:t>Be</w:t>
      </w:r>
      <w:r>
        <w:rPr>
          <w:rFonts w:hint="eastAsia"/>
        </w:rPr>
        <w:t>，送十二级旋流洗涤器进行逆流洗涤。淀粉洗涤水用新鲜水，温度为</w:t>
      </w:r>
      <w:r>
        <w:rPr>
          <w:rFonts w:hint="eastAsia" w:ascii="Times New Roman" w:hAnsi="Times New Roman"/>
        </w:rPr>
        <w:t>45</w:t>
      </w:r>
      <w:r>
        <w:rPr>
          <w:rFonts w:hint="eastAsia"/>
        </w:rPr>
        <w:t>℃，经过十二级旋流器洗涤并浓缩的淀粉乳浓度为</w:t>
      </w:r>
      <w:r>
        <w:rPr>
          <w:rFonts w:hint="eastAsia" w:ascii="Times New Roman" w:hAnsi="Times New Roman"/>
        </w:rPr>
        <w:t>21</w:t>
      </w:r>
      <w:r>
        <w:rPr>
          <w:rFonts w:hint="eastAsia"/>
        </w:rPr>
        <w:t>～</w:t>
      </w:r>
      <w:r>
        <w:rPr>
          <w:rFonts w:hint="eastAsia" w:ascii="Times New Roman" w:hAnsi="Times New Roman"/>
        </w:rPr>
        <w:t>23</w:t>
      </w:r>
      <w:r>
        <w:rPr>
          <w:rFonts w:hint="eastAsia" w:ascii="Times New Roman" w:hAnsi="Times New Roman"/>
          <w:lang w:val="en-US" w:eastAsia="zh-CN"/>
        </w:rPr>
        <w:t>Be</w:t>
      </w:r>
      <w:r>
        <w:rPr>
          <w:rFonts w:hint="eastAsia"/>
        </w:rPr>
        <w:t>，蛋白含量小于</w:t>
      </w:r>
      <w:r>
        <w:rPr>
          <w:rFonts w:hint="eastAsia" w:ascii="Times New Roman" w:hAnsi="Times New Roman"/>
        </w:rPr>
        <w:t>0</w:t>
      </w:r>
      <w:r>
        <w:rPr>
          <w:rFonts w:hint="eastAsia"/>
        </w:rPr>
        <w:t>.</w:t>
      </w:r>
      <w:r>
        <w:rPr>
          <w:rFonts w:hint="eastAsia" w:ascii="Times New Roman" w:hAnsi="Times New Roman"/>
        </w:rPr>
        <w:t>35</w:t>
      </w:r>
      <w:r>
        <w:rPr>
          <w:rFonts w:hint="eastAsia"/>
        </w:rPr>
        <w:t>%，经精淀粉乳贮罐后去下游淀粉液化糖化工段，第一级旋流器顶流经过澄清离心机提浓，底流进主离心机，顶流为工艺水。</w:t>
      </w:r>
    </w:p>
    <w:p>
      <w:pPr>
        <w:bidi w:val="0"/>
        <w:rPr>
          <w:rFonts w:hint="eastAsia"/>
        </w:rPr>
      </w:pPr>
      <w:r>
        <w:rPr>
          <w:rFonts w:hint="eastAsia"/>
          <w:lang w:eastAsia="zh-CN"/>
        </w:rPr>
        <w:t>（</w:t>
      </w:r>
      <w:r>
        <w:rPr>
          <w:rFonts w:hint="eastAsia" w:ascii="Times New Roman" w:hAnsi="Times New Roman"/>
          <w:lang w:val="en-US" w:eastAsia="zh-CN"/>
        </w:rPr>
        <w:t>8</w:t>
      </w:r>
      <w:r>
        <w:rPr>
          <w:rFonts w:hint="eastAsia"/>
          <w:lang w:eastAsia="zh-CN"/>
        </w:rPr>
        <w:t>）</w:t>
      </w:r>
      <w:r>
        <w:rPr>
          <w:rFonts w:hint="eastAsia"/>
        </w:rPr>
        <w:t>蛋白分离与干燥</w:t>
      </w:r>
    </w:p>
    <w:p>
      <w:pPr>
        <w:bidi w:val="0"/>
        <w:rPr>
          <w:rFonts w:hint="eastAsia"/>
        </w:rPr>
      </w:pPr>
      <w:r>
        <w:rPr>
          <w:rFonts w:hint="eastAsia"/>
        </w:rPr>
        <w:t>从主分离机顶流分离出的麸质水，含固形物</w:t>
      </w:r>
      <w:r>
        <w:rPr>
          <w:rFonts w:hint="eastAsia" w:ascii="Times New Roman" w:hAnsi="Times New Roman"/>
        </w:rPr>
        <w:t>1</w:t>
      </w:r>
      <w:r>
        <w:rPr>
          <w:rFonts w:hint="eastAsia"/>
        </w:rPr>
        <w:t>～</w:t>
      </w:r>
      <w:r>
        <w:rPr>
          <w:rFonts w:hint="eastAsia" w:ascii="Times New Roman" w:hAnsi="Times New Roman"/>
        </w:rPr>
        <w:t>2</w:t>
      </w:r>
      <w:r>
        <w:rPr>
          <w:rFonts w:hint="eastAsia"/>
        </w:rPr>
        <w:t>%左右，经过滤器进入麸质浓缩离心机，顶流为工艺水，进入工艺水罐，其固形物含量约为</w:t>
      </w:r>
      <w:r>
        <w:rPr>
          <w:rFonts w:hint="eastAsia" w:ascii="Times New Roman" w:hAnsi="Times New Roman"/>
        </w:rPr>
        <w:t>0</w:t>
      </w:r>
      <w:r>
        <w:rPr>
          <w:rFonts w:hint="eastAsia"/>
        </w:rPr>
        <w:t>.</w:t>
      </w:r>
      <w:r>
        <w:rPr>
          <w:rFonts w:hint="eastAsia" w:ascii="Times New Roman" w:hAnsi="Times New Roman"/>
        </w:rPr>
        <w:t>20</w:t>
      </w:r>
      <w:r>
        <w:rPr>
          <w:rFonts w:hint="eastAsia"/>
        </w:rPr>
        <w:t>～</w:t>
      </w:r>
      <w:r>
        <w:rPr>
          <w:rFonts w:hint="eastAsia" w:ascii="Times New Roman" w:hAnsi="Times New Roman"/>
        </w:rPr>
        <w:t>0</w:t>
      </w:r>
      <w:r>
        <w:rPr>
          <w:rFonts w:hint="eastAsia"/>
        </w:rPr>
        <w:t>.</w:t>
      </w:r>
      <w:r>
        <w:rPr>
          <w:rFonts w:hint="eastAsia" w:ascii="Times New Roman" w:hAnsi="Times New Roman"/>
        </w:rPr>
        <w:t>50</w:t>
      </w:r>
      <w:r>
        <w:rPr>
          <w:rFonts w:hint="eastAsia"/>
        </w:rPr>
        <w:t>%，供胚芽、纤维洗涤用。浓缩后的底流含固形物约为</w:t>
      </w:r>
      <w:r>
        <w:rPr>
          <w:rFonts w:hint="eastAsia" w:ascii="Times New Roman" w:hAnsi="Times New Roman"/>
        </w:rPr>
        <w:t>14</w:t>
      </w:r>
      <w:r>
        <w:rPr>
          <w:rFonts w:hint="eastAsia"/>
        </w:rPr>
        <w:t>%，经真空折袋式过滤机脱水，真空度为</w:t>
      </w:r>
      <w:r>
        <w:rPr>
          <w:rFonts w:hint="eastAsia" w:ascii="Times New Roman" w:hAnsi="Times New Roman"/>
        </w:rPr>
        <w:t>0</w:t>
      </w:r>
      <w:r>
        <w:rPr>
          <w:rFonts w:hint="eastAsia"/>
        </w:rPr>
        <w:t>.</w:t>
      </w:r>
      <w:r>
        <w:rPr>
          <w:rFonts w:hint="eastAsia" w:ascii="Times New Roman" w:hAnsi="Times New Roman"/>
        </w:rPr>
        <w:t>053</w:t>
      </w:r>
      <w:r>
        <w:rPr>
          <w:rFonts w:hint="eastAsia"/>
        </w:rPr>
        <w:t>～</w:t>
      </w:r>
      <w:r>
        <w:rPr>
          <w:rFonts w:hint="eastAsia" w:ascii="Times New Roman" w:hAnsi="Times New Roman"/>
        </w:rPr>
        <w:t>0</w:t>
      </w:r>
      <w:r>
        <w:rPr>
          <w:rFonts w:hint="eastAsia"/>
        </w:rPr>
        <w:t>.</w:t>
      </w:r>
      <w:r>
        <w:rPr>
          <w:rFonts w:hint="eastAsia" w:ascii="Times New Roman" w:hAnsi="Times New Roman"/>
        </w:rPr>
        <w:t>067MPa</w:t>
      </w:r>
      <w:r>
        <w:rPr>
          <w:rFonts w:hint="eastAsia"/>
        </w:rPr>
        <w:t>。得含水</w:t>
      </w:r>
      <w:r>
        <w:rPr>
          <w:rFonts w:hint="eastAsia" w:ascii="Times New Roman" w:hAnsi="Times New Roman"/>
        </w:rPr>
        <w:t>60</w:t>
      </w:r>
      <w:r>
        <w:rPr>
          <w:rFonts w:hint="eastAsia"/>
        </w:rPr>
        <w:t>～</w:t>
      </w:r>
      <w:r>
        <w:rPr>
          <w:rFonts w:hint="eastAsia" w:ascii="Times New Roman" w:hAnsi="Times New Roman"/>
        </w:rPr>
        <w:t>62</w:t>
      </w:r>
      <w:r>
        <w:rPr>
          <w:rFonts w:hint="eastAsia"/>
        </w:rPr>
        <w:t>%的湿蛋白，然后用管束干燥机干燥，干燥废气供浸泡后玉米蒸发工序使用，产品风力输送到包装车间包装出厂。</w:t>
      </w:r>
    </w:p>
    <w:p>
      <w:pPr>
        <w:bidi w:val="0"/>
        <w:rPr>
          <w:rFonts w:hint="eastAsia"/>
        </w:rPr>
      </w:pPr>
      <w:r>
        <w:rPr>
          <w:rFonts w:hint="eastAsia"/>
          <w:lang w:eastAsia="zh-CN"/>
        </w:rPr>
        <w:t>（</w:t>
      </w:r>
      <w:r>
        <w:rPr>
          <w:rFonts w:hint="eastAsia" w:ascii="Times New Roman" w:hAnsi="Times New Roman"/>
          <w:lang w:val="en-US" w:eastAsia="zh-CN"/>
        </w:rPr>
        <w:t>9</w:t>
      </w:r>
      <w:r>
        <w:rPr>
          <w:rFonts w:hint="eastAsia"/>
          <w:lang w:eastAsia="zh-CN"/>
        </w:rPr>
        <w:t>）</w:t>
      </w:r>
      <w:r>
        <w:rPr>
          <w:rFonts w:hint="eastAsia"/>
        </w:rPr>
        <w:t>胚芽洗涤、干燥</w:t>
      </w:r>
    </w:p>
    <w:p>
      <w:pPr>
        <w:bidi w:val="0"/>
        <w:rPr>
          <w:rFonts w:hint="eastAsia"/>
        </w:rPr>
      </w:pPr>
      <w:r>
        <w:rPr>
          <w:rFonts w:hint="eastAsia"/>
        </w:rPr>
        <w:t>从第一级胚芽旋流器顶流分离出的胚芽，经过三级曲筛逆流洗涤，含水</w:t>
      </w:r>
      <w:r>
        <w:rPr>
          <w:rFonts w:hint="eastAsia" w:ascii="Times New Roman" w:hAnsi="Times New Roman"/>
        </w:rPr>
        <w:t>75</w:t>
      </w:r>
      <w:r>
        <w:rPr>
          <w:rFonts w:hint="eastAsia"/>
        </w:rPr>
        <w:t>%，进入胚芽挤压机脱水，经过脱水后的湿胚芽含水约</w:t>
      </w:r>
      <w:r>
        <w:rPr>
          <w:rFonts w:hint="eastAsia" w:ascii="Times New Roman" w:hAnsi="Times New Roman"/>
        </w:rPr>
        <w:t>55</w:t>
      </w:r>
      <w:r>
        <w:rPr>
          <w:rFonts w:hint="eastAsia"/>
        </w:rPr>
        <w:t>%，去管束干燥机干燥，干燥废气供浸泡后玉米蒸发工序使用，干胚芽风送至包装。</w:t>
      </w:r>
    </w:p>
    <w:p>
      <w:pPr>
        <w:bidi w:val="0"/>
        <w:rPr>
          <w:rFonts w:hint="eastAsia"/>
        </w:rPr>
      </w:pPr>
      <w:r>
        <w:rPr>
          <w:rFonts w:hint="eastAsia"/>
          <w:lang w:eastAsia="zh-CN"/>
        </w:rPr>
        <w:t>（</w:t>
      </w:r>
      <w:r>
        <w:rPr>
          <w:rFonts w:hint="eastAsia" w:ascii="Times New Roman" w:hAnsi="Times New Roman"/>
          <w:lang w:val="en-US" w:eastAsia="zh-CN"/>
        </w:rPr>
        <w:t>10</w:t>
      </w:r>
      <w:r>
        <w:rPr>
          <w:rFonts w:hint="eastAsia"/>
          <w:lang w:eastAsia="zh-CN"/>
        </w:rPr>
        <w:t>）</w:t>
      </w:r>
      <w:r>
        <w:rPr>
          <w:rFonts w:hint="eastAsia"/>
        </w:rPr>
        <w:t>玉米浆蒸发</w:t>
      </w:r>
    </w:p>
    <w:p>
      <w:pPr>
        <w:bidi w:val="0"/>
        <w:rPr>
          <w:rFonts w:hint="eastAsia"/>
        </w:rPr>
      </w:pPr>
      <w:r>
        <w:rPr>
          <w:rFonts w:hint="eastAsia"/>
        </w:rPr>
        <w:t>将含固形物</w:t>
      </w:r>
      <w:r>
        <w:rPr>
          <w:rFonts w:hint="eastAsia" w:ascii="Times New Roman" w:hAnsi="Times New Roman"/>
        </w:rPr>
        <w:t>5</w:t>
      </w:r>
      <w:r>
        <w:rPr>
          <w:rFonts w:hint="eastAsia"/>
        </w:rPr>
        <w:t>～</w:t>
      </w:r>
      <w:r>
        <w:rPr>
          <w:rFonts w:hint="eastAsia" w:ascii="Times New Roman" w:hAnsi="Times New Roman"/>
        </w:rPr>
        <w:t>9</w:t>
      </w:r>
      <w:r>
        <w:rPr>
          <w:rFonts w:hint="eastAsia"/>
        </w:rPr>
        <w:t>%的稀玉米浆，经过五效半蒸发系统，浓缩到含固形物</w:t>
      </w:r>
      <w:r>
        <w:rPr>
          <w:rFonts w:hint="eastAsia" w:ascii="Times New Roman" w:hAnsi="Times New Roman"/>
        </w:rPr>
        <w:t>45</w:t>
      </w:r>
      <w:r>
        <w:rPr>
          <w:rFonts w:hint="eastAsia"/>
        </w:rPr>
        <w:t>～</w:t>
      </w:r>
      <w:r>
        <w:rPr>
          <w:rFonts w:hint="eastAsia" w:ascii="Times New Roman" w:hAnsi="Times New Roman"/>
        </w:rPr>
        <w:t>50</w:t>
      </w:r>
      <w:r>
        <w:rPr>
          <w:rFonts w:hint="eastAsia"/>
        </w:rPr>
        <w:t>%，加入纤维中一起干燥后作为副产品。</w:t>
      </w:r>
    </w:p>
    <w:p>
      <w:pPr>
        <w:bidi w:val="0"/>
        <w:rPr>
          <w:rFonts w:hint="eastAsia"/>
        </w:rPr>
      </w:pPr>
      <w:r>
        <w:rPr>
          <w:rFonts w:hint="eastAsia"/>
          <w:lang w:eastAsia="zh-CN"/>
        </w:rPr>
        <w:t>（</w:t>
      </w:r>
      <w:r>
        <w:rPr>
          <w:rFonts w:hint="eastAsia" w:ascii="Times New Roman" w:hAnsi="Times New Roman"/>
          <w:lang w:val="en-US" w:eastAsia="zh-CN"/>
        </w:rPr>
        <w:t>11</w:t>
      </w:r>
      <w:r>
        <w:rPr>
          <w:rFonts w:hint="eastAsia"/>
          <w:lang w:eastAsia="zh-CN"/>
        </w:rPr>
        <w:t>）</w:t>
      </w:r>
      <w:r>
        <w:rPr>
          <w:rFonts w:hint="eastAsia"/>
        </w:rPr>
        <w:t>纤维饲料干燥</w:t>
      </w:r>
    </w:p>
    <w:p>
      <w:pPr>
        <w:bidi w:val="0"/>
        <w:rPr>
          <w:rFonts w:hint="eastAsia"/>
        </w:rPr>
      </w:pPr>
      <w:r>
        <w:rPr>
          <w:rFonts w:hint="eastAsia"/>
        </w:rPr>
        <w:t>湿纤维、碎玉米、玉米浆混合后进入管束干燥机干燥，干燥后经风力输送到包装车间。干燥废气供浸泡后玉米蒸发工序使用。</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2DN</w:t>
      </w:r>
      <w:r>
        <w:rPr>
          <w:rFonts w:hint="eastAsia"/>
          <w:lang w:val="en-US" w:eastAsia="zh-CN"/>
        </w:rPr>
        <w:t>溶液制取</w:t>
      </w:r>
    </w:p>
    <w:p>
      <w:pPr>
        <w:bidi w:val="0"/>
        <w:rPr>
          <w:rFonts w:hint="eastAsia"/>
          <w:lang w:val="en-US" w:eastAsia="zh-CN"/>
        </w:rPr>
      </w:pPr>
      <w:r>
        <w:rPr>
          <w:rFonts w:hint="eastAsia"/>
          <w:lang w:eastAsia="zh-CN"/>
        </w:rPr>
        <w:t>上游淀粉车间生产的淀粉乳连续进入糖浆车间淀粉乳储罐，其浓度为</w:t>
      </w:r>
      <w:r>
        <w:rPr>
          <w:rFonts w:hint="eastAsia" w:ascii="Times New Roman" w:hAnsi="Times New Roman"/>
          <w:lang w:val="en-US" w:eastAsia="zh-CN"/>
        </w:rPr>
        <w:t>19</w:t>
      </w:r>
      <w:r>
        <w:rPr>
          <w:rFonts w:hint="eastAsia"/>
          <w:lang w:val="en-US" w:eastAsia="zh-CN"/>
        </w:rPr>
        <w:t>.</w:t>
      </w:r>
      <w:r>
        <w:rPr>
          <w:rFonts w:hint="eastAsia" w:ascii="Times New Roman" w:hAnsi="Times New Roman"/>
          <w:lang w:val="en-US" w:eastAsia="zh-CN"/>
        </w:rPr>
        <w:t>4Be</w:t>
      </w:r>
      <w:r>
        <w:rPr>
          <w:rFonts w:hint="eastAsia"/>
          <w:lang w:val="en-US" w:eastAsia="zh-CN"/>
        </w:rPr>
        <w:t>，淀粉乳的温度约为</w:t>
      </w:r>
      <w:r>
        <w:rPr>
          <w:rFonts w:hint="eastAsia" w:ascii="Times New Roman" w:hAnsi="Times New Roman"/>
          <w:lang w:val="en-US" w:eastAsia="zh-CN"/>
        </w:rPr>
        <w:t>40</w:t>
      </w:r>
      <w:r>
        <w:rPr>
          <w:rFonts w:hint="eastAsia"/>
          <w:lang w:val="en-US" w:eastAsia="zh-CN"/>
        </w:rPr>
        <w:t>℃，通过输送泵把淀粉乳输送到制备罐中搅拌均匀。调配好的淀粉乳输送到一次喷射系统，瞬间将淀粉乳加热到</w:t>
      </w:r>
      <w:r>
        <w:rPr>
          <w:rFonts w:hint="eastAsia" w:ascii="Times New Roman" w:hAnsi="Times New Roman"/>
          <w:lang w:val="en-US" w:eastAsia="zh-CN"/>
        </w:rPr>
        <w:t>105</w:t>
      </w:r>
      <w:r>
        <w:rPr>
          <w:rFonts w:hint="eastAsia"/>
          <w:lang w:val="en-US" w:eastAsia="zh-CN"/>
        </w:rPr>
        <w:t>℃，经闪冷后淀粉冷却到约</w:t>
      </w:r>
      <w:r>
        <w:rPr>
          <w:rFonts w:hint="eastAsia" w:ascii="Times New Roman" w:hAnsi="Times New Roman"/>
          <w:lang w:val="en-US" w:eastAsia="zh-CN"/>
        </w:rPr>
        <w:t>95</w:t>
      </w:r>
      <w:r>
        <w:rPr>
          <w:rFonts w:hint="eastAsia"/>
          <w:lang w:val="en-US" w:eastAsia="zh-CN"/>
        </w:rPr>
        <w:t>℃，通过离心泵输送液化到维持罐，维持</w:t>
      </w:r>
      <w:r>
        <w:rPr>
          <w:rFonts w:hint="eastAsia" w:ascii="Times New Roman" w:hAnsi="Times New Roman"/>
          <w:lang w:val="en-US" w:eastAsia="zh-CN"/>
        </w:rPr>
        <w:t>90</w:t>
      </w:r>
      <w:r>
        <w:rPr>
          <w:rFonts w:hint="eastAsia"/>
          <w:lang w:val="en-US" w:eastAsia="zh-CN"/>
        </w:rPr>
        <w:t>分钟以上。维持罐的液化液经过泵输送到二次二次喷射蒸煮系统保持温度在</w:t>
      </w:r>
      <w:r>
        <w:rPr>
          <w:rFonts w:hint="eastAsia" w:ascii="Times New Roman" w:hAnsi="Times New Roman"/>
          <w:lang w:val="en-US" w:eastAsia="zh-CN"/>
        </w:rPr>
        <w:t>120</w:t>
      </w:r>
      <w:r>
        <w:rPr>
          <w:rFonts w:hint="eastAsia"/>
          <w:lang w:val="en-US" w:eastAsia="zh-CN"/>
        </w:rPr>
        <w:t>～</w:t>
      </w:r>
      <w:r>
        <w:rPr>
          <w:rFonts w:hint="eastAsia" w:ascii="Times New Roman" w:hAnsi="Times New Roman"/>
          <w:lang w:val="en-US" w:eastAsia="zh-CN"/>
        </w:rPr>
        <w:t>145</w:t>
      </w:r>
      <w:r>
        <w:rPr>
          <w:rFonts w:hint="eastAsia"/>
          <w:lang w:val="en-US" w:eastAsia="zh-CN"/>
        </w:rPr>
        <w:t>℃范围，再经过二次闪冷罐闪急冷却到</w:t>
      </w:r>
      <w:r>
        <w:rPr>
          <w:rFonts w:hint="eastAsia" w:ascii="Times New Roman" w:hAnsi="Times New Roman"/>
          <w:lang w:val="en-US" w:eastAsia="zh-CN"/>
        </w:rPr>
        <w:t>95</w:t>
      </w:r>
      <w:r>
        <w:rPr>
          <w:rFonts w:hint="eastAsia"/>
          <w:lang w:val="en-US" w:eastAsia="zh-CN"/>
        </w:rPr>
        <w:t>℃，完成淀粉的“液化”过程。</w:t>
      </w:r>
    </w:p>
    <w:p>
      <w:pPr>
        <w:bidi w:val="0"/>
        <w:rPr>
          <w:rFonts w:hint="eastAsia"/>
          <w:lang w:val="en-US" w:eastAsia="zh-CN"/>
        </w:rPr>
      </w:pPr>
      <w:r>
        <w:rPr>
          <w:rFonts w:hint="eastAsia"/>
          <w:lang w:val="en-US" w:eastAsia="zh-CN"/>
        </w:rPr>
        <w:t>浆液化液输送到到淀粉酶调配罐，加入复合糖化酶，通过泵把液化液送至三次闪罐，在通过真空冷却到约</w:t>
      </w:r>
      <w:r>
        <w:rPr>
          <w:rFonts w:hint="eastAsia" w:ascii="Times New Roman" w:hAnsi="Times New Roman"/>
          <w:lang w:val="en-US" w:eastAsia="zh-CN"/>
        </w:rPr>
        <w:t>62</w:t>
      </w:r>
      <w:r>
        <w:rPr>
          <w:rFonts w:hint="eastAsia"/>
          <w:lang w:val="en-US" w:eastAsia="zh-CN"/>
        </w:rPr>
        <w:t>℃，离心泵输送液化液去糖化糖化罐“糖化”。经过</w:t>
      </w:r>
      <w:r>
        <w:rPr>
          <w:rFonts w:hint="eastAsia" w:ascii="Times New Roman" w:hAnsi="Times New Roman"/>
          <w:lang w:val="en-US" w:eastAsia="zh-CN"/>
        </w:rPr>
        <w:t>48</w:t>
      </w:r>
      <w:r>
        <w:rPr>
          <w:rFonts w:hint="eastAsia"/>
          <w:lang w:val="en-US" w:eastAsia="zh-CN"/>
        </w:rPr>
        <w:t xml:space="preserve"> 小时</w:t>
      </w:r>
      <w:r>
        <w:rPr>
          <w:rFonts w:hint="eastAsia" w:ascii="Times New Roman" w:hAnsi="Times New Roman"/>
          <w:lang w:val="en-US" w:eastAsia="zh-CN"/>
        </w:rPr>
        <w:t>DE</w:t>
      </w:r>
      <w:r>
        <w:rPr>
          <w:rFonts w:hint="eastAsia"/>
          <w:lang w:val="en-US" w:eastAsia="zh-CN"/>
        </w:rPr>
        <w:t>值达到</w:t>
      </w:r>
      <w:r>
        <w:rPr>
          <w:rFonts w:hint="eastAsia" w:ascii="Times New Roman" w:hAnsi="Times New Roman"/>
          <w:lang w:val="en-US" w:eastAsia="zh-CN"/>
        </w:rPr>
        <w:t>98</w:t>
      </w:r>
      <w:r>
        <w:rPr>
          <w:rFonts w:hint="eastAsia"/>
          <w:lang w:val="en-US" w:eastAsia="zh-CN"/>
        </w:rPr>
        <w:t>%后，糖化完成。</w:t>
      </w:r>
    </w:p>
    <w:p>
      <w:pPr>
        <w:bidi w:val="0"/>
        <w:rPr>
          <w:rFonts w:hint="eastAsia"/>
          <w:lang w:val="en-US" w:eastAsia="zh-CN"/>
        </w:rPr>
      </w:pPr>
      <w:r>
        <w:rPr>
          <w:rFonts w:hint="eastAsia"/>
          <w:lang w:val="en-US" w:eastAsia="zh-CN"/>
        </w:rPr>
        <w:t xml:space="preserve">糖化液经过板框过滤机过滤不可溶蛋白，输送至玉米蛋白干燥工序，一起干燥处理。过滤后的糖液经泵送到蒸发装置，糖液浓缩 </w:t>
      </w:r>
      <w:r>
        <w:rPr>
          <w:rFonts w:hint="eastAsia" w:ascii="Times New Roman" w:hAnsi="Times New Roman"/>
          <w:lang w:val="en-US" w:eastAsia="zh-CN"/>
        </w:rPr>
        <w:t>70</w:t>
      </w:r>
      <w:r>
        <w:rPr>
          <w:rFonts w:hint="eastAsia"/>
          <w:lang w:val="en-US" w:eastAsia="zh-CN"/>
        </w:rPr>
        <w:t>%后，通过泵将浓缩后的物料排到成品罐，作为</w:t>
      </w:r>
      <w:r>
        <w:rPr>
          <w:rFonts w:hint="eastAsia" w:ascii="Times New Roman" w:hAnsi="Times New Roman"/>
          <w:lang w:val="en-US" w:eastAsia="zh-CN"/>
        </w:rPr>
        <w:t>DN</w:t>
      </w:r>
      <w:r>
        <w:rPr>
          <w:rFonts w:hint="eastAsia"/>
          <w:lang w:val="en-US" w:eastAsia="zh-CN"/>
        </w:rPr>
        <w:t>溶液发酵的原料。</w:t>
      </w:r>
    </w:p>
    <w:p>
      <w:pPr>
        <w:bidi w:val="0"/>
        <w:rPr>
          <w:rFonts w:hint="eastAsia"/>
          <w:lang w:val="en-US" w:eastAsia="zh-CN"/>
        </w:rPr>
      </w:pPr>
      <w:r>
        <w:rPr>
          <w:rFonts w:hint="eastAsia"/>
          <w:lang w:val="en-US" w:eastAsia="zh-CN"/>
        </w:rPr>
        <w:t>发酵采用的培养基主要是葡萄糖、硫酸铵、液氨，还有部分磷酸盐、氯化钾等一些无机盐等。发酵过程采用三级发酵，分别为一级种子罐、二级种子罐、发酵罐。将甘油管种子活化后接入装有培养基的一级种子罐进行培养，调整合适的转速和风量，保持过程发酵液的溶氧在</w:t>
      </w:r>
      <w:r>
        <w:rPr>
          <w:rFonts w:hint="eastAsia" w:ascii="Times New Roman" w:hAnsi="Times New Roman"/>
          <w:lang w:val="en-US" w:eastAsia="zh-CN"/>
        </w:rPr>
        <w:t>20</w:t>
      </w:r>
      <w:r>
        <w:rPr>
          <w:rFonts w:hint="eastAsia"/>
          <w:lang w:val="en-US" w:eastAsia="zh-CN"/>
        </w:rPr>
        <w:t>%以上，培养时间</w:t>
      </w:r>
      <w:r>
        <w:rPr>
          <w:rFonts w:hint="eastAsia" w:ascii="Times New Roman" w:hAnsi="Times New Roman"/>
          <w:lang w:val="en-US" w:eastAsia="zh-CN"/>
        </w:rPr>
        <w:t>24</w:t>
      </w:r>
      <w:r>
        <w:rPr>
          <w:rFonts w:hint="eastAsia"/>
          <w:lang w:val="en-US" w:eastAsia="zh-CN"/>
        </w:rPr>
        <w:t>～</w:t>
      </w:r>
      <w:r>
        <w:rPr>
          <w:rFonts w:hint="eastAsia" w:ascii="Times New Roman" w:hAnsi="Times New Roman"/>
          <w:lang w:val="en-US" w:eastAsia="zh-CN"/>
        </w:rPr>
        <w:t>30h</w:t>
      </w:r>
      <w:r>
        <w:rPr>
          <w:rFonts w:hint="eastAsia"/>
          <w:lang w:val="en-US" w:eastAsia="zh-CN"/>
        </w:rPr>
        <w:t xml:space="preserve">。培养成熟的种子接到装有培养基的二级种子罐进行培养，调整合适的转速和风量，保持过程发酵液的溶氧在 </w:t>
      </w:r>
      <w:r>
        <w:rPr>
          <w:rFonts w:hint="eastAsia" w:ascii="Times New Roman" w:hAnsi="Times New Roman"/>
          <w:lang w:val="en-US" w:eastAsia="zh-CN"/>
        </w:rPr>
        <w:t>20</w:t>
      </w:r>
      <w:r>
        <w:rPr>
          <w:rFonts w:hint="eastAsia"/>
          <w:lang w:val="en-US" w:eastAsia="zh-CN"/>
        </w:rPr>
        <w:t>%以上，培养时间</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12h</w:t>
      </w:r>
      <w:r>
        <w:rPr>
          <w:rFonts w:hint="eastAsia"/>
          <w:lang w:val="en-US" w:eastAsia="zh-CN"/>
        </w:rPr>
        <w:t xml:space="preserve">，当种子处于对数生长期，将二级种子罐种子接入装有培养基的发酵罐进行发酵，发酵过程中调整合适的转速和风量，保持过程发酵液的溶氧在 </w:t>
      </w:r>
      <w:r>
        <w:rPr>
          <w:rFonts w:hint="eastAsia" w:ascii="Times New Roman" w:hAnsi="Times New Roman"/>
          <w:lang w:val="en-US" w:eastAsia="zh-CN"/>
        </w:rPr>
        <w:t>20</w:t>
      </w:r>
      <w:r>
        <w:rPr>
          <w:rFonts w:hint="eastAsia"/>
          <w:lang w:val="en-US" w:eastAsia="zh-CN"/>
        </w:rPr>
        <w:t>%以上，过程中流加葡萄糖和硫酸铵，发酵过程中的</w:t>
      </w:r>
      <w:r>
        <w:rPr>
          <w:rFonts w:hint="eastAsia" w:ascii="Times New Roman" w:hAnsi="Times New Roman"/>
          <w:lang w:val="en-US" w:eastAsia="zh-CN"/>
        </w:rPr>
        <w:t>pH</w:t>
      </w:r>
      <w:r>
        <w:rPr>
          <w:rFonts w:hint="eastAsia"/>
          <w:lang w:val="en-US" w:eastAsia="zh-CN"/>
        </w:rPr>
        <w:t>通过液氨调节。随着发酵的进行，当发酵液残糖低于</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5</w:t>
      </w:r>
      <w:r>
        <w:rPr>
          <w:rFonts w:hint="eastAsia"/>
          <w:lang w:val="en-US" w:eastAsia="zh-CN"/>
        </w:rPr>
        <w:t>%，继续发酵一段时间，降低残糖，结束发酵。</w:t>
      </w:r>
    </w:p>
    <w:p>
      <w:pPr>
        <w:bidi w:val="0"/>
        <w:rPr>
          <w:rFonts w:hint="eastAsia"/>
          <w:lang w:val="en-US" w:eastAsia="zh-CN"/>
        </w:rPr>
      </w:pPr>
      <w:r>
        <w:rPr>
          <w:rFonts w:hint="eastAsia"/>
          <w:lang w:val="en-US" w:eastAsia="zh-CN"/>
        </w:rPr>
        <w:t>将发酵液中的</w:t>
      </w:r>
      <w:r>
        <w:rPr>
          <w:rFonts w:hint="eastAsia" w:ascii="Times New Roman" w:hAnsi="Times New Roman"/>
          <w:lang w:val="en-US" w:eastAsia="zh-CN"/>
        </w:rPr>
        <w:t>DN</w:t>
      </w:r>
      <w:r>
        <w:rPr>
          <w:rFonts w:hint="eastAsia"/>
          <w:lang w:val="en-US" w:eastAsia="zh-CN"/>
        </w:rPr>
        <w:t>溶液进行纯化，主要步骤为除菌、蒸发和精馏工序。</w:t>
      </w:r>
    </w:p>
    <w:p>
      <w:pPr>
        <w:bidi w:val="0"/>
        <w:rPr>
          <w:rFonts w:hint="eastAsia"/>
          <w:lang w:val="en-US" w:eastAsia="zh-CN"/>
        </w:rPr>
      </w:pPr>
      <w:r>
        <w:rPr>
          <w:rFonts w:hint="eastAsia" w:ascii="Times New Roman" w:hAnsi="Times New Roman"/>
          <w:lang w:val="en-US" w:eastAsia="zh-CN"/>
        </w:rPr>
        <w:t>DN</w:t>
      </w:r>
      <w:r>
        <w:rPr>
          <w:rFonts w:hint="eastAsia"/>
          <w:lang w:val="en-US" w:eastAsia="zh-CN"/>
        </w:rPr>
        <w:t>溶液菌体的去除主要通过在发酵液中添加絮凝剂，然后通过板框实现固、液分离。过滤后的絮凝剂添加碳酸氢铵、氨和水进行反应，产生的硫酸铵回用于发酵工序，产生的絮凝剂通过回转窑煅烧工艺再生。煅烧采用烘干、预热、煅烧一体的长回转窑，将物料煅烧成合格的高活性的石灰。煅烧燃料采用煤，煅烧烟气经脱硫脱硝除尘处理后排放。</w:t>
      </w:r>
    </w:p>
    <w:p>
      <w:pPr>
        <w:bidi w:val="0"/>
        <w:rPr>
          <w:rFonts w:hint="eastAsia"/>
          <w:lang w:val="en-US" w:eastAsia="zh-CN"/>
        </w:rPr>
      </w:pPr>
      <w:r>
        <w:rPr>
          <w:rFonts w:hint="eastAsia"/>
          <w:lang w:val="en-US" w:eastAsia="zh-CN"/>
        </w:rPr>
        <w:t>经过除菌的粗</w:t>
      </w:r>
      <w:r>
        <w:rPr>
          <w:rFonts w:hint="eastAsia" w:ascii="Times New Roman" w:hAnsi="Times New Roman"/>
          <w:lang w:val="en-US" w:eastAsia="zh-CN"/>
        </w:rPr>
        <w:t>DN</w:t>
      </w:r>
      <w:r>
        <w:rPr>
          <w:rFonts w:hint="eastAsia"/>
          <w:lang w:val="en-US" w:eastAsia="zh-CN"/>
        </w:rPr>
        <w:t>溶液经过多效蒸发进一步浓缩，除去液体中的水分。</w:t>
      </w:r>
    </w:p>
    <w:p>
      <w:pPr>
        <w:bidi w:val="0"/>
        <w:rPr>
          <w:rFonts w:hint="eastAsia"/>
          <w:lang w:val="en-US" w:eastAsia="zh-CN"/>
        </w:rPr>
      </w:pPr>
      <w:r>
        <w:rPr>
          <w:rFonts w:hint="eastAsia"/>
          <w:lang w:val="en-US" w:eastAsia="zh-CN"/>
        </w:rPr>
        <w:t>对蒸发后的</w:t>
      </w:r>
      <w:r>
        <w:rPr>
          <w:rFonts w:hint="eastAsia" w:ascii="Times New Roman" w:hAnsi="Times New Roman"/>
          <w:lang w:val="en-US" w:eastAsia="zh-CN"/>
        </w:rPr>
        <w:t>DN</w:t>
      </w:r>
      <w:r>
        <w:rPr>
          <w:rFonts w:hint="eastAsia"/>
          <w:lang w:val="en-US" w:eastAsia="zh-CN"/>
        </w:rPr>
        <w:t>溶液的原料液进行精馏。先将原料送入脱水塔，轻组分从塔顶蒸出，经冷凝器后部分作为回流液，其余部分送出界区去污水处理。浓缩液经釜液采出泵送出，送往脱重塔。</w:t>
      </w:r>
    </w:p>
    <w:p>
      <w:pPr>
        <w:bidi w:val="0"/>
        <w:rPr>
          <w:rFonts w:hint="eastAsia"/>
          <w:lang w:val="en-US" w:eastAsia="zh-CN"/>
        </w:rPr>
      </w:pPr>
      <w:r>
        <w:rPr>
          <w:rFonts w:hint="eastAsia"/>
          <w:lang w:val="en-US" w:eastAsia="zh-CN"/>
        </w:rPr>
        <w:t>精</w:t>
      </w:r>
      <w:r>
        <w:rPr>
          <w:rFonts w:hint="eastAsia" w:ascii="Times New Roman" w:hAnsi="Times New Roman"/>
          <w:lang w:val="en-US" w:eastAsia="zh-CN"/>
        </w:rPr>
        <w:t>DN</w:t>
      </w:r>
      <w:r>
        <w:rPr>
          <w:rFonts w:hint="eastAsia"/>
          <w:lang w:val="en-US" w:eastAsia="zh-CN"/>
        </w:rPr>
        <w:t>溶液从脱重塔塔顶蒸出，经冷凝后凝液进入回流罐部分作为回流液，浓缩后的重组分杂质，通过塔釜循环泵出口管线上采出，连续地送往已经氮封的产品罐。</w:t>
      </w:r>
    </w:p>
    <w:p>
      <w:pPr>
        <w:bidi w:val="0"/>
        <w:rPr>
          <w:rFonts w:hint="default" w:eastAsia="宋体"/>
          <w:lang w:val="en-US" w:eastAsia="zh-CN"/>
        </w:rPr>
      </w:pPr>
      <w:r>
        <w:rPr>
          <w:rFonts w:hint="eastAsia"/>
          <w:lang w:val="en-US" w:eastAsia="zh-CN"/>
        </w:rPr>
        <w:t>轻组分自脱轻塔塔顶蒸出，进入冷凝器后经回流泵送出，作为回流液送回到塔顶。脱除轻组分后的釜液经釜液采出泵送入产品塔进行脱重，精</w:t>
      </w:r>
      <w:r>
        <w:rPr>
          <w:rFonts w:hint="eastAsia" w:ascii="Times New Roman" w:hAnsi="Times New Roman"/>
          <w:lang w:val="en-US" w:eastAsia="zh-CN"/>
        </w:rPr>
        <w:t>DN</w:t>
      </w:r>
      <w:r>
        <w:rPr>
          <w:rFonts w:hint="eastAsia"/>
          <w:lang w:val="en-US" w:eastAsia="zh-CN"/>
        </w:rPr>
        <w:t>溶液从产品塔塔顶蒸出经冷凝器后为</w:t>
      </w:r>
      <w:r>
        <w:rPr>
          <w:rFonts w:hint="eastAsia" w:ascii="Times New Roman" w:hAnsi="Times New Roman"/>
          <w:lang w:val="en-US" w:eastAsia="zh-CN"/>
        </w:rPr>
        <w:t>DN</w:t>
      </w:r>
      <w:r>
        <w:rPr>
          <w:rFonts w:hint="eastAsia"/>
          <w:lang w:val="en-US" w:eastAsia="zh-CN"/>
        </w:rPr>
        <w:t>溶液产品。</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生物基聚酰胺制取</w:t>
      </w:r>
    </w:p>
    <w:p>
      <w:pPr>
        <w:bidi w:val="0"/>
        <w:rPr>
          <w:rFonts w:hint="eastAsia"/>
        </w:rPr>
      </w:pPr>
      <w:r>
        <w:rPr>
          <w:rFonts w:hint="eastAsia"/>
          <w:lang w:eastAsia="zh-CN"/>
        </w:rPr>
        <w:t>现有工程</w:t>
      </w:r>
      <w:r>
        <w:rPr>
          <w:rFonts w:hint="eastAsia"/>
        </w:rPr>
        <w:t>年产</w:t>
      </w:r>
      <w:r>
        <w:rPr>
          <w:rFonts w:hint="eastAsia" w:ascii="Times New Roman" w:hAnsi="Times New Roman"/>
        </w:rPr>
        <w:t>10</w:t>
      </w:r>
      <w:r>
        <w:rPr>
          <w:rFonts w:hint="eastAsia"/>
        </w:rPr>
        <w:t>万吨生物基聚酰胺</w:t>
      </w:r>
      <w:r>
        <w:rPr>
          <w:rFonts w:hint="eastAsia" w:ascii="Times New Roman" w:hAnsi="Times New Roman"/>
        </w:rPr>
        <w:t>56</w:t>
      </w:r>
      <w:r>
        <w:rPr>
          <w:rFonts w:hint="eastAsia"/>
        </w:rPr>
        <w:t>，其中间歇线产能为</w:t>
      </w:r>
      <w:r>
        <w:rPr>
          <w:rFonts w:hint="eastAsia" w:ascii="Times New Roman" w:hAnsi="Times New Roman"/>
        </w:rPr>
        <w:t>7</w:t>
      </w:r>
      <w:r>
        <w:rPr>
          <w:rFonts w:hint="eastAsia"/>
        </w:rPr>
        <w:t>万吨，连续线产能为</w:t>
      </w:r>
      <w:r>
        <w:rPr>
          <w:rFonts w:hint="eastAsia" w:ascii="Times New Roman" w:hAnsi="Times New Roman"/>
        </w:rPr>
        <w:t>3</w:t>
      </w:r>
      <w:r>
        <w:rPr>
          <w:rFonts w:hint="eastAsia"/>
        </w:rPr>
        <w:t>万吨，与连续线配套年产</w:t>
      </w:r>
      <w:r>
        <w:rPr>
          <w:rFonts w:hint="eastAsia" w:ascii="Times New Roman" w:hAnsi="Times New Roman"/>
        </w:rPr>
        <w:t>3</w:t>
      </w:r>
      <w:r>
        <w:rPr>
          <w:rFonts w:hint="eastAsia"/>
        </w:rPr>
        <w:t>万吨短纤项目</w:t>
      </w:r>
      <w:r>
        <w:rPr>
          <w:rFonts w:hint="eastAsia"/>
          <w:lang w:eastAsia="zh-CN"/>
        </w:rPr>
        <w:t>（未建）</w:t>
      </w:r>
      <w:r>
        <w:rPr>
          <w:rFonts w:hint="eastAsia"/>
        </w:rPr>
        <w:t>。</w:t>
      </w:r>
    </w:p>
    <w:p>
      <w:pPr>
        <w:bidi w:val="0"/>
        <w:rPr>
          <w:rFonts w:hint="eastAsia"/>
        </w:rPr>
      </w:pPr>
      <w:r>
        <w:rPr>
          <w:rFonts w:hint="eastAsia"/>
          <w:lang w:eastAsia="zh-CN"/>
        </w:rPr>
        <w:t>（</w:t>
      </w:r>
      <w:r>
        <w:rPr>
          <w:rFonts w:hint="eastAsia" w:ascii="Times New Roman" w:hAnsi="Times New Roman"/>
          <w:lang w:val="en-US" w:eastAsia="zh-CN"/>
        </w:rPr>
        <w:t>1</w:t>
      </w:r>
      <w:r>
        <w:rPr>
          <w:rFonts w:hint="eastAsia"/>
          <w:lang w:eastAsia="zh-CN"/>
        </w:rPr>
        <w:t>）</w:t>
      </w:r>
      <w:r>
        <w:rPr>
          <w:rFonts w:hint="eastAsia"/>
        </w:rPr>
        <w:t>成盐生产工艺概述</w:t>
      </w:r>
    </w:p>
    <w:p>
      <w:pPr>
        <w:bidi w:val="0"/>
        <w:rPr>
          <w:rFonts w:hint="eastAsia"/>
        </w:rPr>
      </w:pPr>
      <w:r>
        <w:rPr>
          <w:rFonts w:hint="eastAsia"/>
          <w:lang w:eastAsia="zh-CN"/>
        </w:rPr>
        <w:t>将</w:t>
      </w:r>
      <w:r>
        <w:rPr>
          <w:rFonts w:hint="eastAsia"/>
        </w:rPr>
        <w:t>来自上游的</w:t>
      </w:r>
      <w:r>
        <w:rPr>
          <w:rFonts w:hint="eastAsia"/>
          <w:lang w:eastAsia="zh-CN"/>
        </w:rPr>
        <w:t>精</w:t>
      </w:r>
      <w:r>
        <w:rPr>
          <w:rFonts w:hint="eastAsia" w:ascii="Times New Roman" w:hAnsi="Times New Roman"/>
          <w:lang w:eastAsia="zh-CN"/>
        </w:rPr>
        <w:t>DN</w:t>
      </w:r>
      <w:r>
        <w:rPr>
          <w:rFonts w:hint="eastAsia"/>
          <w:lang w:eastAsia="zh-CN"/>
        </w:rPr>
        <w:t>溶液</w:t>
      </w:r>
      <w:r>
        <w:rPr>
          <w:rFonts w:hint="eastAsia"/>
        </w:rPr>
        <w:t>和采购的己二酸加入水中，在常压和温度</w:t>
      </w:r>
      <w:r>
        <w:rPr>
          <w:rFonts w:hint="eastAsia" w:ascii="Times New Roman" w:hAnsi="Times New Roman"/>
        </w:rPr>
        <w:t>50</w:t>
      </w:r>
      <w:r>
        <w:rPr>
          <w:rFonts w:hint="eastAsia"/>
        </w:rPr>
        <w:t>～</w:t>
      </w:r>
      <w:r>
        <w:rPr>
          <w:rFonts w:hint="eastAsia" w:ascii="Times New Roman" w:hAnsi="Times New Roman"/>
        </w:rPr>
        <w:t>60</w:t>
      </w:r>
      <w:r>
        <w:rPr>
          <w:rFonts w:hint="eastAsia"/>
        </w:rPr>
        <w:t>℃下，按照比例混合成盐溶液，以备下游聚合使用。</w:t>
      </w:r>
    </w:p>
    <w:p>
      <w:pPr>
        <w:bidi w:val="0"/>
        <w:rPr>
          <w:rFonts w:hint="eastAsia"/>
        </w:rPr>
      </w:pPr>
      <w:r>
        <w:rPr>
          <w:rFonts w:hint="eastAsia"/>
          <w:lang w:eastAsia="zh-CN"/>
        </w:rPr>
        <w:t>（</w:t>
      </w:r>
      <w:r>
        <w:rPr>
          <w:rFonts w:hint="eastAsia" w:ascii="Times New Roman" w:hAnsi="Times New Roman"/>
          <w:lang w:val="en-US" w:eastAsia="zh-CN"/>
        </w:rPr>
        <w:t>2</w:t>
      </w:r>
      <w:r>
        <w:rPr>
          <w:rFonts w:hint="eastAsia"/>
          <w:lang w:eastAsia="zh-CN"/>
        </w:rPr>
        <w:t>）</w:t>
      </w:r>
      <w:r>
        <w:rPr>
          <w:rFonts w:hint="eastAsia"/>
        </w:rPr>
        <w:t>间歇生产线工艺概述</w:t>
      </w:r>
    </w:p>
    <w:p>
      <w:pPr>
        <w:bidi w:val="0"/>
        <w:rPr>
          <w:rFonts w:hint="eastAsia"/>
        </w:rPr>
      </w:pPr>
      <w:r>
        <w:rPr>
          <w:rFonts w:hint="eastAsia"/>
        </w:rPr>
        <w:t>将调配好的</w:t>
      </w:r>
      <w:r>
        <w:rPr>
          <w:rFonts w:hint="eastAsia"/>
          <w:lang w:eastAsia="zh-CN"/>
        </w:rPr>
        <w:t>精</w:t>
      </w:r>
      <w:r>
        <w:rPr>
          <w:rFonts w:hint="eastAsia" w:ascii="Times New Roman" w:hAnsi="Times New Roman"/>
          <w:lang w:eastAsia="zh-CN"/>
        </w:rPr>
        <w:t>DN</w:t>
      </w:r>
      <w:r>
        <w:rPr>
          <w:rFonts w:hint="eastAsia"/>
          <w:lang w:eastAsia="zh-CN"/>
        </w:rPr>
        <w:t>溶液</w:t>
      </w:r>
      <w:r>
        <w:rPr>
          <w:rFonts w:hint="eastAsia"/>
        </w:rPr>
        <w:t>和二元酸混合物加热至</w:t>
      </w:r>
      <w:r>
        <w:rPr>
          <w:rFonts w:hint="eastAsia" w:ascii="Times New Roman" w:hAnsi="Times New Roman"/>
        </w:rPr>
        <w:t>120</w:t>
      </w:r>
      <w:r>
        <w:rPr>
          <w:rFonts w:hint="eastAsia"/>
        </w:rPr>
        <w:t>℃以上，将物料进行浓缩，浓缩到</w:t>
      </w:r>
      <w:r>
        <w:rPr>
          <w:rFonts w:hint="eastAsia" w:ascii="Times New Roman" w:hAnsi="Times New Roman"/>
        </w:rPr>
        <w:t>80</w:t>
      </w:r>
      <w:r>
        <w:rPr>
          <w:rFonts w:hint="eastAsia"/>
        </w:rPr>
        <w:t>%左右，向反应器供料，进行聚合，聚合的温度最高达到</w:t>
      </w:r>
      <w:r>
        <w:rPr>
          <w:rFonts w:hint="eastAsia" w:ascii="Times New Roman" w:hAnsi="Times New Roman"/>
        </w:rPr>
        <w:t>258</w:t>
      </w:r>
      <w:r>
        <w:rPr>
          <w:rFonts w:hint="eastAsia"/>
        </w:rPr>
        <w:t>℃，压力最高达到</w:t>
      </w:r>
      <w:r>
        <w:rPr>
          <w:rFonts w:hint="eastAsia" w:ascii="Times New Roman" w:hAnsi="Times New Roman"/>
        </w:rPr>
        <w:t>15kg</w:t>
      </w:r>
      <w:r>
        <w:rPr>
          <w:rFonts w:hint="eastAsia"/>
        </w:rPr>
        <w:t>压力，聚合后的物料由螺杆输送泵，经齿轮泵向切粒机输送切片，其中一部分直接包装为产品，另一部分通过干燥装置形成低水分产品。</w:t>
      </w:r>
    </w:p>
    <w:p>
      <w:pPr>
        <w:bidi w:val="0"/>
        <w:rPr>
          <w:rFonts w:hint="eastAsia"/>
        </w:rPr>
      </w:pPr>
      <w:r>
        <w:rPr>
          <w:rFonts w:hint="eastAsia"/>
          <w:lang w:eastAsia="zh-CN"/>
        </w:rPr>
        <w:t>（</w:t>
      </w:r>
      <w:r>
        <w:rPr>
          <w:rFonts w:hint="eastAsia" w:ascii="Times New Roman" w:hAnsi="Times New Roman"/>
          <w:lang w:val="en-US" w:eastAsia="zh-CN"/>
        </w:rPr>
        <w:t>3</w:t>
      </w:r>
      <w:r>
        <w:rPr>
          <w:rFonts w:hint="eastAsia"/>
          <w:lang w:eastAsia="zh-CN"/>
        </w:rPr>
        <w:t>）</w:t>
      </w:r>
      <w:r>
        <w:rPr>
          <w:rFonts w:hint="eastAsia"/>
        </w:rPr>
        <w:t>连续聚合工艺概述</w:t>
      </w:r>
    </w:p>
    <w:p>
      <w:pPr>
        <w:bidi w:val="0"/>
        <w:rPr>
          <w:rFonts w:hint="eastAsia"/>
        </w:rPr>
      </w:pPr>
      <w:r>
        <w:rPr>
          <w:rFonts w:hint="eastAsia"/>
        </w:rPr>
        <w:t>连续工艺适合生产单一规格的产品。成盐装置向连续线与间歇线供应盐溶液，来自成盐工序的盐溶液经过调配后进入浓缩槽，通过蒸汽加热进行连续蒸发浓缩，浓缩输送到反应器预聚，然后输送到闪蒸器，再输送到前、后聚合器进行聚合，聚合后的熔体经过输送泵直接到短纤装置进行直纺。主要工艺描述如下：</w:t>
      </w:r>
    </w:p>
    <w:p>
      <w:pPr>
        <w:bidi w:val="0"/>
        <w:rPr>
          <w:rFonts w:hint="eastAsia" w:eastAsia="宋体"/>
          <w:lang w:eastAsia="zh-CN"/>
        </w:rPr>
      </w:pPr>
      <w:r>
        <w:rPr>
          <w:rFonts w:hint="eastAsia"/>
        </w:rPr>
        <w:t>进料后，将浓缩槽温度缓缓升至</w:t>
      </w:r>
      <w:r>
        <w:rPr>
          <w:rFonts w:hint="eastAsia" w:ascii="Times New Roman" w:hAnsi="Times New Roman"/>
        </w:rPr>
        <w:t>118</w:t>
      </w:r>
      <w:r>
        <w:rPr>
          <w:rFonts w:hint="eastAsia"/>
        </w:rPr>
        <w:t>～</w:t>
      </w:r>
      <w:r>
        <w:rPr>
          <w:rFonts w:hint="eastAsia" w:ascii="Times New Roman" w:hAnsi="Times New Roman"/>
        </w:rPr>
        <w:t>119</w:t>
      </w:r>
      <w:r>
        <w:rPr>
          <w:rFonts w:hint="eastAsia"/>
        </w:rPr>
        <w:t>℃，维持微正压，将水分蒸发，将物料浓缩到合适的浓度。浓缩物料进入反应器，调节导热油温度，将物料温度逐步升高到</w:t>
      </w:r>
      <w:r>
        <w:rPr>
          <w:rFonts w:hint="eastAsia" w:ascii="Times New Roman" w:hAnsi="Times New Roman"/>
        </w:rPr>
        <w:t>250</w:t>
      </w:r>
      <w:r>
        <w:rPr>
          <w:rFonts w:hint="eastAsia"/>
        </w:rPr>
        <w:t>℃左右，温度都到位后，再开始缓慢开始向闪蒸器过料，物料正常经过后，闪蒸器供给泵的电加热温度设定值降为</w:t>
      </w:r>
      <w:r>
        <w:rPr>
          <w:rFonts w:hint="eastAsia" w:ascii="Times New Roman" w:hAnsi="Times New Roman"/>
        </w:rPr>
        <w:t>240</w:t>
      </w:r>
      <w:r>
        <w:rPr>
          <w:rFonts w:hint="eastAsia"/>
        </w:rPr>
        <w:t>℃。逐步提高闪蒸器供给泵的转速，待闪蒸器出口三通阀 排料侧有料排出，开始向用台前聚合器过料，调节闪蒸器气相出口温度的设定值，保持闪蒸器出口物料温度为</w:t>
      </w:r>
      <w:r>
        <w:rPr>
          <w:rFonts w:hint="eastAsia" w:ascii="Times New Roman" w:hAnsi="Times New Roman"/>
        </w:rPr>
        <w:t>280</w:t>
      </w:r>
      <w:r>
        <w:rPr>
          <w:rFonts w:hint="eastAsia"/>
        </w:rPr>
        <w:t>℃。前聚器投料前，提高前聚合器热媒泵出口温度，前聚合器开始进料有液位显示后，低速启动螺杆，从取样阀排料，直至干净开始向后聚合器过料。后聚合器投料提高后聚合器热媒泵出口温度的设定值到</w:t>
      </w:r>
      <w:r>
        <w:rPr>
          <w:rFonts w:hint="eastAsia" w:ascii="Times New Roman" w:hAnsi="Times New Roman"/>
        </w:rPr>
        <w:t>285</w:t>
      </w:r>
      <w:r>
        <w:rPr>
          <w:rFonts w:hint="eastAsia"/>
        </w:rPr>
        <w:t>℃，物料正常过后，将其设定值降为</w:t>
      </w:r>
      <w:r>
        <w:rPr>
          <w:rFonts w:hint="eastAsia" w:ascii="Times New Roman" w:hAnsi="Times New Roman"/>
        </w:rPr>
        <w:t>280</w:t>
      </w:r>
      <w:r>
        <w:rPr>
          <w:rFonts w:hint="eastAsia"/>
        </w:rPr>
        <w:t>℃。后聚合器有液位显示后低速启动螺杆，从取样阀排料，直至干净后开始向熔体计量泵过料</w:t>
      </w:r>
      <w:r>
        <w:rPr>
          <w:rFonts w:hint="eastAsia"/>
          <w:lang w:eastAsia="zh-CN"/>
        </w:rPr>
        <w:t>。</w:t>
      </w:r>
    </w:p>
    <w:p>
      <w:pPr>
        <w:bidi w:val="0"/>
        <w:rPr>
          <w:rFonts w:hint="default" w:eastAsia="宋体"/>
          <w:lang w:val="en-US" w:eastAsia="zh-CN"/>
        </w:rPr>
      </w:pPr>
      <w:r>
        <w:rPr>
          <w:rFonts w:hint="eastAsia"/>
          <w:lang w:eastAsia="zh-CN"/>
        </w:rPr>
        <w:t>现有工程生产工艺流程及产污环节见图</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bidi w:val="0"/>
        <w:rPr>
          <w:rFonts w:hint="eastAsia"/>
        </w:rPr>
      </w:pPr>
      <w:r>
        <w:rPr>
          <w:rFonts w:hint="eastAsia"/>
          <w:lang w:eastAsia="zh-CN"/>
        </w:rPr>
        <w:object>
          <v:shape id="_x0000_i1034" o:spt="75" type="#_x0000_t75" style="height:199.8pt;width:447.75pt;" o:ole="t" filled="f" o:preferrelative="t" stroked="f" coordsize="21600,21600">
            <v:path/>
            <v:fill on="f" focussize="0,0"/>
            <v:stroke on="f"/>
            <v:imagedata r:id="rId37" o:title=""/>
            <o:lock v:ext="edit" aspectratio="f"/>
            <w10:wrap type="none"/>
            <w10:anchorlock/>
          </v:shape>
          <o:OLEObject Type="Embed" ProgID="Visio.Drawing.11" ShapeID="_x0000_i1034" DrawAspect="Content" ObjectID="_1468075735" r:id="rId36">
            <o:LockedField>false</o:LockedField>
          </o:OLEObject>
        </w:object>
      </w:r>
      <w:r>
        <w:rPr>
          <w:rFonts w:hint="eastAsia"/>
          <w:lang w:eastAsia="zh-CN"/>
        </w:rPr>
        <w:t>图</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 xml:space="preserve">  </w:t>
      </w:r>
      <w:r>
        <w:rPr>
          <w:rFonts w:hint="eastAsia"/>
          <w:lang w:eastAsia="zh-CN"/>
        </w:rPr>
        <w:t>现有工程生产工艺流程及产污环节图</w:t>
      </w:r>
    </w:p>
    <w:p>
      <w:pPr>
        <w:pStyle w:val="6"/>
        <w:bidi w:val="0"/>
        <w:rPr>
          <w:rFonts w:hint="eastAsia"/>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4</w:t>
      </w:r>
      <w:r>
        <w:rPr>
          <w:rFonts w:hint="eastAsia"/>
          <w:lang w:val="en-US" w:eastAsia="zh-CN"/>
        </w:rPr>
        <w:t>动力站和导热油炉</w:t>
      </w:r>
    </w:p>
    <w:p>
      <w:pPr>
        <w:bidi w:val="0"/>
        <w:rPr>
          <w:rFonts w:hint="eastAsia"/>
          <w:lang w:val="en-US" w:eastAsia="zh-CN"/>
        </w:rPr>
      </w:pPr>
      <w:r>
        <w:rPr>
          <w:rFonts w:hint="eastAsia"/>
          <w:lang w:val="en-US" w:eastAsia="zh-CN"/>
        </w:rPr>
        <w:t>厂内设置锅炉房一座，</w:t>
      </w:r>
      <w:r>
        <w:rPr>
          <w:rFonts w:hint="eastAsia" w:ascii="Times New Roman" w:hAnsi="Times New Roman"/>
          <w:lang w:val="en-US" w:eastAsia="zh-CN"/>
        </w:rPr>
        <w:t>5</w:t>
      </w:r>
      <w:r>
        <w:rPr>
          <w:rFonts w:hint="eastAsia"/>
          <w:lang w:val="en-US" w:eastAsia="zh-CN"/>
        </w:rPr>
        <w:t>台</w:t>
      </w:r>
      <w:r>
        <w:rPr>
          <w:rFonts w:hint="eastAsia" w:ascii="Times New Roman" w:hAnsi="Times New Roman"/>
          <w:lang w:val="en-US" w:eastAsia="zh-CN"/>
        </w:rPr>
        <w:t>75t</w:t>
      </w:r>
      <w:r>
        <w:rPr>
          <w:rFonts w:hint="eastAsia"/>
          <w:lang w:val="en-US" w:eastAsia="zh-CN"/>
        </w:rPr>
        <w:t>/</w:t>
      </w:r>
      <w:r>
        <w:rPr>
          <w:rFonts w:hint="eastAsia" w:ascii="Times New Roman" w:hAnsi="Times New Roman"/>
          <w:lang w:val="en-US" w:eastAsia="zh-CN"/>
        </w:rPr>
        <w:t>h</w:t>
      </w:r>
      <w:r>
        <w:rPr>
          <w:rFonts w:hint="eastAsia"/>
          <w:lang w:val="en-US" w:eastAsia="zh-CN"/>
        </w:rPr>
        <w:t>（</w:t>
      </w:r>
      <w:r>
        <w:rPr>
          <w:rFonts w:hint="eastAsia" w:ascii="Times New Roman" w:hAnsi="Times New Roman"/>
          <w:lang w:val="en-US" w:eastAsia="zh-CN"/>
        </w:rPr>
        <w:t>4</w:t>
      </w:r>
      <w:r>
        <w:rPr>
          <w:rFonts w:hint="eastAsia"/>
          <w:lang w:val="en-US" w:eastAsia="zh-CN"/>
        </w:rPr>
        <w:t>开</w:t>
      </w:r>
      <w:r>
        <w:rPr>
          <w:rFonts w:hint="eastAsia" w:ascii="Times New Roman" w:hAnsi="Times New Roman"/>
          <w:lang w:val="en-US" w:eastAsia="zh-CN"/>
        </w:rPr>
        <w:t>1</w:t>
      </w:r>
      <w:r>
        <w:rPr>
          <w:rFonts w:hint="eastAsia"/>
          <w:lang w:val="en-US" w:eastAsia="zh-CN"/>
        </w:rPr>
        <w:t>备）燃煤热动锅炉，配套</w:t>
      </w:r>
      <w:r>
        <w:rPr>
          <w:rFonts w:hint="eastAsia" w:ascii="Times New Roman" w:hAnsi="Times New Roman"/>
          <w:lang w:val="en-US" w:eastAsia="zh-CN"/>
        </w:rPr>
        <w:t>420m</w:t>
      </w:r>
      <w:r>
        <w:rPr>
          <w:rFonts w:hint="eastAsia"/>
          <w:lang w:val="en-US" w:eastAsia="zh-CN"/>
        </w:rPr>
        <w:t>³/</w:t>
      </w:r>
      <w:r>
        <w:rPr>
          <w:rFonts w:hint="eastAsia" w:ascii="Times New Roman" w:hAnsi="Times New Roman"/>
          <w:lang w:val="en-US" w:eastAsia="zh-CN"/>
        </w:rPr>
        <w:t>h</w:t>
      </w:r>
      <w:r>
        <w:rPr>
          <w:rFonts w:hint="eastAsia"/>
          <w:lang w:val="en-US" w:eastAsia="zh-CN"/>
        </w:rPr>
        <w:t>除盐水站（离子交换+混床工艺），占地</w:t>
      </w:r>
      <w:r>
        <w:rPr>
          <w:rFonts w:hint="eastAsia" w:ascii="Times New Roman" w:hAnsi="Times New Roman"/>
          <w:lang w:val="en-US" w:eastAsia="zh-CN"/>
        </w:rPr>
        <w:t>4830</w:t>
      </w:r>
      <w:r>
        <w:rPr>
          <w:rFonts w:hint="eastAsia"/>
          <w:lang w:val="en-US" w:eastAsia="zh-CN"/>
        </w:rPr>
        <w:t>㎡封闭式煤棚和占地</w:t>
      </w:r>
      <w:r>
        <w:rPr>
          <w:rFonts w:hint="eastAsia" w:ascii="Times New Roman" w:hAnsi="Times New Roman"/>
          <w:lang w:val="en-US" w:eastAsia="zh-CN"/>
        </w:rPr>
        <w:t>2100</w:t>
      </w:r>
      <w:r>
        <w:rPr>
          <w:rFonts w:hint="eastAsia"/>
          <w:lang w:val="en-US" w:eastAsia="zh-CN"/>
        </w:rPr>
        <w:t>㎡封闭式煤棚，占地</w:t>
      </w:r>
      <w:r>
        <w:rPr>
          <w:rFonts w:hint="eastAsia" w:ascii="Times New Roman" w:hAnsi="Times New Roman"/>
          <w:lang w:val="en-US" w:eastAsia="zh-CN"/>
        </w:rPr>
        <w:t>2610</w:t>
      </w:r>
      <w:r>
        <w:rPr>
          <w:rFonts w:hint="eastAsia"/>
          <w:lang w:val="en-US" w:eastAsia="zh-CN"/>
        </w:rPr>
        <w:t>㎡封闭式炉渣贮场。设置导热油系统，包括</w:t>
      </w:r>
      <w:r>
        <w:rPr>
          <w:rFonts w:hint="eastAsia" w:ascii="Times New Roman" w:hAnsi="Times New Roman"/>
          <w:lang w:val="en-US" w:eastAsia="zh-CN"/>
        </w:rPr>
        <w:t>2</w:t>
      </w:r>
      <w:r>
        <w:rPr>
          <w:rFonts w:hint="eastAsia"/>
          <w:lang w:val="en-US" w:eastAsia="zh-CN"/>
        </w:rPr>
        <w:t>台</w:t>
      </w:r>
      <w:r>
        <w:rPr>
          <w:rFonts w:hint="eastAsia" w:ascii="Times New Roman" w:hAnsi="Times New Roman"/>
          <w:lang w:val="en-US" w:eastAsia="zh-CN"/>
        </w:rPr>
        <w:t>8100kW</w:t>
      </w:r>
      <w:r>
        <w:rPr>
          <w:rFonts w:hint="eastAsia"/>
          <w:lang w:val="en-US" w:eastAsia="zh-CN"/>
        </w:rPr>
        <w:t>燃气导热油炉配套</w:t>
      </w:r>
      <w:r>
        <w:rPr>
          <w:rFonts w:hint="eastAsia" w:ascii="Times New Roman" w:hAnsi="Times New Roman"/>
          <w:lang w:val="en-US" w:eastAsia="zh-CN"/>
        </w:rPr>
        <w:t>2</w:t>
      </w:r>
      <w:r>
        <w:rPr>
          <w:rFonts w:hint="eastAsia"/>
          <w:lang w:val="en-US" w:eastAsia="zh-CN"/>
        </w:rPr>
        <w:t>台</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75t</w:t>
      </w:r>
      <w:r>
        <w:rPr>
          <w:rFonts w:hint="eastAsia"/>
          <w:lang w:val="en-US" w:eastAsia="zh-CN"/>
        </w:rPr>
        <w:t>/</w:t>
      </w:r>
      <w:r>
        <w:rPr>
          <w:rFonts w:hint="eastAsia" w:ascii="Times New Roman" w:hAnsi="Times New Roman"/>
          <w:lang w:val="en-US" w:eastAsia="zh-CN"/>
        </w:rPr>
        <w:t>h</w:t>
      </w:r>
      <w:r>
        <w:rPr>
          <w:rFonts w:hint="eastAsia"/>
          <w:lang w:val="en-US" w:eastAsia="zh-CN"/>
        </w:rPr>
        <w:t>余热蒸汽发生器，主要为凯赛（乌苏）生物技术有限公司</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万吨长链聚酰胺项目供热。导热油炉配套低氮燃烧器。</w:t>
      </w:r>
    </w:p>
    <w:p>
      <w:pPr>
        <w:pStyle w:val="6"/>
        <w:bidi w:val="0"/>
        <w:rPr>
          <w:rFonts w:hint="eastAsia"/>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污水处理站</w:t>
      </w:r>
    </w:p>
    <w:p>
      <w:pPr>
        <w:bidi w:val="0"/>
        <w:rPr>
          <w:rFonts w:hint="eastAsia"/>
          <w:lang w:val="en-US" w:eastAsia="zh-CN"/>
        </w:rPr>
      </w:pPr>
      <w:r>
        <w:rPr>
          <w:rFonts w:hint="eastAsia"/>
          <w:lang w:val="en-US" w:eastAsia="zh-CN"/>
        </w:rPr>
        <w:t>现有工程建有处理规模</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万</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d</w:t>
      </w:r>
      <w:r>
        <w:rPr>
          <w:rFonts w:hint="eastAsia"/>
          <w:lang w:val="en-US" w:eastAsia="zh-CN"/>
        </w:rPr>
        <w:t>污水处理站，用于处理现有工程生产废水、凯赛（乌苏）生物技术有限公司年产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万吨长链聚酰胺项目生产废水、厂内初期雨水及生活污水等。污水处理站采用水解酸化+</w:t>
      </w:r>
      <w:r>
        <w:rPr>
          <w:rFonts w:hint="eastAsia" w:ascii="Times New Roman" w:hAnsi="Times New Roman"/>
          <w:lang w:val="en-US" w:eastAsia="zh-CN"/>
        </w:rPr>
        <w:t>A2O</w:t>
      </w:r>
      <w:r>
        <w:rPr>
          <w:rFonts w:hint="eastAsia"/>
          <w:lang w:val="en-US" w:eastAsia="zh-CN"/>
        </w:rPr>
        <w:t>处理工艺处理后，达到《合成树脂工业污染物排放标准》（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）一般排放限值，其他主要污染物达到园区污水处理厂纳管标准《污水排入城镇下水道水质标准》（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1B</w:t>
      </w:r>
      <w:r>
        <w:rPr>
          <w:rFonts w:hint="eastAsia"/>
          <w:lang w:val="en-US" w:eastAsia="zh-CN"/>
        </w:rPr>
        <w:t>级限值，最终进入园区污水处理厂进一步处理，污水处理厂处理后的约</w:t>
      </w:r>
      <w:r>
        <w:rPr>
          <w:rFonts w:hint="eastAsia" w:ascii="Times New Roman" w:hAnsi="Times New Roman"/>
          <w:lang w:val="en-US" w:eastAsia="zh-CN"/>
        </w:rPr>
        <w:t>75</w:t>
      </w:r>
      <w:r>
        <w:rPr>
          <w:rFonts w:hint="eastAsia"/>
          <w:lang w:val="en-US" w:eastAsia="zh-CN"/>
        </w:rPr>
        <w:t>%水回用于凯赛（乌苏）生物材料有限公司利用。</w:t>
      </w:r>
    </w:p>
    <w:p>
      <w:pPr>
        <w:bidi w:val="0"/>
        <w:rPr>
          <w:rFonts w:hint="default"/>
          <w:lang w:val="en-US" w:eastAsia="zh-CN"/>
        </w:rPr>
      </w:pPr>
      <w:r>
        <w:rPr>
          <w:rFonts w:hint="eastAsia"/>
          <w:lang w:val="en-US" w:eastAsia="zh-CN"/>
        </w:rPr>
        <w:t>污水处理站另设置</w:t>
      </w:r>
      <w:r>
        <w:rPr>
          <w:rFonts w:hint="eastAsia" w:ascii="Times New Roman" w:hAnsi="Times New Roman"/>
          <w:lang w:val="en-US" w:eastAsia="zh-CN"/>
        </w:rPr>
        <w:t>MBR</w:t>
      </w:r>
      <w:r>
        <w:rPr>
          <w:rFonts w:hint="eastAsia"/>
          <w:lang w:val="en-US" w:eastAsia="zh-CN"/>
        </w:rPr>
        <w:t>+</w:t>
      </w:r>
      <w:r>
        <w:rPr>
          <w:rFonts w:hint="eastAsia" w:ascii="Times New Roman" w:hAnsi="Times New Roman"/>
          <w:lang w:val="en-US" w:eastAsia="zh-CN"/>
        </w:rPr>
        <w:t>RO</w:t>
      </w:r>
      <w:r>
        <w:rPr>
          <w:rFonts w:hint="eastAsia"/>
          <w:lang w:val="en-US" w:eastAsia="zh-CN"/>
        </w:rPr>
        <w:t>+</w:t>
      </w:r>
      <w:r>
        <w:rPr>
          <w:rFonts w:hint="eastAsia" w:ascii="Times New Roman" w:hAnsi="Times New Roman"/>
          <w:lang w:val="en-US" w:eastAsia="zh-CN"/>
        </w:rPr>
        <w:t>MVR</w:t>
      </w:r>
      <w:r>
        <w:rPr>
          <w:rFonts w:hint="eastAsia"/>
          <w:lang w:val="en-US" w:eastAsia="zh-CN"/>
        </w:rPr>
        <w:t>废水处理工艺作为应急备用处理工艺。</w:t>
      </w:r>
    </w:p>
    <w:p>
      <w:pPr>
        <w:bidi w:val="0"/>
        <w:rPr>
          <w:rFonts w:hint="default"/>
          <w:lang w:val="en-US" w:eastAsia="zh-CN"/>
        </w:rPr>
      </w:pPr>
      <w:r>
        <w:rPr>
          <w:rFonts w:hint="eastAsia"/>
          <w:lang w:val="en-US" w:eastAsia="zh-CN"/>
        </w:rPr>
        <w:t>现有工程污水处理工艺流程图见图</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w:t>
      </w:r>
    </w:p>
    <w:p>
      <w:pPr>
        <w:pStyle w:val="20"/>
        <w:bidi w:val="0"/>
        <w:rPr>
          <w:rFonts w:hint="eastAsia"/>
          <w:lang w:val="en-US" w:eastAsia="zh-CN"/>
        </w:rPr>
      </w:pPr>
      <w:r>
        <w:rPr>
          <w:rFonts w:hint="eastAsia"/>
        </w:rPr>
        <w:pict>
          <v:shape id="Object 11" o:spid="_x0000_s2104" o:spt="75" type="#_x0000_t75" style="position:absolute;left:0pt;margin-left:1.35pt;margin-top:9.75pt;height:142.7pt;width:447.85pt;mso-wrap-distance-bottom:0pt;mso-wrap-distance-top:0pt;z-index:251674624;mso-width-relative:page;mso-height-relative:page;" o:ole="t" filled="f" o:preferrelative="t" stroked="f" coordsize="21600,21600">
            <v:path/>
            <v:fill on="f" focussize="0,0"/>
            <v:stroke on="f"/>
            <v:imagedata r:id="rId39" o:title=""/>
            <o:lock v:ext="edit" aspectratio="f"/>
            <w10:wrap type="topAndBottom"/>
          </v:shape>
          <o:OLEObject Type="Embed" ProgID="Visio.Drawing.11" ShapeID="Object 11" DrawAspect="Content" ObjectID="_1468075736" r:id="rId38">
            <o:LockedField>false</o:LockedField>
          </o:OLEObject>
        </w:pict>
      </w:r>
      <w:r>
        <w:rPr>
          <w:rFonts w:hint="eastAsia"/>
          <w:lang w:eastAsia="zh-CN"/>
        </w:rPr>
        <w:t>图</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 xml:space="preserve">  污水处理站工艺流程示意图</w:t>
      </w:r>
    </w:p>
    <w:p>
      <w:pPr>
        <w:pStyle w:val="5"/>
        <w:bidi w:val="0"/>
        <w:rPr>
          <w:rFonts w:hint="eastAsia"/>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现有工程污染源汇总分析</w:t>
      </w:r>
    </w:p>
    <w:p>
      <w:pPr>
        <w:pStyle w:val="6"/>
        <w:bidi w:val="0"/>
        <w:rPr>
          <w:rFonts w:hint="eastAsia"/>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废气</w:t>
      </w:r>
    </w:p>
    <w:p>
      <w:pPr>
        <w:pStyle w:val="7"/>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淀粉车间废气</w:t>
      </w:r>
    </w:p>
    <w:p>
      <w:pPr>
        <w:keepNext w:val="0"/>
        <w:keepLines w:val="0"/>
        <w:widowControl/>
        <w:suppressLineNumbers w:val="0"/>
        <w:jc w:val="left"/>
        <w:rPr>
          <w:rFonts w:hint="eastAsia" w:eastAsia="宋体"/>
          <w:lang w:eastAsia="zh-CN"/>
        </w:rPr>
      </w:pPr>
      <w:r>
        <w:rPr>
          <w:rFonts w:hint="eastAsia"/>
          <w:lang w:eastAsia="zh-CN"/>
        </w:rPr>
        <w:t>（</w:t>
      </w:r>
      <w:r>
        <w:rPr>
          <w:rFonts w:hint="eastAsia" w:ascii="Times New Roman" w:hAnsi="Times New Roman"/>
          <w:lang w:val="en-US" w:eastAsia="zh-CN"/>
        </w:rPr>
        <w:t>1</w:t>
      </w:r>
      <w:r>
        <w:rPr>
          <w:rFonts w:hint="eastAsia"/>
          <w:lang w:eastAsia="zh-CN"/>
        </w:rPr>
        <w:t>）</w:t>
      </w:r>
      <w:r>
        <w:rPr>
          <w:rFonts w:hint="eastAsia" w:eastAsia="宋体"/>
          <w:lang w:eastAsia="zh-CN"/>
        </w:rPr>
        <w:t>玉米净化废气</w:t>
      </w:r>
    </w:p>
    <w:p>
      <w:pPr>
        <w:keepNext w:val="0"/>
        <w:keepLines w:val="0"/>
        <w:widowControl/>
        <w:suppressLineNumbers w:val="0"/>
        <w:jc w:val="left"/>
        <w:rPr>
          <w:rFonts w:hint="eastAsia" w:eastAsia="宋体"/>
          <w:lang w:eastAsia="zh-CN"/>
        </w:rPr>
      </w:pPr>
      <w:r>
        <w:rPr>
          <w:rFonts w:hint="eastAsia" w:eastAsia="宋体"/>
          <w:lang w:eastAsia="zh-CN"/>
        </w:rPr>
        <w:t>为减少原料玉米卸料、输送和清理过程产生的粉尘，全过程实施密闭化生产，各产尘部位均设有风管，将产生的粉尘收集后送除尘器处理，处理后收集的粉尘和原料中筛选出来的杂质一起送灰斗</w:t>
      </w:r>
      <w:r>
        <w:rPr>
          <w:rFonts w:hint="eastAsia"/>
          <w:lang w:eastAsia="zh-CN"/>
        </w:rPr>
        <w:t>暂存，</w:t>
      </w:r>
      <w:r>
        <w:rPr>
          <w:rFonts w:hint="eastAsia" w:eastAsia="宋体"/>
          <w:lang w:eastAsia="zh-CN"/>
        </w:rPr>
        <w:t>定期外运，</w:t>
      </w:r>
      <w:r>
        <w:rPr>
          <w:rFonts w:hint="eastAsia"/>
          <w:color w:val="auto"/>
          <w:lang w:val="en-US" w:eastAsia="zh-CN"/>
        </w:rPr>
        <w:t>废气通过</w:t>
      </w:r>
      <w:r>
        <w:rPr>
          <w:rFonts w:hint="eastAsia" w:ascii="Times New Roman" w:hAnsi="Times New Roman"/>
          <w:color w:val="auto"/>
          <w:lang w:val="en-US" w:eastAsia="zh-CN"/>
        </w:rPr>
        <w:t>20m</w:t>
      </w:r>
      <w:r>
        <w:rPr>
          <w:rFonts w:hint="eastAsia" w:ascii="Times New Roman" w:hAnsi="Times New Roman"/>
          <w:color w:val="auto"/>
          <w:lang w:val="en-US" w:eastAsia="zh-CN"/>
        </w:rPr>
        <w:t>高</w:t>
      </w:r>
      <w:r>
        <w:rPr>
          <w:rFonts w:hint="eastAsia"/>
          <w:color w:val="auto"/>
          <w:lang w:val="en-US" w:eastAsia="zh-CN"/>
        </w:rPr>
        <w:t>排气筒排放，称为玉米净化废气。玉米净化废气中，主要污染物颗粒物执行《大气污染物综合排放标准》（</w:t>
      </w:r>
      <w:r>
        <w:rPr>
          <w:rFonts w:hint="eastAsia" w:ascii="Times New Roman" w:hAnsi="Times New Roman"/>
          <w:color w:val="auto"/>
          <w:lang w:val="en-US" w:eastAsia="zh-CN"/>
        </w:rPr>
        <w:t>GB16297</w:t>
      </w:r>
      <w:r>
        <w:rPr>
          <w:rFonts w:hint="eastAsia"/>
          <w:color w:val="auto"/>
          <w:lang w:val="en-US" w:eastAsia="zh-CN"/>
        </w:rPr>
        <w:t>-</w:t>
      </w:r>
      <w:r>
        <w:rPr>
          <w:rFonts w:hint="eastAsia" w:ascii="Times New Roman" w:hAnsi="Times New Roman"/>
          <w:color w:val="auto"/>
          <w:lang w:val="en-US" w:eastAsia="zh-CN"/>
        </w:rPr>
        <w:t>1996</w:t>
      </w:r>
      <w:r>
        <w:rPr>
          <w:rFonts w:hint="eastAsia"/>
          <w:color w:val="auto"/>
          <w:lang w:val="en-US" w:eastAsia="zh-CN"/>
        </w:rPr>
        <w:t>）表</w:t>
      </w:r>
      <w:r>
        <w:rPr>
          <w:rFonts w:hint="eastAsia" w:ascii="Times New Roman" w:hAnsi="Times New Roman"/>
          <w:color w:val="auto"/>
          <w:lang w:val="en-US" w:eastAsia="zh-CN"/>
        </w:rPr>
        <w:t>2</w:t>
      </w:r>
      <w:r>
        <w:rPr>
          <w:rFonts w:hint="eastAsia"/>
          <w:color w:val="auto"/>
          <w:lang w:val="en-US" w:eastAsia="zh-CN"/>
        </w:rPr>
        <w:t>二级限值。</w:t>
      </w:r>
    </w:p>
    <w:p>
      <w:pPr>
        <w:keepNext w:val="0"/>
        <w:keepLines w:val="0"/>
        <w:widowControl/>
        <w:suppressLineNumbers w:val="0"/>
        <w:jc w:val="left"/>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w:t>
      </w:r>
      <w:r>
        <w:rPr>
          <w:rFonts w:hint="eastAsia" w:eastAsia="宋体"/>
          <w:lang w:eastAsia="zh-CN"/>
        </w:rPr>
        <w:t>制酸浸泡废气</w:t>
      </w:r>
    </w:p>
    <w:p>
      <w:pPr>
        <w:keepNext w:val="0"/>
        <w:keepLines w:val="0"/>
        <w:widowControl/>
        <w:suppressLineNumbers w:val="0"/>
        <w:jc w:val="left"/>
        <w:rPr>
          <w:rFonts w:hint="eastAsia" w:eastAsia="宋体"/>
          <w:lang w:eastAsia="zh-CN"/>
        </w:rPr>
      </w:pPr>
      <w:r>
        <w:rPr>
          <w:rFonts w:hint="eastAsia" w:eastAsia="宋体"/>
          <w:lang w:eastAsia="zh-CN"/>
        </w:rPr>
        <w:t>工艺废气中制酸浸泡废气污染物为亚硫酸分解产生的少量二氧化硫，为避免废气直接排入环境，在车间内设负压抽气系统，通过风机将</w:t>
      </w:r>
      <w:r>
        <w:rPr>
          <w:rFonts w:hint="eastAsia" w:ascii="Times New Roman" w:hAnsi="Times New Roman" w:eastAsia="宋体"/>
          <w:lang w:eastAsia="zh-CN"/>
        </w:rPr>
        <w:t>SO</w:t>
      </w:r>
      <w:r>
        <w:rPr>
          <w:rFonts w:hint="eastAsia" w:ascii="Times New Roman" w:hAnsi="Times New Roman" w:eastAsia="宋体"/>
          <w:vertAlign w:val="subscript"/>
          <w:lang w:eastAsia="zh-CN"/>
        </w:rPr>
        <w:t>2</w:t>
      </w:r>
      <w:r>
        <w:rPr>
          <w:rFonts w:hint="eastAsia" w:eastAsia="宋体"/>
          <w:lang w:eastAsia="zh-CN"/>
        </w:rPr>
        <w:t>收集后送吸收塔，吸收塔采用氢氧化钠作为吸收剂进行碱洗，经两级碱洗后的净化气体通过塔顶</w:t>
      </w:r>
      <w:r>
        <w:rPr>
          <w:rFonts w:hint="eastAsia" w:ascii="Times New Roman" w:hAnsi="Times New Roman"/>
          <w:lang w:val="en-US" w:eastAsia="zh-CN"/>
        </w:rPr>
        <w:t>22m</w:t>
      </w:r>
      <w:r>
        <w:rPr>
          <w:rFonts w:hint="eastAsia" w:ascii="Times New Roman" w:hAnsi="Times New Roman"/>
          <w:lang w:val="en-US" w:eastAsia="zh-CN"/>
        </w:rPr>
        <w:t>高</w:t>
      </w:r>
      <w:r>
        <w:rPr>
          <w:rFonts w:hint="eastAsia"/>
          <w:lang w:val="en-US" w:eastAsia="zh-CN"/>
        </w:rPr>
        <w:t>排气筒</w:t>
      </w:r>
      <w:r>
        <w:rPr>
          <w:rFonts w:hint="eastAsia" w:eastAsia="宋体"/>
          <w:lang w:eastAsia="zh-CN"/>
        </w:rPr>
        <w:t>排放。</w:t>
      </w:r>
      <w:r>
        <w:rPr>
          <w:rFonts w:hint="eastAsia"/>
          <w:color w:val="auto"/>
          <w:lang w:val="en-US" w:eastAsia="zh-CN"/>
        </w:rPr>
        <w:t>制酸浸泡废气中，主要污染物</w:t>
      </w:r>
      <w:r>
        <w:rPr>
          <w:rFonts w:hint="eastAsia" w:ascii="Times New Roman" w:hAnsi="Times New Roman"/>
          <w:color w:val="auto"/>
          <w:lang w:val="en-US" w:eastAsia="zh-CN"/>
        </w:rPr>
        <w:t>SO</w:t>
      </w:r>
      <w:r>
        <w:rPr>
          <w:rFonts w:hint="eastAsia" w:ascii="Times New Roman" w:hAnsi="Times New Roman"/>
          <w:color w:val="auto"/>
          <w:vertAlign w:val="subscript"/>
          <w:lang w:val="en-US" w:eastAsia="zh-CN"/>
        </w:rPr>
        <w:t>2</w:t>
      </w:r>
      <w:r>
        <w:rPr>
          <w:rFonts w:hint="eastAsia"/>
          <w:color w:val="auto"/>
          <w:lang w:val="en-US" w:eastAsia="zh-CN"/>
        </w:rPr>
        <w:t>执行《大气污染物综合排放标准》（</w:t>
      </w:r>
      <w:r>
        <w:rPr>
          <w:rFonts w:hint="eastAsia" w:ascii="Times New Roman" w:hAnsi="Times New Roman"/>
          <w:color w:val="auto"/>
          <w:lang w:val="en-US" w:eastAsia="zh-CN"/>
        </w:rPr>
        <w:t>GB16297</w:t>
      </w:r>
      <w:r>
        <w:rPr>
          <w:rFonts w:hint="eastAsia"/>
          <w:color w:val="auto"/>
          <w:lang w:val="en-US" w:eastAsia="zh-CN"/>
        </w:rPr>
        <w:t>-</w:t>
      </w:r>
      <w:r>
        <w:rPr>
          <w:rFonts w:hint="eastAsia" w:ascii="Times New Roman" w:hAnsi="Times New Roman"/>
          <w:color w:val="auto"/>
          <w:lang w:val="en-US" w:eastAsia="zh-CN"/>
        </w:rPr>
        <w:t>1996</w:t>
      </w:r>
      <w:r>
        <w:rPr>
          <w:rFonts w:hint="eastAsia"/>
          <w:color w:val="auto"/>
          <w:lang w:val="en-US" w:eastAsia="zh-CN"/>
        </w:rPr>
        <w:t>）表</w:t>
      </w:r>
      <w:r>
        <w:rPr>
          <w:rFonts w:hint="eastAsia" w:ascii="Times New Roman" w:hAnsi="Times New Roman"/>
          <w:color w:val="auto"/>
          <w:lang w:val="en-US" w:eastAsia="zh-CN"/>
        </w:rPr>
        <w:t>2</w:t>
      </w:r>
      <w:r>
        <w:rPr>
          <w:rFonts w:hint="eastAsia"/>
          <w:color w:val="auto"/>
          <w:lang w:val="en-US" w:eastAsia="zh-CN"/>
        </w:rPr>
        <w:t>二级限值。</w:t>
      </w:r>
    </w:p>
    <w:p>
      <w:pPr>
        <w:keepNext w:val="0"/>
        <w:keepLines w:val="0"/>
        <w:widowControl/>
        <w:suppressLineNumbers w:val="0"/>
        <w:jc w:val="left"/>
        <w:rPr>
          <w:rFonts w:hint="eastAsia" w:eastAsia="宋体"/>
          <w:lang w:eastAsia="zh-CN"/>
        </w:rPr>
      </w:pPr>
      <w:r>
        <w:rPr>
          <w:rFonts w:hint="eastAsia"/>
          <w:lang w:eastAsia="zh-CN"/>
        </w:rPr>
        <w:t>（</w:t>
      </w:r>
      <w:r>
        <w:rPr>
          <w:rFonts w:hint="eastAsia" w:ascii="Times New Roman" w:hAnsi="Times New Roman"/>
          <w:lang w:val="en-US" w:eastAsia="zh-CN"/>
        </w:rPr>
        <w:t>3</w:t>
      </w:r>
      <w:r>
        <w:rPr>
          <w:rFonts w:hint="eastAsia"/>
          <w:lang w:eastAsia="zh-CN"/>
        </w:rPr>
        <w:t>）</w:t>
      </w:r>
      <w:r>
        <w:rPr>
          <w:rFonts w:hint="eastAsia" w:eastAsia="宋体"/>
          <w:lang w:eastAsia="zh-CN"/>
        </w:rPr>
        <w:t>副产品干燥废气</w:t>
      </w:r>
    </w:p>
    <w:p>
      <w:pPr>
        <w:keepNext w:val="0"/>
        <w:keepLines w:val="0"/>
        <w:widowControl/>
        <w:suppressLineNumbers w:val="0"/>
        <w:jc w:val="left"/>
        <w:rPr>
          <w:rFonts w:hint="eastAsia" w:eastAsia="宋体"/>
          <w:lang w:eastAsia="zh-CN"/>
        </w:rPr>
      </w:pPr>
      <w:r>
        <w:rPr>
          <w:rFonts w:hint="eastAsia" w:eastAsia="宋体"/>
          <w:lang w:eastAsia="zh-CN"/>
        </w:rPr>
        <w:t>副产品</w:t>
      </w:r>
      <w:r>
        <w:rPr>
          <w:rFonts w:hint="eastAsia"/>
          <w:lang w:eastAsia="zh-CN"/>
        </w:rPr>
        <w:t>（胚芽、蛋白粉和纤维）</w:t>
      </w:r>
      <w:r>
        <w:rPr>
          <w:rFonts w:hint="eastAsia" w:eastAsia="宋体"/>
          <w:lang w:eastAsia="zh-CN"/>
        </w:rPr>
        <w:t>干燥过程排放的废气中主要污染物为颗粒物，经过布袋除尘器处理后通过</w:t>
      </w:r>
      <w:r>
        <w:rPr>
          <w:rFonts w:hint="eastAsia" w:ascii="Times New Roman" w:hAnsi="Times New Roman"/>
          <w:lang w:val="en-US" w:eastAsia="zh-CN"/>
        </w:rPr>
        <w:t>16m</w:t>
      </w:r>
      <w:r>
        <w:rPr>
          <w:rFonts w:hint="eastAsia" w:ascii="Times New Roman" w:hAnsi="Times New Roman"/>
          <w:lang w:val="en-US" w:eastAsia="zh-CN"/>
        </w:rPr>
        <w:t>高</w:t>
      </w:r>
      <w:r>
        <w:rPr>
          <w:rFonts w:hint="eastAsia" w:eastAsia="宋体"/>
          <w:lang w:eastAsia="zh-CN"/>
        </w:rPr>
        <w:t>排气筒排放</w:t>
      </w:r>
      <w:r>
        <w:rPr>
          <w:rFonts w:hint="eastAsia"/>
          <w:lang w:eastAsia="zh-CN"/>
        </w:rPr>
        <w:t>，</w:t>
      </w:r>
      <w:r>
        <w:rPr>
          <w:rFonts w:hint="eastAsia"/>
          <w:color w:val="auto"/>
          <w:lang w:val="en-US" w:eastAsia="zh-CN"/>
        </w:rPr>
        <w:t>主要污染物颗粒物排放执行《合成树脂工业污染物排放标准》（</w:t>
      </w:r>
      <w:r>
        <w:rPr>
          <w:rFonts w:hint="eastAsia" w:ascii="Times New Roman" w:hAnsi="Times New Roman"/>
          <w:color w:val="auto"/>
          <w:lang w:val="en-US" w:eastAsia="zh-CN"/>
        </w:rPr>
        <w:t>GB31572</w:t>
      </w:r>
      <w:r>
        <w:rPr>
          <w:rFonts w:hint="eastAsia"/>
          <w:color w:val="auto"/>
          <w:lang w:val="en-US" w:eastAsia="zh-CN"/>
        </w:rPr>
        <w:t>-</w:t>
      </w:r>
      <w:r>
        <w:rPr>
          <w:rFonts w:hint="eastAsia" w:ascii="Times New Roman" w:hAnsi="Times New Roman"/>
          <w:color w:val="auto"/>
          <w:lang w:val="en-US" w:eastAsia="zh-CN"/>
        </w:rPr>
        <w:t>2015</w:t>
      </w:r>
      <w:r>
        <w:rPr>
          <w:rFonts w:hint="eastAsia"/>
          <w:color w:val="auto"/>
          <w:lang w:val="en-US" w:eastAsia="zh-CN"/>
        </w:rPr>
        <w:t>）表</w:t>
      </w:r>
      <w:r>
        <w:rPr>
          <w:rFonts w:hint="eastAsia" w:ascii="Times New Roman" w:hAnsi="Times New Roman"/>
          <w:color w:val="auto"/>
          <w:lang w:val="en-US" w:eastAsia="zh-CN"/>
        </w:rPr>
        <w:t>5</w:t>
      </w:r>
      <w:r>
        <w:rPr>
          <w:rFonts w:hint="eastAsia"/>
          <w:color w:val="auto"/>
          <w:lang w:val="en-US" w:eastAsia="zh-CN"/>
        </w:rPr>
        <w:t>特别排放限值。</w:t>
      </w:r>
    </w:p>
    <w:p>
      <w:pPr>
        <w:keepNext w:val="0"/>
        <w:keepLines w:val="0"/>
        <w:widowControl/>
        <w:suppressLineNumbers w:val="0"/>
        <w:jc w:val="left"/>
        <w:rPr>
          <w:rFonts w:hint="eastAsia"/>
          <w:lang w:eastAsia="zh-CN"/>
        </w:rPr>
      </w:pPr>
      <w:r>
        <w:rPr>
          <w:rFonts w:hint="eastAsia"/>
          <w:lang w:eastAsia="zh-CN"/>
        </w:rPr>
        <w:t>（</w:t>
      </w:r>
      <w:r>
        <w:rPr>
          <w:rFonts w:hint="eastAsia" w:ascii="Times New Roman" w:hAnsi="Times New Roman"/>
          <w:lang w:val="en-US" w:eastAsia="zh-CN"/>
        </w:rPr>
        <w:t>4</w:t>
      </w:r>
      <w:r>
        <w:rPr>
          <w:rFonts w:hint="eastAsia"/>
          <w:lang w:eastAsia="zh-CN"/>
        </w:rPr>
        <w:t>）其他产尘点废气</w:t>
      </w:r>
    </w:p>
    <w:p>
      <w:pPr>
        <w:bidi w:val="0"/>
        <w:rPr>
          <w:rFonts w:hint="default"/>
          <w:lang w:val="en-US" w:eastAsia="zh-CN"/>
        </w:rPr>
      </w:pPr>
      <w:r>
        <w:rPr>
          <w:rFonts w:hint="eastAsia"/>
          <w:color w:val="auto"/>
          <w:lang w:val="en-US" w:eastAsia="zh-CN"/>
        </w:rPr>
        <w:t>副产品风送废气、淀粉干燥废气、包装车间废气、主产品风送废气和玉米烘干转送废气均分别设置集尘设施，代用袋式除尘的方式处理后，通过各自的排气筒排放。</w:t>
      </w:r>
    </w:p>
    <w:p>
      <w:pPr>
        <w:keepNext w:val="0"/>
        <w:keepLines w:val="0"/>
        <w:widowControl/>
        <w:suppressLineNumbers w:val="0"/>
        <w:jc w:val="left"/>
        <w:rPr>
          <w:rFonts w:hint="eastAsia"/>
          <w:lang w:eastAsia="zh-CN"/>
        </w:rPr>
      </w:pPr>
      <w:r>
        <w:rPr>
          <w:rFonts w:hint="eastAsia"/>
          <w:lang w:val="en-US" w:eastAsia="zh-CN"/>
        </w:rPr>
        <w:t>副产品风送废气执行《大气污染物综合排放标准》（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二级限值，玉米烘干转送废气、包装车间（淀粉）、包装车间（副产品）和淀粉干燥废气执行《合成树脂工业污染物排放标准》（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color w:val="auto"/>
          <w:lang w:val="en-US" w:eastAsia="zh-CN"/>
        </w:rPr>
        <w:t>）表</w:t>
      </w:r>
      <w:r>
        <w:rPr>
          <w:rFonts w:hint="eastAsia" w:ascii="Times New Roman" w:hAnsi="Times New Roman"/>
          <w:color w:val="auto"/>
          <w:lang w:val="en-US" w:eastAsia="zh-CN"/>
        </w:rPr>
        <w:t>3</w:t>
      </w:r>
      <w:r>
        <w:rPr>
          <w:rFonts w:hint="eastAsia"/>
          <w:color w:val="auto"/>
          <w:lang w:val="en-US" w:eastAsia="zh-CN"/>
        </w:rPr>
        <w:t>特别排放限值。玉米烘干废气共设置</w:t>
      </w:r>
      <w:r>
        <w:rPr>
          <w:rFonts w:hint="eastAsia" w:ascii="Times New Roman" w:hAnsi="Times New Roman"/>
          <w:color w:val="auto"/>
          <w:lang w:val="en-US" w:eastAsia="zh-CN"/>
        </w:rPr>
        <w:t>14</w:t>
      </w:r>
      <w:r>
        <w:rPr>
          <w:rFonts w:hint="eastAsia"/>
          <w:color w:val="auto"/>
          <w:lang w:val="en-US" w:eastAsia="zh-CN"/>
        </w:rPr>
        <w:t>根排气筒，验收期间选取其中</w:t>
      </w:r>
      <w:r>
        <w:rPr>
          <w:rFonts w:hint="eastAsia" w:ascii="Times New Roman" w:hAnsi="Times New Roman"/>
          <w:color w:val="auto"/>
          <w:lang w:val="en-US" w:eastAsia="zh-CN"/>
        </w:rPr>
        <w:t>7</w:t>
      </w:r>
      <w:r>
        <w:rPr>
          <w:rFonts w:hint="eastAsia"/>
          <w:color w:val="auto"/>
          <w:lang w:val="en-US" w:eastAsia="zh-CN"/>
        </w:rPr>
        <w:t>根进行监测。淀粉干燥废气共设置</w:t>
      </w:r>
      <w:r>
        <w:rPr>
          <w:rFonts w:hint="eastAsia" w:ascii="Times New Roman" w:hAnsi="Times New Roman"/>
          <w:color w:val="auto"/>
          <w:lang w:val="en-US" w:eastAsia="zh-CN"/>
        </w:rPr>
        <w:t>6</w:t>
      </w:r>
      <w:r>
        <w:rPr>
          <w:rFonts w:hint="eastAsia"/>
          <w:color w:val="auto"/>
          <w:lang w:val="en-US" w:eastAsia="zh-CN"/>
        </w:rPr>
        <w:t>根排气筒，验收期间选取了其中</w:t>
      </w:r>
      <w:r>
        <w:rPr>
          <w:rFonts w:hint="eastAsia" w:ascii="Times New Roman" w:hAnsi="Times New Roman"/>
          <w:color w:val="auto"/>
          <w:lang w:val="en-US" w:eastAsia="zh-CN"/>
        </w:rPr>
        <w:t>3</w:t>
      </w:r>
      <w:r>
        <w:rPr>
          <w:rFonts w:hint="eastAsia"/>
          <w:color w:val="auto"/>
          <w:lang w:val="en-US" w:eastAsia="zh-CN"/>
        </w:rPr>
        <w:t>根进行监测。后期例行监测中，对验收阶段未监测的排气筒都进行了补测，主要污染物颗粒物均满足达标排放要求。</w:t>
      </w:r>
    </w:p>
    <w:p>
      <w:pPr>
        <w:pStyle w:val="7"/>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2DN</w:t>
      </w:r>
      <w:r>
        <w:rPr>
          <w:rFonts w:hint="eastAsia"/>
          <w:lang w:val="en-US" w:eastAsia="zh-CN"/>
        </w:rPr>
        <w:t>溶液制取废气</w:t>
      </w:r>
    </w:p>
    <w:p>
      <w:pPr>
        <w:keepNext w:val="0"/>
        <w:keepLines w:val="0"/>
        <w:widowControl/>
        <w:suppressLineNumbers w:val="0"/>
        <w:jc w:val="left"/>
        <w:rPr>
          <w:rFonts w:hint="eastAsia"/>
          <w:lang w:val="en-US" w:eastAsia="zh-CN"/>
        </w:rPr>
      </w:pPr>
      <w:r>
        <w:rPr>
          <w:rFonts w:hint="eastAsia" w:ascii="Times New Roman" w:hAnsi="Times New Roman"/>
          <w:color w:val="auto"/>
          <w:lang w:eastAsia="zh-CN"/>
        </w:rPr>
        <w:t>DN</w:t>
      </w:r>
      <w:r>
        <w:rPr>
          <w:rFonts w:hint="eastAsia"/>
          <w:color w:val="auto"/>
          <w:lang w:eastAsia="zh-CN"/>
        </w:rPr>
        <w:t>溶液制取过程中，从淀粉乳糖化、加入培养基发酵到</w:t>
      </w:r>
      <w:r>
        <w:rPr>
          <w:rFonts w:hint="eastAsia" w:ascii="Times New Roman" w:hAnsi="Times New Roman"/>
          <w:color w:val="auto"/>
          <w:lang w:eastAsia="zh-CN"/>
        </w:rPr>
        <w:t>DN</w:t>
      </w:r>
      <w:r>
        <w:rPr>
          <w:rFonts w:hint="eastAsia"/>
          <w:color w:val="auto"/>
          <w:lang w:eastAsia="zh-CN"/>
        </w:rPr>
        <w:t>溶液的除菌和精馏过程，过程整体密闭。废气主要来自发酵罐泄压废气，主要污染物为臭气浓度，</w:t>
      </w:r>
      <w:r>
        <w:rPr>
          <w:rFonts w:hint="eastAsia"/>
          <w:color w:val="auto"/>
          <w:lang w:val="en-US" w:eastAsia="zh-CN"/>
        </w:rPr>
        <w:t>含</w:t>
      </w:r>
      <w:r>
        <w:rPr>
          <w:rFonts w:hint="eastAsia"/>
          <w:lang w:val="en-US" w:eastAsia="zh-CN"/>
        </w:rPr>
        <w:t>氧量较高，经分离后送至污水曝气池进行曝气水洗。发酵工艺需要添加液氨，因此会存在未被吸收的氨进入发酵气中，并存在车间无组织废气。</w:t>
      </w:r>
    </w:p>
    <w:p>
      <w:pPr>
        <w:keepNext w:val="0"/>
        <w:keepLines w:val="0"/>
        <w:widowControl/>
        <w:suppressLineNumbers w:val="0"/>
        <w:jc w:val="left"/>
        <w:rPr>
          <w:rFonts w:hint="default"/>
          <w:lang w:val="en-US" w:eastAsia="zh-CN"/>
        </w:rPr>
      </w:pPr>
      <w:r>
        <w:rPr>
          <w:rFonts w:hint="eastAsia"/>
          <w:lang w:val="en-US" w:eastAsia="zh-CN"/>
        </w:rPr>
        <w:t>建设单位在验收后经过技术改造，将来自发酵车间</w:t>
      </w:r>
      <w:r>
        <w:rPr>
          <w:rFonts w:hint="eastAsia" w:ascii="Times New Roman" w:hAnsi="Times New Roman"/>
          <w:lang w:val="en-US" w:eastAsia="zh-CN"/>
        </w:rPr>
        <w:t>300</w:t>
      </w:r>
      <w:r>
        <w:rPr>
          <w:rFonts w:hint="eastAsia"/>
          <w:lang w:val="en-US" w:eastAsia="zh-CN"/>
        </w:rPr>
        <w:t>#罐和</w:t>
      </w:r>
      <w:r>
        <w:rPr>
          <w:rFonts w:hint="eastAsia" w:ascii="Times New Roman" w:hAnsi="Times New Roman"/>
          <w:lang w:val="en-US" w:eastAsia="zh-CN"/>
        </w:rPr>
        <w:t>800</w:t>
      </w:r>
      <w:r>
        <w:rPr>
          <w:rFonts w:hint="eastAsia"/>
          <w:lang w:val="en-US" w:eastAsia="zh-CN"/>
        </w:rPr>
        <w:t>#罐的无组织发酵气收集并引入污水站曝气池，经生物除臭装置处理后，通过</w:t>
      </w:r>
      <w:r>
        <w:rPr>
          <w:rFonts w:hint="eastAsia" w:ascii="Times New Roman" w:hAnsi="Times New Roman"/>
          <w:lang w:val="en-US" w:eastAsia="zh-CN"/>
        </w:rPr>
        <w:t>30m</w:t>
      </w:r>
      <w:r>
        <w:rPr>
          <w:rFonts w:hint="eastAsia"/>
          <w:lang w:val="en-US" w:eastAsia="zh-CN"/>
        </w:rPr>
        <w:t>高排气筒排放，</w:t>
      </w:r>
      <w:r>
        <w:rPr>
          <w:rFonts w:hint="eastAsia"/>
          <w:color w:val="auto"/>
          <w:lang w:val="en-US" w:eastAsia="zh-CN"/>
        </w:rPr>
        <w:t>主要污染物氨、</w:t>
      </w:r>
      <w:r>
        <w:rPr>
          <w:rFonts w:hint="eastAsia" w:ascii="Times New Roman" w:hAnsi="Times New Roman"/>
          <w:color w:val="auto"/>
          <w:lang w:val="en-US" w:eastAsia="zh-CN"/>
        </w:rPr>
        <w:t>H</w:t>
      </w:r>
      <w:r>
        <w:rPr>
          <w:rFonts w:hint="eastAsia" w:ascii="Times New Roman" w:hAnsi="Times New Roman"/>
          <w:color w:val="auto"/>
          <w:vertAlign w:val="subscript"/>
          <w:lang w:val="en-US" w:eastAsia="zh-CN"/>
        </w:rPr>
        <w:t>2</w:t>
      </w:r>
      <w:r>
        <w:rPr>
          <w:rFonts w:hint="eastAsia" w:ascii="Times New Roman" w:hAnsi="Times New Roman"/>
          <w:color w:val="auto"/>
          <w:lang w:val="en-US" w:eastAsia="zh-CN"/>
        </w:rPr>
        <w:t>S</w:t>
      </w:r>
      <w:r>
        <w:rPr>
          <w:rFonts w:hint="eastAsia"/>
          <w:color w:val="auto"/>
          <w:lang w:val="en-US" w:eastAsia="zh-CN"/>
        </w:rPr>
        <w:t>和臭气浓度执行《恶臭污染物排放标准》（</w:t>
      </w:r>
      <w:r>
        <w:rPr>
          <w:rFonts w:hint="eastAsia" w:ascii="Times New Roman" w:hAnsi="Times New Roman"/>
          <w:color w:val="auto"/>
          <w:lang w:val="en-US" w:eastAsia="zh-CN"/>
        </w:rPr>
        <w:t>GB14554</w:t>
      </w:r>
      <w:r>
        <w:rPr>
          <w:rFonts w:hint="eastAsia"/>
          <w:color w:val="auto"/>
          <w:lang w:val="en-US" w:eastAsia="zh-CN"/>
        </w:rPr>
        <w:t>-</w:t>
      </w:r>
      <w:r>
        <w:rPr>
          <w:rFonts w:hint="eastAsia" w:ascii="Times New Roman" w:hAnsi="Times New Roman"/>
          <w:color w:val="auto"/>
          <w:lang w:val="en-US" w:eastAsia="zh-CN"/>
        </w:rPr>
        <w:t>93</w:t>
      </w:r>
      <w:r>
        <w:rPr>
          <w:rFonts w:hint="eastAsia"/>
          <w:color w:val="auto"/>
          <w:lang w:val="en-US" w:eastAsia="zh-CN"/>
        </w:rPr>
        <w:t>）表</w:t>
      </w:r>
      <w:r>
        <w:rPr>
          <w:rFonts w:hint="eastAsia" w:ascii="Times New Roman" w:hAnsi="Times New Roman"/>
          <w:color w:val="auto"/>
          <w:lang w:val="en-US" w:eastAsia="zh-CN"/>
        </w:rPr>
        <w:t>2</w:t>
      </w:r>
      <w:r>
        <w:rPr>
          <w:rFonts w:hint="eastAsia"/>
          <w:color w:val="auto"/>
          <w:lang w:val="en-US" w:eastAsia="zh-CN"/>
        </w:rPr>
        <w:t>限值。</w:t>
      </w:r>
      <w:r>
        <w:rPr>
          <w:rFonts w:hint="eastAsia"/>
          <w:lang w:val="en-US" w:eastAsia="zh-CN"/>
        </w:rPr>
        <w:t>当污水站不需要补氧时，发酵气经发酵车间二级水喷淋处理后通过</w:t>
      </w:r>
      <w:r>
        <w:rPr>
          <w:rFonts w:hint="eastAsia" w:ascii="Times New Roman" w:hAnsi="Times New Roman"/>
          <w:lang w:val="en-US" w:eastAsia="zh-CN"/>
        </w:rPr>
        <w:t>1</w:t>
      </w:r>
      <w:r>
        <w:rPr>
          <w:rFonts w:hint="eastAsia"/>
          <w:lang w:val="en-US" w:eastAsia="zh-CN"/>
        </w:rPr>
        <w:t>根</w:t>
      </w:r>
      <w:r>
        <w:rPr>
          <w:rFonts w:hint="eastAsia" w:ascii="Times New Roman" w:hAnsi="Times New Roman"/>
          <w:lang w:val="en-US" w:eastAsia="zh-CN"/>
        </w:rPr>
        <w:t>27m</w:t>
      </w:r>
      <w:r>
        <w:rPr>
          <w:rFonts w:hint="eastAsia"/>
          <w:lang w:val="en-US" w:eastAsia="zh-CN"/>
        </w:rPr>
        <w:t>高排气筒排放，主要污染物氨执行《合成树脂工业污染物排放标准》（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2105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w:t>
      </w:r>
    </w:p>
    <w:p>
      <w:pPr>
        <w:pStyle w:val="7"/>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聚酰胺提取废气</w:t>
      </w:r>
    </w:p>
    <w:p>
      <w:pPr>
        <w:bidi w:val="0"/>
        <w:rPr>
          <w:rFonts w:hint="eastAsia"/>
          <w:color w:val="auto"/>
          <w:lang w:eastAsia="zh-CN"/>
        </w:rPr>
      </w:pPr>
      <w:r>
        <w:rPr>
          <w:rFonts w:hint="eastAsia"/>
          <w:color w:val="auto"/>
          <w:lang w:eastAsia="zh-CN"/>
        </w:rPr>
        <w:t>（</w:t>
      </w:r>
      <w:r>
        <w:rPr>
          <w:rFonts w:hint="eastAsia" w:ascii="Times New Roman" w:hAnsi="Times New Roman"/>
          <w:color w:val="auto"/>
          <w:lang w:val="en-US" w:eastAsia="zh-CN"/>
        </w:rPr>
        <w:t>1</w:t>
      </w:r>
      <w:r>
        <w:rPr>
          <w:rFonts w:hint="eastAsia"/>
          <w:color w:val="auto"/>
          <w:lang w:eastAsia="zh-CN"/>
        </w:rPr>
        <w:t>）提取车间提取废气</w:t>
      </w:r>
    </w:p>
    <w:p>
      <w:pPr>
        <w:bidi w:val="0"/>
        <w:rPr>
          <w:rFonts w:hint="eastAsia"/>
          <w:color w:val="auto"/>
          <w:lang w:eastAsia="zh-CN"/>
        </w:rPr>
      </w:pPr>
      <w:r>
        <w:rPr>
          <w:rFonts w:hint="eastAsia"/>
          <w:color w:val="auto"/>
          <w:lang w:val="en-US" w:eastAsia="zh-CN"/>
        </w:rPr>
        <w:t>对含</w:t>
      </w:r>
      <w:r>
        <w:rPr>
          <w:rFonts w:hint="eastAsia" w:ascii="Times New Roman" w:hAnsi="Times New Roman"/>
          <w:color w:val="auto"/>
          <w:lang w:val="en-US" w:eastAsia="zh-CN"/>
        </w:rPr>
        <w:t>DN</w:t>
      </w:r>
      <w:r>
        <w:rPr>
          <w:rFonts w:hint="eastAsia"/>
          <w:color w:val="auto"/>
          <w:lang w:val="en-US" w:eastAsia="zh-CN"/>
        </w:rPr>
        <w:t>溶液的发酵原料进行提取和分离，精馏提取废气中含有微量的有机物（</w:t>
      </w:r>
      <w:r>
        <w:rPr>
          <w:rFonts w:hint="eastAsia" w:ascii="Times New Roman" w:hAnsi="Times New Roman"/>
          <w:color w:val="auto"/>
          <w:lang w:val="en-US" w:eastAsia="zh-CN"/>
        </w:rPr>
        <w:t>DN</w:t>
      </w:r>
      <w:r>
        <w:rPr>
          <w:rFonts w:hint="eastAsia"/>
          <w:color w:val="auto"/>
          <w:lang w:val="en-US" w:eastAsia="zh-CN"/>
        </w:rPr>
        <w:t>溶液、小分子有机酸等），经一级水膜处理后通过</w:t>
      </w:r>
      <w:r>
        <w:rPr>
          <w:rFonts w:hint="eastAsia" w:ascii="Times New Roman" w:hAnsi="Times New Roman"/>
          <w:color w:val="auto"/>
          <w:lang w:val="en-US" w:eastAsia="zh-CN"/>
        </w:rPr>
        <w:t>23m</w:t>
      </w:r>
      <w:r>
        <w:rPr>
          <w:rFonts w:hint="eastAsia"/>
          <w:color w:val="auto"/>
          <w:lang w:val="en-US" w:eastAsia="zh-CN"/>
        </w:rPr>
        <w:t>高排气筒排放。</w:t>
      </w:r>
    </w:p>
    <w:p>
      <w:pPr>
        <w:bidi w:val="0"/>
        <w:rPr>
          <w:rFonts w:hint="eastAsia"/>
          <w:color w:val="auto"/>
          <w:lang w:val="en-US" w:eastAsia="zh-CN"/>
        </w:rPr>
      </w:pPr>
      <w:r>
        <w:rPr>
          <w:rFonts w:hint="eastAsia"/>
          <w:color w:val="auto"/>
          <w:lang w:eastAsia="zh-CN"/>
        </w:rPr>
        <w:t>（</w:t>
      </w:r>
      <w:r>
        <w:rPr>
          <w:rFonts w:hint="eastAsia" w:ascii="Times New Roman" w:hAnsi="Times New Roman"/>
          <w:color w:val="auto"/>
          <w:lang w:val="en-US" w:eastAsia="zh-CN"/>
        </w:rPr>
        <w:t>2</w:t>
      </w:r>
      <w:r>
        <w:rPr>
          <w:rFonts w:hint="eastAsia"/>
          <w:color w:val="auto"/>
          <w:lang w:eastAsia="zh-CN"/>
        </w:rPr>
        <w:t>）</w:t>
      </w:r>
      <w:r>
        <w:rPr>
          <w:rFonts w:hint="eastAsia" w:ascii="Times New Roman" w:hAnsi="Times New Roman"/>
          <w:color w:val="auto"/>
          <w:lang w:val="en-US" w:eastAsia="zh-CN"/>
        </w:rPr>
        <w:t>PA</w:t>
      </w:r>
      <w:r>
        <w:rPr>
          <w:rFonts w:hint="eastAsia"/>
          <w:color w:val="auto"/>
          <w:lang w:val="en-US" w:eastAsia="zh-CN"/>
        </w:rPr>
        <w:t>聚合</w:t>
      </w:r>
      <w:r>
        <w:rPr>
          <w:rFonts w:hint="eastAsia"/>
          <w:color w:val="auto"/>
          <w:lang w:eastAsia="zh-CN"/>
        </w:rPr>
        <w:t>车间</w:t>
      </w:r>
      <w:r>
        <w:rPr>
          <w:rFonts w:hint="eastAsia"/>
          <w:color w:val="auto"/>
          <w:lang w:val="en-US" w:eastAsia="zh-CN"/>
        </w:rPr>
        <w:t>聚合釜放空废气</w:t>
      </w:r>
    </w:p>
    <w:p>
      <w:pPr>
        <w:bidi w:val="0"/>
        <w:rPr>
          <w:rFonts w:hint="eastAsia"/>
          <w:color w:val="auto"/>
          <w:lang w:eastAsia="zh-CN"/>
        </w:rPr>
      </w:pPr>
      <w:r>
        <w:rPr>
          <w:rFonts w:hint="eastAsia"/>
          <w:color w:val="auto"/>
          <w:lang w:val="en-US" w:eastAsia="zh-CN"/>
        </w:rPr>
        <w:t>聚合釜在反应过程需要定期泄压，产生的放空废气中含有少量的残留胺和有机杂质，经二级水膜+碱喷淋吸收处理后通过</w:t>
      </w:r>
      <w:r>
        <w:rPr>
          <w:rFonts w:hint="eastAsia" w:ascii="Times New Roman" w:hAnsi="Times New Roman"/>
          <w:color w:val="auto"/>
          <w:lang w:val="en-US" w:eastAsia="zh-CN"/>
        </w:rPr>
        <w:t>40m</w:t>
      </w:r>
      <w:r>
        <w:rPr>
          <w:rFonts w:hint="eastAsia"/>
          <w:color w:val="auto"/>
          <w:lang w:val="en-US" w:eastAsia="zh-CN"/>
        </w:rPr>
        <w:t>高排气筒排入大气。</w:t>
      </w:r>
    </w:p>
    <w:p>
      <w:pPr>
        <w:bidi w:val="0"/>
        <w:rPr>
          <w:rFonts w:hint="eastAsia"/>
          <w:color w:val="auto"/>
          <w:lang w:val="en-US" w:eastAsia="zh-CN"/>
        </w:rPr>
      </w:pPr>
      <w:r>
        <w:rPr>
          <w:rFonts w:hint="eastAsia"/>
          <w:color w:val="auto"/>
          <w:lang w:eastAsia="zh-CN"/>
        </w:rPr>
        <w:t>（</w:t>
      </w:r>
      <w:r>
        <w:rPr>
          <w:rFonts w:hint="eastAsia" w:ascii="Times New Roman" w:hAnsi="Times New Roman"/>
          <w:color w:val="auto"/>
          <w:lang w:val="en-US" w:eastAsia="zh-CN"/>
        </w:rPr>
        <w:t>3</w:t>
      </w:r>
      <w:r>
        <w:rPr>
          <w:rFonts w:hint="eastAsia"/>
          <w:color w:val="auto"/>
          <w:lang w:eastAsia="zh-CN"/>
        </w:rPr>
        <w:t>）</w:t>
      </w:r>
      <w:r>
        <w:rPr>
          <w:rFonts w:hint="eastAsia" w:ascii="Times New Roman" w:hAnsi="Times New Roman"/>
          <w:color w:val="auto"/>
          <w:lang w:val="en-US" w:eastAsia="zh-CN"/>
        </w:rPr>
        <w:t>DN</w:t>
      </w:r>
      <w:r>
        <w:rPr>
          <w:rFonts w:hint="eastAsia"/>
          <w:color w:val="auto"/>
          <w:lang w:eastAsia="zh-CN"/>
        </w:rPr>
        <w:t>提取车间</w:t>
      </w:r>
      <w:r>
        <w:rPr>
          <w:rFonts w:hint="eastAsia"/>
          <w:color w:val="auto"/>
          <w:lang w:val="en-US" w:eastAsia="zh-CN"/>
        </w:rPr>
        <w:t>精馏废气</w:t>
      </w:r>
    </w:p>
    <w:p>
      <w:pPr>
        <w:bidi w:val="0"/>
        <w:rPr>
          <w:rFonts w:hint="eastAsia"/>
          <w:lang w:val="en-US" w:eastAsia="zh-CN"/>
        </w:rPr>
      </w:pPr>
      <w:r>
        <w:rPr>
          <w:rFonts w:hint="eastAsia"/>
          <w:color w:val="auto"/>
          <w:lang w:val="en-US" w:eastAsia="zh-CN"/>
        </w:rPr>
        <w:t>提取车间絮凝剂回收工序废气中含少量氨，经一级水膜+水喷淋吸收处理后通过</w:t>
      </w:r>
      <w:r>
        <w:rPr>
          <w:rFonts w:hint="eastAsia" w:ascii="Times New Roman" w:hAnsi="Times New Roman"/>
          <w:color w:val="auto"/>
          <w:lang w:val="en-US" w:eastAsia="zh-CN"/>
        </w:rPr>
        <w:t>20m</w:t>
      </w:r>
      <w:r>
        <w:rPr>
          <w:rFonts w:hint="eastAsia"/>
          <w:color w:val="auto"/>
          <w:lang w:val="en-US" w:eastAsia="zh-CN"/>
        </w:rPr>
        <w:t>高排气筒排放</w:t>
      </w:r>
      <w:r>
        <w:rPr>
          <w:rFonts w:hint="eastAsia"/>
          <w:lang w:val="en-US" w:eastAsia="zh-CN"/>
        </w:rPr>
        <w:t>。</w:t>
      </w:r>
    </w:p>
    <w:p>
      <w:pPr>
        <w:bidi w:val="0"/>
        <w:rPr>
          <w:rFonts w:hint="default"/>
          <w:color w:val="auto"/>
          <w:lang w:val="en-US" w:eastAsia="zh-CN"/>
        </w:rPr>
      </w:pPr>
      <w:r>
        <w:rPr>
          <w:rFonts w:hint="eastAsia"/>
          <w:color w:val="auto"/>
          <w:lang w:val="en-US" w:eastAsia="zh-CN"/>
        </w:rPr>
        <w:t>提取废气、精馏废气和</w:t>
      </w:r>
      <w:r>
        <w:rPr>
          <w:rFonts w:hint="eastAsia" w:ascii="Times New Roman" w:hAnsi="Times New Roman"/>
          <w:color w:val="auto"/>
          <w:lang w:val="en-US" w:eastAsia="zh-CN"/>
        </w:rPr>
        <w:t>PA</w:t>
      </w:r>
      <w:r>
        <w:rPr>
          <w:rFonts w:hint="eastAsia"/>
          <w:color w:val="auto"/>
          <w:lang w:val="en-US" w:eastAsia="zh-CN"/>
        </w:rPr>
        <w:t>车间聚合釜放空废气，主要污染物</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color w:val="auto"/>
          <w:lang w:val="en-US" w:eastAsia="zh-CN"/>
        </w:rPr>
        <w:t>和</w:t>
      </w:r>
      <w:r>
        <w:rPr>
          <w:rFonts w:hint="eastAsia" w:ascii="Times New Roman" w:hAnsi="Times New Roman"/>
          <w:color w:val="auto"/>
          <w:lang w:val="en-US" w:eastAsia="zh-CN"/>
        </w:rPr>
        <w:t>NMHC</w:t>
      </w:r>
      <w:r>
        <w:rPr>
          <w:rFonts w:hint="eastAsia"/>
          <w:color w:val="auto"/>
          <w:lang w:val="en-US" w:eastAsia="zh-CN"/>
        </w:rPr>
        <w:t>执行《合成树脂工业污染物排放标准》（</w:t>
      </w:r>
      <w:r>
        <w:rPr>
          <w:rFonts w:hint="eastAsia" w:ascii="Times New Roman" w:hAnsi="Times New Roman"/>
          <w:color w:val="auto"/>
          <w:lang w:val="en-US" w:eastAsia="zh-CN"/>
        </w:rPr>
        <w:t>GB31572</w:t>
      </w:r>
      <w:r>
        <w:rPr>
          <w:rFonts w:hint="eastAsia"/>
          <w:color w:val="auto"/>
          <w:lang w:val="en-US" w:eastAsia="zh-CN"/>
        </w:rPr>
        <w:t>-</w:t>
      </w:r>
      <w:r>
        <w:rPr>
          <w:rFonts w:hint="eastAsia" w:ascii="Times New Roman" w:hAnsi="Times New Roman"/>
          <w:color w:val="auto"/>
          <w:lang w:val="en-US" w:eastAsia="zh-CN"/>
        </w:rPr>
        <w:t>2105</w:t>
      </w:r>
      <w:r>
        <w:rPr>
          <w:rFonts w:hint="eastAsia"/>
          <w:color w:val="auto"/>
          <w:lang w:val="en-US" w:eastAsia="zh-CN"/>
        </w:rPr>
        <w:t>）表</w:t>
      </w:r>
      <w:r>
        <w:rPr>
          <w:rFonts w:hint="eastAsia" w:ascii="Times New Roman" w:hAnsi="Times New Roman"/>
          <w:color w:val="auto"/>
          <w:lang w:val="en-US" w:eastAsia="zh-CN"/>
        </w:rPr>
        <w:t>5</w:t>
      </w:r>
      <w:r>
        <w:rPr>
          <w:rFonts w:hint="eastAsia"/>
          <w:color w:val="auto"/>
          <w:lang w:val="en-US" w:eastAsia="zh-CN"/>
        </w:rPr>
        <w:t>特别排放限值。</w:t>
      </w:r>
    </w:p>
    <w:p>
      <w:pPr>
        <w:bidi w:val="0"/>
        <w:rPr>
          <w:rFonts w:hint="eastAsia"/>
          <w:lang w:val="en-US" w:eastAsia="zh-CN"/>
        </w:rPr>
      </w:pP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lang w:val="en-US" w:eastAsia="zh-CN"/>
        </w:rPr>
        <w:t>固废库废气（验收后新增）</w:t>
      </w:r>
    </w:p>
    <w:p>
      <w:pPr>
        <w:keepNext w:val="0"/>
        <w:keepLines w:val="0"/>
        <w:widowControl/>
        <w:suppressLineNumbers w:val="0"/>
        <w:jc w:val="left"/>
        <w:rPr>
          <w:rFonts w:hint="eastAsia"/>
          <w:lang w:eastAsia="zh-CN"/>
        </w:rPr>
      </w:pPr>
      <w:r>
        <w:rPr>
          <w:rFonts w:hint="eastAsia"/>
          <w:lang w:val="en-US" w:eastAsia="zh-CN"/>
        </w:rPr>
        <w:t>厂内由于发酵产生的</w:t>
      </w:r>
      <w:r>
        <w:rPr>
          <w:rFonts w:hint="eastAsia" w:ascii="Times New Roman" w:hAnsi="Times New Roman"/>
          <w:lang w:val="en-US" w:eastAsia="zh-CN"/>
        </w:rPr>
        <w:t>DN</w:t>
      </w:r>
      <w:r>
        <w:rPr>
          <w:rFonts w:hint="eastAsia"/>
          <w:lang w:val="en-US" w:eastAsia="zh-CN"/>
        </w:rPr>
        <w:t>溶液生产菌体污泥需要进行干燥和拉运填埋处理，菌体污泥在固废库暂存，设置干燥工艺配套废气处理设施。由于发酵过程中需要添加液氨，发酵后产生的菌体污泥也会存在氨味，在板框压滤机上方设置集气口，收集菌体污泥脱水干化处理过程产生的废气，采用二级水喷淋吸收处理后，通过排气筒排放。</w:t>
      </w:r>
    </w:p>
    <w:p>
      <w:pPr>
        <w:pStyle w:val="7"/>
        <w:bidi w:val="0"/>
        <w:rPr>
          <w:rFonts w:hint="eastAsia"/>
          <w:lang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燃煤</w:t>
      </w:r>
      <w:r>
        <w:rPr>
          <w:rFonts w:hint="eastAsia"/>
          <w:lang w:eastAsia="zh-CN"/>
        </w:rPr>
        <w:t>锅炉和导热油炉烟气</w:t>
      </w:r>
    </w:p>
    <w:p>
      <w:pPr>
        <w:bidi w:val="0"/>
        <w:rPr>
          <w:rFonts w:hint="eastAsia"/>
          <w:lang w:eastAsia="zh-CN"/>
        </w:rPr>
      </w:pPr>
      <w:r>
        <w:rPr>
          <w:rFonts w:hint="eastAsia"/>
          <w:color w:val="auto"/>
          <w:lang w:eastAsia="zh-CN"/>
        </w:rPr>
        <w:t>动力站共设置</w:t>
      </w:r>
      <w:r>
        <w:rPr>
          <w:rFonts w:hint="eastAsia" w:ascii="Times New Roman" w:hAnsi="Times New Roman"/>
          <w:color w:val="auto"/>
          <w:lang w:val="en-US" w:eastAsia="zh-CN"/>
        </w:rPr>
        <w:t>5</w:t>
      </w:r>
      <w:r>
        <w:rPr>
          <w:rFonts w:hint="eastAsia"/>
          <w:color w:val="auto"/>
          <w:lang w:val="en-US" w:eastAsia="zh-CN"/>
        </w:rPr>
        <w:t>台锅炉（</w:t>
      </w:r>
      <w:r>
        <w:rPr>
          <w:rFonts w:hint="eastAsia" w:ascii="Times New Roman" w:hAnsi="Times New Roman"/>
          <w:color w:val="auto"/>
          <w:lang w:val="en-US" w:eastAsia="zh-CN"/>
        </w:rPr>
        <w:t>4</w:t>
      </w:r>
      <w:r>
        <w:rPr>
          <w:rFonts w:hint="eastAsia"/>
          <w:color w:val="auto"/>
          <w:lang w:val="en-US" w:eastAsia="zh-CN"/>
        </w:rPr>
        <w:t>用一备），</w:t>
      </w:r>
      <w:r>
        <w:rPr>
          <w:rFonts w:hint="eastAsia"/>
          <w:lang w:val="en-US" w:eastAsia="zh-CN"/>
        </w:rPr>
        <w:t>采用煤作为燃料，烟气经</w:t>
      </w:r>
      <w:r>
        <w:rPr>
          <w:rFonts w:hint="eastAsia" w:ascii="Times New Roman" w:hAnsi="Times New Roman"/>
          <w:lang w:val="en-US" w:eastAsia="zh-CN"/>
        </w:rPr>
        <w:t>SCR</w:t>
      </w:r>
      <w:r>
        <w:rPr>
          <w:rFonts w:hint="eastAsia"/>
          <w:lang w:val="en-US" w:eastAsia="zh-CN"/>
        </w:rPr>
        <w:t>+</w:t>
      </w:r>
      <w:r>
        <w:rPr>
          <w:rFonts w:hint="eastAsia" w:ascii="Times New Roman" w:hAnsi="Times New Roman"/>
          <w:lang w:val="en-US" w:eastAsia="zh-CN"/>
        </w:rPr>
        <w:t>SNCR</w:t>
      </w:r>
      <w:r>
        <w:rPr>
          <w:rFonts w:hint="eastAsia"/>
          <w:lang w:val="en-US" w:eastAsia="zh-CN"/>
        </w:rPr>
        <w:t>脱硝+电袋复合除尘+氨法脱硫处理后通过</w:t>
      </w:r>
      <w:r>
        <w:rPr>
          <w:rFonts w:hint="eastAsia" w:ascii="Times New Roman" w:hAnsi="Times New Roman"/>
          <w:lang w:val="en-US" w:eastAsia="zh-CN"/>
        </w:rPr>
        <w:t>100m</w:t>
      </w:r>
      <w:r>
        <w:rPr>
          <w:rFonts w:hint="eastAsia"/>
          <w:lang w:val="en-US" w:eastAsia="zh-CN"/>
        </w:rPr>
        <w:t>高烟囱排入大气。</w:t>
      </w:r>
      <w:r>
        <w:rPr>
          <w:rFonts w:hint="eastAsia" w:ascii="Times New Roman" w:hAnsi="Times New Roman"/>
          <w:color w:val="auto"/>
          <w:lang w:val="en-US" w:eastAsia="zh-CN"/>
        </w:rPr>
        <w:t>2021</w:t>
      </w:r>
      <w:r>
        <w:rPr>
          <w:rFonts w:hint="eastAsia"/>
          <w:color w:val="auto"/>
          <w:lang w:val="en-US" w:eastAsia="zh-CN"/>
        </w:rPr>
        <w:t>年</w:t>
      </w:r>
      <w:r>
        <w:rPr>
          <w:rFonts w:hint="eastAsia" w:ascii="Times New Roman" w:hAnsi="Times New Roman"/>
          <w:color w:val="auto"/>
          <w:lang w:val="en-US" w:eastAsia="zh-CN"/>
        </w:rPr>
        <w:t>3</w:t>
      </w:r>
      <w:r>
        <w:rPr>
          <w:rFonts w:hint="eastAsia"/>
          <w:color w:val="auto"/>
          <w:lang w:val="en-US" w:eastAsia="zh-CN"/>
        </w:rPr>
        <w:t>月超低排放改造后，烟气中主要污染物执行《全面实施燃煤锅炉超低排放和节能改造工作方案》（环发[</w:t>
      </w:r>
      <w:r>
        <w:rPr>
          <w:rFonts w:hint="eastAsia" w:ascii="Times New Roman" w:hAnsi="Times New Roman"/>
          <w:color w:val="auto"/>
          <w:lang w:val="en-US" w:eastAsia="zh-CN"/>
        </w:rPr>
        <w:t>2015</w:t>
      </w:r>
      <w:r>
        <w:rPr>
          <w:rFonts w:hint="eastAsia"/>
          <w:color w:val="auto"/>
          <w:lang w:val="en-US" w:eastAsia="zh-CN"/>
        </w:rPr>
        <w:t>]</w:t>
      </w:r>
      <w:r>
        <w:rPr>
          <w:rFonts w:hint="eastAsia" w:ascii="Times New Roman" w:hAnsi="Times New Roman"/>
          <w:color w:val="auto"/>
          <w:lang w:val="en-US" w:eastAsia="zh-CN"/>
        </w:rPr>
        <w:t>164</w:t>
      </w:r>
      <w:r>
        <w:rPr>
          <w:rFonts w:hint="eastAsia"/>
          <w:color w:val="auto"/>
          <w:lang w:val="en-US" w:eastAsia="zh-CN"/>
        </w:rPr>
        <w:t>）和《打赢蓝天保卫战三年行动计划》（国发[</w:t>
      </w:r>
      <w:r>
        <w:rPr>
          <w:rFonts w:hint="eastAsia" w:ascii="Times New Roman" w:hAnsi="Times New Roman"/>
          <w:color w:val="auto"/>
          <w:lang w:val="en-US" w:eastAsia="zh-CN"/>
        </w:rPr>
        <w:t>2018</w:t>
      </w:r>
      <w:r>
        <w:rPr>
          <w:rFonts w:hint="eastAsia"/>
          <w:color w:val="auto"/>
          <w:lang w:val="en-US" w:eastAsia="zh-CN"/>
        </w:rPr>
        <w:t>]</w:t>
      </w:r>
      <w:r>
        <w:rPr>
          <w:rFonts w:hint="eastAsia" w:ascii="Times New Roman" w:hAnsi="Times New Roman"/>
          <w:color w:val="auto"/>
          <w:lang w:val="en-US" w:eastAsia="zh-CN"/>
        </w:rPr>
        <w:t>22</w:t>
      </w:r>
      <w:r>
        <w:rPr>
          <w:rFonts w:hint="eastAsia"/>
          <w:color w:val="auto"/>
          <w:lang w:val="en-US" w:eastAsia="zh-CN"/>
        </w:rPr>
        <w:t>号）相关要求（烟尘：</w:t>
      </w:r>
      <w:r>
        <w:rPr>
          <w:rFonts w:hint="eastAsia" w:ascii="Times New Roman" w:hAnsi="Times New Roman"/>
          <w:color w:val="auto"/>
          <w:lang w:val="en-US" w:eastAsia="zh-CN"/>
        </w:rPr>
        <w:t>10mg</w:t>
      </w:r>
      <w:r>
        <w:rPr>
          <w:rFonts w:hint="eastAsia"/>
          <w:color w:val="auto"/>
          <w:lang w:val="en-US" w:eastAsia="zh-CN"/>
        </w:rPr>
        <w:t>/</w:t>
      </w:r>
      <w:r>
        <w:rPr>
          <w:rFonts w:hint="eastAsia" w:ascii="Times New Roman" w:hAnsi="Times New Roman"/>
          <w:color w:val="auto"/>
          <w:lang w:val="en-US" w:eastAsia="zh-CN"/>
        </w:rPr>
        <w:t>m</w:t>
      </w:r>
      <w:r>
        <w:rPr>
          <w:rFonts w:hint="eastAsia"/>
          <w:color w:val="auto"/>
          <w:lang w:val="en-US" w:eastAsia="zh-CN"/>
        </w:rPr>
        <w:t>³，</w:t>
      </w:r>
      <w:r>
        <w:rPr>
          <w:rFonts w:hint="eastAsia" w:ascii="Times New Roman" w:hAnsi="Times New Roman"/>
          <w:color w:val="auto"/>
          <w:lang w:val="en-US" w:eastAsia="zh-CN"/>
        </w:rPr>
        <w:t>SO</w:t>
      </w:r>
      <w:r>
        <w:rPr>
          <w:rFonts w:hint="eastAsia" w:ascii="Times New Roman" w:hAnsi="Times New Roman"/>
          <w:color w:val="auto"/>
          <w:vertAlign w:val="subscript"/>
          <w:lang w:val="en-US" w:eastAsia="zh-CN"/>
        </w:rPr>
        <w:t>2</w:t>
      </w:r>
      <w:r>
        <w:rPr>
          <w:rFonts w:hint="eastAsia"/>
          <w:color w:val="auto"/>
          <w:lang w:val="en-US" w:eastAsia="zh-CN"/>
        </w:rPr>
        <w:t>:</w:t>
      </w:r>
      <w:r>
        <w:rPr>
          <w:rFonts w:hint="eastAsia" w:ascii="Times New Roman" w:hAnsi="Times New Roman"/>
          <w:color w:val="auto"/>
          <w:lang w:val="en-US" w:eastAsia="zh-CN"/>
        </w:rPr>
        <w:t>35mg</w:t>
      </w:r>
      <w:r>
        <w:rPr>
          <w:rFonts w:hint="eastAsia"/>
          <w:color w:val="auto"/>
          <w:lang w:val="en-US" w:eastAsia="zh-CN"/>
        </w:rPr>
        <w:t>/</w:t>
      </w:r>
      <w:r>
        <w:rPr>
          <w:rFonts w:hint="eastAsia" w:ascii="Times New Roman" w:hAnsi="Times New Roman"/>
          <w:color w:val="auto"/>
          <w:lang w:val="en-US" w:eastAsia="zh-CN"/>
        </w:rPr>
        <w:t>m</w:t>
      </w:r>
      <w:r>
        <w:rPr>
          <w:rFonts w:hint="eastAsia"/>
          <w:color w:val="auto"/>
          <w:lang w:val="en-US" w:eastAsia="zh-CN"/>
        </w:rPr>
        <w:t>³，</w:t>
      </w:r>
      <w:r>
        <w:rPr>
          <w:rFonts w:hint="eastAsia" w:ascii="Times New Roman" w:hAnsi="Times New Roman"/>
          <w:color w:val="auto"/>
          <w:lang w:val="en-US" w:eastAsia="zh-CN"/>
        </w:rPr>
        <w:t>NOx</w:t>
      </w:r>
      <w:r>
        <w:rPr>
          <w:rFonts w:hint="eastAsia"/>
          <w:color w:val="auto"/>
          <w:lang w:val="en-US" w:eastAsia="zh-CN"/>
        </w:rPr>
        <w:t>：</w:t>
      </w:r>
      <w:r>
        <w:rPr>
          <w:rFonts w:hint="eastAsia" w:ascii="Times New Roman" w:hAnsi="Times New Roman"/>
          <w:color w:val="auto"/>
          <w:lang w:val="en-US" w:eastAsia="zh-CN"/>
        </w:rPr>
        <w:t>50mg</w:t>
      </w:r>
      <w:r>
        <w:rPr>
          <w:rFonts w:hint="eastAsia"/>
          <w:color w:val="auto"/>
          <w:lang w:val="en-US" w:eastAsia="zh-CN"/>
        </w:rPr>
        <w:t>/</w:t>
      </w:r>
      <w:r>
        <w:rPr>
          <w:rFonts w:hint="eastAsia" w:ascii="Times New Roman" w:hAnsi="Times New Roman"/>
          <w:color w:val="auto"/>
          <w:lang w:val="en-US" w:eastAsia="zh-CN"/>
        </w:rPr>
        <w:t>m</w:t>
      </w:r>
      <w:r>
        <w:rPr>
          <w:rFonts w:hint="eastAsia"/>
          <w:color w:val="auto"/>
          <w:lang w:val="en-US" w:eastAsia="zh-CN"/>
        </w:rPr>
        <w:t>³）。</w:t>
      </w:r>
    </w:p>
    <w:p>
      <w:pPr>
        <w:bidi w:val="0"/>
        <w:rPr>
          <w:rFonts w:hint="eastAsia"/>
          <w:lang w:eastAsia="zh-CN"/>
        </w:rPr>
      </w:pPr>
      <w:r>
        <w:rPr>
          <w:rFonts w:hint="eastAsia" w:ascii="Times New Roman" w:hAnsi="Times New Roman"/>
          <w:lang w:val="en-US" w:eastAsia="zh-CN"/>
        </w:rPr>
        <w:t>2023</w:t>
      </w:r>
      <w:r>
        <w:rPr>
          <w:rFonts w:hint="eastAsia"/>
          <w:lang w:val="en-US" w:eastAsia="zh-CN"/>
        </w:rPr>
        <w:t>年导热油炉进行了煤改气工程，厂内淘汰了现有的</w:t>
      </w:r>
      <w:r>
        <w:rPr>
          <w:rFonts w:hint="eastAsia" w:ascii="Times New Roman" w:hAnsi="Times New Roman"/>
          <w:lang w:val="en-US" w:eastAsia="zh-CN"/>
        </w:rPr>
        <w:t>3</w:t>
      </w:r>
      <w:r>
        <w:rPr>
          <w:rFonts w:hint="eastAsia"/>
          <w:lang w:val="en-US" w:eastAsia="zh-CN"/>
        </w:rPr>
        <w:t>台</w:t>
      </w:r>
      <w:r>
        <w:rPr>
          <w:rFonts w:hint="eastAsia" w:ascii="Times New Roman" w:hAnsi="Times New Roman"/>
          <w:lang w:val="en-US" w:eastAsia="zh-CN"/>
        </w:rPr>
        <w:t>600</w:t>
      </w:r>
      <w:r>
        <w:rPr>
          <w:rFonts w:hint="eastAsia"/>
          <w:lang w:val="en-US" w:eastAsia="zh-CN"/>
        </w:rPr>
        <w:t>万大卡燃煤导热油炉，增设了</w:t>
      </w:r>
      <w:r>
        <w:rPr>
          <w:rFonts w:hint="eastAsia" w:ascii="Times New Roman" w:hAnsi="Times New Roman"/>
          <w:lang w:val="en-US" w:eastAsia="zh-CN"/>
        </w:rPr>
        <w:t>2</w:t>
      </w:r>
      <w:r>
        <w:rPr>
          <w:rFonts w:hint="eastAsia"/>
          <w:lang w:val="en-US" w:eastAsia="zh-CN"/>
        </w:rPr>
        <w:t>台</w:t>
      </w:r>
      <w:r>
        <w:rPr>
          <w:rFonts w:hint="eastAsia" w:ascii="Times New Roman" w:hAnsi="Times New Roman"/>
          <w:lang w:val="en-US" w:eastAsia="zh-CN"/>
        </w:rPr>
        <w:t>8100kW</w:t>
      </w:r>
      <w:r>
        <w:rPr>
          <w:rFonts w:hint="eastAsia"/>
          <w:lang w:val="en-US" w:eastAsia="zh-CN"/>
        </w:rPr>
        <w:t>燃气导热油炉，配套低氮燃烧器，</w:t>
      </w:r>
      <w:r>
        <w:rPr>
          <w:rFonts w:hint="eastAsia"/>
          <w:lang w:eastAsia="zh-CN"/>
        </w:rPr>
        <w:t>燃烧产生的烟气不再采用原电袋除尘</w:t>
      </w:r>
      <w:r>
        <w:rPr>
          <w:rFonts w:hint="eastAsia"/>
          <w:lang w:val="en-US" w:eastAsia="zh-CN"/>
        </w:rPr>
        <w:t>+</w:t>
      </w:r>
      <w:r>
        <w:rPr>
          <w:rFonts w:hint="eastAsia"/>
          <w:lang w:eastAsia="zh-CN"/>
        </w:rPr>
        <w:t>氨法脱硫</w:t>
      </w:r>
      <w:r>
        <w:rPr>
          <w:rFonts w:hint="eastAsia"/>
          <w:lang w:val="en-US" w:eastAsia="zh-CN"/>
        </w:rPr>
        <w:t>+</w:t>
      </w:r>
      <w:r>
        <w:rPr>
          <w:rFonts w:hint="eastAsia" w:ascii="Times New Roman" w:hAnsi="Times New Roman"/>
          <w:lang w:val="en-US" w:eastAsia="zh-CN"/>
        </w:rPr>
        <w:t>SCR</w:t>
      </w:r>
      <w:r>
        <w:rPr>
          <w:rFonts w:hint="eastAsia"/>
          <w:lang w:eastAsia="zh-CN"/>
        </w:rPr>
        <w:t>处理，主要污染物为</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val="en-US" w:eastAsia="zh-CN"/>
        </w:rPr>
        <w:t>、</w:t>
      </w:r>
      <w:r>
        <w:rPr>
          <w:rFonts w:hint="eastAsia" w:ascii="Times New Roman" w:hAnsi="Times New Roman"/>
          <w:lang w:val="en-US" w:eastAsia="zh-CN"/>
        </w:rPr>
        <w:t>NOx</w:t>
      </w:r>
      <w:r>
        <w:rPr>
          <w:rFonts w:hint="eastAsia"/>
          <w:lang w:val="en-US" w:eastAsia="zh-CN"/>
        </w:rPr>
        <w:t>和颗粒物</w:t>
      </w:r>
      <w:r>
        <w:rPr>
          <w:rFonts w:hint="eastAsia"/>
          <w:lang w:eastAsia="zh-CN"/>
        </w:rPr>
        <w:t>。导热油炉烟气主要污染物颗粒物、</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eastAsia="zh-CN"/>
        </w:rPr>
        <w:t>执行《锅炉大气污染物排放标准》（</w:t>
      </w:r>
      <w:r>
        <w:rPr>
          <w:rFonts w:hint="eastAsia" w:ascii="Times New Roman" w:hAnsi="Times New Roman"/>
          <w:lang w:val="en-US" w:eastAsia="zh-CN"/>
        </w:rPr>
        <w:t>GB13271</w:t>
      </w:r>
      <w:r>
        <w:rPr>
          <w:rFonts w:hint="eastAsia"/>
          <w:lang w:val="en-US" w:eastAsia="zh-CN"/>
        </w:rPr>
        <w:t>-</w:t>
      </w:r>
      <w:r>
        <w:rPr>
          <w:rFonts w:hint="eastAsia" w:ascii="Times New Roman" w:hAnsi="Times New Roman"/>
          <w:lang w:val="en-US" w:eastAsia="zh-CN"/>
        </w:rPr>
        <w:t>2014</w:t>
      </w:r>
      <w:r>
        <w:rPr>
          <w:rFonts w:hint="eastAsia"/>
          <w:lang w:eastAsia="zh-CN"/>
        </w:rPr>
        <w:t>）表</w:t>
      </w:r>
      <w:r>
        <w:rPr>
          <w:rFonts w:hint="eastAsia" w:ascii="Times New Roman" w:hAnsi="Times New Roman"/>
          <w:lang w:val="en-US" w:eastAsia="zh-CN"/>
        </w:rPr>
        <w:t>3</w:t>
      </w:r>
      <w:r>
        <w:rPr>
          <w:rFonts w:hint="eastAsia"/>
          <w:lang w:val="en-US" w:eastAsia="zh-CN"/>
        </w:rPr>
        <w:t>燃气锅炉大气污染物特别排放限值，</w:t>
      </w:r>
      <w:r>
        <w:rPr>
          <w:rFonts w:hint="eastAsia" w:ascii="Times New Roman" w:hAnsi="Times New Roman"/>
          <w:lang w:val="en-US" w:eastAsia="zh-CN"/>
        </w:rPr>
        <w:t>NOx</w:t>
      </w:r>
      <w:r>
        <w:rPr>
          <w:rFonts w:hint="eastAsia"/>
          <w:lang w:val="en-US" w:eastAsia="zh-CN"/>
        </w:rPr>
        <w:t>须满足《关于开展自治区</w:t>
      </w:r>
      <w:r>
        <w:rPr>
          <w:rFonts w:hint="eastAsia" w:ascii="Times New Roman" w:hAnsi="Times New Roman"/>
          <w:lang w:val="en-US" w:eastAsia="zh-CN"/>
        </w:rPr>
        <w:t>2022</w:t>
      </w:r>
      <w:r>
        <w:rPr>
          <w:rFonts w:hint="eastAsia"/>
          <w:lang w:val="en-US" w:eastAsia="zh-CN"/>
        </w:rPr>
        <w:t>年度夏秋季大气污染防治“冬病夏治”工作的通知》（新环大气函[</w:t>
      </w:r>
      <w:r>
        <w:rPr>
          <w:rFonts w:hint="eastAsia" w:ascii="Times New Roman" w:hAnsi="Times New Roman"/>
          <w:lang w:val="en-US" w:eastAsia="zh-CN"/>
        </w:rPr>
        <w:t>2022</w:t>
      </w:r>
      <w:r>
        <w:rPr>
          <w:rFonts w:hint="eastAsia"/>
          <w:lang w:val="en-US" w:eastAsia="zh-CN"/>
        </w:rPr>
        <w:t>]</w:t>
      </w:r>
      <w:r>
        <w:rPr>
          <w:rFonts w:hint="eastAsia" w:ascii="Times New Roman" w:hAnsi="Times New Roman"/>
          <w:lang w:val="en-US" w:eastAsia="zh-CN"/>
        </w:rPr>
        <w:t>483</w:t>
      </w:r>
      <w:r>
        <w:rPr>
          <w:rFonts w:hint="eastAsia"/>
          <w:lang w:val="en-US" w:eastAsia="zh-CN"/>
        </w:rPr>
        <w:t>号）要求（</w:t>
      </w:r>
      <w:r>
        <w:rPr>
          <w:rFonts w:hint="eastAsia" w:ascii="Times New Roman" w:hAnsi="Times New Roman"/>
          <w:lang w:val="en-US" w:eastAsia="zh-CN"/>
        </w:rPr>
        <w:t>NOx</w:t>
      </w:r>
      <w:r>
        <w:rPr>
          <w:rFonts w:hint="eastAsia" w:ascii="Times New Roman" w:hAnsi="Times New Roman"/>
          <w:lang w:val="en-US" w:eastAsia="zh-CN"/>
        </w:rPr>
        <w:t>浓度≤</w:t>
      </w:r>
      <w:r>
        <w:rPr>
          <w:rFonts w:hint="eastAsia" w:ascii="Times New Roman" w:hAnsi="Times New Roman"/>
          <w:lang w:val="en-US" w:eastAsia="zh-CN"/>
        </w:rPr>
        <w:t>50mg</w:t>
      </w:r>
      <w:r>
        <w:rPr>
          <w:rFonts w:hint="eastAsia" w:ascii="Times New Roman" w:hAnsi="Times New Roman"/>
          <w:lang w:val="en-US" w:eastAsia="zh-CN"/>
        </w:rPr>
        <w:t>/</w:t>
      </w:r>
      <w:r>
        <w:rPr>
          <w:rFonts w:hint="eastAsia" w:ascii="Times New Roman" w:hAnsi="Times New Roman"/>
          <w:lang w:val="en-US" w:eastAsia="zh-CN"/>
        </w:rPr>
        <w:t>m</w:t>
      </w:r>
      <w:r>
        <w:rPr>
          <w:rFonts w:hint="eastAsia" w:ascii="Times New Roman" w:hAnsi="Times New Roman"/>
          <w:lang w:val="en-US" w:eastAsia="zh-CN"/>
        </w:rPr>
        <w:t>³</w:t>
      </w:r>
      <w:r>
        <w:rPr>
          <w:rFonts w:hint="eastAsia"/>
          <w:lang w:val="en-US" w:eastAsia="zh-CN"/>
        </w:rPr>
        <w:t>）。</w:t>
      </w:r>
      <w:r>
        <w:rPr>
          <w:rFonts w:hint="eastAsia"/>
          <w:lang w:eastAsia="zh-CN"/>
        </w:rPr>
        <w:t>该工程环评已取得塔城地区</w:t>
      </w:r>
      <w:r>
        <w:rPr>
          <w:rFonts w:hint="eastAsia"/>
          <w:color w:val="auto"/>
          <w:lang w:eastAsia="zh-CN"/>
        </w:rPr>
        <w:t>生态环境局批复，批复文号：塔地环字</w:t>
      </w:r>
      <w:r>
        <w:rPr>
          <w:rFonts w:hint="eastAsia"/>
          <w:color w:val="auto"/>
          <w:lang w:val="en-US" w:eastAsia="zh-CN"/>
        </w:rPr>
        <w:t>[</w:t>
      </w:r>
      <w:r>
        <w:rPr>
          <w:rFonts w:hint="eastAsia" w:ascii="Times New Roman" w:hAnsi="Times New Roman"/>
          <w:color w:val="auto"/>
          <w:lang w:val="en-US" w:eastAsia="zh-CN"/>
        </w:rPr>
        <w:t>2023</w:t>
      </w:r>
      <w:r>
        <w:rPr>
          <w:rFonts w:hint="eastAsia"/>
          <w:color w:val="auto"/>
          <w:lang w:val="en-US" w:eastAsia="zh-CN"/>
        </w:rPr>
        <w:t>]</w:t>
      </w:r>
      <w:r>
        <w:rPr>
          <w:rFonts w:hint="eastAsia" w:ascii="Times New Roman" w:hAnsi="Times New Roman"/>
          <w:color w:val="auto"/>
          <w:lang w:val="en-US" w:eastAsia="zh-CN"/>
        </w:rPr>
        <w:t>83</w:t>
      </w:r>
      <w:r>
        <w:rPr>
          <w:rFonts w:hint="eastAsia"/>
          <w:color w:val="auto"/>
          <w:lang w:val="en-US" w:eastAsia="zh-CN"/>
        </w:rPr>
        <w:t>号</w:t>
      </w:r>
      <w:r>
        <w:rPr>
          <w:rFonts w:hint="eastAsia"/>
          <w:lang w:eastAsia="zh-CN"/>
        </w:rPr>
        <w:t>。</w:t>
      </w:r>
    </w:p>
    <w:p>
      <w:pPr>
        <w:pStyle w:val="7"/>
        <w:bidi w:val="0"/>
        <w:rPr>
          <w:rFonts w:hint="eastAsia"/>
          <w:lang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5</w:t>
      </w:r>
      <w:r>
        <w:rPr>
          <w:rFonts w:hint="eastAsia"/>
          <w:lang w:eastAsia="zh-CN"/>
        </w:rPr>
        <w:t>污水站恶臭废气</w:t>
      </w:r>
    </w:p>
    <w:p>
      <w:pPr>
        <w:bidi w:val="0"/>
        <w:rPr>
          <w:rFonts w:hint="eastAsia"/>
          <w:color w:val="auto"/>
          <w:lang w:val="en-US" w:eastAsia="zh-CN"/>
        </w:rPr>
      </w:pPr>
      <w:r>
        <w:rPr>
          <w:rFonts w:hint="eastAsia"/>
          <w:color w:val="auto"/>
          <w:lang w:val="en-US" w:eastAsia="zh-CN"/>
        </w:rPr>
        <w:t>厂内污水站恶臭主要来自预处理格栅井、曝气池、污泥浓缩池、污泥脱水机房等。</w:t>
      </w:r>
      <w:r>
        <w:rPr>
          <w:rFonts w:hint="eastAsia"/>
          <w:lang w:eastAsia="zh-CN"/>
        </w:rPr>
        <w:t>厂内对污水处理站各池体采取了加盖密闭措施，站内废气负压收集，</w:t>
      </w:r>
      <w:r>
        <w:rPr>
          <w:rFonts w:hint="eastAsia"/>
          <w:color w:val="auto"/>
          <w:lang w:val="en-US" w:eastAsia="zh-CN"/>
        </w:rPr>
        <w:t>污水站已建成</w:t>
      </w:r>
      <w:r>
        <w:rPr>
          <w:rFonts w:hint="eastAsia" w:ascii="Times New Roman" w:hAnsi="Times New Roman"/>
          <w:color w:val="auto"/>
          <w:lang w:val="en-US" w:eastAsia="zh-CN"/>
        </w:rPr>
        <w:t>6</w:t>
      </w:r>
      <w:r>
        <w:rPr>
          <w:rFonts w:hint="eastAsia"/>
          <w:color w:val="auto"/>
          <w:lang w:val="en-US" w:eastAsia="zh-CN"/>
        </w:rPr>
        <w:t>套生物除臭措施，均完成了“三同时”竣工环境保护验收，污水处理过程产生的废气经处理后分别通过各自</w:t>
      </w:r>
      <w:r>
        <w:rPr>
          <w:rFonts w:hint="eastAsia" w:ascii="Times New Roman" w:hAnsi="Times New Roman"/>
          <w:color w:val="auto"/>
          <w:lang w:val="en-US" w:eastAsia="zh-CN"/>
        </w:rPr>
        <w:t>30m</w:t>
      </w:r>
      <w:r>
        <w:rPr>
          <w:rFonts w:hint="eastAsia"/>
          <w:color w:val="auto"/>
          <w:lang w:val="en-US" w:eastAsia="zh-CN"/>
        </w:rPr>
        <w:t>高排气筒排放。</w:t>
      </w:r>
    </w:p>
    <w:p>
      <w:pPr>
        <w:bidi w:val="0"/>
        <w:rPr>
          <w:rFonts w:hint="default"/>
          <w:lang w:val="en-US" w:eastAsia="zh-CN"/>
        </w:rPr>
      </w:pPr>
      <w:r>
        <w:rPr>
          <w:rFonts w:hint="eastAsia"/>
          <w:lang w:val="en-US" w:eastAsia="zh-CN"/>
        </w:rPr>
        <w:t>结合排污许可证和现场调查，现有工程主要废气污染源及治理措施/设施汇总见表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 xml:space="preserve">  现有工程废气污染源及治理措施/设施汇总表</w:t>
      </w:r>
    </w:p>
    <w:tbl>
      <w:tblPr>
        <w:tblStyle w:val="8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2717"/>
        <w:gridCol w:w="1517"/>
        <w:gridCol w:w="646"/>
        <w:gridCol w:w="600"/>
        <w:gridCol w:w="1005"/>
        <w:gridCol w:w="18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代号</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污染源名称</w:t>
            </w:r>
          </w:p>
        </w:tc>
        <w:tc>
          <w:tcPr>
            <w:tcW w:w="8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主要污染物</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方式</w:t>
            </w:r>
          </w:p>
        </w:tc>
        <w:tc>
          <w:tcPr>
            <w:tcW w:w="875"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排气筒</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处理措施</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tcBorders>
              <w:tl2br w:val="nil"/>
              <w:tr2bl w:val="nil"/>
            </w:tcBorders>
            <w:vAlign w:val="center"/>
          </w:tcPr>
          <w:p>
            <w:pPr>
              <w:pStyle w:val="44"/>
              <w:adjustRightInd w:val="0"/>
              <w:snapToGrid w:val="0"/>
              <w:spacing w:line="240" w:lineRule="auto"/>
              <w:ind w:firstLine="0" w:firstLineChars="0"/>
              <w:jc w:val="center"/>
              <w:rPr>
                <w:rFonts w:hint="eastAsia" w:ascii="宋体" w:hAnsi="宋体" w:eastAsia="宋体" w:cs="宋体"/>
                <w:spacing w:val="-11"/>
                <w:kern w:val="0"/>
                <w:sz w:val="21"/>
                <w:szCs w:val="21"/>
                <w:lang w:val="en-US" w:eastAsia="zh-CN" w:bidi="ar-SA"/>
              </w:rPr>
            </w:pPr>
            <w:r>
              <w:rPr>
                <w:rFonts w:hint="eastAsia" w:hAnsi="宋体" w:cs="宋体"/>
                <w:spacing w:val="-11"/>
                <w:sz w:val="21"/>
                <w:lang w:eastAsia="zh-CN"/>
              </w:rPr>
              <w:t>数量</w:t>
            </w:r>
          </w:p>
        </w:tc>
        <w:tc>
          <w:tcPr>
            <w:tcW w:w="548" w:type="pct"/>
            <w:tcBorders>
              <w:tl2br w:val="nil"/>
              <w:tr2bl w:val="nil"/>
            </w:tcBorders>
            <w:vAlign w:val="center"/>
          </w:tcPr>
          <w:p>
            <w:pPr>
              <w:pStyle w:val="44"/>
              <w:adjustRightInd w:val="0"/>
              <w:snapToGrid w:val="0"/>
              <w:spacing w:line="240" w:lineRule="auto"/>
              <w:ind w:firstLine="0" w:firstLineChars="0"/>
              <w:jc w:val="center"/>
              <w:rPr>
                <w:rFonts w:hint="eastAsia" w:ascii="宋体" w:hAnsi="宋体" w:eastAsia="宋体" w:cs="宋体"/>
                <w:spacing w:val="-11"/>
                <w:kern w:val="0"/>
                <w:sz w:val="21"/>
                <w:szCs w:val="21"/>
                <w:lang w:val="en-US" w:eastAsia="zh-CN" w:bidi="ar-SA"/>
              </w:rPr>
            </w:pPr>
            <w:r>
              <w:rPr>
                <w:rFonts w:hint="eastAsia" w:ascii="Times New Roman" w:hAnsi="Times New Roman"/>
                <w:spacing w:val="-11"/>
                <w:sz w:val="21"/>
              </w:rPr>
              <w:t>H</w:t>
            </w:r>
            <w:r>
              <w:rPr>
                <w:rFonts w:hint="eastAsia" w:hAnsi="宋体"/>
                <w:spacing w:val="-11"/>
                <w:sz w:val="21"/>
                <w:lang w:val="en-US" w:eastAsia="zh-CN"/>
              </w:rPr>
              <w:t>/</w:t>
            </w:r>
            <w:r>
              <w:rPr>
                <w:rFonts w:hint="eastAsia" w:hAnsi="宋体" w:cs="宋体"/>
                <w:sz w:val="21"/>
              </w:rPr>
              <w:t>¢</w:t>
            </w:r>
            <w:r>
              <w:rPr>
                <w:rFonts w:hint="eastAsia" w:hAnsi="宋体"/>
                <w:spacing w:val="-11"/>
                <w:sz w:val="21"/>
                <w:lang w:eastAsia="zh-CN"/>
              </w:rPr>
              <w:t>（</w:t>
            </w:r>
            <w:r>
              <w:rPr>
                <w:rFonts w:hint="eastAsia" w:ascii="Times New Roman" w:hAnsi="Times New Roman"/>
                <w:spacing w:val="-11"/>
                <w:sz w:val="21"/>
                <w:lang w:val="en-US" w:eastAsia="zh-CN"/>
              </w:rPr>
              <w:t>m</w:t>
            </w:r>
            <w:r>
              <w:rPr>
                <w:rFonts w:hint="eastAsia" w:hAnsi="宋体"/>
                <w:spacing w:val="-11"/>
                <w:sz w:val="21"/>
                <w:lang w:eastAsia="zh-CN"/>
              </w:rPr>
              <w:t>）</w:t>
            </w: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DA001</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锅炉烟气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100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3</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SNCR</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SCR</w:t>
            </w:r>
            <w:r>
              <w:rPr>
                <w:rFonts w:hint="eastAsia"/>
                <w:sz w:val="21"/>
                <w:szCs w:val="16"/>
                <w:vertAlign w:val="baseline"/>
                <w:lang w:val="en-US" w:eastAsia="zh-CN"/>
              </w:rPr>
              <w:t>脱硝+电袋复合除尘+氨法脱硫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SO</w:t>
            </w:r>
            <w:r>
              <w:rPr>
                <w:rFonts w:hint="eastAsia" w:ascii="Times New Roman" w:hAnsi="Times New Roman"/>
                <w:sz w:val="21"/>
                <w:szCs w:val="16"/>
                <w:vertAlign w:val="subscript"/>
                <w:lang w:val="en-US" w:eastAsia="zh-CN"/>
              </w:rPr>
              <w:t>2</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16"/>
                <w:vertAlign w:val="baseline"/>
                <w:lang w:val="en-US" w:eastAsia="zh-CN" w:bidi="ar-SA"/>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NOx</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16"/>
                <w:vertAlign w:val="baseline"/>
                <w:lang w:val="en-US" w:eastAsia="zh-CN" w:bidi="ar-SA"/>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林格曼黑度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16"/>
                <w:vertAlign w:val="baseline"/>
                <w:lang w:val="en-US" w:eastAsia="zh-CN" w:bidi="ar-SA"/>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汞及其化合物</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16"/>
                <w:vertAlign w:val="baseline"/>
                <w:lang w:val="en-US" w:eastAsia="zh-CN" w:bidi="ar-SA"/>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DA002</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导热油炉</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40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低氮燃烧器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SO</w:t>
            </w:r>
            <w:r>
              <w:rPr>
                <w:rFonts w:hint="eastAsia" w:ascii="Times New Roman" w:hAnsi="Times New Roman"/>
                <w:sz w:val="21"/>
                <w:szCs w:val="16"/>
                <w:vertAlign w:val="subscript"/>
                <w:lang w:val="en-US" w:eastAsia="zh-CN"/>
              </w:rPr>
              <w:t>2</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16"/>
                <w:vertAlign w:val="baseline"/>
                <w:lang w:val="en-US" w:eastAsia="zh-CN" w:bidi="ar-SA"/>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NOx</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16"/>
                <w:vertAlign w:val="baseline"/>
                <w:lang w:val="en-US" w:eastAsia="zh-CN" w:bidi="ar-SA"/>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DA003</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26</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DA004</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DA005</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DA006</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4</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DA007</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5</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DA008</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6</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DA009</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7</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29</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DA010</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8</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29</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DA011</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9</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29</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DA012</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10</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16</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DA013</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11</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16</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DA014</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12</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16</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DA015</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13</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DA016</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14</w:t>
            </w:r>
            <w:r>
              <w:rPr>
                <w:rFonts w:hint="eastAsia"/>
                <w:sz w:val="21"/>
                <w:szCs w:val="16"/>
                <w:vertAlign w:val="baseline"/>
                <w:lang w:val="en-US" w:eastAsia="zh-CN"/>
              </w:rPr>
              <w:t>#玉米烘干转送废气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DA017</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玉米净化废气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DA018</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制酸浸泡废气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SO</w:t>
            </w:r>
            <w:r>
              <w:rPr>
                <w:rFonts w:hint="eastAsia" w:ascii="Times New Roman" w:hAnsi="Times New Roman"/>
                <w:sz w:val="21"/>
                <w:szCs w:val="16"/>
                <w:vertAlign w:val="subscript"/>
                <w:lang w:val="en-US" w:eastAsia="zh-CN"/>
              </w:rPr>
              <w:t>2</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cs="Times New Roman"/>
                <w:sz w:val="21"/>
                <w:szCs w:val="16"/>
                <w:vertAlign w:val="baseline"/>
                <w:lang w:val="en-US" w:eastAsia="zh-CN" w:bidi="ar-SA"/>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3</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二级碱洗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DA019</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r>
              <w:rPr>
                <w:rFonts w:hint="eastAsia"/>
                <w:sz w:val="21"/>
                <w:szCs w:val="16"/>
                <w:vertAlign w:val="baseline"/>
                <w:lang w:val="en-US" w:eastAsia="zh-CN"/>
              </w:rPr>
              <w:t>#副产品风送废气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DA020</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#副产品风送废气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DA021</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w:t>
            </w:r>
            <w:r>
              <w:rPr>
                <w:rFonts w:hint="eastAsia"/>
                <w:sz w:val="21"/>
                <w:szCs w:val="16"/>
                <w:vertAlign w:val="baseline"/>
                <w:lang w:val="en-US" w:eastAsia="zh-CN"/>
              </w:rPr>
              <w:t>#副产品风送废气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DA022</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4</w:t>
            </w:r>
            <w:r>
              <w:rPr>
                <w:rFonts w:hint="eastAsia"/>
                <w:sz w:val="21"/>
                <w:szCs w:val="16"/>
                <w:vertAlign w:val="baseline"/>
                <w:lang w:val="en-US" w:eastAsia="zh-CN"/>
              </w:rPr>
              <w:t>#副产品风送废气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DA023</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主产品风送废气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DA024</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9</w:t>
            </w:r>
            <w:r>
              <w:rPr>
                <w:rFonts w:hint="eastAsia"/>
                <w:sz w:val="21"/>
                <w:szCs w:val="16"/>
                <w:vertAlign w:val="baseline"/>
                <w:lang w:val="en-US" w:eastAsia="zh-CN"/>
              </w:rPr>
              <w:t>#淀粉干燥废气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旋风除尘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DA025</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10</w:t>
            </w:r>
            <w:r>
              <w:rPr>
                <w:rFonts w:hint="eastAsia"/>
                <w:sz w:val="21"/>
                <w:szCs w:val="16"/>
                <w:vertAlign w:val="baseline"/>
                <w:lang w:val="en-US" w:eastAsia="zh-CN"/>
              </w:rPr>
              <w:t>#淀粉干燥废气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旋风除尘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DA026</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11</w:t>
            </w:r>
            <w:r>
              <w:rPr>
                <w:rFonts w:hint="eastAsia"/>
                <w:sz w:val="21"/>
                <w:szCs w:val="16"/>
                <w:vertAlign w:val="baseline"/>
                <w:lang w:val="en-US" w:eastAsia="zh-CN"/>
              </w:rPr>
              <w:t>#淀粉干燥废气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旋风除尘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DA027</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12</w:t>
            </w:r>
            <w:r>
              <w:rPr>
                <w:rFonts w:hint="eastAsia"/>
                <w:sz w:val="21"/>
                <w:szCs w:val="16"/>
                <w:vertAlign w:val="baseline"/>
                <w:lang w:val="en-US" w:eastAsia="zh-CN"/>
              </w:rPr>
              <w:t>#淀粉干燥废气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DA028</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13</w:t>
            </w:r>
            <w:r>
              <w:rPr>
                <w:rFonts w:hint="eastAsia"/>
                <w:sz w:val="21"/>
                <w:szCs w:val="16"/>
                <w:vertAlign w:val="baseline"/>
                <w:lang w:val="en-US" w:eastAsia="zh-CN"/>
              </w:rPr>
              <w:t>#淀粉干燥废气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DA029</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14</w:t>
            </w:r>
            <w:r>
              <w:rPr>
                <w:rFonts w:hint="eastAsia"/>
                <w:sz w:val="21"/>
                <w:szCs w:val="16"/>
                <w:vertAlign w:val="baseline"/>
                <w:lang w:val="en-US" w:eastAsia="zh-CN"/>
              </w:rPr>
              <w:t>#淀粉干燥废气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DA030</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包装车间（淀粉）废气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15</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DA031</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包装车间（副产品）</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15</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DA032</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副产品干燥废气</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颗粒物</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cs="Times New Roman"/>
                <w:sz w:val="21"/>
                <w:szCs w:val="16"/>
                <w:vertAlign w:val="baseline"/>
                <w:lang w:val="en-US" w:eastAsia="zh-CN" w:bidi="ar-SA"/>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16</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袋式除尘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DA033</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16"/>
                <w:vertAlign w:val="baseline"/>
                <w:lang w:val="en-US" w:eastAsia="zh-CN"/>
              </w:rPr>
            </w:pPr>
            <w:r>
              <w:rPr>
                <w:rFonts w:hint="eastAsia"/>
                <w:color w:val="auto"/>
                <w:sz w:val="21"/>
                <w:szCs w:val="16"/>
                <w:vertAlign w:val="baseline"/>
                <w:lang w:val="en-US" w:eastAsia="zh-CN"/>
              </w:rPr>
              <w:t>提取废气排放口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NMHC</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23</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25</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二级水喷淋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DA034</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16"/>
                <w:vertAlign w:val="baseline"/>
                <w:lang w:val="en-US" w:eastAsia="zh-CN"/>
              </w:rPr>
            </w:pPr>
            <w:r>
              <w:rPr>
                <w:rFonts w:hint="eastAsia"/>
                <w:color w:val="auto"/>
                <w:sz w:val="21"/>
                <w:szCs w:val="16"/>
                <w:vertAlign w:val="baseline"/>
                <w:lang w:val="en-US" w:eastAsia="zh-CN"/>
              </w:rPr>
              <w:t>精馏废气排放口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sz w:val="21"/>
                <w:szCs w:val="16"/>
                <w:vertAlign w:val="baseline"/>
                <w:lang w:val="en-US" w:eastAsia="zh-CN"/>
              </w:rPr>
              <w:t>氨</w:t>
            </w:r>
          </w:p>
        </w:tc>
        <w:tc>
          <w:tcPr>
            <w:tcW w:w="3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w:t>
            </w:r>
          </w:p>
        </w:tc>
        <w:tc>
          <w:tcPr>
            <w:tcW w:w="10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16"/>
                <w:vertAlign w:val="baseline"/>
                <w:lang w:val="en-US" w:eastAsia="zh-CN"/>
              </w:rPr>
            </w:pPr>
            <w:r>
              <w:rPr>
                <w:rFonts w:hint="eastAsia"/>
                <w:sz w:val="21"/>
                <w:szCs w:val="16"/>
                <w:vertAlign w:val="baseline"/>
                <w:lang w:val="en-US" w:eastAsia="zh-CN"/>
              </w:rPr>
              <w:t>二级水膜+水喷淋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DA036</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污水处理站预处理废气排放口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生物除臭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DA037</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污水站</w:t>
            </w:r>
            <w:r>
              <w:rPr>
                <w:rFonts w:hint="eastAsia" w:ascii="Times New Roman" w:hAnsi="Times New Roman"/>
                <w:sz w:val="21"/>
                <w:szCs w:val="16"/>
                <w:vertAlign w:val="baseline"/>
                <w:lang w:val="en-US" w:eastAsia="zh-CN"/>
              </w:rPr>
              <w:t>1</w:t>
            </w:r>
            <w:r>
              <w:rPr>
                <w:rFonts w:hint="eastAsia"/>
                <w:sz w:val="21"/>
                <w:szCs w:val="16"/>
                <w:vertAlign w:val="baseline"/>
                <w:lang w:val="en-US" w:eastAsia="zh-CN"/>
              </w:rPr>
              <w:t>#排放口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生物除臭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DA038</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污水站</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sz w:val="21"/>
                <w:szCs w:val="16"/>
                <w:vertAlign w:val="baseline"/>
                <w:lang w:val="en-US" w:eastAsia="zh-CN"/>
              </w:rPr>
              <w:t>生物除臭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DA039</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污水站</w:t>
            </w:r>
            <w:r>
              <w:rPr>
                <w:rFonts w:hint="eastAsia" w:ascii="Times New Roman" w:hAnsi="Times New Roman"/>
                <w:sz w:val="21"/>
                <w:szCs w:val="16"/>
                <w:vertAlign w:val="baseline"/>
                <w:lang w:val="en-US" w:eastAsia="zh-CN"/>
              </w:rPr>
              <w:t>3</w:t>
            </w:r>
            <w:r>
              <w:rPr>
                <w:rFonts w:hint="eastAsia"/>
                <w:sz w:val="21"/>
                <w:szCs w:val="16"/>
                <w:vertAlign w:val="baseline"/>
                <w:lang w:val="en-US" w:eastAsia="zh-CN"/>
              </w:rPr>
              <w:t>#排放口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生物除臭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DA040</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污水站</w:t>
            </w:r>
            <w:r>
              <w:rPr>
                <w:rFonts w:hint="eastAsia" w:ascii="Times New Roman" w:hAnsi="Times New Roman"/>
                <w:sz w:val="21"/>
                <w:szCs w:val="16"/>
                <w:vertAlign w:val="baseline"/>
                <w:lang w:val="en-US" w:eastAsia="zh-CN"/>
              </w:rPr>
              <w:t>4</w:t>
            </w:r>
            <w:r>
              <w:rPr>
                <w:rFonts w:hint="eastAsia"/>
                <w:sz w:val="21"/>
                <w:szCs w:val="16"/>
                <w:vertAlign w:val="baseline"/>
                <w:lang w:val="en-US" w:eastAsia="zh-CN"/>
              </w:rPr>
              <w:t>#排放口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生物除臭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DA041</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污水处理站</w:t>
            </w:r>
            <w:r>
              <w:rPr>
                <w:rFonts w:hint="eastAsia" w:ascii="Times New Roman" w:hAnsi="Times New Roman"/>
                <w:sz w:val="21"/>
                <w:szCs w:val="16"/>
                <w:vertAlign w:val="baseline"/>
                <w:lang w:val="en-US" w:eastAsia="zh-CN"/>
              </w:rPr>
              <w:t>MBR</w:t>
            </w:r>
            <w:r>
              <w:rPr>
                <w:rFonts w:hint="eastAsia"/>
                <w:sz w:val="21"/>
                <w:szCs w:val="16"/>
                <w:vertAlign w:val="baseline"/>
                <w:lang w:val="en-US" w:eastAsia="zh-CN"/>
              </w:rPr>
              <w:t>工序排放口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碱喷淋+生物除臭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DA042</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350</w:t>
            </w:r>
            <w:r>
              <w:rPr>
                <w:rFonts w:hint="eastAsia"/>
                <w:sz w:val="21"/>
                <w:szCs w:val="16"/>
                <w:vertAlign w:val="baseline"/>
                <w:lang w:val="en-US" w:eastAsia="zh-CN"/>
              </w:rPr>
              <w:t>单元车间排放口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酸吸收（</w:t>
            </w: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%稀硫酸）+水洗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DA043</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固废库除臭设施排放口</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（验收后新增）</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sz w:val="21"/>
                <w:szCs w:val="16"/>
                <w:vertAlign w:val="baseline"/>
                <w:lang w:val="en-US" w:eastAsia="zh-CN"/>
              </w:rPr>
            </w:pPr>
            <w:r>
              <w:rPr>
                <w:rFonts w:hint="eastAsia" w:ascii="Times New Roman" w:hAnsi="Times New Roman"/>
                <w:sz w:val="21"/>
                <w:szCs w:val="16"/>
                <w:vertAlign w:val="baseline"/>
                <w:lang w:val="en-US" w:eastAsia="zh-CN"/>
              </w:rPr>
              <w:t>酸吸收（</w:t>
            </w:r>
            <w:r>
              <w:rPr>
                <w:rFonts w:hint="eastAsia" w:ascii="Times New Roman" w:hAnsi="Times New Roman"/>
                <w:sz w:val="21"/>
                <w:szCs w:val="16"/>
                <w:vertAlign w:val="baseline"/>
                <w:lang w:val="en-US" w:eastAsia="zh-CN"/>
              </w:rPr>
              <w:t>30</w:t>
            </w:r>
            <w:r>
              <w:rPr>
                <w:rFonts w:hint="eastAsia" w:ascii="Times New Roman" w:hAnsi="Times New Roman"/>
                <w:sz w:val="21"/>
                <w:szCs w:val="16"/>
                <w:vertAlign w:val="baseline"/>
                <w:lang w:val="en-US" w:eastAsia="zh-CN"/>
              </w:rPr>
              <w:t>%稀硫酸）+水洗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H</w:t>
            </w:r>
            <w:r>
              <w:rPr>
                <w:rFonts w:hint="eastAsia" w:ascii="Times New Roman" w:hAnsi="Times New Roman"/>
                <w:sz w:val="21"/>
                <w:szCs w:val="16"/>
                <w:vertAlign w:val="subscript"/>
                <w:lang w:val="en-US" w:eastAsia="zh-CN"/>
              </w:rPr>
              <w:t>2</w:t>
            </w:r>
            <w:r>
              <w:rPr>
                <w:rFonts w:hint="eastAsia" w:ascii="Times New Roman" w:hAnsi="Times New Roman"/>
                <w:sz w:val="21"/>
                <w:szCs w:val="16"/>
                <w:vertAlign w:val="baseline"/>
                <w:lang w:val="en-US" w:eastAsia="zh-CN"/>
              </w:rPr>
              <w:t>S</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2"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DA044</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800</w:t>
            </w:r>
            <w:r>
              <w:rPr>
                <w:rFonts w:hint="eastAsia"/>
                <w:sz w:val="21"/>
                <w:szCs w:val="16"/>
                <w:vertAlign w:val="baseline"/>
                <w:lang w:val="en-US" w:eastAsia="zh-CN"/>
              </w:rPr>
              <w:t>#发酵罐废气排放口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16"/>
                <w:vertAlign w:val="baseline"/>
                <w:lang w:val="en-US" w:eastAsia="zh-CN"/>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color w:val="000000"/>
                <w:spacing w:val="-6"/>
                <w:w w:val="90"/>
                <w:sz w:val="21"/>
                <w:szCs w:val="21"/>
                <w:lang w:val="en-US" w:eastAsia="zh-CN"/>
              </w:rPr>
              <w:t>污水站曝气时送污水曝气池，通过污水站生物除臭+</w:t>
            </w:r>
            <w:r>
              <w:rPr>
                <w:rFonts w:hint="eastAsia" w:ascii="Times New Roman" w:hAnsi="Times New Roman"/>
                <w:color w:val="000000"/>
                <w:spacing w:val="-6"/>
                <w:w w:val="90"/>
                <w:sz w:val="21"/>
                <w:szCs w:val="21"/>
                <w:lang w:val="en-US" w:eastAsia="zh-CN"/>
              </w:rPr>
              <w:t>30m</w:t>
            </w:r>
            <w:r>
              <w:rPr>
                <w:rFonts w:hint="eastAsia"/>
                <w:color w:val="000000"/>
                <w:spacing w:val="-6"/>
                <w:w w:val="90"/>
                <w:sz w:val="21"/>
                <w:szCs w:val="21"/>
                <w:lang w:val="en-US" w:eastAsia="zh-CN"/>
              </w:rPr>
              <w:t>排气筒排放，污水站停止曝气时经二级水喷淋+</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根</w:t>
            </w:r>
            <w:r>
              <w:rPr>
                <w:rFonts w:hint="eastAsia" w:ascii="Times New Roman" w:hAnsi="Times New Roman"/>
                <w:color w:val="000000"/>
                <w:spacing w:val="-6"/>
                <w:w w:val="90"/>
                <w:sz w:val="21"/>
                <w:szCs w:val="21"/>
                <w:lang w:val="en-US" w:eastAsia="zh-CN"/>
              </w:rPr>
              <w:t>27m</w:t>
            </w:r>
            <w:r>
              <w:rPr>
                <w:rFonts w:hint="eastAsia"/>
                <w:color w:val="000000"/>
                <w:spacing w:val="-6"/>
                <w:w w:val="90"/>
                <w:sz w:val="21"/>
                <w:szCs w:val="21"/>
                <w:lang w:val="en-US" w:eastAsia="zh-CN"/>
              </w:rPr>
              <w:t>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2" w:hRule="exact"/>
        </w:trPr>
        <w:tc>
          <w:tcPr>
            <w:tcW w:w="4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DA045</w:t>
            </w:r>
          </w:p>
        </w:tc>
        <w:tc>
          <w:tcPr>
            <w:tcW w:w="14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300</w:t>
            </w:r>
            <w:r>
              <w:rPr>
                <w:rFonts w:hint="eastAsia"/>
                <w:sz w:val="21"/>
                <w:szCs w:val="16"/>
                <w:vertAlign w:val="baseline"/>
                <w:lang w:val="en-US" w:eastAsia="zh-CN"/>
              </w:rPr>
              <w:t>#发酵罐废气排放口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16"/>
                <w:vertAlign w:val="baseline"/>
                <w:lang w:val="en-US" w:eastAsia="zh-CN"/>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PA</w:t>
            </w:r>
            <w:r>
              <w:rPr>
                <w:rFonts w:hint="eastAsia"/>
                <w:sz w:val="21"/>
                <w:szCs w:val="16"/>
                <w:vertAlign w:val="baseline"/>
                <w:lang w:val="en-US" w:eastAsia="zh-CN"/>
              </w:rPr>
              <w:t>聚合车间废气排放口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16"/>
                <w:vertAlign w:val="baseline"/>
                <w:lang w:val="en-US" w:eastAsia="zh-CN"/>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二级水膜+碱喷淋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16"/>
                <w:vertAlign w:val="baseline"/>
                <w:lang w:val="en-US" w:eastAsia="zh-CN"/>
              </w:rPr>
            </w:pPr>
            <w:r>
              <w:rPr>
                <w:rFonts w:hint="eastAsia" w:ascii="Times New Roman" w:hAnsi="Times New Roman"/>
                <w:sz w:val="21"/>
                <w:szCs w:val="16"/>
                <w:vertAlign w:val="baseline"/>
                <w:lang w:val="en-US" w:eastAsia="zh-CN"/>
              </w:rPr>
              <w:t>NMHC</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p>
        </w:tc>
        <w:tc>
          <w:tcPr>
            <w:tcW w:w="14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干燥车间压滤机废气排放口</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z w:val="21"/>
                <w:szCs w:val="16"/>
                <w:vertAlign w:val="baseline"/>
                <w:lang w:val="en-US" w:eastAsia="zh-CN"/>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3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连续</w:t>
            </w:r>
          </w:p>
        </w:tc>
        <w:tc>
          <w:tcPr>
            <w:tcW w:w="3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5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p>
        </w:tc>
        <w:tc>
          <w:tcPr>
            <w:tcW w:w="10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二级水喷淋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14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1"/>
                <w:szCs w:val="16"/>
                <w:vertAlign w:val="baseline"/>
                <w:lang w:val="en-US" w:eastAsia="zh-CN"/>
              </w:rPr>
            </w:pPr>
            <w:r>
              <w:rPr>
                <w:rFonts w:hint="eastAsia" w:ascii="Times New Roman" w:hAnsi="Times New Roman"/>
                <w:sz w:val="21"/>
                <w:szCs w:val="16"/>
                <w:vertAlign w:val="baseline"/>
                <w:lang w:val="en-US" w:eastAsia="zh-CN"/>
              </w:rPr>
              <w:t>臭气浓度</w:t>
            </w:r>
          </w:p>
        </w:tc>
        <w:tc>
          <w:tcPr>
            <w:tcW w:w="3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c>
          <w:tcPr>
            <w:tcW w:w="3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5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p>
        </w:tc>
        <w:tc>
          <w:tcPr>
            <w:tcW w:w="10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p>
        </w:tc>
      </w:tr>
    </w:tbl>
    <w:p>
      <w:pPr>
        <w:bidi w:val="0"/>
        <w:rPr>
          <w:rFonts w:hint="eastAsia"/>
          <w:lang w:val="en-US" w:eastAsia="zh-CN"/>
        </w:rPr>
      </w:pPr>
      <w:r>
        <w:rPr>
          <w:rFonts w:hint="eastAsia"/>
          <w:lang w:val="en-US" w:eastAsia="zh-CN"/>
        </w:rPr>
        <w:t>现有工程在验收后增设了</w:t>
      </w:r>
      <w:r>
        <w:rPr>
          <w:rFonts w:hint="eastAsia" w:ascii="Times New Roman" w:hAnsi="Times New Roman"/>
          <w:lang w:val="en-US" w:eastAsia="zh-CN"/>
        </w:rPr>
        <w:t>PA</w:t>
      </w:r>
      <w:r>
        <w:rPr>
          <w:rFonts w:hint="eastAsia"/>
          <w:lang w:val="en-US" w:eastAsia="zh-CN"/>
        </w:rPr>
        <w:t>聚合车间废气排口，用于去除</w:t>
      </w:r>
      <w:r>
        <w:rPr>
          <w:rFonts w:hint="eastAsia" w:ascii="Times New Roman" w:hAnsi="Times New Roman"/>
          <w:lang w:val="en-US" w:eastAsia="zh-CN"/>
        </w:rPr>
        <w:t>PA</w:t>
      </w:r>
      <w:r>
        <w:rPr>
          <w:rFonts w:hint="eastAsia"/>
          <w:lang w:val="en-US" w:eastAsia="zh-CN"/>
        </w:rPr>
        <w:t>聚合车间恶臭异味，设置风机收集</w:t>
      </w:r>
      <w:r>
        <w:rPr>
          <w:rFonts w:hint="eastAsia" w:ascii="Times New Roman" w:hAnsi="Times New Roman"/>
          <w:lang w:val="en-US" w:eastAsia="zh-CN"/>
        </w:rPr>
        <w:t>PA</w:t>
      </w:r>
      <w:r>
        <w:rPr>
          <w:rFonts w:hint="eastAsia"/>
          <w:lang w:val="en-US" w:eastAsia="zh-CN"/>
        </w:rPr>
        <w:t>聚合车间内无组织废气，采用二级水膜+碱喷淋处理后，通过一根</w:t>
      </w:r>
      <w:r>
        <w:rPr>
          <w:rFonts w:hint="eastAsia" w:ascii="Times New Roman" w:hAnsi="Times New Roman"/>
          <w:lang w:val="en-US" w:eastAsia="zh-CN"/>
        </w:rPr>
        <w:t>40m</w:t>
      </w:r>
      <w:r>
        <w:rPr>
          <w:rFonts w:hint="eastAsia"/>
          <w:lang w:val="en-US" w:eastAsia="zh-CN"/>
        </w:rPr>
        <w:t>高排气筒排放；由于现有工程取消了絮凝剂和污泥煅烧工艺，为了处理废絮凝剂及菌体污泥，建设单位设置了干燥车间负责该部分固废的干燥处理，絮凝剂与菌体污泥含少量未反应完全的氨，因此干燥车间存在氨味，建设单位在压滤机上部设置集气罩，采用二级水喷淋处理后，废气通过</w:t>
      </w:r>
      <w:r>
        <w:rPr>
          <w:rFonts w:hint="eastAsia" w:ascii="Times New Roman" w:hAnsi="Times New Roman"/>
          <w:lang w:val="en-US" w:eastAsia="zh-CN"/>
        </w:rPr>
        <w:t>30m</w:t>
      </w:r>
      <w:r>
        <w:rPr>
          <w:rFonts w:hint="eastAsia"/>
          <w:lang w:val="en-US" w:eastAsia="zh-CN"/>
        </w:rPr>
        <w:t>高排气筒排放。以上两部分工程在</w:t>
      </w:r>
      <w:r>
        <w:rPr>
          <w:rFonts w:hint="eastAsia" w:ascii="Times New Roman" w:hAnsi="Times New Roman"/>
          <w:lang w:val="en-US" w:eastAsia="zh-CN"/>
        </w:rPr>
        <w:t>2022</w:t>
      </w:r>
      <w:r>
        <w:rPr>
          <w:rFonts w:hint="eastAsia"/>
          <w:lang w:val="en-US" w:eastAsia="zh-CN"/>
        </w:rPr>
        <w:t>年均已建成投运。</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2</w:t>
      </w:r>
      <w:r>
        <w:rPr>
          <w:rFonts w:hint="eastAsia"/>
          <w:lang w:val="en-US" w:eastAsia="zh-CN"/>
        </w:rPr>
        <w:t>废水</w:t>
      </w:r>
    </w:p>
    <w:p>
      <w:pPr>
        <w:bidi w:val="0"/>
        <w:rPr>
          <w:rFonts w:hint="default" w:eastAsia="宋体"/>
          <w:lang w:val="en-US" w:eastAsia="zh-CN"/>
        </w:rPr>
      </w:pPr>
      <w:r>
        <w:rPr>
          <w:rFonts w:hint="eastAsia"/>
          <w:lang w:eastAsia="zh-CN"/>
        </w:rPr>
        <w:t>根据调查，厂内污水处理站不仅负责处理现有工程的生产废水、生活污水，同时也负责处理凯赛（乌苏）生物技术有限公司年产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万吨长链聚酰胺项目的生产废水。</w:t>
      </w:r>
      <w:r>
        <w:rPr>
          <w:rFonts w:hint="eastAsia"/>
          <w:lang w:eastAsia="zh-CN"/>
        </w:rPr>
        <w:t>以上两个工程均</w:t>
      </w:r>
      <w:r>
        <w:rPr>
          <w:rFonts w:hint="eastAsia"/>
          <w:lang w:val="en-US" w:eastAsia="zh-CN"/>
        </w:rPr>
        <w:t>于</w:t>
      </w:r>
      <w:r>
        <w:rPr>
          <w:rFonts w:hint="eastAsia" w:ascii="Times New Roman" w:hAnsi="Times New Roman"/>
          <w:lang w:val="en-US" w:eastAsia="zh-CN"/>
        </w:rPr>
        <w:t>2019</w:t>
      </w:r>
      <w:r>
        <w:rPr>
          <w:rFonts w:hint="eastAsia"/>
          <w:lang w:val="en-US" w:eastAsia="zh-CN"/>
        </w:rPr>
        <w:t>年底</w:t>
      </w:r>
      <w:r>
        <w:rPr>
          <w:rFonts w:hint="eastAsia"/>
          <w:lang w:eastAsia="zh-CN"/>
        </w:rPr>
        <w:t>通过竣工环保验收并投入运行。</w:t>
      </w:r>
    </w:p>
    <w:p>
      <w:pPr>
        <w:bidi w:val="0"/>
        <w:rPr>
          <w:rFonts w:hint="eastAsia"/>
          <w:lang w:eastAsia="zh-CN"/>
        </w:rPr>
      </w:pPr>
      <w:r>
        <w:rPr>
          <w:rFonts w:hint="eastAsia"/>
          <w:lang w:eastAsia="zh-CN"/>
        </w:rPr>
        <w:t>现有工程生产废水包括糖化浓缩工段废水、精馏工段废水、聚合工段废水等生产工艺废水和装置区收集的雨雪水，经厂内已建</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万</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d</w:t>
      </w:r>
      <w:r>
        <w:rPr>
          <w:rFonts w:hint="eastAsia"/>
          <w:lang w:val="en-US" w:eastAsia="zh-CN"/>
        </w:rPr>
        <w:t>污水处理站处理达标后排入园区管网，进入园区污水处理厂进一步</w:t>
      </w:r>
      <w:r>
        <w:rPr>
          <w:rFonts w:hint="eastAsia"/>
          <w:lang w:eastAsia="zh-CN"/>
        </w:rPr>
        <w:t>处理。现有工程循环水场、除盐水站及动力站锅炉排水等属于清净下水，直接排入园区下水管网，进入园区污水处理厂进一步处理。员工生活污水收集后进入现有工程污水处理站处理后，排入园区管网。</w:t>
      </w:r>
    </w:p>
    <w:p>
      <w:pPr>
        <w:bidi w:val="0"/>
        <w:rPr>
          <w:rFonts w:hint="default" w:eastAsia="宋体"/>
          <w:lang w:val="en-US" w:eastAsia="zh-CN"/>
        </w:rPr>
      </w:pPr>
      <w:r>
        <w:rPr>
          <w:rFonts w:hint="eastAsia"/>
          <w:lang w:eastAsia="zh-CN"/>
        </w:rPr>
        <w:t>根据原环评，现有工程废水产生情况一览表见表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5</w:t>
      </w:r>
      <w:r>
        <w:rPr>
          <w:rFonts w:hint="eastAsia"/>
          <w:lang w:val="en-US" w:eastAsia="zh-CN"/>
        </w:rPr>
        <w:t>。</w:t>
      </w:r>
    </w:p>
    <w:p>
      <w:pPr>
        <w:pStyle w:val="20"/>
        <w:bidi w:val="0"/>
        <w:rPr>
          <w:rFonts w:hint="default" w:eastAsia="宋体"/>
          <w:lang w:val="en-US" w:eastAsia="zh-CN"/>
        </w:rPr>
      </w:pPr>
      <w:r>
        <w:rPr>
          <w:rFonts w:hint="eastAsia"/>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5</w:t>
      </w:r>
      <w:r>
        <w:rPr>
          <w:rFonts w:hint="eastAsia"/>
          <w:lang w:val="en-US" w:eastAsia="zh-CN"/>
        </w:rPr>
        <w:t xml:space="preserve">  </w:t>
      </w:r>
      <w:r>
        <w:rPr>
          <w:rFonts w:hint="eastAsia"/>
          <w:lang w:eastAsia="zh-CN"/>
        </w:rPr>
        <w:t>现有工程</w:t>
      </w:r>
      <w:r>
        <w:rPr>
          <w:rFonts w:hint="eastAsia"/>
        </w:rPr>
        <w:t>废水污染源</w:t>
      </w:r>
      <w:r>
        <w:rPr>
          <w:rFonts w:hint="eastAsia"/>
          <w:lang w:eastAsia="zh-CN"/>
        </w:rPr>
        <w:t>产生</w:t>
      </w:r>
      <w:r>
        <w:rPr>
          <w:rFonts w:hint="eastAsia"/>
        </w:rPr>
        <w:t>情况</w:t>
      </w:r>
    </w:p>
    <w:tbl>
      <w:tblPr>
        <w:tblStyle w:val="8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006"/>
        <w:gridCol w:w="1148"/>
        <w:gridCol w:w="649"/>
        <w:gridCol w:w="1003"/>
        <w:gridCol w:w="895"/>
        <w:gridCol w:w="862"/>
        <w:gridCol w:w="862"/>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restart"/>
            <w:tcBorders>
              <w:top w:val="single" w:color="auto" w:sz="12" w:space="0"/>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序号</w:t>
            </w:r>
          </w:p>
        </w:tc>
        <w:tc>
          <w:tcPr>
            <w:tcW w:w="1094" w:type="pct"/>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名称</w:t>
            </w:r>
          </w:p>
        </w:tc>
        <w:tc>
          <w:tcPr>
            <w:tcW w:w="626"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sz w:val="21"/>
                <w:szCs w:val="20"/>
                <w:vertAlign w:val="baseline"/>
                <w:lang w:eastAsia="zh-CN"/>
              </w:rPr>
              <w:t>排水量</w:t>
            </w:r>
          </w:p>
        </w:tc>
        <w:tc>
          <w:tcPr>
            <w:tcW w:w="2809" w:type="pct"/>
            <w:gridSpan w:val="6"/>
            <w:tcBorders>
              <w:top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r>
              <w:rPr>
                <w:rFonts w:hint="eastAsia"/>
                <w:sz w:val="21"/>
                <w:szCs w:val="20"/>
                <w:vertAlign w:val="baseline"/>
                <w:lang w:eastAsia="zh-CN"/>
              </w:rPr>
              <w:t>污染物浓度（</w:t>
            </w:r>
            <w:r>
              <w:rPr>
                <w:rFonts w:hint="eastAsia" w:ascii="Times New Roman" w:hAnsi="Times New Roman"/>
                <w:sz w:val="21"/>
                <w:szCs w:val="20"/>
                <w:vertAlign w:val="baseline"/>
                <w:lang w:val="en-US" w:eastAsia="zh-CN"/>
              </w:rPr>
              <w:t>mg</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L</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pH</w:t>
            </w:r>
            <w:r>
              <w:rPr>
                <w:rFonts w:hint="eastAsia"/>
                <w:sz w:val="21"/>
                <w:szCs w:val="20"/>
                <w:vertAlign w:val="baseline"/>
                <w:lang w:val="en-US" w:eastAsia="zh-CN"/>
              </w:rPr>
              <w:t>除外</w:t>
            </w:r>
            <w:r>
              <w:rPr>
                <w:rFonts w:hint="eastAsia"/>
                <w:sz w:val="21"/>
                <w:szCs w:val="20"/>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0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r>
              <w:rPr>
                <w:rFonts w:hint="eastAsia" w:ascii="Times New Roman" w:hAnsi="Times New Roman"/>
                <w:sz w:val="21"/>
                <w:szCs w:val="20"/>
                <w:vertAlign w:val="baseline"/>
                <w:lang w:val="en-US" w:eastAsia="zh-CN"/>
              </w:rPr>
              <w:t>t</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h</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pH</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COD</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BOD</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氨氮</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总磷</w:t>
            </w: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1</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糖化浓缩废水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46</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84</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6</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4000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1800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150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10</w:t>
            </w: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2</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精馏废水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59</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68</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6</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3</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12000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4800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1000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3</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聚合废水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44</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52</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7</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1</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3500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1100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300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4</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生活污水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04</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7</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300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120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30</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eastAsia="zh-CN"/>
              </w:rPr>
            </w:pPr>
            <w:r>
              <w:rPr>
                <w:rFonts w:hint="eastAsia"/>
                <w:sz w:val="21"/>
                <w:szCs w:val="20"/>
                <w:vertAlign w:val="baseline"/>
                <w:lang w:eastAsia="zh-CN"/>
              </w:rPr>
              <w:t>预处理污水合计</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vertAlign w:val="baseline"/>
                <w:lang w:val="en-US" w:eastAsia="zh-CN"/>
              </w:rPr>
            </w:pPr>
            <w:r>
              <w:rPr>
                <w:rFonts w:hint="eastAsia" w:ascii="Times New Roman" w:hAnsi="Times New Roman"/>
                <w:sz w:val="21"/>
                <w:szCs w:val="20"/>
                <w:vertAlign w:val="baseline"/>
                <w:lang w:val="en-US" w:eastAsia="zh-CN"/>
              </w:rPr>
              <w:t>153</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08</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平均浓度</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6</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6924</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2743</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523</w:t>
            </w: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23</w:t>
            </w: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1</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循环水排污</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133</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20</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8</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2</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除盐水站排水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44</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8</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3</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动力站锅炉排水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91</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8</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4</w:t>
            </w: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纯水制备排水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7</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50</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8</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送园区污水</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196</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05</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8</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09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平均浓度</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8</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left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09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送园区污水合计</w:t>
            </w:r>
          </w:p>
        </w:tc>
        <w:tc>
          <w:tcPr>
            <w:tcW w:w="626"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392</w:t>
            </w:r>
            <w:r>
              <w:rPr>
                <w:rFonts w:hint="eastAsia" w:ascii="Times New Roman" w:hAnsi="Times New Roman"/>
                <w:sz w:val="21"/>
                <w:szCs w:val="20"/>
                <w:vertAlign w:val="baseline"/>
                <w:lang w:val="en-US" w:eastAsia="zh-CN"/>
              </w:rPr>
              <w:t>.</w:t>
            </w:r>
            <w:r>
              <w:rPr>
                <w:rFonts w:hint="eastAsia" w:ascii="Times New Roman" w:hAnsi="Times New Roman"/>
                <w:sz w:val="21"/>
                <w:szCs w:val="20"/>
                <w:vertAlign w:val="baseline"/>
                <w:lang w:val="en-US" w:eastAsia="zh-CN"/>
              </w:rPr>
              <w:t>1</w:t>
            </w:r>
          </w:p>
        </w:tc>
        <w:tc>
          <w:tcPr>
            <w:tcW w:w="35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547"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88"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478" w:type="pct"/>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bl>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lang w:val="en-US" w:eastAsia="zh-CN"/>
        </w:rPr>
        <w:t>固废</w:t>
      </w:r>
    </w:p>
    <w:p>
      <w:pPr>
        <w:bidi w:val="0"/>
      </w:pPr>
      <w:r>
        <w:rPr>
          <w:rFonts w:hint="eastAsia"/>
          <w:sz w:val="24"/>
          <w:szCs w:val="24"/>
          <w:lang w:eastAsia="zh-CN"/>
        </w:rPr>
        <w:t>厂内设置有固体废物暂存库和危险废物贮存库，用于暂存各类固体废物，厂内设有完善的危险废物管理制度，设置有管理台账和危险废物处理协议，各项危险废物按要求在危险废物贮存库内暂存。</w:t>
      </w:r>
      <w:r>
        <w:rPr>
          <w:rFonts w:hint="eastAsia"/>
          <w:lang w:eastAsia="zh-CN"/>
        </w:rPr>
        <w:t>现有工程</w:t>
      </w:r>
      <w:r>
        <w:t>运营期固体</w:t>
      </w:r>
      <w:r>
        <w:rPr>
          <w:rFonts w:hint="eastAsia"/>
          <w:lang w:eastAsia="zh-CN"/>
        </w:rPr>
        <w:t>废物</w:t>
      </w:r>
      <w:r>
        <w:t>产生及</w:t>
      </w:r>
      <w:r>
        <w:rPr>
          <w:rFonts w:hint="eastAsia"/>
          <w:lang w:eastAsia="zh-CN"/>
        </w:rPr>
        <w:t>处理</w:t>
      </w:r>
      <w:r>
        <w:t>情况详见表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6</w:t>
      </w:r>
      <w:r>
        <w:t>。</w:t>
      </w:r>
    </w:p>
    <w:p>
      <w:pPr>
        <w:pStyle w:val="20"/>
        <w:bidi w:val="0"/>
        <w:rPr>
          <w:rFonts w:hint="eastAsia"/>
        </w:rPr>
      </w:pPr>
      <w:r>
        <w:rPr>
          <w:rFonts w:hint="eastAsia"/>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6</w:t>
      </w:r>
      <w:r>
        <w:rPr>
          <w:rFonts w:hint="eastAsia"/>
        </w:rPr>
        <w:t xml:space="preserve">  </w:t>
      </w:r>
      <w:r>
        <w:rPr>
          <w:rFonts w:hint="eastAsia"/>
          <w:lang w:eastAsia="zh-CN"/>
        </w:rPr>
        <w:t>现有工程</w:t>
      </w:r>
      <w:r>
        <w:rPr>
          <w:rFonts w:hint="eastAsia"/>
        </w:rPr>
        <w:t>固体废物产生及</w:t>
      </w:r>
      <w:r>
        <w:rPr>
          <w:rFonts w:hint="eastAsia"/>
          <w:lang w:eastAsia="zh-CN"/>
        </w:rPr>
        <w:t>处理</w:t>
      </w:r>
      <w:r>
        <w:rPr>
          <w:rFonts w:hint="eastAsia"/>
        </w:rPr>
        <w:t>情况表</w:t>
      </w:r>
    </w:p>
    <w:tbl>
      <w:tblPr>
        <w:tblStyle w:val="80"/>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1"/>
        <w:gridCol w:w="1646"/>
        <w:gridCol w:w="2185"/>
        <w:gridCol w:w="1112"/>
        <w:gridCol w:w="2005"/>
        <w:gridCol w:w="16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12"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zh-CN"/>
              </w:rPr>
              <w:t>序号</w:t>
            </w:r>
          </w:p>
        </w:tc>
        <w:tc>
          <w:tcPr>
            <w:tcW w:w="897"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zh-CN"/>
              </w:rPr>
              <w:t>固废名称</w:t>
            </w:r>
          </w:p>
        </w:tc>
        <w:tc>
          <w:tcPr>
            <w:tcW w:w="1191"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color w:val="auto"/>
                <w:spacing w:val="-6"/>
                <w:w w:val="90"/>
                <w:sz w:val="21"/>
                <w:szCs w:val="20"/>
                <w:lang w:eastAsia="en-US"/>
              </w:rPr>
            </w:pPr>
            <w:r>
              <w:rPr>
                <w:rFonts w:hint="eastAsia"/>
                <w:color w:val="auto"/>
                <w:spacing w:val="-6"/>
                <w:w w:val="90"/>
                <w:sz w:val="21"/>
                <w:szCs w:val="20"/>
                <w:lang w:eastAsia="zh-CN"/>
              </w:rPr>
              <w:t>类别</w:t>
            </w:r>
          </w:p>
        </w:tc>
        <w:tc>
          <w:tcPr>
            <w:tcW w:w="606"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eastAsia="zh-CN"/>
              </w:rPr>
            </w:pPr>
            <w:r>
              <w:rPr>
                <w:rFonts w:hint="eastAsia"/>
                <w:color w:val="auto"/>
                <w:spacing w:val="-6"/>
                <w:w w:val="90"/>
                <w:sz w:val="21"/>
                <w:szCs w:val="20"/>
                <w:lang w:eastAsia="zh-CN"/>
              </w:rPr>
              <w:t>产生环节</w:t>
            </w:r>
          </w:p>
        </w:tc>
        <w:tc>
          <w:tcPr>
            <w:tcW w:w="1093"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eastAsia="zh-CN"/>
              </w:rPr>
            </w:pPr>
            <w:r>
              <w:rPr>
                <w:rFonts w:hint="eastAsia"/>
                <w:color w:val="auto"/>
                <w:spacing w:val="-6"/>
                <w:w w:val="90"/>
                <w:sz w:val="21"/>
                <w:szCs w:val="20"/>
                <w:lang w:eastAsia="zh-CN"/>
              </w:rPr>
              <w:t>实际处理方式</w:t>
            </w:r>
          </w:p>
        </w:tc>
        <w:tc>
          <w:tcPr>
            <w:tcW w:w="898"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color w:val="auto"/>
                <w:spacing w:val="-6"/>
                <w:w w:val="90"/>
                <w:sz w:val="21"/>
                <w:szCs w:val="20"/>
                <w:lang w:eastAsia="en-US"/>
              </w:rPr>
            </w:pPr>
            <w:r>
              <w:rPr>
                <w:rFonts w:hint="eastAsia"/>
                <w:color w:val="auto"/>
                <w:spacing w:val="-6"/>
                <w:w w:val="90"/>
                <w:sz w:val="21"/>
                <w:szCs w:val="20"/>
                <w:lang w:eastAsia="zh-CN"/>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0"/>
                <w:lang w:val="en-US" w:eastAsia="zh-CN"/>
              </w:rPr>
            </w:pPr>
            <w:r>
              <w:rPr>
                <w:rFonts w:hint="eastAsia" w:ascii="Times New Roman" w:hAnsi="Times New Roman"/>
                <w:color w:val="auto"/>
                <w:spacing w:val="-6"/>
                <w:w w:val="90"/>
                <w:sz w:val="21"/>
                <w:szCs w:val="20"/>
                <w:lang w:val="en-US" w:eastAsia="zh-CN"/>
              </w:rPr>
              <w:t>1</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val="en-US" w:eastAsia="en-US"/>
              </w:rPr>
            </w:pPr>
            <w:r>
              <w:rPr>
                <w:rFonts w:hint="eastAsia"/>
                <w:color w:val="auto"/>
                <w:spacing w:val="-6"/>
                <w:w w:val="90"/>
                <w:sz w:val="21"/>
                <w:szCs w:val="20"/>
                <w:lang w:eastAsia="zh-CN"/>
              </w:rPr>
              <w:t>热动锅炉灰渣</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en-US"/>
              </w:rPr>
              <w:t>一般</w:t>
            </w:r>
            <w:r>
              <w:rPr>
                <w:rFonts w:hint="eastAsia"/>
                <w:color w:val="auto"/>
                <w:spacing w:val="-6"/>
                <w:w w:val="90"/>
                <w:sz w:val="21"/>
                <w:szCs w:val="20"/>
                <w:lang w:eastAsia="zh-CN"/>
              </w:rPr>
              <w:t>固</w:t>
            </w:r>
            <w:r>
              <w:rPr>
                <w:rFonts w:hint="eastAsia"/>
                <w:color w:val="auto"/>
                <w:spacing w:val="-6"/>
                <w:w w:val="90"/>
                <w:sz w:val="21"/>
                <w:szCs w:val="20"/>
                <w:lang w:eastAsia="en-US"/>
              </w:rPr>
              <w:t>废</w:t>
            </w:r>
            <w:r>
              <w:rPr>
                <w:rFonts w:hint="eastAsia"/>
                <w:color w:val="auto"/>
                <w:spacing w:val="-6"/>
                <w:w w:val="90"/>
                <w:sz w:val="21"/>
                <w:szCs w:val="20"/>
                <w:lang w:eastAsia="zh-CN"/>
              </w:rPr>
              <w:t>（</w:t>
            </w:r>
            <w:r>
              <w:rPr>
                <w:rFonts w:hint="eastAsia" w:ascii="Times New Roman" w:hAnsi="Times New Roman"/>
                <w:color w:val="auto"/>
                <w:spacing w:val="-6"/>
                <w:w w:val="90"/>
                <w:sz w:val="21"/>
                <w:szCs w:val="20"/>
                <w:lang w:val="en-US" w:eastAsia="zh-CN"/>
              </w:rPr>
              <w:t>900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999</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64</w:t>
            </w:r>
            <w:r>
              <w:rPr>
                <w:rFonts w:hint="eastAsia"/>
                <w:color w:val="auto"/>
                <w:spacing w:val="-6"/>
                <w:w w:val="90"/>
                <w:sz w:val="21"/>
                <w:szCs w:val="20"/>
                <w:lang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zh-CN"/>
              </w:rPr>
              <w:t>锅炉房</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eastAsia="宋体"/>
                <w:color w:val="auto"/>
                <w:spacing w:val="-6"/>
                <w:w w:val="90"/>
                <w:sz w:val="21"/>
                <w:szCs w:val="20"/>
                <w:lang w:eastAsia="zh-CN"/>
              </w:rPr>
              <w:t>定期清运</w:t>
            </w:r>
          </w:p>
        </w:tc>
        <w:tc>
          <w:tcPr>
            <w:tcW w:w="898" w:type="pct"/>
            <w:vMerge w:val="restart"/>
            <w:tcBorders>
              <w:top w:val="single" w:color="auto" w:sz="4" w:space="0"/>
              <w:left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eastAsia="zh-CN"/>
              </w:rPr>
            </w:pPr>
            <w:r>
              <w:rPr>
                <w:rFonts w:hint="eastAsia"/>
                <w:color w:val="auto"/>
                <w:spacing w:val="-6"/>
                <w:w w:val="90"/>
                <w:sz w:val="21"/>
                <w:szCs w:val="20"/>
                <w:lang w:eastAsia="zh-CN"/>
              </w:rPr>
              <w:t>乌苏工业园区一般</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val="en-US" w:eastAsia="zh-CN"/>
              </w:rPr>
            </w:pPr>
            <w:r>
              <w:rPr>
                <w:rFonts w:hint="eastAsia"/>
                <w:color w:val="auto"/>
                <w:spacing w:val="-6"/>
                <w:w w:val="90"/>
                <w:sz w:val="21"/>
                <w:szCs w:val="20"/>
                <w:lang w:eastAsia="zh-CN"/>
              </w:rPr>
              <w:t>工业固废填埋场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0"/>
                <w:lang w:val="en-US" w:eastAsia="zh-CN"/>
              </w:rPr>
            </w:pPr>
            <w:r>
              <w:rPr>
                <w:rFonts w:hint="eastAsia" w:ascii="Times New Roman" w:hAnsi="Times New Roman"/>
                <w:color w:val="auto"/>
                <w:spacing w:val="-6"/>
                <w:w w:val="90"/>
                <w:sz w:val="21"/>
                <w:szCs w:val="20"/>
                <w:lang w:val="en-US" w:eastAsia="zh-CN"/>
              </w:rPr>
              <w:t>2</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val="en-US" w:eastAsia="zh-CN"/>
              </w:rPr>
            </w:pPr>
            <w:r>
              <w:rPr>
                <w:rFonts w:hint="eastAsia"/>
                <w:color w:val="auto"/>
                <w:spacing w:val="-6"/>
                <w:w w:val="90"/>
                <w:sz w:val="21"/>
                <w:szCs w:val="20"/>
                <w:lang w:eastAsia="zh-CN"/>
              </w:rPr>
              <w:t>污水处理站污泥</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en-US"/>
              </w:rPr>
              <w:t>一般</w:t>
            </w:r>
            <w:r>
              <w:rPr>
                <w:rFonts w:hint="eastAsia"/>
                <w:color w:val="auto"/>
                <w:spacing w:val="-6"/>
                <w:w w:val="90"/>
                <w:sz w:val="21"/>
                <w:szCs w:val="20"/>
                <w:lang w:eastAsia="zh-CN"/>
              </w:rPr>
              <w:t>固</w:t>
            </w:r>
            <w:r>
              <w:rPr>
                <w:rFonts w:hint="eastAsia"/>
                <w:color w:val="auto"/>
                <w:spacing w:val="-6"/>
                <w:w w:val="90"/>
                <w:sz w:val="21"/>
                <w:szCs w:val="20"/>
                <w:lang w:eastAsia="en-US"/>
              </w:rPr>
              <w:t>废</w:t>
            </w:r>
            <w:r>
              <w:rPr>
                <w:rFonts w:hint="eastAsia"/>
                <w:color w:val="auto"/>
                <w:spacing w:val="-6"/>
                <w:w w:val="90"/>
                <w:sz w:val="21"/>
                <w:szCs w:val="20"/>
                <w:lang w:eastAsia="zh-CN"/>
              </w:rPr>
              <w:t>（</w:t>
            </w:r>
            <w:r>
              <w:rPr>
                <w:rFonts w:hint="eastAsia" w:ascii="Times New Roman" w:hAnsi="Times New Roman"/>
                <w:color w:val="auto"/>
                <w:spacing w:val="-6"/>
                <w:w w:val="90"/>
                <w:sz w:val="21"/>
                <w:szCs w:val="20"/>
                <w:lang w:val="en-US" w:eastAsia="zh-CN"/>
              </w:rPr>
              <w:t>462</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001</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62</w:t>
            </w:r>
            <w:r>
              <w:rPr>
                <w:rFonts w:hint="eastAsia"/>
                <w:color w:val="auto"/>
                <w:spacing w:val="-6"/>
                <w:w w:val="90"/>
                <w:sz w:val="21"/>
                <w:szCs w:val="20"/>
                <w:lang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zh-CN"/>
              </w:rPr>
              <w:t>污水站</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zh-CN"/>
              </w:rPr>
              <w:t>板框压滤后污泥间暂存</w:t>
            </w:r>
          </w:p>
        </w:tc>
        <w:tc>
          <w:tcPr>
            <w:tcW w:w="898" w:type="pct"/>
            <w:vMerge w:val="continue"/>
            <w:tcBorders>
              <w:left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3</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val="en-US" w:eastAsia="zh-CN"/>
              </w:rPr>
            </w:pPr>
            <w:r>
              <w:rPr>
                <w:rFonts w:hint="eastAsia"/>
                <w:color w:val="auto"/>
                <w:spacing w:val="-6"/>
                <w:w w:val="90"/>
                <w:sz w:val="21"/>
                <w:szCs w:val="20"/>
                <w:lang w:eastAsia="zh-CN"/>
              </w:rPr>
              <w:t>玉米原料杂质</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en-US"/>
              </w:rPr>
              <w:t>一般</w:t>
            </w:r>
            <w:r>
              <w:rPr>
                <w:rFonts w:hint="eastAsia"/>
                <w:color w:val="auto"/>
                <w:spacing w:val="-6"/>
                <w:w w:val="90"/>
                <w:sz w:val="21"/>
                <w:szCs w:val="20"/>
                <w:lang w:eastAsia="zh-CN"/>
              </w:rPr>
              <w:t>固</w:t>
            </w:r>
            <w:r>
              <w:rPr>
                <w:rFonts w:hint="eastAsia"/>
                <w:color w:val="auto"/>
                <w:spacing w:val="-6"/>
                <w:w w:val="90"/>
                <w:sz w:val="21"/>
                <w:szCs w:val="20"/>
                <w:lang w:eastAsia="en-US"/>
              </w:rPr>
              <w:t>废</w:t>
            </w:r>
            <w:r>
              <w:rPr>
                <w:rFonts w:hint="eastAsia"/>
                <w:color w:val="auto"/>
                <w:spacing w:val="-6"/>
                <w:w w:val="90"/>
                <w:sz w:val="21"/>
                <w:szCs w:val="20"/>
                <w:lang w:eastAsia="zh-CN"/>
              </w:rPr>
              <w:t>（</w:t>
            </w:r>
            <w:r>
              <w:rPr>
                <w:rFonts w:hint="eastAsia" w:ascii="Times New Roman" w:hAnsi="Times New Roman"/>
                <w:color w:val="auto"/>
                <w:spacing w:val="-6"/>
                <w:w w:val="90"/>
                <w:sz w:val="21"/>
                <w:szCs w:val="20"/>
                <w:lang w:val="en-US" w:eastAsia="zh-CN"/>
              </w:rPr>
              <w:t>130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001</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39</w:t>
            </w:r>
            <w:r>
              <w:rPr>
                <w:rFonts w:hint="eastAsia"/>
                <w:color w:val="auto"/>
                <w:spacing w:val="-6"/>
                <w:w w:val="90"/>
                <w:sz w:val="21"/>
                <w:szCs w:val="20"/>
                <w:lang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zh-CN"/>
              </w:rPr>
              <w:t>原料区</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eastAsia="zh-CN"/>
              </w:rPr>
            </w:pPr>
            <w:r>
              <w:rPr>
                <w:rFonts w:hint="eastAsia"/>
                <w:color w:val="auto"/>
                <w:spacing w:val="-6"/>
                <w:w w:val="90"/>
                <w:sz w:val="21"/>
                <w:szCs w:val="20"/>
                <w:lang w:eastAsia="zh-CN"/>
              </w:rPr>
              <w:t>渣斗盛放，定期清运</w:t>
            </w:r>
          </w:p>
        </w:tc>
        <w:tc>
          <w:tcPr>
            <w:tcW w:w="898" w:type="pct"/>
            <w:vMerge w:val="continue"/>
            <w:tcBorders>
              <w:left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color w:val="auto"/>
                <w:spacing w:val="-6"/>
                <w:w w:val="90"/>
                <w:sz w:val="21"/>
                <w:szCs w:val="20"/>
                <w:lang w:val="en-US" w:eastAsia="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4</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废絮凝剂</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en-US" w:bidi="ar-SA"/>
              </w:rPr>
            </w:pPr>
            <w:r>
              <w:rPr>
                <w:rFonts w:hint="eastAsia"/>
                <w:color w:val="auto"/>
                <w:spacing w:val="-6"/>
                <w:w w:val="90"/>
                <w:sz w:val="21"/>
                <w:szCs w:val="20"/>
                <w:lang w:eastAsia="zh-CN"/>
              </w:rPr>
              <w:t>一般固废（</w:t>
            </w:r>
            <w:r>
              <w:rPr>
                <w:rFonts w:hint="eastAsia" w:ascii="Times New Roman" w:hAnsi="Times New Roman"/>
                <w:color w:val="auto"/>
                <w:spacing w:val="-6"/>
                <w:w w:val="90"/>
                <w:sz w:val="21"/>
                <w:szCs w:val="20"/>
                <w:lang w:val="en-US" w:eastAsia="zh-CN"/>
              </w:rPr>
              <w:t>283</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999</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02</w:t>
            </w:r>
            <w:r>
              <w:rPr>
                <w:rFonts w:hint="eastAsia"/>
                <w:color w:val="auto"/>
                <w:spacing w:val="-6"/>
                <w:w w:val="90"/>
                <w:sz w:val="21"/>
                <w:szCs w:val="20"/>
                <w:lang w:eastAsia="zh-CN"/>
              </w:rPr>
              <w:t>）</w:t>
            </w:r>
          </w:p>
        </w:tc>
        <w:tc>
          <w:tcPr>
            <w:tcW w:w="60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eastAsia="zh-CN"/>
              </w:rPr>
              <w:t>DN</w:t>
            </w:r>
            <w:r>
              <w:rPr>
                <w:rFonts w:hint="eastAsia"/>
                <w:color w:val="auto"/>
                <w:spacing w:val="-6"/>
                <w:w w:val="90"/>
                <w:sz w:val="21"/>
                <w:szCs w:val="20"/>
                <w:lang w:eastAsia="zh-CN"/>
              </w:rPr>
              <w:t>溶液制取</w:t>
            </w:r>
          </w:p>
        </w:tc>
        <w:tc>
          <w:tcPr>
            <w:tcW w:w="109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pacing w:val="-6"/>
                <w:w w:val="90"/>
                <w:sz w:val="21"/>
                <w:szCs w:val="20"/>
                <w:lang w:eastAsia="zh-CN"/>
              </w:rPr>
            </w:pPr>
            <w:r>
              <w:rPr>
                <w:rFonts w:hint="eastAsia"/>
                <w:color w:val="auto"/>
                <w:spacing w:val="-6"/>
                <w:w w:val="90"/>
                <w:sz w:val="21"/>
                <w:szCs w:val="20"/>
                <w:lang w:eastAsia="zh-CN"/>
              </w:rPr>
              <w:t>一般固废暂存库暂存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，日产日清</w:t>
            </w:r>
          </w:p>
        </w:tc>
        <w:tc>
          <w:tcPr>
            <w:tcW w:w="898" w:type="pct"/>
            <w:vMerge w:val="continue"/>
            <w:tcBorders>
              <w:left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5</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eastAsia="zh-CN"/>
              </w:rPr>
              <w:t>DN</w:t>
            </w:r>
            <w:r>
              <w:rPr>
                <w:rFonts w:hint="eastAsia"/>
                <w:color w:val="auto"/>
                <w:spacing w:val="-6"/>
                <w:w w:val="90"/>
                <w:sz w:val="21"/>
                <w:szCs w:val="20"/>
                <w:lang w:eastAsia="zh-CN"/>
              </w:rPr>
              <w:t>溶液生产菌体污泥</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en-US" w:bidi="ar-SA"/>
              </w:rPr>
            </w:pPr>
            <w:r>
              <w:rPr>
                <w:rFonts w:hint="eastAsia"/>
                <w:color w:val="auto"/>
                <w:spacing w:val="-6"/>
                <w:w w:val="90"/>
                <w:sz w:val="21"/>
                <w:szCs w:val="20"/>
                <w:lang w:eastAsia="zh-CN"/>
              </w:rPr>
              <w:t>一般固废（</w:t>
            </w:r>
            <w:r>
              <w:rPr>
                <w:rFonts w:hint="eastAsia" w:ascii="Times New Roman" w:hAnsi="Times New Roman"/>
                <w:color w:val="auto"/>
                <w:spacing w:val="-6"/>
                <w:w w:val="90"/>
                <w:sz w:val="21"/>
                <w:szCs w:val="20"/>
                <w:lang w:val="en-US" w:eastAsia="zh-CN"/>
              </w:rPr>
              <w:t>283</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999</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02</w:t>
            </w:r>
            <w:r>
              <w:rPr>
                <w:rFonts w:hint="eastAsia"/>
                <w:color w:val="auto"/>
                <w:spacing w:val="-6"/>
                <w:w w:val="90"/>
                <w:sz w:val="21"/>
                <w:szCs w:val="20"/>
                <w:lang w:eastAsia="zh-CN"/>
              </w:rPr>
              <w:t>）</w:t>
            </w:r>
          </w:p>
        </w:tc>
        <w:tc>
          <w:tcPr>
            <w:tcW w:w="60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c>
          <w:tcPr>
            <w:tcW w:w="109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c>
          <w:tcPr>
            <w:tcW w:w="898" w:type="pct"/>
            <w:vMerge w:val="continue"/>
            <w:tcBorders>
              <w:left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6</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pacing w:val="-6"/>
                <w:w w:val="90"/>
                <w:sz w:val="21"/>
                <w:szCs w:val="20"/>
                <w:lang w:eastAsia="zh-CN"/>
              </w:rPr>
            </w:pPr>
            <w:r>
              <w:rPr>
                <w:rFonts w:hint="eastAsia"/>
                <w:color w:val="auto"/>
                <w:spacing w:val="-6"/>
                <w:w w:val="90"/>
                <w:sz w:val="21"/>
                <w:szCs w:val="20"/>
                <w:lang w:eastAsia="zh-CN"/>
              </w:rPr>
              <w:t>除盐水站废树脂</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pacing w:val="-6"/>
                <w:w w:val="90"/>
                <w:sz w:val="21"/>
                <w:szCs w:val="20"/>
                <w:lang w:eastAsia="zh-CN"/>
              </w:rPr>
            </w:pPr>
            <w:r>
              <w:rPr>
                <w:rFonts w:hint="eastAsia"/>
                <w:color w:val="auto"/>
                <w:spacing w:val="-6"/>
                <w:w w:val="90"/>
                <w:sz w:val="21"/>
                <w:szCs w:val="20"/>
                <w:lang w:eastAsia="zh-CN"/>
              </w:rPr>
              <w:t>一般固废（</w:t>
            </w:r>
            <w:r>
              <w:rPr>
                <w:rFonts w:hint="eastAsia" w:ascii="Times New Roman" w:hAnsi="Times New Roman"/>
                <w:color w:val="auto"/>
                <w:spacing w:val="-6"/>
                <w:w w:val="90"/>
                <w:sz w:val="21"/>
                <w:szCs w:val="20"/>
                <w:lang w:val="en-US" w:eastAsia="zh-CN"/>
              </w:rPr>
              <w:t>900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099</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17</w:t>
            </w:r>
            <w:r>
              <w:rPr>
                <w:rFonts w:hint="eastAsia"/>
                <w:color w:val="auto"/>
                <w:spacing w:val="-6"/>
                <w:w w:val="90"/>
                <w:sz w:val="21"/>
                <w:szCs w:val="20"/>
                <w:lang w:eastAsia="zh-CN"/>
              </w:rPr>
              <w:t>）</w:t>
            </w:r>
          </w:p>
        </w:tc>
        <w:tc>
          <w:tcPr>
            <w:tcW w:w="60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s="Times New Roman"/>
                <w:color w:val="auto"/>
                <w:spacing w:val="-6"/>
                <w:w w:val="90"/>
                <w:sz w:val="21"/>
                <w:szCs w:val="20"/>
                <w:lang w:val="en-US" w:eastAsia="zh-CN" w:bidi="ar-SA"/>
              </w:rPr>
              <w:t>除盐水站</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s="Times New Roman"/>
                <w:color w:val="auto"/>
                <w:spacing w:val="-6"/>
                <w:w w:val="90"/>
                <w:sz w:val="21"/>
                <w:szCs w:val="20"/>
                <w:lang w:val="en-US" w:eastAsia="zh-CN" w:bidi="ar-SA"/>
              </w:rPr>
              <w:t>定期更换</w:t>
            </w:r>
          </w:p>
        </w:tc>
        <w:tc>
          <w:tcPr>
            <w:tcW w:w="898" w:type="pct"/>
            <w:vMerge w:val="continue"/>
            <w:tcBorders>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7</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eastAsia="zh-CN"/>
              </w:rPr>
            </w:pPr>
            <w:r>
              <w:rPr>
                <w:rFonts w:hint="eastAsia"/>
                <w:color w:val="auto"/>
                <w:spacing w:val="-6"/>
                <w:w w:val="90"/>
                <w:sz w:val="21"/>
                <w:szCs w:val="20"/>
                <w:lang w:eastAsia="zh-CN"/>
              </w:rPr>
              <w:t>生活垃圾</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0"/>
                <w:lang w:eastAsia="en-US"/>
              </w:rPr>
            </w:pPr>
            <w:r>
              <w:rPr>
                <w:rFonts w:hint="eastAsia"/>
                <w:color w:val="auto"/>
                <w:spacing w:val="-6"/>
                <w:w w:val="90"/>
                <w:sz w:val="21"/>
                <w:szCs w:val="20"/>
                <w:lang w:eastAsia="en-US"/>
              </w:rPr>
              <w:t>一般</w:t>
            </w:r>
            <w:r>
              <w:rPr>
                <w:rFonts w:hint="eastAsia"/>
                <w:color w:val="auto"/>
                <w:spacing w:val="-6"/>
                <w:w w:val="90"/>
                <w:sz w:val="21"/>
                <w:szCs w:val="20"/>
                <w:lang w:eastAsia="zh-CN"/>
              </w:rPr>
              <w:t>固</w:t>
            </w:r>
            <w:r>
              <w:rPr>
                <w:rFonts w:hint="eastAsia"/>
                <w:color w:val="auto"/>
                <w:spacing w:val="-6"/>
                <w:w w:val="90"/>
                <w:sz w:val="21"/>
                <w:szCs w:val="20"/>
                <w:lang w:eastAsia="en-US"/>
              </w:rPr>
              <w:t>废</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zh-CN" w:bidi="ar-SA"/>
              </w:rPr>
            </w:pPr>
            <w:r>
              <w:rPr>
                <w:rFonts w:hint="eastAsia"/>
                <w:color w:val="auto"/>
                <w:spacing w:val="-6"/>
                <w:w w:val="90"/>
                <w:sz w:val="21"/>
                <w:szCs w:val="20"/>
                <w:lang w:eastAsia="zh-CN"/>
              </w:rPr>
              <w:t>生活区</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zh-CN" w:bidi="ar-SA"/>
              </w:rPr>
            </w:pPr>
            <w:r>
              <w:rPr>
                <w:rFonts w:hint="eastAsia"/>
                <w:color w:val="auto"/>
                <w:spacing w:val="-6"/>
                <w:w w:val="90"/>
                <w:sz w:val="21"/>
                <w:szCs w:val="20"/>
                <w:lang w:eastAsia="zh-CN"/>
              </w:rPr>
              <w:t>定期清运</w:t>
            </w:r>
          </w:p>
        </w:tc>
        <w:tc>
          <w:tcPr>
            <w:tcW w:w="898"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pacing w:val="-6"/>
                <w:w w:val="90"/>
                <w:sz w:val="21"/>
                <w:szCs w:val="20"/>
                <w:lang w:val="en-US" w:eastAsia="zh-CN"/>
              </w:rPr>
            </w:pPr>
            <w:r>
              <w:rPr>
                <w:rFonts w:hint="eastAsia"/>
                <w:color w:val="auto"/>
                <w:spacing w:val="-6"/>
                <w:w w:val="90"/>
                <w:sz w:val="21"/>
                <w:szCs w:val="20"/>
                <w:lang w:val="en-US" w:eastAsia="zh-CN"/>
              </w:rPr>
              <w:t>生活垃圾填埋场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8</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en-US" w:bidi="ar-SA"/>
              </w:rPr>
            </w:pPr>
            <w:r>
              <w:rPr>
                <w:rFonts w:hint="eastAsia"/>
                <w:color w:val="auto"/>
                <w:spacing w:val="-6"/>
                <w:w w:val="90"/>
                <w:sz w:val="21"/>
                <w:szCs w:val="20"/>
                <w:lang w:eastAsia="zh-CN"/>
              </w:rPr>
              <w:t>污水处理</w:t>
            </w:r>
            <w:r>
              <w:rPr>
                <w:rFonts w:hint="eastAsia" w:ascii="Times New Roman" w:hAnsi="Times New Roman"/>
                <w:color w:val="auto"/>
                <w:spacing w:val="-6"/>
                <w:w w:val="90"/>
                <w:sz w:val="21"/>
                <w:szCs w:val="20"/>
                <w:lang w:val="en-US" w:eastAsia="zh-CN"/>
              </w:rPr>
              <w:t>RO</w:t>
            </w:r>
            <w:r>
              <w:rPr>
                <w:rFonts w:hint="eastAsia"/>
                <w:color w:val="auto"/>
                <w:spacing w:val="-6"/>
                <w:w w:val="90"/>
                <w:sz w:val="21"/>
                <w:szCs w:val="20"/>
                <w:lang w:val="en-US" w:eastAsia="zh-CN"/>
              </w:rPr>
              <w:t>废膜</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olor w:val="auto"/>
                <w:spacing w:val="-6"/>
                <w:w w:val="90"/>
                <w:sz w:val="21"/>
                <w:szCs w:val="20"/>
                <w:lang w:val="en-US" w:eastAsia="zh-CN"/>
              </w:rPr>
              <w:t>HW13</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265</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101</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13</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污水站</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危险废物贮存库暂存</w:t>
            </w:r>
          </w:p>
        </w:tc>
        <w:tc>
          <w:tcPr>
            <w:tcW w:w="898" w:type="pct"/>
            <w:vMerge w:val="restar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w w:val="90"/>
                <w:sz w:val="21"/>
                <w:szCs w:val="20"/>
                <w:lang w:val="en-US" w:eastAsia="zh-CN" w:bidi="ar-SA"/>
              </w:rPr>
            </w:pPr>
            <w:r>
              <w:rPr>
                <w:rFonts w:hint="eastAsia" w:cs="Times New Roman"/>
                <w:color w:val="auto"/>
                <w:spacing w:val="-6"/>
                <w:w w:val="90"/>
                <w:sz w:val="21"/>
                <w:szCs w:val="20"/>
                <w:lang w:val="en-US" w:eastAsia="zh-CN" w:bidi="ar-SA"/>
              </w:rPr>
              <w:t>委托新疆沃森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6"/>
                <w:w w:val="90"/>
                <w:sz w:val="21"/>
                <w:szCs w:val="20"/>
                <w:lang w:val="en-US" w:eastAsia="zh-CN" w:bidi="ar-SA"/>
              </w:rPr>
            </w:pPr>
            <w:r>
              <w:rPr>
                <w:rFonts w:hint="eastAsia" w:cs="Times New Roman"/>
                <w:color w:val="auto"/>
                <w:spacing w:val="-6"/>
                <w:w w:val="90"/>
                <w:sz w:val="21"/>
                <w:szCs w:val="20"/>
                <w:lang w:val="en-US" w:eastAsia="zh-CN" w:bidi="ar-SA"/>
              </w:rPr>
              <w:t>环保科技有限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s="Times New Roman"/>
                <w:color w:val="auto"/>
                <w:spacing w:val="-6"/>
                <w:w w:val="90"/>
                <w:sz w:val="21"/>
                <w:szCs w:val="20"/>
                <w:lang w:val="en-US" w:eastAsia="zh-CN" w:bidi="ar-SA"/>
              </w:rPr>
              <w:t>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olor w:val="auto"/>
                <w:spacing w:val="-6"/>
                <w:w w:val="90"/>
                <w:sz w:val="21"/>
                <w:szCs w:val="20"/>
                <w:lang w:val="en-US" w:eastAsia="zh-CN"/>
              </w:rPr>
              <w:t>9</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废加氢催化剂</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HW46</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900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037</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46</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提取工艺</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危险废物贮存库暂存</w:t>
            </w:r>
          </w:p>
        </w:tc>
        <w:tc>
          <w:tcPr>
            <w:tcW w:w="898" w:type="pct"/>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olor w:val="auto"/>
                <w:spacing w:val="-6"/>
                <w:w w:val="90"/>
                <w:sz w:val="21"/>
                <w:szCs w:val="20"/>
                <w:lang w:val="en-US" w:eastAsia="zh-CN"/>
              </w:rPr>
              <w:t>10</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pacing w:val="-6"/>
                <w:w w:val="90"/>
                <w:sz w:val="21"/>
                <w:szCs w:val="20"/>
                <w:lang w:val="en-US" w:eastAsia="en-US" w:bidi="ar-SA"/>
              </w:rPr>
            </w:pPr>
            <w:r>
              <w:rPr>
                <w:rFonts w:hint="eastAsia"/>
                <w:color w:val="auto"/>
                <w:spacing w:val="-6"/>
                <w:w w:val="90"/>
                <w:sz w:val="21"/>
                <w:szCs w:val="20"/>
                <w:lang w:eastAsia="zh-CN"/>
              </w:rPr>
              <w:t>废导热油</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en-US" w:bidi="ar-SA"/>
              </w:rPr>
            </w:pPr>
            <w:r>
              <w:rPr>
                <w:rFonts w:hint="eastAsia" w:ascii="Times New Roman" w:hAnsi="Times New Roman"/>
                <w:color w:val="auto"/>
                <w:spacing w:val="-6"/>
                <w:w w:val="90"/>
                <w:sz w:val="21"/>
                <w:szCs w:val="20"/>
                <w:lang w:val="en-US" w:eastAsia="zh-CN"/>
              </w:rPr>
              <w:t>HW08</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900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249</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08</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en-US" w:bidi="ar-SA"/>
              </w:rPr>
            </w:pPr>
            <w:r>
              <w:rPr>
                <w:rFonts w:hint="eastAsia"/>
                <w:color w:val="auto"/>
                <w:spacing w:val="-6"/>
                <w:w w:val="90"/>
                <w:sz w:val="21"/>
                <w:szCs w:val="20"/>
                <w:lang w:eastAsia="zh-CN"/>
              </w:rPr>
              <w:t>导热油炉</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危险废物贮存库暂存</w:t>
            </w:r>
          </w:p>
        </w:tc>
        <w:tc>
          <w:tcPr>
            <w:tcW w:w="898" w:type="pct"/>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olor w:val="auto"/>
                <w:spacing w:val="-6"/>
                <w:w w:val="90"/>
                <w:sz w:val="21"/>
                <w:szCs w:val="20"/>
                <w:lang w:val="en-US" w:eastAsia="zh-CN"/>
              </w:rPr>
              <w:t>11</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eastAsia="zh-CN"/>
              </w:rPr>
              <w:t>DN</w:t>
            </w:r>
            <w:r>
              <w:rPr>
                <w:rFonts w:hint="eastAsia"/>
                <w:color w:val="auto"/>
                <w:spacing w:val="-6"/>
                <w:w w:val="90"/>
                <w:sz w:val="21"/>
                <w:szCs w:val="20"/>
                <w:lang w:eastAsia="zh-CN"/>
              </w:rPr>
              <w:t>溶液生产废树脂</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olor w:val="auto"/>
                <w:spacing w:val="-6"/>
                <w:w w:val="90"/>
                <w:sz w:val="21"/>
                <w:szCs w:val="20"/>
                <w:lang w:val="en-US" w:eastAsia="zh-CN"/>
              </w:rPr>
              <w:t>HW06</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900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015</w:t>
            </w:r>
            <w:r>
              <w:rPr>
                <w:rFonts w:hint="eastAsia" w:ascii="Times New Roman" w:hAnsi="Times New Roman"/>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13</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eastAsia="zh-CN"/>
              </w:rPr>
              <w:t>DN</w:t>
            </w:r>
            <w:r>
              <w:rPr>
                <w:rFonts w:hint="eastAsia"/>
                <w:color w:val="auto"/>
                <w:spacing w:val="-6"/>
                <w:w w:val="90"/>
                <w:sz w:val="21"/>
                <w:szCs w:val="20"/>
                <w:lang w:eastAsia="zh-CN"/>
              </w:rPr>
              <w:t>溶液制取</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危险废物贮存库暂存</w:t>
            </w:r>
          </w:p>
        </w:tc>
        <w:tc>
          <w:tcPr>
            <w:tcW w:w="898" w:type="pct"/>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eastAsia="宋体" w:cs="Times New Roman"/>
                <w:color w:val="auto"/>
                <w:spacing w:val="-6"/>
                <w:w w:val="90"/>
                <w:kern w:val="2"/>
                <w:sz w:val="21"/>
                <w:szCs w:val="20"/>
                <w:lang w:val="en-US" w:eastAsia="zh-CN" w:bidi="ar-SA"/>
              </w:rPr>
              <w:t>12</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废脱硝催化剂</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olor w:val="auto"/>
                <w:spacing w:val="-6"/>
                <w:w w:val="90"/>
                <w:sz w:val="21"/>
                <w:szCs w:val="20"/>
                <w:lang w:val="en-US" w:eastAsia="zh-CN"/>
              </w:rPr>
              <w:t>HW50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772</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007</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50</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锅炉房</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危险废物贮存库暂存</w:t>
            </w:r>
          </w:p>
        </w:tc>
        <w:tc>
          <w:tcPr>
            <w:tcW w:w="898" w:type="pct"/>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s="Times New Roman"/>
                <w:color w:val="auto"/>
                <w:spacing w:val="-6"/>
                <w:w w:val="90"/>
                <w:kern w:val="2"/>
                <w:sz w:val="21"/>
                <w:szCs w:val="20"/>
                <w:lang w:val="en-US" w:eastAsia="zh-CN" w:bidi="ar-SA"/>
              </w:rPr>
              <w:t>13</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en-US" w:bidi="ar-SA"/>
              </w:rPr>
            </w:pPr>
            <w:r>
              <w:rPr>
                <w:rFonts w:hint="eastAsia"/>
                <w:color w:val="auto"/>
                <w:spacing w:val="-6"/>
                <w:w w:val="90"/>
                <w:sz w:val="21"/>
                <w:szCs w:val="20"/>
                <w:lang w:eastAsia="zh-CN"/>
              </w:rPr>
              <w:t>废机油</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en-US" w:bidi="ar-SA"/>
              </w:rPr>
            </w:pPr>
            <w:r>
              <w:rPr>
                <w:rFonts w:hint="eastAsia" w:ascii="Times New Roman" w:hAnsi="Times New Roman"/>
                <w:color w:val="auto"/>
                <w:spacing w:val="-6"/>
                <w:w w:val="90"/>
                <w:sz w:val="21"/>
                <w:szCs w:val="20"/>
                <w:lang w:val="en-US" w:eastAsia="zh-CN"/>
              </w:rPr>
              <w:t>HW08</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900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214</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08</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zh-CN" w:bidi="ar-SA"/>
              </w:rPr>
            </w:pPr>
            <w:r>
              <w:rPr>
                <w:rFonts w:hint="eastAsia"/>
                <w:color w:val="auto"/>
                <w:spacing w:val="-6"/>
                <w:w w:val="90"/>
                <w:sz w:val="21"/>
                <w:szCs w:val="20"/>
                <w:lang w:eastAsia="zh-CN"/>
              </w:rPr>
              <w:t>全厂</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6"/>
                <w:w w:val="90"/>
                <w:kern w:val="2"/>
                <w:sz w:val="21"/>
                <w:szCs w:val="20"/>
                <w:lang w:val="en-US" w:eastAsia="zh-CN" w:bidi="ar-SA"/>
              </w:rPr>
            </w:pPr>
            <w:r>
              <w:rPr>
                <w:rFonts w:hint="eastAsia"/>
                <w:color w:val="auto"/>
                <w:spacing w:val="-6"/>
                <w:w w:val="90"/>
                <w:sz w:val="21"/>
                <w:szCs w:val="20"/>
                <w:lang w:eastAsia="zh-CN"/>
              </w:rPr>
              <w:t>危险废物贮存库暂存</w:t>
            </w:r>
          </w:p>
        </w:tc>
        <w:tc>
          <w:tcPr>
            <w:tcW w:w="898" w:type="pct"/>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s="Times New Roman"/>
                <w:color w:val="auto"/>
                <w:spacing w:val="-6"/>
                <w:w w:val="90"/>
                <w:kern w:val="2"/>
                <w:sz w:val="21"/>
                <w:szCs w:val="20"/>
                <w:lang w:val="en-US" w:eastAsia="zh-CN" w:bidi="ar-SA"/>
              </w:rPr>
              <w:t>14</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ascii="Times New Roman" w:hAnsi="Times New Roman"/>
                <w:color w:val="auto"/>
                <w:spacing w:val="-6"/>
                <w:w w:val="90"/>
                <w:sz w:val="21"/>
                <w:szCs w:val="20"/>
                <w:lang w:val="en-US" w:eastAsia="zh-CN"/>
              </w:rPr>
              <w:t>MVR</w:t>
            </w:r>
            <w:r>
              <w:rPr>
                <w:rFonts w:hint="eastAsia"/>
                <w:color w:val="auto"/>
                <w:spacing w:val="-6"/>
                <w:w w:val="90"/>
                <w:sz w:val="21"/>
                <w:szCs w:val="20"/>
                <w:lang w:val="en-US" w:eastAsia="zh-CN"/>
              </w:rPr>
              <w:t>盐</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pacing w:val="-6"/>
                <w:w w:val="90"/>
                <w:sz w:val="21"/>
                <w:szCs w:val="20"/>
                <w:lang w:val="en-US" w:eastAsia="en-US" w:bidi="ar-SA"/>
              </w:rPr>
            </w:pPr>
            <w:r>
              <w:rPr>
                <w:rFonts w:hint="eastAsia" w:ascii="Times New Roman" w:hAnsi="Times New Roman"/>
                <w:color w:val="auto"/>
                <w:spacing w:val="-6"/>
                <w:w w:val="90"/>
                <w:sz w:val="21"/>
                <w:szCs w:val="20"/>
                <w:lang w:val="en-US" w:eastAsia="zh-CN"/>
              </w:rPr>
              <w:t>HW13</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265</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104</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13</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val="en-US" w:eastAsia="zh-CN"/>
              </w:rPr>
              <w:t>污水站</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危险废物贮存库暂存</w:t>
            </w:r>
          </w:p>
        </w:tc>
        <w:tc>
          <w:tcPr>
            <w:tcW w:w="898" w:type="pct"/>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6"/>
                <w:w w:val="90"/>
                <w:kern w:val="2"/>
                <w:sz w:val="21"/>
                <w:szCs w:val="20"/>
                <w:lang w:val="en-US" w:eastAsia="zh-CN" w:bidi="ar-SA"/>
              </w:rPr>
            </w:pPr>
            <w:r>
              <w:rPr>
                <w:rFonts w:hint="eastAsia" w:ascii="Times New Roman" w:hAnsi="Times New Roman" w:cs="Times New Roman"/>
                <w:color w:val="auto"/>
                <w:spacing w:val="-6"/>
                <w:w w:val="90"/>
                <w:kern w:val="2"/>
                <w:sz w:val="21"/>
                <w:szCs w:val="20"/>
                <w:lang w:val="en-US" w:eastAsia="zh-CN" w:bidi="ar-SA"/>
              </w:rPr>
              <w:t>15</w:t>
            </w:r>
          </w:p>
        </w:tc>
        <w:tc>
          <w:tcPr>
            <w:tcW w:w="8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en-US" w:bidi="ar-SA"/>
              </w:rPr>
            </w:pPr>
            <w:r>
              <w:rPr>
                <w:rFonts w:hint="eastAsia"/>
                <w:color w:val="auto"/>
                <w:spacing w:val="-6"/>
                <w:w w:val="90"/>
                <w:sz w:val="21"/>
                <w:szCs w:val="20"/>
                <w:lang w:val="en-US" w:eastAsia="zh-CN"/>
              </w:rPr>
              <w:t>水质在线监测废酸</w:t>
            </w:r>
          </w:p>
        </w:tc>
        <w:tc>
          <w:tcPr>
            <w:tcW w:w="11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pacing w:val="-6"/>
                <w:w w:val="90"/>
                <w:sz w:val="21"/>
                <w:szCs w:val="20"/>
                <w:lang w:val="en-US" w:eastAsia="en-US" w:bidi="ar-SA"/>
              </w:rPr>
            </w:pPr>
            <w:r>
              <w:rPr>
                <w:rFonts w:hint="eastAsia" w:ascii="Times New Roman" w:hAnsi="Times New Roman"/>
                <w:color w:val="auto"/>
                <w:spacing w:val="-6"/>
                <w:w w:val="90"/>
                <w:sz w:val="21"/>
                <w:szCs w:val="20"/>
                <w:lang w:val="en-US" w:eastAsia="zh-CN"/>
              </w:rPr>
              <w:t>HW06</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900</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402</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06</w:t>
            </w:r>
            <w:r>
              <w:rPr>
                <w:rFonts w:hint="eastAsia"/>
                <w:color w:val="auto"/>
                <w:spacing w:val="-6"/>
                <w:w w:val="90"/>
                <w:sz w:val="21"/>
                <w:szCs w:val="20"/>
                <w:lang w:val="en-US" w:eastAsia="zh-CN"/>
              </w:rPr>
              <w:t>）</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val="en-US" w:eastAsia="zh-CN"/>
              </w:rPr>
              <w:t>污水站</w:t>
            </w:r>
          </w:p>
        </w:tc>
        <w:tc>
          <w:tcPr>
            <w:tcW w:w="10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r>
              <w:rPr>
                <w:rFonts w:hint="eastAsia"/>
                <w:color w:val="auto"/>
                <w:spacing w:val="-6"/>
                <w:w w:val="90"/>
                <w:sz w:val="21"/>
                <w:szCs w:val="20"/>
                <w:lang w:eastAsia="zh-CN"/>
              </w:rPr>
              <w:t>危险废物贮存库暂存</w:t>
            </w:r>
          </w:p>
        </w:tc>
        <w:tc>
          <w:tcPr>
            <w:tcW w:w="898" w:type="pct"/>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pacing w:val="-6"/>
                <w:w w:val="90"/>
                <w:sz w:val="21"/>
                <w:szCs w:val="20"/>
                <w:lang w:val="en-US" w:eastAsia="zh-CN" w:bidi="ar-SA"/>
              </w:rPr>
            </w:pPr>
          </w:p>
        </w:tc>
      </w:tr>
    </w:tbl>
    <w:p>
      <w:pPr>
        <w:bidi w:val="0"/>
        <w:rPr>
          <w:rFonts w:hint="eastAsia" w:eastAsia="宋体"/>
          <w:lang w:val="en-US" w:eastAsia="zh-CN"/>
        </w:rPr>
      </w:pPr>
      <w:r>
        <w:rPr>
          <w:rFonts w:hint="eastAsia"/>
          <w:sz w:val="24"/>
          <w:szCs w:val="24"/>
          <w:lang w:eastAsia="zh-CN"/>
        </w:rPr>
        <w:t>现有工程</w:t>
      </w:r>
      <w:r>
        <w:rPr>
          <w:rFonts w:hint="eastAsia"/>
          <w:sz w:val="24"/>
          <w:szCs w:val="24"/>
        </w:rPr>
        <w:t>严格按照《危险废物转移管理办法》要求，做好</w:t>
      </w:r>
      <w:r>
        <w:rPr>
          <w:rFonts w:hint="eastAsia"/>
          <w:sz w:val="24"/>
          <w:szCs w:val="24"/>
          <w:lang w:eastAsia="zh-CN"/>
        </w:rPr>
        <w:t>了</w:t>
      </w:r>
      <w:r>
        <w:rPr>
          <w:rFonts w:hint="eastAsia"/>
          <w:sz w:val="24"/>
          <w:szCs w:val="24"/>
        </w:rPr>
        <w:t>贮存、运输和转移管理，并有专人进行日常管理。</w:t>
      </w:r>
      <w:r>
        <w:rPr>
          <w:rFonts w:hint="eastAsia"/>
          <w:sz w:val="24"/>
          <w:szCs w:val="24"/>
          <w:lang w:eastAsia="zh-CN"/>
        </w:rPr>
        <w:t>按照《危险废物贮存污染控制标准》（</w:t>
      </w:r>
      <w:r>
        <w:rPr>
          <w:rFonts w:hint="eastAsia" w:ascii="Times New Roman" w:hAnsi="Times New Roman"/>
          <w:sz w:val="24"/>
          <w:szCs w:val="24"/>
          <w:lang w:val="en-US" w:eastAsia="zh-CN"/>
        </w:rPr>
        <w:t>GB18597</w:t>
      </w:r>
      <w:r>
        <w:rPr>
          <w:rFonts w:hint="eastAsia"/>
          <w:sz w:val="24"/>
          <w:szCs w:val="24"/>
          <w:lang w:val="en-US" w:eastAsia="zh-CN"/>
        </w:rPr>
        <w:t>-</w:t>
      </w:r>
      <w:r>
        <w:rPr>
          <w:rFonts w:hint="eastAsia" w:ascii="Times New Roman" w:hAnsi="Times New Roman"/>
          <w:sz w:val="24"/>
          <w:szCs w:val="24"/>
          <w:lang w:val="en-US" w:eastAsia="zh-CN"/>
        </w:rPr>
        <w:t>2023</w:t>
      </w:r>
      <w:r>
        <w:rPr>
          <w:rFonts w:hint="eastAsia"/>
          <w:sz w:val="24"/>
          <w:szCs w:val="24"/>
          <w:lang w:eastAsia="zh-CN"/>
        </w:rPr>
        <w:t>）、《危险废物识别标志设置技术规范》（</w:t>
      </w:r>
      <w:r>
        <w:rPr>
          <w:rFonts w:hint="eastAsia" w:ascii="Times New Roman" w:hAnsi="Times New Roman"/>
          <w:sz w:val="24"/>
          <w:szCs w:val="24"/>
          <w:lang w:val="en-US" w:eastAsia="zh-CN"/>
        </w:rPr>
        <w:t>HJ1276</w:t>
      </w:r>
      <w:r>
        <w:rPr>
          <w:rFonts w:hint="eastAsia"/>
          <w:sz w:val="24"/>
          <w:szCs w:val="24"/>
          <w:lang w:val="en-US" w:eastAsia="zh-CN"/>
        </w:rPr>
        <w:t>-</w:t>
      </w:r>
      <w:r>
        <w:rPr>
          <w:rFonts w:hint="eastAsia" w:ascii="Times New Roman" w:hAnsi="Times New Roman"/>
          <w:sz w:val="24"/>
          <w:szCs w:val="24"/>
          <w:lang w:val="en-US" w:eastAsia="zh-CN"/>
        </w:rPr>
        <w:t>2022</w:t>
      </w:r>
      <w:r>
        <w:rPr>
          <w:rFonts w:hint="eastAsia"/>
          <w:sz w:val="24"/>
          <w:szCs w:val="24"/>
          <w:lang w:eastAsia="zh-CN"/>
        </w:rPr>
        <w:t>）规范设置相关标识标牌。</w:t>
      </w:r>
    </w:p>
    <w:p>
      <w:pPr>
        <w:pStyle w:val="4"/>
        <w:bidi w:val="0"/>
        <w:rPr>
          <w:rFonts w:hint="default"/>
          <w:lang w:val="en-US" w:eastAsia="zh-CN"/>
        </w:rPr>
      </w:pPr>
      <w:bookmarkStart w:id="104" w:name="_Toc5747"/>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现有工程环境管理</w:t>
      </w:r>
      <w:bookmarkEnd w:id="104"/>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环境监测计划</w:t>
      </w:r>
    </w:p>
    <w:p>
      <w:pPr>
        <w:bidi w:val="0"/>
        <w:rPr>
          <w:rFonts w:hint="default"/>
          <w:lang w:val="en-US" w:eastAsia="zh-CN"/>
        </w:rPr>
      </w:pPr>
      <w:r>
        <w:rPr>
          <w:rFonts w:hint="eastAsia"/>
          <w:lang w:val="en-US" w:eastAsia="zh-CN"/>
        </w:rPr>
        <w:t>现有工程污染物监测计划汇总见表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p>
    <w:p>
      <w:pPr>
        <w:spacing w:beforeLines="50" w:after="0"/>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表</w:t>
      </w:r>
      <w:r>
        <w:rPr>
          <w:rFonts w:hint="eastAsia" w:ascii="Times New Roman" w:hAnsi="Times New Roman" w:cs="Times New Roman"/>
          <w:b/>
          <w:color w:val="000000"/>
          <w:sz w:val="21"/>
          <w:szCs w:val="21"/>
          <w:lang w:val="en-US" w:eastAsia="zh-CN"/>
        </w:rPr>
        <w:t>3</w:t>
      </w:r>
      <w:r>
        <w:rPr>
          <w:rFonts w:hint="eastAsia" w:cs="Times New Roman"/>
          <w:b/>
          <w:color w:val="000000"/>
          <w:sz w:val="21"/>
          <w:szCs w:val="21"/>
          <w:lang w:val="en-US" w:eastAsia="zh-CN"/>
        </w:rPr>
        <w:t>.</w:t>
      </w:r>
      <w:r>
        <w:rPr>
          <w:rFonts w:hint="eastAsia" w:ascii="Times New Roman" w:hAnsi="Times New Roman" w:cs="Times New Roman"/>
          <w:b/>
          <w:color w:val="000000"/>
          <w:sz w:val="21"/>
          <w:szCs w:val="21"/>
          <w:lang w:val="en-US" w:eastAsia="zh-CN"/>
        </w:rPr>
        <w:t>3</w:t>
      </w:r>
      <w:r>
        <w:rPr>
          <w:rFonts w:hint="eastAsia" w:cs="Times New Roman"/>
          <w:b/>
          <w:color w:val="000000"/>
          <w:sz w:val="21"/>
          <w:szCs w:val="21"/>
          <w:lang w:val="en-US" w:eastAsia="zh-CN"/>
        </w:rPr>
        <w:t>-</w:t>
      </w:r>
      <w:r>
        <w:rPr>
          <w:rFonts w:hint="eastAsia" w:ascii="Times New Roman" w:hAnsi="Times New Roman" w:cs="Times New Roman"/>
          <w:b/>
          <w:color w:val="000000"/>
          <w:sz w:val="21"/>
          <w:szCs w:val="21"/>
          <w:lang w:val="en-US" w:eastAsia="zh-CN"/>
        </w:rPr>
        <w:t>1</w:t>
      </w:r>
      <w:r>
        <w:rPr>
          <w:rFonts w:hint="default" w:ascii="Times New Roman" w:hAnsi="Times New Roman" w:cs="Times New Roman"/>
          <w:b/>
          <w:color w:val="000000"/>
          <w:sz w:val="21"/>
          <w:szCs w:val="21"/>
        </w:rPr>
        <w:t xml:space="preserve">  </w:t>
      </w:r>
      <w:r>
        <w:rPr>
          <w:rFonts w:hint="eastAsia" w:ascii="Times New Roman" w:hAnsi="Times New Roman" w:cs="Times New Roman"/>
          <w:b/>
          <w:color w:val="000000"/>
          <w:sz w:val="21"/>
          <w:szCs w:val="21"/>
          <w:lang w:eastAsia="zh-CN"/>
        </w:rPr>
        <w:t>现有工程</w:t>
      </w:r>
      <w:r>
        <w:rPr>
          <w:rFonts w:hint="default" w:ascii="Times New Roman" w:hAnsi="Times New Roman" w:cs="Times New Roman"/>
          <w:b/>
          <w:color w:val="000000"/>
          <w:sz w:val="21"/>
          <w:szCs w:val="21"/>
        </w:rPr>
        <w:t>环境及污染监测计划表</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846"/>
        <w:gridCol w:w="3521"/>
        <w:gridCol w:w="2704"/>
        <w:gridCol w:w="1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0" w:type="auto"/>
            <w:gridSpan w:val="2"/>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3521"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监测位置</w:t>
            </w:r>
          </w:p>
        </w:tc>
        <w:tc>
          <w:tcPr>
            <w:tcW w:w="2704"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1157" w:type="dxa"/>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监测频</w:t>
            </w:r>
            <w:r>
              <w:rPr>
                <w:rFonts w:hint="eastAsia" w:ascii="Times New Roman" w:cs="Times New Roman"/>
                <w:sz w:val="21"/>
                <w:szCs w:val="21"/>
                <w:lang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0" w:type="auto"/>
            <w:vMerge w:val="restart"/>
            <w:noWrap w:val="0"/>
            <w:vAlign w:val="center"/>
          </w:tcPr>
          <w:p>
            <w:pPr>
              <w:spacing w:line="240" w:lineRule="auto"/>
              <w:ind w:firstLine="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污染源监测</w:t>
            </w:r>
          </w:p>
        </w:tc>
        <w:tc>
          <w:tcPr>
            <w:tcW w:w="846"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有组织废气</w:t>
            </w:r>
          </w:p>
        </w:tc>
        <w:tc>
          <w:tcPr>
            <w:tcW w:w="3521" w:type="dxa"/>
            <w:vMerge w:val="restart"/>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eastAsia" w:cs="Times New Roman"/>
                <w:sz w:val="21"/>
                <w:szCs w:val="21"/>
                <w:lang w:eastAsia="zh-CN"/>
              </w:rPr>
              <w:t>热动锅炉</w:t>
            </w:r>
            <w:r>
              <w:rPr>
                <w:rFonts w:hint="eastAsia" w:ascii="Times New Roman" w:cs="Times New Roman"/>
                <w:sz w:val="21"/>
                <w:szCs w:val="21"/>
                <w:lang w:eastAsia="zh-CN"/>
              </w:rPr>
              <w:t>烟囱</w:t>
            </w:r>
          </w:p>
        </w:tc>
        <w:tc>
          <w:tcPr>
            <w:tcW w:w="2704" w:type="dxa"/>
            <w:noWrap w:val="0"/>
            <w:vAlign w:val="center"/>
          </w:tcPr>
          <w:p>
            <w:pPr>
              <w:spacing w:line="240" w:lineRule="auto"/>
              <w:ind w:firstLine="0"/>
              <w:jc w:val="center"/>
              <w:rPr>
                <w:rFonts w:hint="default" w:cs="Times New Roman"/>
                <w:sz w:val="21"/>
                <w:szCs w:val="21"/>
                <w:lang w:val="en-US" w:eastAsia="zh-CN"/>
              </w:rPr>
            </w:pPr>
            <w:r>
              <w:rPr>
                <w:rFonts w:hint="eastAsia" w:cs="Times New Roman"/>
                <w:sz w:val="21"/>
                <w:szCs w:val="21"/>
                <w:lang w:val="en-US" w:eastAsia="zh-CN"/>
              </w:rPr>
              <w:t>颗粒物、</w:t>
            </w: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r>
              <w:rPr>
                <w:rFonts w:hint="eastAsia" w:cs="Times New Roman"/>
                <w:sz w:val="21"/>
                <w:szCs w:val="21"/>
                <w:lang w:val="en-US" w:eastAsia="zh-CN"/>
              </w:rPr>
              <w:t>、</w:t>
            </w:r>
            <w:r>
              <w:rPr>
                <w:rFonts w:hint="eastAsia" w:ascii="Times New Roman" w:hAnsi="Times New Roman" w:cs="Times New Roman"/>
                <w:sz w:val="21"/>
                <w:szCs w:val="21"/>
                <w:lang w:val="en-US" w:eastAsia="zh-CN"/>
              </w:rPr>
              <w:t>NOx</w:t>
            </w:r>
          </w:p>
        </w:tc>
        <w:tc>
          <w:tcPr>
            <w:tcW w:w="1157" w:type="dxa"/>
            <w:noWrap w:val="0"/>
            <w:vAlign w:val="center"/>
          </w:tcPr>
          <w:p>
            <w:pPr>
              <w:spacing w:line="240" w:lineRule="auto"/>
              <w:ind w:firstLine="0"/>
              <w:jc w:val="center"/>
              <w:rPr>
                <w:rFonts w:hint="eastAsia" w:ascii="Times New Roman" w:cs="Times New Roman"/>
                <w:sz w:val="21"/>
                <w:szCs w:val="21"/>
                <w:lang w:eastAsia="zh-CN"/>
              </w:rPr>
            </w:pPr>
            <w:r>
              <w:rPr>
                <w:rFonts w:hint="eastAsia" w:cs="Times New Roman"/>
                <w:sz w:val="21"/>
                <w:szCs w:val="21"/>
                <w:lang w:eastAsia="zh-CN"/>
              </w:rPr>
              <w:t>自动监测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0" w:type="auto"/>
            <w:vMerge w:val="continue"/>
            <w:noWrap w:val="0"/>
            <w:vAlign w:val="center"/>
          </w:tcPr>
          <w:p>
            <w:pPr>
              <w:spacing w:line="240" w:lineRule="auto"/>
              <w:ind w:firstLine="0"/>
              <w:jc w:val="center"/>
              <w:rPr>
                <w:rFonts w:hint="default" w:ascii="Times New Roman" w:hAnsi="Times New Roman" w:eastAsia="宋体" w:cs="Times New Roman"/>
                <w:sz w:val="21"/>
                <w:szCs w:val="21"/>
                <w:lang w:eastAsia="zh-CN"/>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3521" w:type="dxa"/>
            <w:vMerge w:val="continue"/>
            <w:noWrap w:val="0"/>
            <w:vAlign w:val="center"/>
          </w:tcPr>
          <w:p>
            <w:pPr>
              <w:spacing w:line="240" w:lineRule="auto"/>
              <w:ind w:firstLine="0"/>
              <w:jc w:val="center"/>
              <w:rPr>
                <w:rFonts w:hint="eastAsia" w:ascii="Times New Roman" w:hAnsi="Times New Roman" w:eastAsia="宋体" w:cs="Times New Roman"/>
                <w:sz w:val="21"/>
                <w:szCs w:val="21"/>
                <w:lang w:eastAsia="zh-CN"/>
              </w:rPr>
            </w:pPr>
          </w:p>
        </w:tc>
        <w:tc>
          <w:tcPr>
            <w:tcW w:w="270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汞及其化合物、</w:t>
            </w:r>
            <w:r>
              <w:rPr>
                <w:rFonts w:hint="eastAsia" w:ascii="Times New Roman" w:cs="Times New Roman"/>
                <w:sz w:val="21"/>
                <w:szCs w:val="21"/>
                <w:lang w:eastAsia="zh-CN"/>
              </w:rPr>
              <w:t>林格曼黑度</w:t>
            </w:r>
          </w:p>
        </w:tc>
        <w:tc>
          <w:tcPr>
            <w:tcW w:w="1157"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vMerge w:val="restart"/>
            <w:noWrap w:val="0"/>
            <w:vAlign w:val="center"/>
          </w:tcPr>
          <w:p>
            <w:pPr>
              <w:spacing w:line="240" w:lineRule="auto"/>
              <w:ind w:firstLine="0"/>
              <w:jc w:val="center"/>
              <w:rPr>
                <w:rFonts w:hint="default" w:cs="Times New Roman"/>
                <w:sz w:val="21"/>
                <w:szCs w:val="21"/>
                <w:lang w:val="en-US" w:eastAsia="zh-CN"/>
              </w:rPr>
            </w:pPr>
            <w:r>
              <w:rPr>
                <w:rFonts w:hint="eastAsia" w:cs="Times New Roman"/>
                <w:sz w:val="21"/>
                <w:szCs w:val="21"/>
                <w:lang w:eastAsia="zh-CN"/>
              </w:rPr>
              <w:t>导热油炉烟囱</w:t>
            </w:r>
          </w:p>
        </w:tc>
        <w:tc>
          <w:tcPr>
            <w:tcW w:w="270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NOx</w:t>
            </w: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自动监测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vMerge w:val="continue"/>
            <w:noWrap w:val="0"/>
            <w:vAlign w:val="center"/>
          </w:tcPr>
          <w:p>
            <w:pPr>
              <w:spacing w:line="240" w:lineRule="auto"/>
              <w:ind w:firstLine="0"/>
              <w:jc w:val="center"/>
              <w:rPr>
                <w:rFonts w:hint="eastAsia" w:cs="Times New Roman"/>
                <w:sz w:val="21"/>
                <w:szCs w:val="21"/>
                <w:lang w:eastAsia="zh-CN"/>
              </w:rPr>
            </w:pPr>
          </w:p>
        </w:tc>
        <w:tc>
          <w:tcPr>
            <w:tcW w:w="2704" w:type="dxa"/>
            <w:noWrap w:val="0"/>
            <w:vAlign w:val="center"/>
          </w:tcPr>
          <w:p>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颗粒物、</w:t>
            </w: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r>
              <w:rPr>
                <w:rFonts w:hint="eastAsia" w:cs="Times New Roman"/>
                <w:sz w:val="21"/>
                <w:szCs w:val="21"/>
                <w:lang w:val="en-US" w:eastAsia="zh-CN"/>
              </w:rPr>
              <w:t>、林格曼黑度</w:t>
            </w:r>
          </w:p>
        </w:tc>
        <w:tc>
          <w:tcPr>
            <w:tcW w:w="1157" w:type="dxa"/>
            <w:noWrap w:val="0"/>
            <w:vAlign w:val="center"/>
          </w:tcPr>
          <w:p>
            <w:pPr>
              <w:spacing w:line="240" w:lineRule="auto"/>
              <w:ind w:firstLine="0" w:firstLineChars="0"/>
              <w:jc w:val="center"/>
              <w:rPr>
                <w:rFonts w:hint="default" w:cs="Times New Roman"/>
                <w:sz w:val="21"/>
                <w:szCs w:val="21"/>
                <w:lang w:val="en-US" w:eastAsia="zh-CN"/>
              </w:rPr>
            </w:pPr>
            <w:r>
              <w:rPr>
                <w:rFonts w:hint="eastAsia" w:ascii="Times New Roman" w:hAnsi="宋体" w:eastAsia="宋体" w:cs="Times New Roman"/>
                <w:sz w:val="21"/>
                <w:szCs w:val="21"/>
                <w:lang w:val="en-US" w:eastAsia="zh-CN"/>
              </w:rPr>
              <w:t>一次/季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default" w:ascii="Times New Roman" w:hAnsi="Times New Roman" w:cs="Times New Roman"/>
                <w:sz w:val="21"/>
                <w:szCs w:val="21"/>
                <w:lang w:eastAsia="zh-CN"/>
              </w:rPr>
            </w:pPr>
            <w:r>
              <w:rPr>
                <w:rFonts w:hint="eastAsia" w:cs="Times New Roman"/>
                <w:sz w:val="21"/>
                <w:szCs w:val="21"/>
                <w:lang w:eastAsia="zh-CN"/>
              </w:rPr>
              <w:t>玉米净化废气</w:t>
            </w:r>
          </w:p>
        </w:tc>
        <w:tc>
          <w:tcPr>
            <w:tcW w:w="2704" w:type="dxa"/>
            <w:vMerge w:val="restart"/>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颗粒物</w:t>
            </w:r>
          </w:p>
        </w:tc>
        <w:tc>
          <w:tcPr>
            <w:tcW w:w="1157"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default" w:ascii="Times New Roman" w:hAnsi="Times New Roman" w:cs="Times New Roman"/>
                <w:sz w:val="21"/>
                <w:szCs w:val="21"/>
                <w:lang w:eastAsia="zh-CN"/>
              </w:rPr>
            </w:pPr>
            <w:r>
              <w:rPr>
                <w:rFonts w:hint="eastAsia" w:cs="Times New Roman"/>
                <w:sz w:val="21"/>
                <w:szCs w:val="21"/>
                <w:lang w:eastAsia="zh-CN"/>
              </w:rPr>
              <w:t>制酸浸泡废气</w:t>
            </w:r>
          </w:p>
        </w:tc>
        <w:tc>
          <w:tcPr>
            <w:tcW w:w="2704" w:type="dxa"/>
            <w:vMerge w:val="continue"/>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p>
        </w:tc>
        <w:tc>
          <w:tcPr>
            <w:tcW w:w="1157"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cs="Times New Roman"/>
                <w:sz w:val="21"/>
                <w:szCs w:val="21"/>
                <w:lang w:val="en-US" w:eastAsia="zh-CN"/>
              </w:rPr>
              <w:t>副产品干燥废气</w:t>
            </w:r>
          </w:p>
        </w:tc>
        <w:tc>
          <w:tcPr>
            <w:tcW w:w="2704" w:type="dxa"/>
            <w:vMerge w:val="continue"/>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p>
        </w:tc>
        <w:tc>
          <w:tcPr>
            <w:tcW w:w="1157"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副产品风送废气（</w:t>
            </w:r>
            <w:r>
              <w:rPr>
                <w:rFonts w:hint="eastAsia" w:ascii="Times New Roman" w:hAnsi="Times New Roman" w:cs="Times New Roman"/>
                <w:sz w:val="21"/>
                <w:szCs w:val="21"/>
                <w:lang w:val="en-US" w:eastAsia="zh-CN"/>
              </w:rPr>
              <w:t>4</w:t>
            </w:r>
            <w:r>
              <w:rPr>
                <w:rFonts w:hint="eastAsia" w:cs="Times New Roman"/>
                <w:sz w:val="21"/>
                <w:szCs w:val="21"/>
                <w:lang w:val="en-US" w:eastAsia="zh-CN"/>
              </w:rPr>
              <w:t>根排气筒）</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淀粉干燥废气（</w:t>
            </w:r>
            <w:r>
              <w:rPr>
                <w:rFonts w:hint="eastAsia" w:ascii="Times New Roman" w:hAnsi="Times New Roman" w:cs="Times New Roman"/>
                <w:sz w:val="21"/>
                <w:szCs w:val="21"/>
                <w:lang w:val="en-US" w:eastAsia="zh-CN"/>
              </w:rPr>
              <w:t>6</w:t>
            </w:r>
            <w:r>
              <w:rPr>
                <w:rFonts w:hint="eastAsia" w:cs="Times New Roman"/>
                <w:sz w:val="21"/>
                <w:szCs w:val="21"/>
                <w:lang w:val="en-US" w:eastAsia="zh-CN"/>
              </w:rPr>
              <w:t>根排气筒）</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包装车间（副产品）废气</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包装车间（淀粉）废气</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主产品风送废气</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玉米烘干转送废气（</w:t>
            </w:r>
            <w:r>
              <w:rPr>
                <w:rFonts w:hint="eastAsia" w:ascii="Times New Roman" w:hAnsi="Times New Roman" w:cs="Times New Roman"/>
                <w:sz w:val="21"/>
                <w:szCs w:val="21"/>
                <w:lang w:val="en-US" w:eastAsia="zh-CN"/>
              </w:rPr>
              <w:t>14</w:t>
            </w:r>
            <w:r>
              <w:rPr>
                <w:rFonts w:hint="eastAsia" w:cs="Times New Roman"/>
                <w:sz w:val="21"/>
                <w:szCs w:val="21"/>
                <w:lang w:val="en-US" w:eastAsia="zh-CN"/>
              </w:rPr>
              <w:t>根排气筒）</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default" w:cs="Times New Roman"/>
                <w:sz w:val="21"/>
                <w:szCs w:val="21"/>
                <w:lang w:val="en-US" w:eastAsia="zh-CN"/>
              </w:rPr>
            </w:pPr>
            <w:r>
              <w:rPr>
                <w:rFonts w:hint="eastAsia" w:cs="Times New Roman"/>
                <w:sz w:val="21"/>
                <w:szCs w:val="21"/>
                <w:lang w:val="en-US" w:eastAsia="zh-CN"/>
              </w:rPr>
              <w:t>发酵车间</w:t>
            </w:r>
            <w:r>
              <w:rPr>
                <w:rFonts w:hint="eastAsia" w:ascii="Times New Roman" w:hAnsi="Times New Roman" w:cs="Times New Roman"/>
                <w:sz w:val="21"/>
                <w:szCs w:val="21"/>
                <w:lang w:val="en-US" w:eastAsia="zh-CN"/>
              </w:rPr>
              <w:t>300</w:t>
            </w:r>
            <w:r>
              <w:rPr>
                <w:rFonts w:hint="eastAsia" w:cs="Times New Roman"/>
                <w:sz w:val="21"/>
                <w:szCs w:val="21"/>
                <w:lang w:val="en-US" w:eastAsia="zh-CN"/>
              </w:rPr>
              <w:t>#罐废气、</w:t>
            </w:r>
            <w:r>
              <w:rPr>
                <w:rFonts w:hint="eastAsia" w:ascii="Times New Roman" w:hAnsi="Times New Roman" w:cs="Times New Roman"/>
                <w:sz w:val="21"/>
                <w:szCs w:val="21"/>
                <w:lang w:val="en-US" w:eastAsia="zh-CN"/>
              </w:rPr>
              <w:t>800</w:t>
            </w:r>
            <w:r>
              <w:rPr>
                <w:rFonts w:hint="eastAsia" w:cs="Times New Roman"/>
                <w:sz w:val="21"/>
                <w:szCs w:val="21"/>
                <w:lang w:val="en-US" w:eastAsia="zh-CN"/>
              </w:rPr>
              <w:t>#罐废气</w:t>
            </w:r>
          </w:p>
        </w:tc>
        <w:tc>
          <w:tcPr>
            <w:tcW w:w="2704" w:type="dxa"/>
            <w:vMerge w:val="restart"/>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cs="Times New Roman"/>
                <w:sz w:val="21"/>
                <w:szCs w:val="21"/>
                <w:lang w:val="en-US" w:eastAsia="zh-CN"/>
              </w:rPr>
              <w:t>、</w:t>
            </w:r>
            <w:r>
              <w:rPr>
                <w:rFonts w:hint="eastAsia" w:ascii="Times New Roman" w:hAnsi="Times New Roman" w:cs="Times New Roman"/>
                <w:sz w:val="21"/>
                <w:szCs w:val="21"/>
                <w:lang w:val="en-US" w:eastAsia="zh-CN"/>
              </w:rPr>
              <w:t>NMHC</w:t>
            </w:r>
          </w:p>
        </w:tc>
        <w:tc>
          <w:tcPr>
            <w:tcW w:w="1157" w:type="dxa"/>
            <w:noWrap w:val="0"/>
            <w:vAlign w:val="center"/>
          </w:tcPr>
          <w:p>
            <w:pPr>
              <w:spacing w:line="240" w:lineRule="auto"/>
              <w:ind w:firstLine="0"/>
              <w:jc w:val="center"/>
              <w:rPr>
                <w:rFonts w:hint="default" w:ascii="Times New Roman" w:cs="Times New Roman"/>
                <w:sz w:val="21"/>
                <w:szCs w:val="21"/>
                <w:lang w:val="en-US" w:eastAsia="zh-CN"/>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default" w:cs="Times New Roman"/>
                <w:sz w:val="21"/>
                <w:szCs w:val="21"/>
                <w:lang w:val="en-US" w:eastAsia="zh-CN"/>
              </w:rPr>
            </w:pPr>
            <w:r>
              <w:rPr>
                <w:rFonts w:hint="eastAsia" w:ascii="Times New Roman" w:hAnsi="Times New Roman" w:cs="Times New Roman"/>
                <w:sz w:val="21"/>
                <w:szCs w:val="21"/>
                <w:lang w:val="en-US" w:eastAsia="zh-CN"/>
              </w:rPr>
              <w:t>DN</w:t>
            </w:r>
            <w:r>
              <w:rPr>
                <w:rFonts w:hint="eastAsia" w:cs="Times New Roman"/>
                <w:sz w:val="21"/>
                <w:szCs w:val="21"/>
                <w:lang w:val="en-US" w:eastAsia="zh-CN"/>
              </w:rPr>
              <w:t>提取车间精馏废气</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default" w:cs="Times New Roman"/>
                <w:sz w:val="21"/>
                <w:szCs w:val="21"/>
                <w:lang w:val="en-US" w:eastAsia="zh-CN"/>
              </w:rPr>
            </w:pPr>
            <w:r>
              <w:rPr>
                <w:rFonts w:hint="eastAsia" w:ascii="Times New Roman" w:hAnsi="Times New Roman" w:cs="Times New Roman"/>
                <w:sz w:val="21"/>
                <w:szCs w:val="21"/>
                <w:lang w:val="en-US" w:eastAsia="zh-CN"/>
              </w:rPr>
              <w:t>DN</w:t>
            </w:r>
            <w:r>
              <w:rPr>
                <w:rFonts w:hint="eastAsia" w:cs="Times New Roman"/>
                <w:sz w:val="21"/>
                <w:szCs w:val="21"/>
                <w:lang w:val="en-US" w:eastAsia="zh-CN"/>
              </w:rPr>
              <w:t>提取车间提取废气</w:t>
            </w:r>
          </w:p>
        </w:tc>
        <w:tc>
          <w:tcPr>
            <w:tcW w:w="2704"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157"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521"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污水站预处理废气（</w:t>
            </w:r>
            <w:r>
              <w:rPr>
                <w:rFonts w:hint="eastAsia" w:ascii="Times New Roman" w:hAnsi="Times New Roman" w:cs="Times New Roman"/>
                <w:sz w:val="21"/>
                <w:szCs w:val="21"/>
                <w:lang w:val="en-US" w:eastAsia="zh-CN"/>
              </w:rPr>
              <w:t>6</w:t>
            </w:r>
            <w:r>
              <w:rPr>
                <w:rFonts w:hint="eastAsia" w:cs="Times New Roman"/>
                <w:sz w:val="21"/>
                <w:szCs w:val="21"/>
                <w:lang w:val="en-US" w:eastAsia="zh-CN"/>
              </w:rPr>
              <w:t>根排气筒）</w:t>
            </w:r>
          </w:p>
        </w:tc>
        <w:tc>
          <w:tcPr>
            <w:tcW w:w="2704"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NMHC</w:t>
            </w:r>
            <w:r>
              <w:rPr>
                <w:rFonts w:hint="eastAsia" w:cs="Times New Roman"/>
                <w:sz w:val="21"/>
                <w:szCs w:val="21"/>
                <w:lang w:val="en-US" w:eastAsia="zh-CN"/>
              </w:rPr>
              <w:t>、</w:t>
            </w: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cs="Times New Roman"/>
                <w:sz w:val="21"/>
                <w:szCs w:val="21"/>
                <w:lang w:val="en-US" w:eastAsia="zh-CN"/>
              </w:rPr>
              <w:t>、</w:t>
            </w: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S</w:t>
            </w:r>
            <w:r>
              <w:rPr>
                <w:rFonts w:hint="eastAsia" w:cs="Times New Roman"/>
                <w:sz w:val="21"/>
                <w:szCs w:val="21"/>
                <w:lang w:val="en-US" w:eastAsia="zh-CN"/>
              </w:rPr>
              <w:t>、臭气浓度</w:t>
            </w:r>
          </w:p>
        </w:tc>
        <w:tc>
          <w:tcPr>
            <w:tcW w:w="1157" w:type="dxa"/>
            <w:noWrap w:val="0"/>
            <w:vAlign w:val="center"/>
          </w:tcPr>
          <w:p>
            <w:pPr>
              <w:spacing w:line="240" w:lineRule="auto"/>
              <w:ind w:firstLine="0"/>
              <w:jc w:val="center"/>
              <w:rPr>
                <w:rFonts w:hint="eastAsia" w:cs="Times New Roman"/>
                <w:sz w:val="21"/>
                <w:szCs w:val="21"/>
                <w:lang w:eastAsia="zh-CN"/>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521" w:type="dxa"/>
            <w:vMerge w:val="restart"/>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污水处理站</w:t>
            </w:r>
            <w:r>
              <w:rPr>
                <w:rFonts w:hint="eastAsia" w:cs="Times New Roman"/>
                <w:sz w:val="21"/>
                <w:szCs w:val="21"/>
                <w:lang w:eastAsia="zh-CN"/>
              </w:rPr>
              <w:t>总排口</w:t>
            </w:r>
          </w:p>
        </w:tc>
        <w:tc>
          <w:tcPr>
            <w:tcW w:w="270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流量、</w:t>
            </w:r>
            <w:r>
              <w:rPr>
                <w:rFonts w:hint="default" w:ascii="Times New Roman" w:hAnsi="Times New Roman" w:cs="Times New Roman"/>
                <w:sz w:val="21"/>
                <w:szCs w:val="21"/>
              </w:rPr>
              <w:t>pH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COD</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ascii="Times New Roman" w:cs="Times New Roman"/>
                <w:sz w:val="21"/>
                <w:szCs w:val="21"/>
                <w:lang w:val="en-US" w:eastAsia="zh-CN"/>
              </w:rPr>
              <w:t>-</w:t>
            </w:r>
            <w:r>
              <w:rPr>
                <w:rFonts w:hint="eastAsia" w:ascii="Times New Roman" w:hAnsi="Times New Roman" w:cs="Times New Roman"/>
                <w:sz w:val="21"/>
                <w:szCs w:val="21"/>
                <w:lang w:val="en-US" w:eastAsia="zh-CN"/>
              </w:rPr>
              <w:t>N</w:t>
            </w:r>
            <w:r>
              <w:rPr>
                <w:rFonts w:hint="eastAsia" w:ascii="Times New Roman" w:cs="Times New Roman"/>
                <w:sz w:val="21"/>
                <w:szCs w:val="21"/>
                <w:lang w:val="en-US" w:eastAsia="zh-CN"/>
              </w:rPr>
              <w:t>、</w:t>
            </w:r>
            <w:r>
              <w:rPr>
                <w:rFonts w:hint="eastAsia" w:ascii="Times New Roman" w:hAnsi="Times New Roman" w:cs="Times New Roman"/>
                <w:sz w:val="21"/>
                <w:szCs w:val="21"/>
                <w:lang w:val="en-US" w:eastAsia="zh-CN"/>
              </w:rPr>
              <w:t>TN</w:t>
            </w:r>
            <w:r>
              <w:rPr>
                <w:rFonts w:hint="eastAsia" w:cs="Times New Roman"/>
                <w:sz w:val="21"/>
                <w:szCs w:val="21"/>
                <w:lang w:val="en-US" w:eastAsia="zh-CN"/>
              </w:rPr>
              <w:t>、</w:t>
            </w:r>
            <w:r>
              <w:rPr>
                <w:rFonts w:hint="eastAsia" w:ascii="Times New Roman" w:hAnsi="Times New Roman" w:cs="Times New Roman"/>
                <w:sz w:val="21"/>
                <w:szCs w:val="21"/>
                <w:lang w:val="en-US" w:eastAsia="zh-CN"/>
              </w:rPr>
              <w:t>TP</w:t>
            </w:r>
          </w:p>
        </w:tc>
        <w:tc>
          <w:tcPr>
            <w:tcW w:w="1157" w:type="dxa"/>
            <w:noWrap w:val="0"/>
            <w:vAlign w:val="center"/>
          </w:tcPr>
          <w:p>
            <w:pPr>
              <w:spacing w:line="240" w:lineRule="auto"/>
              <w:ind w:firstLine="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eastAsia="zh-CN"/>
              </w:rPr>
              <w:t>在线监测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3521"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270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BOD</w:t>
            </w:r>
            <w:r>
              <w:rPr>
                <w:rFonts w:hint="eastAsia" w:ascii="Times New Roman" w:hAnsi="Times New Roman" w:cs="Times New Roman"/>
                <w:sz w:val="21"/>
                <w:szCs w:val="21"/>
                <w:vertAlign w:val="subscript"/>
                <w:lang w:val="en-US" w:eastAsia="zh-CN"/>
              </w:rPr>
              <w:t>5</w:t>
            </w:r>
            <w:r>
              <w:rPr>
                <w:rFonts w:hint="eastAsia" w:cs="Times New Roman"/>
                <w:sz w:val="21"/>
                <w:szCs w:val="21"/>
                <w:lang w:val="en-US" w:eastAsia="zh-CN"/>
              </w:rPr>
              <w:t>、</w:t>
            </w:r>
            <w:r>
              <w:rPr>
                <w:rFonts w:hint="eastAsia" w:ascii="Times New Roman" w:hAnsi="Times New Roman" w:cs="Times New Roman"/>
                <w:sz w:val="21"/>
                <w:szCs w:val="21"/>
                <w:lang w:val="en-US" w:eastAsia="zh-CN"/>
              </w:rPr>
              <w:t>SS</w:t>
            </w:r>
            <w:r>
              <w:rPr>
                <w:rFonts w:hint="eastAsia" w:cs="Times New Roman"/>
                <w:sz w:val="21"/>
                <w:szCs w:val="21"/>
                <w:lang w:val="en-US" w:eastAsia="zh-CN"/>
              </w:rPr>
              <w:t>、总有机碳、可吸附有机卤化物</w:t>
            </w:r>
          </w:p>
        </w:tc>
        <w:tc>
          <w:tcPr>
            <w:tcW w:w="1157"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一次</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4367" w:type="dxa"/>
            <w:gridSpan w:val="2"/>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2704"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车间产生量、固废外运量</w:t>
            </w:r>
          </w:p>
        </w:tc>
        <w:tc>
          <w:tcPr>
            <w:tcW w:w="1157"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0" w:type="auto"/>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厂界监测</w:t>
            </w:r>
          </w:p>
        </w:tc>
        <w:tc>
          <w:tcPr>
            <w:tcW w:w="846"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521"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厂区上风向设一个对照点，下风向设</w:t>
            </w:r>
            <w:r>
              <w:rPr>
                <w:rFonts w:hint="eastAsia" w:ascii="Times New Roman" w:hAnsi="Times New Roman" w:cs="Times New Roman"/>
                <w:sz w:val="21"/>
                <w:szCs w:val="21"/>
                <w:lang w:eastAsia="zh-CN"/>
              </w:rPr>
              <w:t>三</w:t>
            </w:r>
            <w:r>
              <w:rPr>
                <w:rFonts w:hint="default" w:ascii="Times New Roman" w:hAnsi="Times New Roman" w:cs="Times New Roman"/>
                <w:sz w:val="21"/>
                <w:szCs w:val="21"/>
              </w:rPr>
              <w:t>个监控点</w:t>
            </w:r>
          </w:p>
        </w:tc>
        <w:tc>
          <w:tcPr>
            <w:tcW w:w="270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颗粒物、</w:t>
            </w:r>
            <w:r>
              <w:rPr>
                <w:rFonts w:hint="default" w:ascii="Times New Roman" w:hAnsi="Times New Roman" w:cs="Times New Roman"/>
                <w:sz w:val="21"/>
                <w:szCs w:val="21"/>
              </w:rPr>
              <w:t>NMHC</w:t>
            </w:r>
          </w:p>
        </w:tc>
        <w:tc>
          <w:tcPr>
            <w:tcW w:w="1157"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一次/</w:t>
            </w:r>
            <w:r>
              <w:rPr>
                <w:rFonts w:hint="eastAsia" w:cs="Times New Roman"/>
                <w:sz w:val="21"/>
                <w:szCs w:val="21"/>
                <w:lang w:eastAsia="zh-CN"/>
              </w:rPr>
              <w:t>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3521"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2704" w:type="dxa"/>
            <w:noWrap w:val="0"/>
            <w:vAlign w:val="center"/>
          </w:tcPr>
          <w:p>
            <w:pPr>
              <w:spacing w:line="240" w:lineRule="auto"/>
              <w:ind w:firstLine="0"/>
              <w:jc w:val="center"/>
              <w:rPr>
                <w:rFonts w:hint="eastAsia" w:cs="Times New Roman"/>
                <w:sz w:val="21"/>
                <w:szCs w:val="21"/>
                <w:lang w:eastAsia="zh-CN"/>
              </w:rPr>
            </w:pP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S</w:t>
            </w:r>
            <w:r>
              <w:rPr>
                <w:rFonts w:hint="eastAsia" w:ascii="Times New Roman" w:cs="Times New Roman"/>
                <w:sz w:val="21"/>
                <w:szCs w:val="21"/>
                <w:lang w:val="en-US" w:eastAsia="zh-CN"/>
              </w:rPr>
              <w:t>、</w:t>
            </w: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p>
        </w:tc>
        <w:tc>
          <w:tcPr>
            <w:tcW w:w="1157" w:type="dxa"/>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eastAsia" w:cs="Times New Roman"/>
                <w:sz w:val="21"/>
                <w:szCs w:val="21"/>
                <w:lang w:eastAsia="zh-CN"/>
              </w:rPr>
              <w:t>一次</w:t>
            </w:r>
            <w:r>
              <w:rPr>
                <w:rFonts w:hint="eastAsia" w:cs="Times New Roman"/>
                <w:sz w:val="21"/>
                <w:szCs w:val="21"/>
                <w:lang w:val="en-US" w:eastAsia="zh-CN"/>
              </w:rPr>
              <w:t>/</w:t>
            </w:r>
            <w:r>
              <w:rPr>
                <w:rFonts w:hint="eastAsia" w:cs="Times New Roman"/>
                <w:sz w:val="21"/>
                <w:szCs w:val="21"/>
                <w:lang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0" w:type="auto"/>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3521"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厂界四周外</w:t>
            </w:r>
            <w:r>
              <w:rPr>
                <w:rFonts w:hint="default" w:ascii="Times New Roman" w:hAnsi="Times New Roman" w:cs="Times New Roman"/>
                <w:sz w:val="21"/>
                <w:szCs w:val="21"/>
              </w:rPr>
              <w:t>1m</w:t>
            </w:r>
          </w:p>
        </w:tc>
        <w:tc>
          <w:tcPr>
            <w:tcW w:w="2704"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等效</w:t>
            </w:r>
            <w:r>
              <w:rPr>
                <w:rFonts w:hint="eastAsia" w:ascii="Times New Roman" w:hAnsi="Times New Roman" w:cs="Times New Roman"/>
                <w:sz w:val="21"/>
                <w:szCs w:val="21"/>
                <w:lang w:eastAsia="zh-CN"/>
              </w:rPr>
              <w:t>连续</w:t>
            </w:r>
            <w:r>
              <w:rPr>
                <w:rFonts w:hint="default" w:ascii="Times New Roman" w:hAnsi="Times New Roman" w:cs="Times New Roman"/>
                <w:sz w:val="21"/>
                <w:szCs w:val="21"/>
              </w:rPr>
              <w:t>A</w:t>
            </w:r>
            <w:r>
              <w:rPr>
                <w:rFonts w:hint="default" w:ascii="Times New Roman" w:hAnsi="Times New Roman" w:cs="Times New Roman"/>
                <w:sz w:val="21"/>
                <w:szCs w:val="21"/>
              </w:rPr>
              <w:t>声级</w:t>
            </w:r>
          </w:p>
        </w:tc>
        <w:tc>
          <w:tcPr>
            <w:tcW w:w="1157"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一次/</w:t>
            </w:r>
            <w:r>
              <w:rPr>
                <w:rFonts w:hint="default" w:ascii="Times New Roman" w:hAnsi="Times New Roman" w:cs="Times New Roman"/>
                <w:sz w:val="21"/>
                <w:szCs w:val="21"/>
                <w:lang w:eastAsia="zh-CN"/>
              </w:rPr>
              <w:t>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w:t>
            </w:r>
            <w:r>
              <w:rPr>
                <w:rFonts w:hint="default" w:ascii="Times New Roman" w:hAnsi="Times New Roman" w:cs="Times New Roman"/>
                <w:sz w:val="21"/>
                <w:szCs w:val="21"/>
                <w:lang w:eastAsia="zh-CN"/>
              </w:rPr>
              <w:t>区</w:t>
            </w:r>
            <w:r>
              <w:rPr>
                <w:rFonts w:hint="default" w:ascii="Times New Roman" w:hAnsi="Times New Roman" w:cs="Times New Roman"/>
                <w:sz w:val="21"/>
                <w:szCs w:val="21"/>
              </w:rPr>
              <w:t>控制监测</w:t>
            </w:r>
          </w:p>
        </w:tc>
        <w:tc>
          <w:tcPr>
            <w:tcW w:w="0" w:type="auto"/>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地下水</w:t>
            </w:r>
          </w:p>
        </w:tc>
        <w:tc>
          <w:tcPr>
            <w:tcW w:w="3521"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监控井</w:t>
            </w:r>
            <w:r>
              <w:rPr>
                <w:rFonts w:hint="eastAsia" w:cs="Times New Roman"/>
                <w:sz w:val="21"/>
                <w:szCs w:val="21"/>
                <w:lang w:eastAsia="zh-CN"/>
              </w:rPr>
              <w:t>（上游、厂区、下游）</w:t>
            </w:r>
          </w:p>
        </w:tc>
        <w:tc>
          <w:tcPr>
            <w:tcW w:w="2704"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pH</w:t>
            </w:r>
            <w:r>
              <w:rPr>
                <w:rFonts w:hint="default" w:ascii="Times New Roman" w:hAnsi="Times New Roman" w:cs="Times New Roman"/>
                <w:sz w:val="21"/>
                <w:szCs w:val="21"/>
                <w:lang w:val="en-US" w:eastAsia="zh-CN"/>
              </w:rPr>
              <w:t>、氨氮、</w:t>
            </w:r>
            <w:r>
              <w:rPr>
                <w:rFonts w:hint="eastAsia" w:cs="Times New Roman"/>
                <w:sz w:val="21"/>
                <w:szCs w:val="21"/>
                <w:lang w:val="en-US" w:eastAsia="zh-CN"/>
              </w:rPr>
              <w:t>耗氧量</w:t>
            </w:r>
          </w:p>
        </w:tc>
        <w:tc>
          <w:tcPr>
            <w:tcW w:w="1157"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一次</w:t>
            </w:r>
            <w:r>
              <w:rPr>
                <w:rFonts w:hint="default" w:ascii="Times New Roman" w:hAnsi="Times New Roman" w:cs="Times New Roman"/>
                <w:sz w:val="21"/>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0" w:type="auto"/>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土壤</w:t>
            </w:r>
          </w:p>
        </w:tc>
        <w:tc>
          <w:tcPr>
            <w:tcW w:w="3521"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eastAsia="zh-CN"/>
              </w:rPr>
              <w:t>煤场</w:t>
            </w:r>
            <w:r>
              <w:rPr>
                <w:rFonts w:hint="default" w:ascii="Times New Roman" w:hAnsi="Times New Roman" w:cs="Times New Roman"/>
                <w:sz w:val="21"/>
                <w:szCs w:val="21"/>
              </w:rPr>
              <w:t>、</w:t>
            </w:r>
            <w:r>
              <w:rPr>
                <w:rFonts w:hint="eastAsia" w:cs="Times New Roman"/>
                <w:sz w:val="21"/>
                <w:szCs w:val="21"/>
                <w:lang w:eastAsia="zh-CN"/>
              </w:rPr>
              <w:t>储罐装卸区、固废暂存库、危险废物贮存库</w:t>
            </w:r>
            <w:r>
              <w:rPr>
                <w:rFonts w:hint="default" w:ascii="Times New Roman" w:hAnsi="Times New Roman" w:cs="Times New Roman"/>
                <w:sz w:val="21"/>
                <w:szCs w:val="21"/>
              </w:rPr>
              <w:t>或污水站附近随机选取</w:t>
            </w:r>
          </w:p>
        </w:tc>
        <w:tc>
          <w:tcPr>
            <w:tcW w:w="2704"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eastAsia="zh-CN"/>
              </w:rPr>
              <w:t>重金属（砷、镉、铬（六价）、铜、铅、汞、镍）</w:t>
            </w:r>
          </w:p>
        </w:tc>
        <w:tc>
          <w:tcPr>
            <w:tcW w:w="1157"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一次/</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年</w:t>
            </w:r>
          </w:p>
        </w:tc>
      </w:tr>
    </w:tbl>
    <w:p>
      <w:pPr>
        <w:pStyle w:val="5"/>
        <w:bidi w:val="0"/>
        <w:rPr>
          <w:rFonts w:hint="default" w:eastAsia="宋体"/>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排污</w:t>
      </w:r>
      <w:r>
        <w:rPr>
          <w:rStyle w:val="94"/>
          <w:rFonts w:hint="eastAsia"/>
          <w:b/>
          <w:bCs/>
          <w:lang w:val="en-US" w:eastAsia="zh-CN"/>
        </w:rPr>
        <w:t>许</w:t>
      </w:r>
      <w:r>
        <w:rPr>
          <w:rFonts w:hint="eastAsia"/>
          <w:lang w:val="en-US" w:eastAsia="zh-CN"/>
        </w:rPr>
        <w:t>可管理</w:t>
      </w:r>
    </w:p>
    <w:p>
      <w:pPr>
        <w:rPr>
          <w:rFonts w:hint="default"/>
          <w:color w:val="auto"/>
          <w:lang w:val="en-US" w:eastAsia="zh-CN"/>
        </w:rPr>
      </w:pPr>
      <w:r>
        <w:rPr>
          <w:rFonts w:hint="eastAsia"/>
          <w:color w:val="auto"/>
          <w:lang w:val="en-US" w:eastAsia="zh-CN"/>
        </w:rPr>
        <w:t>建设单位</w:t>
      </w:r>
      <w:r>
        <w:rPr>
          <w:rFonts w:hint="eastAsia"/>
        </w:rPr>
        <w:t>于</w:t>
      </w:r>
      <w:r>
        <w:rPr>
          <w:rFonts w:hint="eastAsia" w:ascii="Times New Roman" w:hAnsi="Times New Roman"/>
        </w:rPr>
        <w:t>20</w:t>
      </w:r>
      <w:r>
        <w:rPr>
          <w:rFonts w:hint="eastAsia" w:ascii="Times New Roman" w:hAnsi="Times New Roman"/>
          <w:lang w:val="en-US" w:eastAsia="zh-CN"/>
        </w:rPr>
        <w:t>19</w:t>
      </w:r>
      <w:r>
        <w:rPr>
          <w:rFonts w:hint="eastAsia"/>
        </w:rPr>
        <w:t>年取得排污许可证</w:t>
      </w:r>
      <w:r>
        <w:rPr>
          <w:rFonts w:hint="eastAsia"/>
          <w:lang w:eastAsia="zh-CN"/>
        </w:rPr>
        <w:t>（</w:t>
      </w:r>
      <w:r>
        <w:rPr>
          <w:rFonts w:hint="eastAsia"/>
        </w:rPr>
        <w:t>证书编号</w:t>
      </w:r>
      <w:r>
        <w:rPr>
          <w:rFonts w:hint="eastAsia" w:ascii="Times New Roman" w:hAnsi="Times New Roman"/>
          <w:lang w:val="en-US" w:eastAsia="zh-CN"/>
        </w:rPr>
        <w:t>91654202MA775WL12K001Q</w:t>
      </w:r>
      <w:r>
        <w:rPr>
          <w:rFonts w:hint="eastAsia"/>
          <w:lang w:eastAsia="zh-CN"/>
        </w:rPr>
        <w:t>）</w:t>
      </w:r>
      <w:r>
        <w:rPr>
          <w:rFonts w:hint="eastAsia"/>
        </w:rPr>
        <w:t>，</w:t>
      </w:r>
      <w:r>
        <w:rPr>
          <w:rFonts w:hint="eastAsia" w:ascii="Times New Roman" w:hAnsi="Times New Roman"/>
          <w:lang w:val="en-US" w:eastAsia="zh-CN"/>
        </w:rPr>
        <w:t>2022</w:t>
      </w:r>
      <w:r>
        <w:rPr>
          <w:rFonts w:hint="eastAsia"/>
          <w:lang w:val="en-US" w:eastAsia="zh-CN"/>
        </w:rPr>
        <w:t>年进行了延期，</w:t>
      </w:r>
      <w:r>
        <w:rPr>
          <w:rFonts w:hint="eastAsia"/>
          <w:lang w:eastAsia="zh-CN"/>
        </w:rPr>
        <w:t>按照规范要求填报了排污登记表和执行报告，并能按期提交。</w:t>
      </w:r>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现有工程污染治理及达标排放情况</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废气</w:t>
      </w:r>
    </w:p>
    <w:p>
      <w:pPr>
        <w:bidi w:val="0"/>
        <w:rPr>
          <w:rFonts w:hint="default"/>
          <w:lang w:val="en-US" w:eastAsia="zh-CN"/>
        </w:rPr>
      </w:pPr>
      <w:r>
        <w:rPr>
          <w:rFonts w:hint="eastAsia"/>
          <w:lang w:val="en-US" w:eastAsia="zh-CN"/>
        </w:rPr>
        <w:t>厂内有组织废气包括：动力站锅炉烟气、导热油炉烟气、淀粉车间废气、制酸浸泡废气、</w:t>
      </w:r>
      <w:r>
        <w:rPr>
          <w:rFonts w:hint="eastAsia" w:ascii="Times New Roman" w:hAnsi="Times New Roman"/>
          <w:lang w:val="en-US" w:eastAsia="zh-CN"/>
        </w:rPr>
        <w:t>DN</w:t>
      </w:r>
      <w:r>
        <w:rPr>
          <w:rFonts w:hint="eastAsia"/>
          <w:lang w:val="en-US" w:eastAsia="zh-CN"/>
        </w:rPr>
        <w:t>溶液制取废气、生物基聚酰胺制取废气、污水站废气等。淀粉车间废气（干燥废气、副产品风送废气、玉米烘干转送废气、主产品风送废气、包装车间废气等），主要污染物颗粒物排放浓度和排放速率均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二级限值；制酸浸泡废气主要污染物</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val="en-US" w:eastAsia="zh-CN"/>
        </w:rPr>
        <w:t>排放浓度和排放速率均满足《大气污染物综合排放标准》（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二级限值；</w:t>
      </w:r>
      <w:r>
        <w:rPr>
          <w:rFonts w:hint="eastAsia" w:ascii="Times New Roman" w:hAnsi="Times New Roman"/>
          <w:lang w:val="en-US" w:eastAsia="zh-CN"/>
        </w:rPr>
        <w:t>DN</w:t>
      </w:r>
      <w:r>
        <w:rPr>
          <w:rFonts w:hint="eastAsia"/>
          <w:lang w:val="en-US" w:eastAsia="zh-CN"/>
        </w:rPr>
        <w:t>溶液制取工艺中，发酵车间发酵废气经收集后通过二级水喷淋处理，主要污染物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vertAlign w:val="baseline"/>
          <w:lang w:val="en-US" w:eastAsia="zh-CN"/>
        </w:rPr>
        <w:t>和</w:t>
      </w:r>
      <w:r>
        <w:rPr>
          <w:rFonts w:hint="eastAsia" w:ascii="Times New Roman" w:hAnsi="Times New Roman"/>
          <w:vertAlign w:val="baseline"/>
          <w:lang w:val="en-US" w:eastAsia="zh-CN"/>
        </w:rPr>
        <w:t>NMHC</w:t>
      </w:r>
      <w:r>
        <w:rPr>
          <w:rFonts w:hint="eastAsia"/>
          <w:lang w:val="en-US" w:eastAsia="zh-CN"/>
        </w:rPr>
        <w:t>排放浓度满足《合成树脂工业污染物排放标准》（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特别排放限值；生物基聚酰胺制取废气（</w:t>
      </w:r>
      <w:r>
        <w:rPr>
          <w:rFonts w:hint="eastAsia" w:ascii="Times New Roman" w:hAnsi="Times New Roman"/>
          <w:lang w:val="en-US" w:eastAsia="zh-CN"/>
        </w:rPr>
        <w:t>DN</w:t>
      </w:r>
      <w:r>
        <w:rPr>
          <w:rFonts w:hint="eastAsia"/>
          <w:lang w:val="en-US" w:eastAsia="zh-CN"/>
        </w:rPr>
        <w:t>提取废气、</w:t>
      </w:r>
      <w:r>
        <w:rPr>
          <w:rFonts w:hint="eastAsia" w:ascii="Times New Roman" w:hAnsi="Times New Roman"/>
          <w:lang w:val="en-US" w:eastAsia="zh-CN"/>
        </w:rPr>
        <w:t>DN</w:t>
      </w:r>
      <w:r>
        <w:rPr>
          <w:rFonts w:hint="eastAsia"/>
          <w:lang w:val="en-US" w:eastAsia="zh-CN"/>
        </w:rPr>
        <w:t>精馏废气等），主要污染物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vertAlign w:val="baseline"/>
          <w:lang w:val="en-US" w:eastAsia="zh-CN"/>
        </w:rPr>
        <w:t>和</w:t>
      </w:r>
      <w:r>
        <w:rPr>
          <w:rFonts w:hint="eastAsia" w:ascii="Times New Roman" w:hAnsi="Times New Roman"/>
          <w:vertAlign w:val="baseline"/>
          <w:lang w:val="en-US" w:eastAsia="zh-CN"/>
        </w:rPr>
        <w:t>NMHC</w:t>
      </w:r>
      <w:r>
        <w:rPr>
          <w:rFonts w:hint="eastAsia"/>
          <w:lang w:val="en-US" w:eastAsia="zh-CN"/>
        </w:rPr>
        <w:t>排放浓度满足《合成树脂工业污染物排放标准》（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特别排放限值。污水站收集各池体逸散废气，经生物除臭处理后，主要污染物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H</w:t>
      </w:r>
      <w:r>
        <w:rPr>
          <w:rFonts w:hint="eastAsia" w:ascii="Times New Roman" w:hAnsi="Times New Roman"/>
          <w:vertAlign w:val="subscript"/>
          <w:lang w:val="en-US" w:eastAsia="zh-CN"/>
        </w:rPr>
        <w:t>2</w:t>
      </w:r>
      <w:r>
        <w:rPr>
          <w:rFonts w:hint="eastAsia" w:ascii="Times New Roman" w:hAnsi="Times New Roman"/>
          <w:lang w:val="en-US" w:eastAsia="zh-CN"/>
        </w:rPr>
        <w:t>S</w:t>
      </w:r>
      <w:r>
        <w:rPr>
          <w:rFonts w:hint="eastAsia"/>
          <w:lang w:val="en-US" w:eastAsia="zh-CN"/>
        </w:rPr>
        <w:t>、臭气浓度排放速率满足《恶臭污染物排放标准》（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限值，</w:t>
      </w:r>
      <w:r>
        <w:rPr>
          <w:rFonts w:hint="eastAsia" w:ascii="Times New Roman" w:hAnsi="Times New Roman"/>
          <w:lang w:val="en-US" w:eastAsia="zh-CN"/>
        </w:rPr>
        <w:t>NMHC</w:t>
      </w:r>
      <w:r>
        <w:rPr>
          <w:rFonts w:hint="eastAsia"/>
          <w:lang w:val="en-US" w:eastAsia="zh-CN"/>
        </w:rPr>
        <w:t>排放浓度满足《合成树脂工业污染物排放标准》（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特别排放限值。厂界无组织废气例行监测中，主要污染物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H</w:t>
      </w:r>
      <w:r>
        <w:rPr>
          <w:rFonts w:hint="eastAsia" w:ascii="Times New Roman" w:hAnsi="Times New Roman"/>
          <w:vertAlign w:val="subscript"/>
          <w:lang w:val="en-US" w:eastAsia="zh-CN"/>
        </w:rPr>
        <w:t>2</w:t>
      </w:r>
      <w:r>
        <w:rPr>
          <w:rFonts w:hint="eastAsia" w:ascii="Times New Roman" w:hAnsi="Times New Roman"/>
          <w:lang w:val="en-US" w:eastAsia="zh-CN"/>
        </w:rPr>
        <w:t>S</w:t>
      </w:r>
      <w:r>
        <w:rPr>
          <w:rFonts w:hint="eastAsia"/>
          <w:lang w:val="en-US" w:eastAsia="zh-CN"/>
        </w:rPr>
        <w:t>、臭气浓度满足《恶臭污染物排放标准》（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1</w:t>
      </w:r>
      <w:r>
        <w:rPr>
          <w:rFonts w:hint="eastAsia"/>
          <w:lang w:val="en-US" w:eastAsia="zh-CN"/>
        </w:rPr>
        <w:t>厂界限值，</w:t>
      </w:r>
      <w:r>
        <w:rPr>
          <w:rFonts w:hint="eastAsia" w:ascii="Times New Roman" w:hAnsi="Times New Roman"/>
          <w:lang w:val="en-US" w:eastAsia="zh-CN"/>
        </w:rPr>
        <w:t>NMHC</w:t>
      </w:r>
      <w:r>
        <w:rPr>
          <w:rFonts w:hint="eastAsia"/>
          <w:lang w:val="en-US" w:eastAsia="zh-CN"/>
        </w:rPr>
        <w:t>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9</w:t>
      </w:r>
      <w:r>
        <w:rPr>
          <w:rFonts w:hint="eastAsia"/>
          <w:lang w:val="en-US" w:eastAsia="zh-CN"/>
        </w:rPr>
        <w:t>限值。</w:t>
      </w:r>
    </w:p>
    <w:p>
      <w:pPr>
        <w:bidi w:val="0"/>
        <w:rPr>
          <w:rFonts w:hint="default"/>
          <w:lang w:val="en-US" w:eastAsia="zh-CN"/>
        </w:rPr>
      </w:pPr>
      <w:r>
        <w:rPr>
          <w:rFonts w:hint="eastAsia"/>
          <w:lang w:val="en-US" w:eastAsia="zh-CN"/>
        </w:rPr>
        <w:t>本次评价收集了</w:t>
      </w:r>
      <w:r>
        <w:rPr>
          <w:rFonts w:hint="eastAsia" w:ascii="Times New Roman" w:hAnsi="Times New Roman"/>
          <w:lang w:val="en-US" w:eastAsia="zh-CN"/>
        </w:rPr>
        <w:t>2022</w:t>
      </w:r>
      <w:r>
        <w:rPr>
          <w:rFonts w:hint="eastAsia"/>
          <w:lang w:val="en-US" w:eastAsia="zh-CN"/>
        </w:rPr>
        <w:t>年厂内例行监测资料，其中，动力锅炉烟气排放情况见表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。由于厂内原燃煤导热油炉已变更为燃气，暂未验收，本次未进入统计。</w:t>
      </w:r>
    </w:p>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default"/>
          <w:lang w:val="en-US" w:eastAsia="zh-CN"/>
        </w:rPr>
      </w:pPr>
      <w:r>
        <w:rPr>
          <w:rFonts w:hint="eastAsia"/>
          <w:lang w:val="en-US" w:eastAsia="zh-CN"/>
        </w:rPr>
        <w:t>表</w:t>
      </w:r>
      <w:r>
        <w:rPr>
          <w:rFonts w:hint="eastAsia" w:ascii="Times New Roman" w:hAnsi="Times New Roman" w:cs="Times New Roman"/>
          <w:lang w:val="en-US" w:eastAsia="zh-CN"/>
        </w:rPr>
        <w:t>3</w:t>
      </w:r>
      <w:r>
        <w:rPr>
          <w:rFonts w:hint="eastAsia" w:cs="Times New Roman"/>
          <w:lang w:val="en-US" w:eastAsia="zh-CN"/>
        </w:rPr>
        <w:t>.</w:t>
      </w:r>
      <w:r>
        <w:rPr>
          <w:rFonts w:hint="eastAsia" w:ascii="Times New Roman" w:hAnsi="Times New Roman" w:cs="Times New Roman"/>
          <w:lang w:val="en-US" w:eastAsia="zh-CN"/>
        </w:rPr>
        <w:t>3</w:t>
      </w:r>
      <w:r>
        <w:rPr>
          <w:rFonts w:hint="eastAsia" w:cs="Times New Roman"/>
          <w:lang w:val="en-US" w:eastAsia="zh-CN"/>
        </w:rPr>
        <w:t>-</w:t>
      </w:r>
      <w:r>
        <w:rPr>
          <w:rFonts w:hint="eastAsia" w:ascii="Times New Roman" w:hAnsi="Times New Roman" w:cs="Times New Roman"/>
          <w:lang w:val="en-US" w:eastAsia="zh-CN"/>
        </w:rPr>
        <w:t>2</w:t>
      </w:r>
      <w:r>
        <w:rPr>
          <w:rFonts w:hint="eastAsia"/>
          <w:lang w:val="en-US" w:eastAsia="zh-CN"/>
        </w:rPr>
        <w:t xml:space="preserve">  </w:t>
      </w:r>
      <w:r>
        <w:rPr>
          <w:rFonts w:hint="eastAsia" w:ascii="Times New Roman" w:hAnsi="Times New Roman" w:cs="Times New Roman"/>
          <w:lang w:val="en-US" w:eastAsia="zh-CN"/>
        </w:rPr>
        <w:t>2022</w:t>
      </w:r>
      <w:r>
        <w:rPr>
          <w:rFonts w:hint="eastAsia"/>
          <w:lang w:val="en-US" w:eastAsia="zh-CN"/>
        </w:rPr>
        <w:t>年动力锅炉烟气排放连续监测统计</w:t>
      </w:r>
    </w:p>
    <w:tbl>
      <w:tblPr>
        <w:tblStyle w:val="81"/>
        <w:tblW w:w="91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80"/>
        <w:gridCol w:w="694"/>
        <w:gridCol w:w="891"/>
        <w:gridCol w:w="1085"/>
        <w:gridCol w:w="685"/>
        <w:gridCol w:w="887"/>
        <w:gridCol w:w="4"/>
        <w:gridCol w:w="1169"/>
        <w:gridCol w:w="690"/>
        <w:gridCol w:w="8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86" w:type="dxa"/>
            <w:vMerge w:val="restart"/>
            <w:tcBorders>
              <w:tl2br w:val="nil"/>
              <w:tr2bl w:val="nil"/>
            </w:tcBorders>
            <w:noWrap w:val="0"/>
            <w:vAlign w:val="center"/>
            <mc:AlternateContent>
              <mc:Choice Requires="wpsCustomData">
                <wpsCustomData:diagonals>
                  <wpsCustomData:diagonal from="30000" to="1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spacing w:val="-17"/>
                <w:w w:val="90"/>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mc:AlternateContent>
                <mc:Choice Requires="wpsCustomData">
                  <wpsCustomData:diagonalParaType/>
                </mc:Choice>
              </mc:AlternateContent>
              <w:rPr>
                <w:rFonts w:hint="default"/>
                <w:spacing w:val="-17"/>
                <w:w w:val="90"/>
                <w:sz w:val="21"/>
                <w:szCs w:val="21"/>
                <w:vertAlign w:val="baseline"/>
                <w:lang w:val="en-US" w:eastAsia="zh-CN"/>
              </w:rPr>
            </w:pPr>
            <w:r>
              <w:rPr>
                <w:rFonts w:hint="eastAsia"/>
                <w:spacing w:val="-17"/>
                <w:w w:val="90"/>
                <w:sz w:val="21"/>
                <w:szCs w:val="21"/>
                <w:vertAlign w:val="baseline"/>
                <w:lang w:val="en-US" w:eastAsia="zh-CN"/>
              </w:rPr>
              <w:t>时间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项目</w:t>
            </w:r>
          </w:p>
        </w:tc>
        <w:tc>
          <w:tcPr>
            <w:tcW w:w="7989"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cs="Times New Roman"/>
                <w:spacing w:val="-17"/>
                <w:w w:val="90"/>
                <w:sz w:val="21"/>
                <w:szCs w:val="21"/>
                <w:vertAlign w:val="baseline"/>
                <w:lang w:val="en-US" w:eastAsia="zh-CN"/>
              </w:rPr>
              <w:t>动力锅炉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p>
        </w:tc>
        <w:tc>
          <w:tcPr>
            <w:tcW w:w="266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颗粒物</w:t>
            </w:r>
          </w:p>
        </w:tc>
        <w:tc>
          <w:tcPr>
            <w:tcW w:w="2661"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pacing w:val="-17"/>
                <w:w w:val="90"/>
                <w:sz w:val="21"/>
                <w:szCs w:val="21"/>
                <w:vertAlign w:val="baseline"/>
                <w:lang w:val="en-US" w:eastAsia="zh-CN"/>
              </w:rPr>
            </w:pPr>
            <w:r>
              <w:rPr>
                <w:rFonts w:hint="eastAsia" w:ascii="Times New Roman" w:hAnsi="Times New Roman" w:cs="Times New Roman"/>
                <w:spacing w:val="-17"/>
                <w:w w:val="90"/>
                <w:sz w:val="21"/>
                <w:szCs w:val="21"/>
                <w:vertAlign w:val="baseline"/>
                <w:lang w:val="en-US" w:eastAsia="zh-CN"/>
              </w:rPr>
              <w:t>SO</w:t>
            </w:r>
            <w:r>
              <w:rPr>
                <w:rFonts w:hint="eastAsia" w:ascii="Times New Roman" w:hAnsi="Times New Roman" w:cs="Times New Roman"/>
                <w:spacing w:val="-17"/>
                <w:w w:val="90"/>
                <w:sz w:val="21"/>
                <w:szCs w:val="21"/>
                <w:vertAlign w:val="subscript"/>
                <w:lang w:val="en-US" w:eastAsia="zh-CN"/>
              </w:rPr>
              <w:t>2</w:t>
            </w:r>
          </w:p>
        </w:tc>
        <w:tc>
          <w:tcPr>
            <w:tcW w:w="266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pacing w:val="-17"/>
                <w:w w:val="90"/>
                <w:sz w:val="21"/>
                <w:szCs w:val="21"/>
                <w:vertAlign w:val="baseline"/>
                <w:lang w:val="en-US" w:eastAsia="zh-CN"/>
              </w:rPr>
            </w:pPr>
            <w:r>
              <w:rPr>
                <w:rFonts w:hint="eastAsia" w:ascii="Times New Roman" w:hAnsi="Times New Roman" w:cs="Times New Roman"/>
                <w:spacing w:val="-17"/>
                <w:w w:val="90"/>
                <w:sz w:val="21"/>
                <w:szCs w:val="21"/>
                <w:vertAlign w:val="baseline"/>
                <w:lang w:val="en-US" w:eastAsia="zh-CN"/>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1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p>
        </w:tc>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排放浓度折后（</w:t>
            </w:r>
            <w:r>
              <w:rPr>
                <w:rFonts w:hint="eastAsia" w:ascii="Times New Roman" w:hAnsi="Times New Roman"/>
                <w:spacing w:val="-17"/>
                <w:w w:val="90"/>
                <w:sz w:val="21"/>
                <w:szCs w:val="21"/>
                <w:vertAlign w:val="baseline"/>
                <w:lang w:val="en-US" w:eastAsia="zh-CN"/>
              </w:rPr>
              <w:t>mg</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m</w:t>
            </w:r>
            <w:r>
              <w:rPr>
                <w:rFonts w:hint="eastAsia"/>
                <w:spacing w:val="-17"/>
                <w:w w:val="90"/>
                <w:sz w:val="21"/>
                <w:szCs w:val="21"/>
                <w:vertAlign w:val="baseline"/>
                <w:lang w:val="en-US" w:eastAsia="zh-CN"/>
              </w:rPr>
              <w:t>³）</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超标率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spacing w:val="-17"/>
                <w:w w:val="90"/>
                <w:sz w:val="21"/>
                <w:szCs w:val="21"/>
                <w:vertAlign w:val="baseline"/>
                <w:lang w:val="en-US" w:eastAsia="zh-CN"/>
              </w:rPr>
              <w:t>%</w:t>
            </w:r>
          </w:p>
        </w:tc>
        <w:tc>
          <w:tcPr>
            <w:tcW w:w="8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t</w:t>
            </w:r>
            <w:r>
              <w:rPr>
                <w:rFonts w:hint="eastAsia"/>
                <w:spacing w:val="-17"/>
                <w:w w:val="90"/>
                <w:sz w:val="21"/>
                <w:szCs w:val="21"/>
                <w:vertAlign w:val="baseline"/>
                <w:lang w:val="en-US" w:eastAsia="zh-CN"/>
              </w:rPr>
              <w:t>）</w:t>
            </w:r>
          </w:p>
        </w:tc>
        <w:tc>
          <w:tcPr>
            <w:tcW w:w="1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r>
              <w:rPr>
                <w:rFonts w:hint="eastAsia"/>
                <w:spacing w:val="-17"/>
                <w:w w:val="90"/>
                <w:sz w:val="21"/>
                <w:szCs w:val="21"/>
                <w:vertAlign w:val="baseline"/>
                <w:lang w:val="en-US" w:eastAsia="zh-CN"/>
              </w:rPr>
              <w:t>排放浓度折后（</w:t>
            </w:r>
            <w:r>
              <w:rPr>
                <w:rFonts w:hint="eastAsia" w:ascii="Times New Roman" w:hAnsi="Times New Roman"/>
                <w:spacing w:val="-17"/>
                <w:w w:val="90"/>
                <w:sz w:val="21"/>
                <w:szCs w:val="21"/>
                <w:vertAlign w:val="baseline"/>
                <w:lang w:val="en-US" w:eastAsia="zh-CN"/>
              </w:rPr>
              <w:t>mg</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m</w:t>
            </w:r>
            <w:r>
              <w:rPr>
                <w:rFonts w:hint="eastAsia"/>
                <w:spacing w:val="-17"/>
                <w:w w:val="90"/>
                <w:sz w:val="21"/>
                <w:szCs w:val="21"/>
                <w:vertAlign w:val="baseline"/>
                <w:lang w:val="en-US" w:eastAsia="zh-CN"/>
              </w:rPr>
              <w:t>³）</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超标率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r>
              <w:rPr>
                <w:rFonts w:hint="eastAsia"/>
                <w:spacing w:val="-17"/>
                <w:w w:val="90"/>
                <w:sz w:val="21"/>
                <w:szCs w:val="21"/>
                <w:vertAlign w:val="baseline"/>
                <w:lang w:val="en-US" w:eastAsia="zh-CN"/>
              </w:rPr>
              <w:t>%</w:t>
            </w:r>
          </w:p>
        </w:tc>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t</w:t>
            </w:r>
            <w:r>
              <w:rPr>
                <w:rFonts w:hint="eastAsia"/>
                <w:spacing w:val="-17"/>
                <w:w w:val="90"/>
                <w:sz w:val="21"/>
                <w:szCs w:val="21"/>
                <w:vertAlign w:val="baseline"/>
                <w:lang w:val="en-US" w:eastAsia="zh-CN"/>
              </w:rPr>
              <w:t>）</w:t>
            </w:r>
          </w:p>
        </w:tc>
        <w:tc>
          <w:tcPr>
            <w:tcW w:w="117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r>
              <w:rPr>
                <w:rFonts w:hint="eastAsia"/>
                <w:spacing w:val="-17"/>
                <w:w w:val="90"/>
                <w:sz w:val="21"/>
                <w:szCs w:val="21"/>
                <w:vertAlign w:val="baseline"/>
                <w:lang w:val="en-US" w:eastAsia="zh-CN"/>
              </w:rPr>
              <w:t>排放浓度折后（</w:t>
            </w:r>
            <w:r>
              <w:rPr>
                <w:rFonts w:hint="eastAsia" w:ascii="Times New Roman" w:hAnsi="Times New Roman"/>
                <w:spacing w:val="-17"/>
                <w:w w:val="90"/>
                <w:sz w:val="21"/>
                <w:szCs w:val="21"/>
                <w:vertAlign w:val="baseline"/>
                <w:lang w:val="en-US" w:eastAsia="zh-CN"/>
              </w:rPr>
              <w:t>mg</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m</w:t>
            </w:r>
            <w:r>
              <w:rPr>
                <w:rFonts w:hint="eastAsia"/>
                <w:spacing w:val="-17"/>
                <w:w w:val="90"/>
                <w:sz w:val="21"/>
                <w:szCs w:val="21"/>
                <w:vertAlign w:val="baseline"/>
                <w:lang w:val="en-US" w:eastAsia="zh-CN"/>
              </w:rPr>
              <w:t>³）</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超标率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r>
              <w:rPr>
                <w:rFonts w:hint="eastAsia"/>
                <w:spacing w:val="-17"/>
                <w:w w:val="90"/>
                <w:sz w:val="21"/>
                <w:szCs w:val="21"/>
                <w:vertAlign w:val="baseline"/>
                <w:lang w:val="en-US" w:eastAsia="zh-CN"/>
              </w:rPr>
              <w:t>%</w:t>
            </w:r>
          </w:p>
        </w:tc>
        <w:tc>
          <w:tcPr>
            <w:tcW w:w="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t</w:t>
            </w:r>
            <w:r>
              <w:rPr>
                <w:rFonts w:hint="eastAsia"/>
                <w:spacing w:val="-17"/>
                <w:w w:val="9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36</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6</w:t>
            </w:r>
            <w:r>
              <w:rPr>
                <w:rFonts w:hint="eastAsia" w:ascii="Times New Roman" w:hAnsi="Times New Roman" w:cs="Times New Roman"/>
                <w:spacing w:val="-17"/>
                <w:w w:val="90"/>
                <w:kern w:val="2"/>
                <w:sz w:val="21"/>
                <w:szCs w:val="21"/>
                <w:vertAlign w:val="baseline"/>
                <w:lang w:val="en-US" w:eastAsia="zh-CN" w:bidi="ar-SA"/>
              </w:rPr>
              <w:t>.</w:t>
            </w:r>
            <w:r>
              <w:rPr>
                <w:rFonts w:hint="eastAsia" w:ascii="Times New Roman" w:hAnsi="Times New Roman" w:cs="Times New Roman"/>
                <w:spacing w:val="-17"/>
                <w:w w:val="90"/>
                <w:kern w:val="2"/>
                <w:sz w:val="21"/>
                <w:szCs w:val="21"/>
                <w:vertAlign w:val="baseline"/>
                <w:lang w:val="en-US" w:eastAsia="zh-CN" w:bidi="ar-SA"/>
              </w:rPr>
              <w:t>4</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09</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69</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3</w:t>
            </w:r>
            <w:r>
              <w:rPr>
                <w:rFonts w:hint="eastAsia" w:ascii="Times New Roman" w:hAnsi="Times New Roman" w:cs="Times New Roman"/>
                <w:spacing w:val="-17"/>
                <w:w w:val="90"/>
                <w:kern w:val="2"/>
                <w:sz w:val="21"/>
                <w:szCs w:val="21"/>
                <w:vertAlign w:val="baseline"/>
                <w:lang w:val="en-US" w:eastAsia="zh-CN" w:bidi="ar-SA"/>
              </w:rPr>
              <w:t>.</w:t>
            </w:r>
            <w:r>
              <w:rPr>
                <w:rFonts w:hint="eastAsia" w:ascii="Times New Roman" w:hAnsi="Times New Roman" w:cs="Times New Roman"/>
                <w:spacing w:val="-17"/>
                <w:w w:val="90"/>
                <w:kern w:val="2"/>
                <w:sz w:val="21"/>
                <w:szCs w:val="21"/>
                <w:vertAlign w:val="baseline"/>
                <w:lang w:val="en-US" w:eastAsia="zh-CN" w:bidi="ar-SA"/>
              </w:rPr>
              <w:t>2</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567</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3</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802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38</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04</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50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638</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22</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14</w:t>
            </w:r>
            <w:r>
              <w:rPr>
                <w:rFonts w:hint="eastAsia" w:ascii="Times New Roman" w:hAnsi="Times New Roman" w:cs="Times New Roman"/>
                <w:spacing w:val="-17"/>
                <w:w w:val="90"/>
                <w:kern w:val="2"/>
                <w:sz w:val="21"/>
                <w:szCs w:val="21"/>
                <w:vertAlign w:val="baseline"/>
                <w:lang w:val="en-US" w:eastAsia="zh-CN" w:bidi="ar-SA"/>
              </w:rPr>
              <w:t>.</w:t>
            </w:r>
            <w:r>
              <w:rPr>
                <w:rFonts w:hint="eastAsia" w:ascii="Times New Roman" w:hAnsi="Times New Roman" w:cs="Times New Roman"/>
                <w:spacing w:val="-17"/>
                <w:w w:val="90"/>
                <w:kern w:val="2"/>
                <w:sz w:val="21"/>
                <w:szCs w:val="21"/>
                <w:vertAlign w:val="baseline"/>
                <w:lang w:val="en-US" w:eastAsia="zh-CN" w:bidi="ar-SA"/>
              </w:rPr>
              <w:t>2</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224</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86</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3</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43</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00</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22</w:t>
            </w:r>
            <w:r>
              <w:rPr>
                <w:rFonts w:hint="eastAsia" w:ascii="Times New Roman" w:hAnsi="Times New Roman" w:cs="Times New Roman"/>
                <w:spacing w:val="-17"/>
                <w:w w:val="90"/>
                <w:kern w:val="2"/>
                <w:sz w:val="21"/>
                <w:szCs w:val="21"/>
                <w:vertAlign w:val="baseline"/>
                <w:lang w:val="en-US" w:eastAsia="zh-CN" w:bidi="ar-SA"/>
              </w:rPr>
              <w:t>.</w:t>
            </w:r>
            <w:r>
              <w:rPr>
                <w:rFonts w:hint="eastAsia" w:ascii="Times New Roman" w:hAnsi="Times New Roman" w:cs="Times New Roman"/>
                <w:spacing w:val="-17"/>
                <w:w w:val="90"/>
                <w:kern w:val="2"/>
                <w:sz w:val="21"/>
                <w:szCs w:val="21"/>
                <w:vertAlign w:val="baseline"/>
                <w:lang w:val="en-US" w:eastAsia="zh-CN" w:bidi="ar-SA"/>
              </w:rPr>
              <w:t>5</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168</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41</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712</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03</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82</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10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264</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28</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23</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076</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89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51</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8</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5</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8</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51</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359</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96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54</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063</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8</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76</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6</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08</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6</w:t>
            </w:r>
            <w:r>
              <w:rPr>
                <w:rFonts w:hint="eastAsia" w:ascii="Times New Roman" w:hAnsi="Times New Roman" w:cs="Times New Roman"/>
                <w:spacing w:val="-17"/>
                <w:w w:val="90"/>
                <w:kern w:val="2"/>
                <w:sz w:val="21"/>
                <w:szCs w:val="21"/>
                <w:vertAlign w:val="baseline"/>
                <w:lang w:val="en-US" w:eastAsia="zh-CN" w:bidi="ar-SA"/>
              </w:rPr>
              <w:t>.</w:t>
            </w:r>
            <w:r>
              <w:rPr>
                <w:rFonts w:hint="eastAsia" w:ascii="Times New Roman" w:hAnsi="Times New Roman" w:cs="Times New Roman"/>
                <w:spacing w:val="-17"/>
                <w:w w:val="90"/>
                <w:kern w:val="2"/>
                <w:sz w:val="21"/>
                <w:szCs w:val="21"/>
                <w:vertAlign w:val="baseline"/>
                <w:lang w:val="en-US" w:eastAsia="zh-CN" w:bidi="ar-SA"/>
              </w:rPr>
              <w:t>6</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328</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34</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794</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109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6</w:t>
            </w:r>
            <w:r>
              <w:rPr>
                <w:rFonts w:hint="eastAsia" w:ascii="Times New Roman" w:hAnsi="Times New Roman" w:cs="Times New Roman"/>
                <w:spacing w:val="-17"/>
                <w:w w:val="90"/>
                <w:kern w:val="2"/>
                <w:sz w:val="21"/>
                <w:szCs w:val="21"/>
                <w:vertAlign w:val="baseline"/>
                <w:lang w:val="en-US" w:eastAsia="zh-CN" w:bidi="ar-SA"/>
              </w:rPr>
              <w:t>.</w:t>
            </w:r>
            <w:r>
              <w:rPr>
                <w:rFonts w:hint="eastAsia" w:ascii="Times New Roman" w:hAnsi="Times New Roman" w:cs="Times New Roman"/>
                <w:spacing w:val="-17"/>
                <w:w w:val="90"/>
                <w:kern w:val="2"/>
                <w:sz w:val="21"/>
                <w:szCs w:val="21"/>
                <w:vertAlign w:val="baseline"/>
                <w:lang w:val="en-US" w:eastAsia="zh-CN" w:bidi="ar-SA"/>
              </w:rPr>
              <w:t>6</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7</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55</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11</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88</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57</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31</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18</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8</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58</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12</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32</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35</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47</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9</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69</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09</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97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52</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32</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77</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10</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96</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08</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78</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57</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43</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99</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3</w:t>
            </w:r>
            <w:r>
              <w:rPr>
                <w:rFonts w:hint="eastAsia" w:ascii="Times New Roman" w:hAnsi="Times New Roman" w:cs="Times New Roman"/>
                <w:spacing w:val="-17"/>
                <w:w w:val="90"/>
                <w:kern w:val="2"/>
                <w:sz w:val="21"/>
                <w:szCs w:val="21"/>
                <w:vertAlign w:val="baseline"/>
                <w:lang w:val="en-US" w:eastAsia="zh-CN" w:bidi="ar-SA"/>
              </w:rPr>
              <w:t>.</w:t>
            </w:r>
            <w:r>
              <w:rPr>
                <w:rFonts w:hint="eastAsia" w:ascii="Times New Roman" w:hAnsi="Times New Roman" w:cs="Times New Roman"/>
                <w:spacing w:val="-17"/>
                <w:w w:val="90"/>
                <w:kern w:val="2"/>
                <w:sz w:val="21"/>
                <w:szCs w:val="21"/>
                <w:vertAlign w:val="baseline"/>
                <w:lang w:val="en-US" w:eastAsia="zh-CN" w:bidi="ar-SA"/>
              </w:rPr>
              <w:t>2</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3</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11</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36</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08</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71</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48</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22</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25</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4</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2022</w:t>
            </w:r>
            <w:r>
              <w:rPr>
                <w:rFonts w:hint="eastAsia"/>
                <w:spacing w:val="-17"/>
                <w:w w:val="90"/>
                <w:sz w:val="21"/>
                <w:szCs w:val="21"/>
                <w:vertAlign w:val="baseline"/>
                <w:lang w:val="en-US" w:eastAsia="zh-CN"/>
              </w:rPr>
              <w:t>年</w:t>
            </w:r>
            <w:r>
              <w:rPr>
                <w:rFonts w:hint="eastAsia" w:ascii="Times New Roman" w:hAnsi="Times New Roman"/>
                <w:spacing w:val="-17"/>
                <w:w w:val="90"/>
                <w:sz w:val="21"/>
                <w:szCs w:val="21"/>
                <w:vertAlign w:val="baseline"/>
                <w:lang w:val="en-US" w:eastAsia="zh-CN"/>
              </w:rPr>
              <w:t>12</w:t>
            </w:r>
            <w:r>
              <w:rPr>
                <w:rFonts w:hint="eastAsia"/>
                <w:spacing w:val="-17"/>
                <w:w w:val="90"/>
                <w:sz w:val="21"/>
                <w:szCs w:val="21"/>
                <w:vertAlign w:val="baseline"/>
                <w:lang w:val="en-US" w:eastAsia="zh-CN"/>
              </w:rPr>
              <w:t>月</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57</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42</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24</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30</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58</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25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40</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36</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7"/>
                <w:w w:val="90"/>
                <w:kern w:val="2"/>
                <w:sz w:val="21"/>
                <w:szCs w:val="21"/>
                <w:vertAlign w:val="baseline"/>
                <w:lang w:val="en-US" w:eastAsia="zh-CN" w:bidi="ar-SA"/>
              </w:rPr>
            </w:pPr>
            <w:r>
              <w:rPr>
                <w:rFonts w:hint="eastAsia" w:ascii="Times New Roman" w:hAnsi="Times New Roman" w:cs="Times New Roman"/>
                <w:spacing w:val="-17"/>
                <w:w w:val="90"/>
                <w:kern w:val="2"/>
                <w:sz w:val="21"/>
                <w:szCs w:val="21"/>
                <w:vertAlign w:val="baseline"/>
                <w:lang w:val="en-US" w:eastAsia="zh-CN" w:bidi="ar-SA"/>
              </w:rPr>
              <w:t>0</w:t>
            </w: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5</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w w:val="90"/>
                <w:sz w:val="21"/>
                <w:szCs w:val="21"/>
                <w:vertAlign w:val="baseline"/>
                <w:lang w:val="en-US" w:eastAsia="zh-CN" w:bidi="ar-SA"/>
              </w:rPr>
            </w:pPr>
            <w:r>
              <w:rPr>
                <w:rFonts w:hint="eastAsia"/>
                <w:spacing w:val="-17"/>
                <w:w w:val="90"/>
                <w:sz w:val="21"/>
                <w:szCs w:val="21"/>
                <w:vertAlign w:val="baseline"/>
                <w:lang w:val="en-US" w:eastAsia="zh-CN"/>
              </w:rPr>
              <w:t>排放标准</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10</w:t>
            </w: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35</w:t>
            </w: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50</w:t>
            </w: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w w:val="9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w w:val="90"/>
                <w:sz w:val="21"/>
                <w:szCs w:val="21"/>
                <w:vertAlign w:val="baseline"/>
                <w:lang w:val="en-US" w:eastAsia="zh-CN" w:bidi="ar-SA"/>
              </w:rPr>
            </w:pPr>
            <w:r>
              <w:rPr>
                <w:rFonts w:hint="eastAsia"/>
                <w:spacing w:val="-17"/>
                <w:w w:val="90"/>
                <w:sz w:val="21"/>
                <w:szCs w:val="21"/>
                <w:vertAlign w:val="baseline"/>
                <w:lang w:val="en-US" w:eastAsia="zh-CN"/>
              </w:rPr>
              <w:t>年排放量（</w:t>
            </w:r>
            <w:r>
              <w:rPr>
                <w:rFonts w:hint="eastAsia" w:ascii="Times New Roman" w:hAnsi="Times New Roman"/>
                <w:spacing w:val="-17"/>
                <w:w w:val="90"/>
                <w:sz w:val="21"/>
                <w:szCs w:val="21"/>
                <w:vertAlign w:val="baseline"/>
                <w:lang w:val="en-US" w:eastAsia="zh-CN"/>
              </w:rPr>
              <w:t>t</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a</w:t>
            </w:r>
            <w:r>
              <w:rPr>
                <w:rFonts w:hint="eastAsia"/>
                <w:spacing w:val="-17"/>
                <w:w w:val="90"/>
                <w:sz w:val="21"/>
                <w:szCs w:val="21"/>
                <w:vertAlign w:val="baseline"/>
                <w:lang w:val="en-US" w:eastAsia="zh-CN"/>
              </w:rPr>
              <w:t>）</w:t>
            </w:r>
          </w:p>
        </w:tc>
        <w:tc>
          <w:tcPr>
            <w:tcW w:w="108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p>
        </w:tc>
        <w:tc>
          <w:tcPr>
            <w:tcW w:w="69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p>
        </w:tc>
        <w:tc>
          <w:tcPr>
            <w:tcW w:w="8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9</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567</w:t>
            </w:r>
          </w:p>
        </w:tc>
        <w:tc>
          <w:tcPr>
            <w:tcW w:w="10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p>
        </w:tc>
        <w:tc>
          <w:tcPr>
            <w:tcW w:w="68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p>
        </w:tc>
        <w:tc>
          <w:tcPr>
            <w:tcW w:w="88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13</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906</w:t>
            </w:r>
          </w:p>
        </w:tc>
        <w:tc>
          <w:tcPr>
            <w:tcW w:w="1173" w:type="dxa"/>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7"/>
                <w:w w:val="90"/>
                <w:sz w:val="21"/>
                <w:szCs w:val="21"/>
                <w:vertAlign w:val="baseline"/>
                <w:lang w:val="en-US" w:eastAsia="zh-CN"/>
              </w:rPr>
            </w:pPr>
          </w:p>
        </w:tc>
        <w:tc>
          <w:tcPr>
            <w:tcW w:w="6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7"/>
                <w:w w:val="90"/>
                <w:kern w:val="2"/>
                <w:sz w:val="21"/>
                <w:szCs w:val="21"/>
                <w:vertAlign w:val="baseline"/>
                <w:lang w:val="en-US" w:eastAsia="zh-CN" w:bidi="ar-SA"/>
              </w:rPr>
            </w:pPr>
          </w:p>
        </w:tc>
        <w:tc>
          <w:tcPr>
            <w:tcW w:w="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w w:val="90"/>
                <w:sz w:val="21"/>
                <w:szCs w:val="21"/>
                <w:vertAlign w:val="baseline"/>
                <w:lang w:val="en-US" w:eastAsia="zh-CN"/>
              </w:rPr>
            </w:pPr>
            <w:r>
              <w:rPr>
                <w:rFonts w:hint="eastAsia" w:ascii="Times New Roman" w:hAnsi="Times New Roman"/>
                <w:spacing w:val="-17"/>
                <w:w w:val="90"/>
                <w:sz w:val="21"/>
                <w:szCs w:val="21"/>
                <w:vertAlign w:val="baseline"/>
                <w:lang w:val="en-US" w:eastAsia="zh-CN"/>
              </w:rPr>
              <w:t>46</w:t>
            </w:r>
            <w:r>
              <w:rPr>
                <w:rFonts w:hint="eastAsia"/>
                <w:spacing w:val="-17"/>
                <w:w w:val="90"/>
                <w:sz w:val="21"/>
                <w:szCs w:val="21"/>
                <w:vertAlign w:val="baseline"/>
                <w:lang w:val="en-US" w:eastAsia="zh-CN"/>
              </w:rPr>
              <w:t>.</w:t>
            </w:r>
            <w:r>
              <w:rPr>
                <w:rFonts w:hint="eastAsia" w:ascii="Times New Roman" w:hAnsi="Times New Roman"/>
                <w:spacing w:val="-17"/>
                <w:w w:val="90"/>
                <w:sz w:val="21"/>
                <w:szCs w:val="21"/>
                <w:vertAlign w:val="baseline"/>
                <w:lang w:val="en-US" w:eastAsia="zh-CN"/>
              </w:rPr>
              <w:t>33</w:t>
            </w:r>
          </w:p>
        </w:tc>
      </w:tr>
    </w:tbl>
    <w:p>
      <w:pPr>
        <w:bidi w:val="0"/>
        <w:rPr>
          <w:rFonts w:hint="default"/>
          <w:lang w:val="en-US" w:eastAsia="zh-CN"/>
        </w:rPr>
      </w:pPr>
      <w:r>
        <w:rPr>
          <w:rFonts w:hint="eastAsia"/>
          <w:lang w:val="en-US" w:eastAsia="zh-CN"/>
        </w:rPr>
        <w:t>根据分析，</w:t>
      </w:r>
      <w:r>
        <w:rPr>
          <w:rFonts w:hint="eastAsia" w:ascii="Times New Roman" w:hAnsi="Times New Roman"/>
          <w:lang w:val="en-US" w:eastAsia="zh-CN"/>
        </w:rPr>
        <w:t>2022</w:t>
      </w:r>
      <w:r>
        <w:rPr>
          <w:rFonts w:hint="eastAsia"/>
          <w:lang w:val="en-US" w:eastAsia="zh-CN"/>
        </w:rPr>
        <w:t>年厂内动力锅炉烟气排口在线监测统计数据中，个别时段由于负荷调节导致燃烧工况不稳定，存在污染物排放浓度超标现象，全年总体排放情况良好。主要污染物颗粒物、</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val="en-US" w:eastAsia="zh-CN"/>
        </w:rPr>
        <w:t>、</w:t>
      </w:r>
      <w:r>
        <w:rPr>
          <w:rFonts w:hint="eastAsia" w:ascii="Times New Roman" w:hAnsi="Times New Roman"/>
          <w:lang w:val="en-US" w:eastAsia="zh-CN"/>
        </w:rPr>
        <w:t>NOx</w:t>
      </w:r>
      <w:r>
        <w:rPr>
          <w:rFonts w:hint="eastAsia"/>
          <w:lang w:val="en-US" w:eastAsia="zh-CN"/>
        </w:rPr>
        <w:t>排放基本满足《全面实施燃煤锅炉超低排放和节能改造工作方案》（环发[</w:t>
      </w:r>
      <w:r>
        <w:rPr>
          <w:rFonts w:hint="eastAsia" w:ascii="Times New Roman" w:hAnsi="Times New Roman"/>
          <w:lang w:val="en-US" w:eastAsia="zh-CN"/>
        </w:rPr>
        <w:t>2015</w:t>
      </w:r>
      <w:r>
        <w:rPr>
          <w:rFonts w:hint="eastAsia"/>
          <w:lang w:val="en-US" w:eastAsia="zh-CN"/>
        </w:rPr>
        <w:t>]</w:t>
      </w:r>
      <w:r>
        <w:rPr>
          <w:rFonts w:hint="eastAsia" w:ascii="Times New Roman" w:hAnsi="Times New Roman"/>
          <w:lang w:val="en-US" w:eastAsia="zh-CN"/>
        </w:rPr>
        <w:t>164</w:t>
      </w:r>
      <w:r>
        <w:rPr>
          <w:rFonts w:hint="eastAsia"/>
          <w:lang w:val="en-US" w:eastAsia="zh-CN"/>
        </w:rPr>
        <w:t>）和《打赢蓝天保卫战三年行动计划》（国发[</w:t>
      </w:r>
      <w:r>
        <w:rPr>
          <w:rFonts w:hint="eastAsia" w:ascii="Times New Roman" w:hAnsi="Times New Roman"/>
          <w:lang w:val="en-US" w:eastAsia="zh-CN"/>
        </w:rPr>
        <w:t>2018</w:t>
      </w:r>
      <w:r>
        <w:rPr>
          <w:rFonts w:hint="eastAsia"/>
          <w:lang w:val="en-US" w:eastAsia="zh-CN"/>
        </w:rPr>
        <w:t>]</w:t>
      </w:r>
      <w:r>
        <w:rPr>
          <w:rFonts w:hint="eastAsia" w:ascii="Times New Roman" w:hAnsi="Times New Roman"/>
          <w:lang w:val="en-US" w:eastAsia="zh-CN"/>
        </w:rPr>
        <w:t>22</w:t>
      </w:r>
      <w:r>
        <w:rPr>
          <w:rFonts w:hint="eastAsia"/>
          <w:lang w:val="en-US" w:eastAsia="zh-CN"/>
        </w:rPr>
        <w:t>号）相关排放限值要求。</w:t>
      </w:r>
    </w:p>
    <w:p>
      <w:pPr>
        <w:bidi w:val="0"/>
        <w:rPr>
          <w:rFonts w:hint="eastAsia"/>
          <w:lang w:val="en-US" w:eastAsia="zh-CN"/>
        </w:rPr>
      </w:pPr>
      <w:r>
        <w:rPr>
          <w:rFonts w:hint="eastAsia"/>
          <w:lang w:val="en-US" w:eastAsia="zh-CN"/>
        </w:rPr>
        <w:t>根据</w:t>
      </w:r>
      <w:r>
        <w:rPr>
          <w:rFonts w:hint="eastAsia" w:ascii="Times New Roman" w:hAnsi="Times New Roman"/>
          <w:lang w:val="en-US" w:eastAsia="zh-CN"/>
        </w:rPr>
        <w:t>2022</w:t>
      </w:r>
      <w:r>
        <w:rPr>
          <w:rFonts w:hint="eastAsia"/>
          <w:lang w:val="en-US" w:eastAsia="zh-CN"/>
        </w:rPr>
        <w:t>年例行监测资料，污水站各有组织废气排口排放及达标情况见表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p>
    <w:p>
      <w:pPr>
        <w:pStyle w:val="20"/>
        <w:bidi w:val="0"/>
        <w:rPr>
          <w:rFonts w:hint="default" w:eastAsia="宋体"/>
          <w:b/>
          <w:bCs/>
          <w:color w:val="000000"/>
          <w:lang w:val="en-US" w:eastAsia="zh-CN"/>
        </w:rPr>
      </w:pPr>
      <w:r>
        <w:rPr>
          <w:rFonts w:hAnsi="宋体" w:eastAsia="宋体"/>
          <w:b/>
          <w:bCs/>
          <w:color w:val="000000"/>
        </w:rPr>
        <w:t>表</w:t>
      </w:r>
      <w:r>
        <w:rPr>
          <w:rFonts w:hint="eastAsia" w:ascii="Times New Roman" w:hAnsi="Times New Roman"/>
          <w:b/>
          <w:bCs/>
          <w:color w:val="000000"/>
          <w:lang w:val="en-US" w:eastAsia="zh-CN"/>
        </w:rPr>
        <w:t>3</w:t>
      </w:r>
      <w:r>
        <w:rPr>
          <w:rFonts w:hint="eastAsia"/>
          <w:b/>
          <w:bCs/>
          <w:color w:val="000000"/>
          <w:lang w:val="en-US" w:eastAsia="zh-CN"/>
        </w:rPr>
        <w:t>.</w:t>
      </w:r>
      <w:r>
        <w:rPr>
          <w:rFonts w:hint="eastAsia" w:ascii="Times New Roman" w:hAnsi="Times New Roman"/>
          <w:b/>
          <w:bCs/>
          <w:color w:val="000000"/>
          <w:lang w:val="en-US" w:eastAsia="zh-CN"/>
        </w:rPr>
        <w:t>3</w:t>
      </w:r>
      <w:r>
        <w:rPr>
          <w:rFonts w:hint="eastAsia"/>
          <w:b/>
          <w:bCs/>
          <w:color w:val="000000"/>
          <w:lang w:val="en-US" w:eastAsia="zh-CN"/>
        </w:rPr>
        <w:t>-</w:t>
      </w:r>
      <w:r>
        <w:rPr>
          <w:rFonts w:hint="eastAsia" w:ascii="Times New Roman" w:hAnsi="Times New Roman"/>
          <w:b/>
          <w:bCs/>
          <w:color w:val="000000"/>
          <w:lang w:val="en-US" w:eastAsia="zh-CN"/>
        </w:rPr>
        <w:t>3</w:t>
      </w:r>
      <w:r>
        <w:rPr>
          <w:rFonts w:eastAsia="宋体"/>
          <w:b/>
          <w:bCs/>
          <w:color w:val="000000"/>
        </w:rPr>
        <w:t xml:space="preserve">    </w:t>
      </w:r>
      <w:r>
        <w:rPr>
          <w:rFonts w:hint="eastAsia" w:eastAsia="宋体"/>
          <w:b/>
          <w:bCs/>
          <w:color w:val="000000"/>
          <w:lang w:eastAsia="zh-CN"/>
        </w:rPr>
        <w:t>污水站恶臭</w:t>
      </w:r>
      <w:r>
        <w:rPr>
          <w:rFonts w:hAnsi="宋体" w:eastAsia="宋体"/>
          <w:b/>
          <w:bCs/>
          <w:color w:val="000000"/>
        </w:rPr>
        <w:t>废气监测结果一览表</w:t>
      </w:r>
    </w:p>
    <w:tbl>
      <w:tblPr>
        <w:tblStyle w:val="8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89"/>
        <w:gridCol w:w="1888"/>
        <w:gridCol w:w="1045"/>
        <w:gridCol w:w="1744"/>
        <w:gridCol w:w="4"/>
        <w:gridCol w:w="1852"/>
        <w:gridCol w:w="673"/>
        <w:gridCol w:w="6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2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监测点位</w:t>
            </w:r>
          </w:p>
        </w:tc>
        <w:tc>
          <w:tcPr>
            <w:tcW w:w="1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hAnsi="宋体" w:eastAsia="宋体"/>
                <w:color w:val="000000"/>
                <w:spacing w:val="-6"/>
                <w:w w:val="90"/>
                <w:sz w:val="21"/>
                <w:szCs w:val="21"/>
                <w:lang w:val="en-US" w:eastAsia="zh-CN"/>
              </w:rPr>
            </w:pPr>
            <w:r>
              <w:rPr>
                <w:rFonts w:hint="eastAsia" w:hAnsi="宋体"/>
                <w:color w:val="000000"/>
                <w:spacing w:val="-6"/>
                <w:w w:val="90"/>
                <w:sz w:val="21"/>
                <w:szCs w:val="21"/>
                <w:lang w:val="en-US" w:eastAsia="zh-CN"/>
              </w:rPr>
              <w:t>监测时间</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hAnsi="宋体"/>
                <w:color w:val="000000"/>
                <w:spacing w:val="-6"/>
                <w:w w:val="90"/>
                <w:sz w:val="21"/>
                <w:szCs w:val="21"/>
                <w:lang w:eastAsia="zh-CN"/>
              </w:rPr>
              <w:t>检测</w:t>
            </w:r>
          </w:p>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hAnsi="宋体"/>
                <w:color w:val="000000"/>
                <w:spacing w:val="-6"/>
                <w:w w:val="90"/>
                <w:sz w:val="21"/>
                <w:szCs w:val="21"/>
                <w:lang w:eastAsia="zh-CN"/>
              </w:rPr>
              <w:t>因子</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Ansi="宋体"/>
                <w:color w:val="000000"/>
                <w:spacing w:val="-6"/>
                <w:w w:val="90"/>
                <w:sz w:val="21"/>
                <w:szCs w:val="21"/>
              </w:rPr>
            </w:pPr>
            <w:r>
              <w:rPr>
                <w:rFonts w:hAnsi="宋体"/>
                <w:color w:val="000000"/>
                <w:spacing w:val="-6"/>
                <w:w w:val="90"/>
                <w:sz w:val="21"/>
                <w:szCs w:val="21"/>
              </w:rPr>
              <w:t>浓度</w:t>
            </w:r>
          </w:p>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w:t>
            </w:r>
            <w:r>
              <w:rPr>
                <w:rFonts w:ascii="Times New Roman" w:hAnsi="Times New Roman"/>
                <w:color w:val="000000"/>
                <w:spacing w:val="-6"/>
                <w:w w:val="90"/>
                <w:sz w:val="21"/>
                <w:szCs w:val="21"/>
              </w:rPr>
              <w:t>mg</w:t>
            </w:r>
            <w:r>
              <w:rPr>
                <w:color w:val="000000"/>
                <w:spacing w:val="-6"/>
                <w:w w:val="90"/>
                <w:sz w:val="21"/>
                <w:szCs w:val="21"/>
              </w:rPr>
              <w:t>/</w:t>
            </w:r>
            <w:r>
              <w:rPr>
                <w:rFonts w:ascii="Times New Roman" w:hAnsi="Times New Roman"/>
                <w:color w:val="000000"/>
                <w:spacing w:val="-6"/>
                <w:w w:val="90"/>
                <w:sz w:val="21"/>
                <w:szCs w:val="21"/>
              </w:rPr>
              <w:t>m</w:t>
            </w:r>
            <w:r>
              <w:rPr>
                <w:color w:val="000000"/>
                <w:spacing w:val="-6"/>
                <w:w w:val="90"/>
                <w:sz w:val="21"/>
                <w:szCs w:val="21"/>
              </w:rPr>
              <w:t>³</w:t>
            </w:r>
            <w:r>
              <w:rPr>
                <w:rFonts w:hAnsi="宋体"/>
                <w:color w:val="000000"/>
                <w:spacing w:val="-6"/>
                <w:w w:val="90"/>
                <w:sz w:val="21"/>
                <w:szCs w:val="21"/>
              </w:rPr>
              <w:t>）</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hAnsi="宋体"/>
                <w:color w:val="000000"/>
                <w:spacing w:val="-6"/>
                <w:w w:val="90"/>
                <w:sz w:val="21"/>
                <w:szCs w:val="21"/>
                <w:lang w:eastAsia="zh-CN"/>
              </w:rPr>
              <w:t>速率</w:t>
            </w:r>
          </w:p>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hAnsi="宋体"/>
                <w:color w:val="000000"/>
                <w:spacing w:val="-6"/>
                <w:w w:val="90"/>
                <w:sz w:val="21"/>
                <w:szCs w:val="21"/>
                <w:lang w:eastAsia="zh-CN"/>
              </w:rPr>
              <w:t>（</w:t>
            </w:r>
            <w:r>
              <w:rPr>
                <w:rFonts w:hint="eastAsia" w:ascii="Times New Roman" w:hAnsi="Times New Roman"/>
                <w:color w:val="000000"/>
                <w:spacing w:val="-6"/>
                <w:w w:val="90"/>
                <w:sz w:val="21"/>
                <w:szCs w:val="21"/>
                <w:lang w:val="en-US" w:eastAsia="zh-CN"/>
              </w:rPr>
              <w:t>kg</w:t>
            </w:r>
            <w:r>
              <w:rPr>
                <w:rFonts w:hint="eastAsia" w:hAnsi="宋体"/>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h</w:t>
            </w:r>
            <w:r>
              <w:rPr>
                <w:rFonts w:hint="eastAsia" w:hAnsi="宋体"/>
                <w:color w:val="000000"/>
                <w:spacing w:val="-6"/>
                <w:w w:val="90"/>
                <w:sz w:val="21"/>
                <w:szCs w:val="21"/>
                <w:lang w:eastAsia="zh-CN"/>
              </w:rPr>
              <w:t>）</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Ansi="宋体"/>
                <w:color w:val="000000"/>
                <w:spacing w:val="-6"/>
                <w:w w:val="90"/>
                <w:sz w:val="21"/>
                <w:szCs w:val="21"/>
              </w:rPr>
            </w:pPr>
            <w:r>
              <w:rPr>
                <w:rFonts w:hAnsi="宋体"/>
                <w:color w:val="000000"/>
                <w:spacing w:val="-6"/>
                <w:w w:val="90"/>
                <w:sz w:val="21"/>
                <w:szCs w:val="21"/>
              </w:rPr>
              <w:t>环保</w:t>
            </w:r>
          </w:p>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措施</w:t>
            </w: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达标</w:t>
            </w:r>
          </w:p>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污水处理站预处理废气排放口（</w:t>
            </w:r>
            <w:r>
              <w:rPr>
                <w:rFonts w:hint="eastAsia" w:ascii="Times New Roman" w:hAnsi="Times New Roman"/>
                <w:color w:val="000000"/>
                <w:spacing w:val="-6"/>
                <w:w w:val="90"/>
                <w:sz w:val="21"/>
                <w:szCs w:val="21"/>
                <w:lang w:val="en-US" w:eastAsia="zh-CN"/>
              </w:rPr>
              <w:t>DA036</w:t>
            </w:r>
            <w:r>
              <w:rPr>
                <w:rFonts w:hint="eastAsia"/>
                <w:color w:val="000000"/>
                <w:spacing w:val="-6"/>
                <w:w w:val="90"/>
                <w:sz w:val="21"/>
                <w:szCs w:val="21"/>
                <w:lang w:val="en-US" w:eastAsia="zh-CN"/>
              </w:rPr>
              <w:t>）</w:t>
            </w: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auto"/>
                <w:spacing w:val="-6"/>
                <w:w w:val="90"/>
                <w:sz w:val="21"/>
                <w:szCs w:val="21"/>
                <w:lang w:val="en-US" w:eastAsia="zh-CN"/>
              </w:rPr>
            </w:pPr>
            <w:r>
              <w:rPr>
                <w:rFonts w:hint="eastAsia" w:ascii="Times New Roman" w:hAnsi="Times New Roman"/>
                <w:color w:val="auto"/>
                <w:spacing w:val="-6"/>
                <w:w w:val="90"/>
                <w:sz w:val="21"/>
                <w:szCs w:val="21"/>
                <w:lang w:val="en-US" w:eastAsia="zh-CN"/>
              </w:rPr>
              <w:t>2022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5</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11</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88</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007</w:t>
            </w:r>
          </w:p>
        </w:tc>
        <w:tc>
          <w:tcPr>
            <w:tcW w:w="6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生物</w:t>
            </w:r>
          </w:p>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eastAsia="宋体"/>
                <w:color w:val="000000"/>
                <w:spacing w:val="-6"/>
                <w:w w:val="90"/>
                <w:sz w:val="21"/>
                <w:szCs w:val="21"/>
                <w:lang w:eastAsia="zh-CN"/>
              </w:rPr>
            </w:pPr>
            <w:r>
              <w:rPr>
                <w:rFonts w:hint="eastAsia"/>
                <w:color w:val="000000"/>
                <w:spacing w:val="-6"/>
                <w:w w:val="90"/>
                <w:sz w:val="21"/>
                <w:szCs w:val="21"/>
                <w:lang w:eastAsia="zh-CN"/>
              </w:rPr>
              <w:t>除臭</w:t>
            </w: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06088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07766</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58E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17E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131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173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17</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auto"/>
                <w:spacing w:val="-6"/>
                <w:w w:val="90"/>
                <w:sz w:val="21"/>
                <w:szCs w:val="21"/>
                <w:lang w:val="en-US" w:eastAsia="zh-CN"/>
              </w:rPr>
            </w:pPr>
            <w:r>
              <w:rPr>
                <w:rFonts w:hint="eastAsia" w:ascii="Times New Roman" w:hAnsi="Times New Roman"/>
                <w:color w:val="auto"/>
                <w:spacing w:val="-6"/>
                <w:w w:val="90"/>
                <w:sz w:val="21"/>
                <w:szCs w:val="21"/>
                <w:lang w:val="en-US" w:eastAsia="zh-CN"/>
              </w:rPr>
              <w:t>2022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8</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2</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9</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131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229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03</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auto"/>
                <w:spacing w:val="-6"/>
                <w:w w:val="90"/>
                <w:sz w:val="21"/>
                <w:szCs w:val="21"/>
                <w:lang w:val="en-US" w:eastAsia="zh-CN"/>
              </w:rPr>
            </w:pPr>
            <w:r>
              <w:rPr>
                <w:rFonts w:hint="eastAsia" w:ascii="Times New Roman" w:hAnsi="Times New Roman"/>
                <w:color w:val="auto"/>
                <w:spacing w:val="-6"/>
                <w:w w:val="90"/>
                <w:sz w:val="21"/>
                <w:szCs w:val="21"/>
                <w:lang w:val="en-US" w:eastAsia="zh-CN"/>
              </w:rPr>
              <w:t>2022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10</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86</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010</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018</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87E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07E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173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229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98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16</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eastAsia="宋体"/>
                <w:color w:val="000000"/>
                <w:spacing w:val="-6"/>
                <w:w w:val="90"/>
                <w:sz w:val="21"/>
                <w:szCs w:val="21"/>
                <w:lang w:val="en-US" w:eastAsia="zh-CN"/>
              </w:rPr>
            </w:pPr>
            <w:r>
              <w:rPr>
                <w:rFonts w:hint="eastAsia"/>
                <w:color w:val="000000"/>
                <w:spacing w:val="-6"/>
                <w:w w:val="90"/>
                <w:sz w:val="21"/>
                <w:szCs w:val="21"/>
                <w:lang w:val="en-US" w:eastAsia="zh-CN"/>
              </w:rPr>
              <w:t>污水站</w:t>
            </w:r>
            <w:r>
              <w:rPr>
                <w:rFonts w:hint="eastAsia" w:ascii="Times New Roman" w:hAnsi="Times New Roman"/>
                <w:color w:val="000000"/>
                <w:spacing w:val="-6"/>
                <w:w w:val="90"/>
                <w:sz w:val="21"/>
                <w:szCs w:val="21"/>
                <w:lang w:val="en-US" w:eastAsia="zh-CN"/>
              </w:rPr>
              <w:t>AO</w:t>
            </w:r>
            <w:r>
              <w:rPr>
                <w:rFonts w:hint="eastAsia"/>
                <w:color w:val="000000"/>
                <w:spacing w:val="-6"/>
                <w:w w:val="90"/>
                <w:sz w:val="21"/>
                <w:szCs w:val="21"/>
                <w:lang w:val="en-US" w:eastAsia="zh-CN"/>
              </w:rPr>
              <w:t>工序+</w:t>
            </w:r>
            <w:r>
              <w:rPr>
                <w:rFonts w:hint="eastAsia" w:ascii="Times New Roman" w:hAnsi="Times New Roman"/>
                <w:color w:val="000000"/>
                <w:spacing w:val="-6"/>
                <w:w w:val="90"/>
                <w:sz w:val="21"/>
                <w:szCs w:val="21"/>
                <w:lang w:val="en-US" w:eastAsia="zh-CN"/>
              </w:rPr>
              <w:t>30m</w:t>
            </w:r>
            <w:r>
              <w:rPr>
                <w:rFonts w:hint="eastAsia"/>
                <w:color w:val="000000"/>
                <w:spacing w:val="-6"/>
                <w:w w:val="90"/>
                <w:sz w:val="21"/>
                <w:szCs w:val="21"/>
                <w:lang w:val="en-US" w:eastAsia="zh-CN"/>
              </w:rPr>
              <w:t>排气筒</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DA037</w:t>
            </w:r>
            <w:r>
              <w:rPr>
                <w:rFonts w:hint="eastAsia"/>
                <w:color w:val="000000"/>
                <w:spacing w:val="-6"/>
                <w:w w:val="90"/>
                <w:sz w:val="21"/>
                <w:szCs w:val="21"/>
                <w:lang w:val="en-US" w:eastAsia="zh-CN"/>
              </w:rPr>
              <w:t>）</w:t>
            </w: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ascii="Times New Roman" w:hAnsi="Times New Roman"/>
                <w:color w:val="auto"/>
                <w:spacing w:val="-6"/>
                <w:w w:val="90"/>
                <w:sz w:val="21"/>
                <w:szCs w:val="21"/>
                <w:lang w:val="en-US" w:eastAsia="zh-CN"/>
              </w:rPr>
              <w:t>2022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12</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eastAsia="宋体"/>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59</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eastAsia="宋体"/>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0688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0809</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35E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hAnsi="宋体"/>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229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309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hAnsi="宋体"/>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000000"/>
                <w:spacing w:val="-6"/>
                <w:w w:val="90"/>
                <w:kern w:val="2"/>
                <w:sz w:val="21"/>
                <w:szCs w:val="21"/>
                <w:lang w:val="en-US" w:eastAsia="zh-CN" w:bidi="ar-SA"/>
              </w:rPr>
            </w:pPr>
            <w:r>
              <w:rPr>
                <w:rFonts w:hint="eastAsia" w:ascii="Times New Roman" w:hAnsi="Times New Roman"/>
                <w:color w:val="000000"/>
                <w:spacing w:val="-6"/>
                <w:w w:val="90"/>
                <w:sz w:val="21"/>
                <w:szCs w:val="21"/>
                <w:lang w:val="en-US" w:eastAsia="zh-CN"/>
              </w:rPr>
              <w:t>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92</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000000"/>
                <w:spacing w:val="-6"/>
                <w:w w:val="90"/>
                <w:kern w:val="2"/>
                <w:sz w:val="21"/>
                <w:szCs w:val="21"/>
                <w:lang w:val="en-US" w:eastAsia="zh-CN" w:bidi="ar-SA"/>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Ansi="宋体"/>
                <w:color w:val="000000"/>
                <w:spacing w:val="-6"/>
                <w:w w:val="90"/>
                <w:sz w:val="21"/>
                <w:szCs w:val="21"/>
              </w:rPr>
            </w:pPr>
            <w:r>
              <w:rPr>
                <w:rFonts w:hint="eastAsia" w:hAnsi="宋体"/>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11</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81</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0739</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62E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68E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97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131</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03</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88</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131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173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96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48</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10</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58</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10</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02</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9E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131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229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rPr>
            </w:pPr>
            <w:r>
              <w:rPr>
                <w:rFonts w:hint="eastAsia"/>
                <w:color w:val="000000"/>
                <w:spacing w:val="-6"/>
                <w:w w:val="90"/>
                <w:sz w:val="21"/>
                <w:szCs w:val="21"/>
                <w:lang w:eastAsia="zh-CN"/>
              </w:rPr>
              <w:t>污水站</w:t>
            </w:r>
            <w:r>
              <w:rPr>
                <w:rFonts w:hint="eastAsia" w:ascii="Times New Roman" w:hAnsi="Times New Roman"/>
                <w:color w:val="000000"/>
                <w:spacing w:val="-6"/>
                <w:w w:val="90"/>
                <w:sz w:val="21"/>
                <w:szCs w:val="21"/>
                <w:lang w:val="en-US" w:eastAsia="zh-CN"/>
              </w:rPr>
              <w:t>AO</w:t>
            </w:r>
            <w:r>
              <w:rPr>
                <w:rFonts w:hint="eastAsia"/>
                <w:color w:val="000000"/>
                <w:spacing w:val="-6"/>
                <w:w w:val="90"/>
                <w:sz w:val="21"/>
                <w:szCs w:val="21"/>
                <w:lang w:val="en-US" w:eastAsia="zh-CN"/>
              </w:rPr>
              <w:t>工序+</w:t>
            </w:r>
            <w:r>
              <w:rPr>
                <w:rFonts w:hint="eastAsia" w:ascii="Times New Roman" w:hAnsi="Times New Roman"/>
                <w:color w:val="000000"/>
                <w:spacing w:val="-6"/>
                <w:w w:val="90"/>
                <w:sz w:val="21"/>
                <w:szCs w:val="21"/>
                <w:lang w:val="en-US" w:eastAsia="zh-CN"/>
              </w:rPr>
              <w:t>30m</w:t>
            </w:r>
            <w:r>
              <w:rPr>
                <w:rFonts w:hint="eastAsia"/>
                <w:color w:val="000000"/>
                <w:spacing w:val="-6"/>
                <w:w w:val="90"/>
                <w:sz w:val="21"/>
                <w:szCs w:val="21"/>
                <w:lang w:val="en-US" w:eastAsia="zh-CN"/>
              </w:rPr>
              <w:t>排气筒</w:t>
            </w:r>
            <w:r>
              <w:rPr>
                <w:rFonts w:hint="eastAsia" w:ascii="Times New Roman" w:hAnsi="Times New Roman"/>
                <w:color w:val="000000"/>
                <w:spacing w:val="-6"/>
                <w:w w:val="90"/>
                <w:sz w:val="21"/>
                <w:szCs w:val="21"/>
                <w:lang w:val="en-US" w:eastAsia="zh-CN"/>
              </w:rPr>
              <w:t>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DA038</w:t>
            </w:r>
            <w:r>
              <w:rPr>
                <w:rFonts w:hint="eastAsia"/>
                <w:color w:val="000000"/>
                <w:spacing w:val="-6"/>
                <w:w w:val="90"/>
                <w:sz w:val="21"/>
                <w:szCs w:val="21"/>
                <w:lang w:val="en-US" w:eastAsia="zh-CN"/>
              </w:rPr>
              <w:t>）</w:t>
            </w: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ascii="Times New Roman" w:hAnsi="Times New Roman"/>
                <w:color w:val="auto"/>
                <w:spacing w:val="-6"/>
                <w:w w:val="90"/>
                <w:sz w:val="21"/>
                <w:szCs w:val="21"/>
                <w:lang w:val="en-US" w:eastAsia="zh-CN"/>
              </w:rPr>
              <w:t>2022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12</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eastAsia="宋体"/>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56</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0688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0756</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14E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35E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hAnsi="宋体"/>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173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416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hAnsi="宋体"/>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000000"/>
                <w:spacing w:val="-6"/>
                <w:w w:val="90"/>
                <w:kern w:val="2"/>
                <w:sz w:val="21"/>
                <w:szCs w:val="21"/>
                <w:lang w:val="en-US" w:eastAsia="zh-CN" w:bidi="ar-SA"/>
              </w:rPr>
            </w:pPr>
            <w:r>
              <w:rPr>
                <w:rFonts w:hint="eastAsia" w:ascii="Times New Roman" w:hAnsi="Times New Roman"/>
                <w:color w:val="000000"/>
                <w:spacing w:val="-6"/>
                <w:w w:val="90"/>
                <w:sz w:val="21"/>
                <w:szCs w:val="21"/>
                <w:lang w:val="en-US" w:eastAsia="zh-CN"/>
              </w:rPr>
              <w:t>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66</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ascii="Times New Roman" w:hAnsi="Times New Roman" w:eastAsia="宋体" w:cs="Times New Roman"/>
                <w:color w:val="000000"/>
                <w:spacing w:val="-6"/>
                <w:w w:val="90"/>
                <w:kern w:val="2"/>
                <w:sz w:val="21"/>
                <w:szCs w:val="21"/>
                <w:lang w:val="en-US" w:eastAsia="zh-CN" w:bidi="ar-SA"/>
              </w:rPr>
            </w:pPr>
            <w:r>
              <w:rPr>
                <w:rFonts w:hAnsi="宋体"/>
                <w:color w:val="000000"/>
                <w:spacing w:val="-6"/>
                <w:w w:val="90"/>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11</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83</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012</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0631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0907</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62E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20E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97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173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33</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31</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022</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173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229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71</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10</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10</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55</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018</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000197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000224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val="en-US"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173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309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02</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rPr>
            </w:pPr>
            <w:r>
              <w:rPr>
                <w:rFonts w:hint="eastAsia"/>
                <w:color w:val="000000"/>
                <w:spacing w:val="-6"/>
                <w:w w:val="90"/>
                <w:sz w:val="21"/>
                <w:szCs w:val="21"/>
                <w:lang w:eastAsia="zh-CN"/>
              </w:rPr>
              <w:t>污水站</w:t>
            </w:r>
            <w:r>
              <w:rPr>
                <w:rFonts w:hint="eastAsia" w:ascii="Times New Roman" w:hAnsi="Times New Roman"/>
                <w:color w:val="000000"/>
                <w:spacing w:val="-6"/>
                <w:w w:val="90"/>
                <w:sz w:val="21"/>
                <w:szCs w:val="21"/>
                <w:lang w:val="en-US" w:eastAsia="zh-CN"/>
              </w:rPr>
              <w:t>AO</w:t>
            </w:r>
            <w:r>
              <w:rPr>
                <w:rFonts w:hint="eastAsia"/>
                <w:color w:val="000000"/>
                <w:spacing w:val="-6"/>
                <w:w w:val="90"/>
                <w:sz w:val="21"/>
                <w:szCs w:val="21"/>
                <w:lang w:val="en-US" w:eastAsia="zh-CN"/>
              </w:rPr>
              <w:t>工序+</w:t>
            </w:r>
            <w:r>
              <w:rPr>
                <w:rFonts w:hint="eastAsia" w:ascii="Times New Roman" w:hAnsi="Times New Roman"/>
                <w:color w:val="000000"/>
                <w:spacing w:val="-6"/>
                <w:w w:val="90"/>
                <w:sz w:val="21"/>
                <w:szCs w:val="21"/>
                <w:lang w:val="en-US" w:eastAsia="zh-CN"/>
              </w:rPr>
              <w:t>30m</w:t>
            </w:r>
            <w:r>
              <w:rPr>
                <w:rFonts w:hint="eastAsia"/>
                <w:color w:val="000000"/>
                <w:spacing w:val="-6"/>
                <w:w w:val="90"/>
                <w:sz w:val="21"/>
                <w:szCs w:val="21"/>
                <w:lang w:val="en-US" w:eastAsia="zh-CN"/>
              </w:rPr>
              <w:t>排气筒</w:t>
            </w:r>
            <w:r>
              <w:rPr>
                <w:rFonts w:hint="eastAsia" w:ascii="Times New Roman" w:hAnsi="Times New Roman"/>
                <w:color w:val="000000"/>
                <w:spacing w:val="-6"/>
                <w:w w:val="90"/>
                <w:sz w:val="21"/>
                <w:szCs w:val="21"/>
                <w:lang w:val="en-US" w:eastAsia="zh-CN"/>
              </w:rPr>
              <w:t>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DA039</w:t>
            </w:r>
            <w:r>
              <w:rPr>
                <w:rFonts w:hint="eastAsia"/>
                <w:color w:val="000000"/>
                <w:spacing w:val="-6"/>
                <w:w w:val="90"/>
                <w:sz w:val="21"/>
                <w:szCs w:val="21"/>
                <w:lang w:val="en-US" w:eastAsia="zh-CN"/>
              </w:rPr>
              <w:t>）</w:t>
            </w: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auto"/>
                <w:spacing w:val="-6"/>
                <w:w w:val="90"/>
                <w:sz w:val="21"/>
                <w:szCs w:val="21"/>
                <w:lang w:val="en-US" w:eastAsia="zh-CN"/>
              </w:rPr>
              <w:t>2022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5</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11</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olor w:val="000000"/>
                <w:spacing w:val="-6"/>
                <w:w w:val="90"/>
                <w:kern w:val="2"/>
                <w:sz w:val="21"/>
                <w:szCs w:val="21"/>
                <w:lang w:val="en-US" w:eastAsia="zh-CN" w:bidi="ar-SA"/>
              </w:rPr>
            </w:pPr>
            <w:r>
              <w:rPr>
                <w:rFonts w:hint="eastAsia"/>
                <w:color w:val="000000"/>
                <w:spacing w:val="-6"/>
                <w:w w:val="90"/>
                <w:sz w:val="21"/>
                <w:szCs w:val="21"/>
                <w:lang w:eastAsia="zh-CN"/>
              </w:rPr>
              <w:t>氨</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eastAsia="宋体"/>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88</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007</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宋体" w:eastAsia="宋体" w:cs="Times New Roman"/>
                <w:color w:val="000000"/>
                <w:spacing w:val="-6"/>
                <w:w w:val="90"/>
                <w:kern w:val="2"/>
                <w:sz w:val="21"/>
                <w:szCs w:val="21"/>
                <w:lang w:val="en-US" w:eastAsia="zh-CN" w:bidi="ar-SA"/>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r>
              <w:rPr>
                <w:rFonts w:hAnsi="宋体"/>
                <w:color w:val="000000"/>
                <w:spacing w:val="-6"/>
                <w:w w:val="90"/>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olor w:val="000000"/>
                <w:spacing w:val="-6"/>
                <w:w w:val="90"/>
                <w:kern w:val="2"/>
                <w:sz w:val="21"/>
                <w:szCs w:val="21"/>
                <w:lang w:val="en-US" w:eastAsia="zh-CN" w:bidi="ar-SA"/>
              </w:rPr>
            </w:pPr>
            <w:r>
              <w:rPr>
                <w:rFonts w:hint="eastAsia"/>
                <w:color w:val="000000"/>
                <w:spacing w:val="-6"/>
                <w:w w:val="90"/>
                <w:sz w:val="21"/>
                <w:szCs w:val="21"/>
                <w:lang w:eastAsia="zh-CN"/>
              </w:rPr>
              <w:t>硫化氢</w:t>
            </w:r>
          </w:p>
        </w:tc>
        <w:tc>
          <w:tcPr>
            <w:tcW w:w="1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0546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0647</w:t>
            </w:r>
          </w:p>
        </w:tc>
        <w:tc>
          <w:tcPr>
            <w:tcW w:w="185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83E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64E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eastAsia="宋体"/>
                <w:color w:val="000000"/>
                <w:spacing w:val="-6"/>
                <w:w w:val="90"/>
                <w:sz w:val="21"/>
                <w:szCs w:val="21"/>
                <w:lang w:eastAsia="zh-CN"/>
              </w:rPr>
            </w:pPr>
            <w:r>
              <w:rPr>
                <w:rFonts w:hint="eastAsia" w:hAnsi="宋体"/>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72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97</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eastAsia="zh-CN"/>
              </w:rPr>
            </w:pPr>
            <w:r>
              <w:rPr>
                <w:rFonts w:hint="eastAsia" w:hAnsi="宋体"/>
                <w:color w:val="000000"/>
                <w:spacing w:val="-6"/>
                <w:w w:val="9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NMHC</w:t>
            </w:r>
          </w:p>
        </w:tc>
        <w:tc>
          <w:tcPr>
            <w:tcW w:w="17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4</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22</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4</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94</w:t>
            </w:r>
          </w:p>
        </w:tc>
        <w:tc>
          <w:tcPr>
            <w:tcW w:w="1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hAnsi="宋体"/>
                <w:color w:val="000000"/>
                <w:spacing w:val="-6"/>
                <w:w w:val="90"/>
                <w:sz w:val="21"/>
                <w:szCs w:val="21"/>
                <w:lang w:val="en-US" w:eastAsia="zh-CN"/>
              </w:rPr>
            </w:pPr>
            <w:r>
              <w:rPr>
                <w:rFonts w:hint="eastAsia" w:hAnsi="宋体"/>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color w:val="000000"/>
                <w:spacing w:val="-6"/>
                <w:w w:val="90"/>
                <w:sz w:val="21"/>
                <w:szCs w:val="21"/>
                <w:lang w:eastAsia="zh-CN"/>
              </w:rPr>
              <w:t>氨</w:t>
            </w:r>
          </w:p>
        </w:tc>
        <w:tc>
          <w:tcPr>
            <w:tcW w:w="17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1</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07</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1</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28</w:t>
            </w:r>
          </w:p>
        </w:tc>
        <w:tc>
          <w:tcPr>
            <w:tcW w:w="1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012</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014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97</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131</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6</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82</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7</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05</w:t>
            </w:r>
          </w:p>
        </w:tc>
        <w:tc>
          <w:tcPr>
            <w:tcW w:w="1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08</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2022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10</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color w:val="000000"/>
                <w:spacing w:val="-6"/>
                <w:w w:val="90"/>
                <w:sz w:val="21"/>
                <w:szCs w:val="21"/>
                <w:lang w:eastAsia="zh-CN"/>
              </w:rPr>
              <w:t>氨</w:t>
            </w:r>
          </w:p>
        </w:tc>
        <w:tc>
          <w:tcPr>
            <w:tcW w:w="17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32</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56</w:t>
            </w:r>
          </w:p>
        </w:tc>
        <w:tc>
          <w:tcPr>
            <w:tcW w:w="1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001</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002</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color w:val="000000"/>
                <w:spacing w:val="-6"/>
                <w:w w:val="90"/>
                <w:sz w:val="21"/>
                <w:szCs w:val="21"/>
                <w:lang w:eastAsia="zh-CN"/>
              </w:rPr>
              <w:t>硫化氢</w:t>
            </w:r>
          </w:p>
        </w:tc>
        <w:tc>
          <w:tcPr>
            <w:tcW w:w="17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018</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019</w:t>
            </w:r>
          </w:p>
        </w:tc>
        <w:tc>
          <w:tcPr>
            <w:tcW w:w="1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7</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57E</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5</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9</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35E</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5</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173</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229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1</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22</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1</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32</w:t>
            </w:r>
          </w:p>
        </w:tc>
        <w:tc>
          <w:tcPr>
            <w:tcW w:w="1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cs="Times New Roman"/>
                <w:color w:val="000000"/>
                <w:spacing w:val="-6"/>
                <w:w w:val="90"/>
                <w:kern w:val="2"/>
                <w:sz w:val="21"/>
                <w:szCs w:val="21"/>
                <w:lang w:val="en-US" w:eastAsia="zh-CN" w:bidi="ar-SA"/>
              </w:rPr>
            </w:pPr>
            <w:r>
              <w:rPr>
                <w:rFonts w:hint="eastAsia" w:ascii="Times New Roman" w:hAnsi="Times New Roman" w:cs="Times New Roman"/>
                <w:color w:val="000000"/>
                <w:spacing w:val="-6"/>
                <w:w w:val="90"/>
                <w:kern w:val="2"/>
                <w:sz w:val="21"/>
                <w:szCs w:val="21"/>
                <w:lang w:val="en-US" w:eastAsia="zh-CN" w:bidi="ar-SA"/>
              </w:rPr>
              <w:t>0</w:t>
            </w:r>
            <w:r>
              <w:rPr>
                <w:rFonts w:hint="eastAsia" w:ascii="Times New Roman" w:hAnsi="Times New Roman" w:cs="Times New Roman"/>
                <w:color w:val="000000"/>
                <w:spacing w:val="-6"/>
                <w:w w:val="90"/>
                <w:kern w:val="2"/>
                <w:sz w:val="21"/>
                <w:szCs w:val="21"/>
                <w:lang w:val="en-US" w:eastAsia="zh-CN" w:bidi="ar-SA"/>
              </w:rPr>
              <w:t>.</w:t>
            </w:r>
            <w:r>
              <w:rPr>
                <w:rFonts w:hint="eastAsia" w:ascii="Times New Roman" w:hAnsi="Times New Roman" w:cs="Times New Roman"/>
                <w:color w:val="000000"/>
                <w:spacing w:val="-6"/>
                <w:w w:val="90"/>
                <w:kern w:val="2"/>
                <w:sz w:val="21"/>
                <w:szCs w:val="21"/>
                <w:lang w:val="en-US" w:eastAsia="zh-CN" w:bidi="ar-SA"/>
              </w:rPr>
              <w:t>01</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污水站</w:t>
            </w:r>
            <w:r>
              <w:rPr>
                <w:rFonts w:hint="eastAsia" w:ascii="Times New Roman" w:hAnsi="Times New Roman"/>
                <w:color w:val="000000"/>
                <w:spacing w:val="-6"/>
                <w:w w:val="90"/>
                <w:sz w:val="21"/>
                <w:szCs w:val="21"/>
                <w:lang w:val="en-US" w:eastAsia="zh-CN"/>
              </w:rPr>
              <w:t>AO</w:t>
            </w:r>
            <w:r>
              <w:rPr>
                <w:rFonts w:hint="eastAsia"/>
                <w:color w:val="000000"/>
                <w:spacing w:val="-6"/>
                <w:w w:val="90"/>
                <w:sz w:val="21"/>
                <w:szCs w:val="21"/>
                <w:lang w:val="en-US" w:eastAsia="zh-CN"/>
              </w:rPr>
              <w:t>工序+</w:t>
            </w:r>
            <w:r>
              <w:rPr>
                <w:rFonts w:hint="eastAsia" w:ascii="Times New Roman" w:hAnsi="Times New Roman"/>
                <w:color w:val="000000"/>
                <w:spacing w:val="-6"/>
                <w:w w:val="90"/>
                <w:sz w:val="21"/>
                <w:szCs w:val="21"/>
                <w:lang w:val="en-US" w:eastAsia="zh-CN"/>
              </w:rPr>
              <w:t>30m</w:t>
            </w:r>
            <w:r>
              <w:rPr>
                <w:rFonts w:hint="eastAsia"/>
                <w:color w:val="000000"/>
                <w:spacing w:val="-6"/>
                <w:w w:val="90"/>
                <w:sz w:val="21"/>
                <w:szCs w:val="21"/>
                <w:lang w:val="en-US" w:eastAsia="zh-CN"/>
              </w:rPr>
              <w:t>排气筒</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DA040</w:t>
            </w:r>
            <w:r>
              <w:rPr>
                <w:rFonts w:hint="eastAsia"/>
                <w:color w:val="000000"/>
                <w:spacing w:val="-6"/>
                <w:w w:val="90"/>
                <w:sz w:val="21"/>
                <w:szCs w:val="21"/>
                <w:lang w:val="en-US" w:eastAsia="zh-CN"/>
              </w:rPr>
              <w:t>）</w:t>
            </w: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auto"/>
                <w:spacing w:val="-6"/>
                <w:w w:val="90"/>
                <w:kern w:val="2"/>
                <w:sz w:val="21"/>
                <w:szCs w:val="21"/>
                <w:lang w:val="en-US" w:eastAsia="zh-CN" w:bidi="ar-SA"/>
              </w:rPr>
            </w:pPr>
            <w:r>
              <w:rPr>
                <w:rFonts w:hint="eastAsia" w:ascii="Times New Roman" w:hAnsi="Times New Roman"/>
                <w:color w:val="auto"/>
                <w:spacing w:val="-6"/>
                <w:w w:val="90"/>
                <w:sz w:val="21"/>
                <w:szCs w:val="21"/>
                <w:lang w:val="en-US" w:eastAsia="zh-CN"/>
              </w:rPr>
              <w:t>2022</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5</w:t>
            </w:r>
            <w:r>
              <w:rPr>
                <w:rFonts w:hint="eastAsia"/>
                <w:color w:val="auto"/>
                <w:spacing w:val="-6"/>
                <w:w w:val="90"/>
                <w:sz w:val="21"/>
                <w:szCs w:val="21"/>
                <w:lang w:val="en-US" w:eastAsia="zh-CN"/>
              </w:rPr>
              <w:t>.</w:t>
            </w:r>
            <w:r>
              <w:rPr>
                <w:rFonts w:hint="eastAsia" w:ascii="Times New Roman" w:hAnsi="Times New Roman"/>
                <w:color w:val="auto"/>
                <w:spacing w:val="-6"/>
                <w:w w:val="90"/>
                <w:sz w:val="21"/>
                <w:szCs w:val="21"/>
                <w:lang w:val="en-US" w:eastAsia="zh-CN"/>
              </w:rPr>
              <w:t>11</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eastAsia="zh-CN"/>
              </w:rPr>
              <w:t>氨</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22</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011</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auto"/>
                <w:spacing w:val="-6"/>
                <w:w w:val="90"/>
                <w:sz w:val="21"/>
                <w:szCs w:val="21"/>
                <w:lang w:val="en-US" w:eastAsia="zh-CN"/>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eastAsia="zh-CN"/>
              </w:rPr>
              <w:t>硫化氢</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057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0741</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42E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76E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72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173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hAnsi="宋体"/>
                <w:color w:val="000000"/>
                <w:spacing w:val="-6"/>
                <w:w w:val="90"/>
                <w:sz w:val="21"/>
                <w:szCs w:val="21"/>
                <w:lang w:val="en-US" w:eastAsia="zh-CN"/>
              </w:rPr>
            </w:pPr>
            <w:r>
              <w:rPr>
                <w:rFonts w:hint="eastAsia" w:hAnsi="宋体"/>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ascii="Times New Roman" w:hAnsi="Times New Roman"/>
                <w:color w:val="000000"/>
                <w:spacing w:val="-6"/>
                <w:w w:val="90"/>
                <w:sz w:val="21"/>
                <w:szCs w:val="21"/>
                <w:lang w:val="en-US" w:eastAsia="zh-CN"/>
              </w:rPr>
              <w:t>NMHC</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89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73</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hAnsi="宋体"/>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auto"/>
                <w:spacing w:val="-6"/>
                <w:w w:val="90"/>
                <w:kern w:val="2"/>
                <w:sz w:val="21"/>
                <w:szCs w:val="21"/>
                <w:lang w:val="en-US" w:eastAsia="zh-CN" w:bidi="ar-SA"/>
              </w:rPr>
            </w:pPr>
            <w:r>
              <w:rPr>
                <w:rFonts w:hint="eastAsia" w:ascii="Times New Roman" w:hAnsi="Times New Roman" w:cs="Times New Roman"/>
                <w:color w:val="auto"/>
                <w:spacing w:val="-6"/>
                <w:w w:val="90"/>
                <w:kern w:val="2"/>
                <w:sz w:val="21"/>
                <w:szCs w:val="21"/>
                <w:lang w:val="en-US" w:eastAsia="zh-CN" w:bidi="ar-SA"/>
              </w:rPr>
              <w:t>202212</w:t>
            </w:r>
            <w:r>
              <w:rPr>
                <w:rFonts w:hint="eastAsia" w:ascii="Times New Roman" w:hAnsi="Times New Roman" w:cs="Times New Roman"/>
                <w:color w:val="auto"/>
                <w:spacing w:val="-6"/>
                <w:w w:val="90"/>
                <w:kern w:val="2"/>
                <w:sz w:val="21"/>
                <w:szCs w:val="21"/>
                <w:lang w:val="en-US" w:eastAsia="zh-CN" w:bidi="ar-SA"/>
              </w:rPr>
              <w:t>.</w:t>
            </w:r>
            <w:r>
              <w:rPr>
                <w:rFonts w:hint="eastAsia" w:ascii="Times New Roman" w:hAnsi="Times New Roman" w:cs="Times New Roman"/>
                <w:color w:val="auto"/>
                <w:spacing w:val="-6"/>
                <w:w w:val="90"/>
                <w:kern w:val="2"/>
                <w:sz w:val="21"/>
                <w:szCs w:val="21"/>
                <w:lang w:val="en-US" w:eastAsia="zh-CN" w:bidi="ar-SA"/>
              </w:rPr>
              <w:t>12</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color w:val="000000"/>
                <w:spacing w:val="-6"/>
                <w:w w:val="90"/>
                <w:sz w:val="21"/>
                <w:szCs w:val="21"/>
                <w:lang w:eastAsia="zh-CN"/>
              </w:rPr>
              <w:t>氨</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07</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321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396</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color w:val="000000"/>
                <w:spacing w:val="-6"/>
                <w:w w:val="90"/>
                <w:sz w:val="21"/>
                <w:szCs w:val="21"/>
                <w:lang w:eastAsia="zh-CN"/>
              </w:rPr>
              <w:t>硫化氢</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018</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02</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9</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53E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12E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173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309</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13</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46</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08</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r>
              <w:rPr>
                <w:rFonts w:hint="eastAsia"/>
                <w:color w:val="000000"/>
                <w:spacing w:val="-6"/>
                <w:w w:val="90"/>
                <w:sz w:val="21"/>
                <w:szCs w:val="21"/>
                <w:lang w:eastAsia="zh-CN"/>
              </w:rPr>
              <w:t>污水站</w:t>
            </w:r>
            <w:r>
              <w:rPr>
                <w:rFonts w:hint="eastAsia" w:ascii="Times New Roman" w:hAnsi="Times New Roman"/>
                <w:color w:val="000000"/>
                <w:spacing w:val="-6"/>
                <w:w w:val="90"/>
                <w:sz w:val="21"/>
                <w:szCs w:val="21"/>
                <w:lang w:val="en-US" w:eastAsia="zh-CN"/>
              </w:rPr>
              <w:t>MBR</w:t>
            </w:r>
            <w:r>
              <w:rPr>
                <w:rFonts w:hint="eastAsia"/>
                <w:color w:val="000000"/>
                <w:spacing w:val="-6"/>
                <w:w w:val="90"/>
                <w:sz w:val="21"/>
                <w:szCs w:val="21"/>
                <w:lang w:val="en-US" w:eastAsia="zh-CN"/>
              </w:rPr>
              <w:t>工序+</w:t>
            </w:r>
            <w:r>
              <w:rPr>
                <w:rFonts w:hint="eastAsia" w:ascii="Times New Roman" w:hAnsi="Times New Roman"/>
                <w:color w:val="000000"/>
                <w:spacing w:val="-6"/>
                <w:w w:val="90"/>
                <w:sz w:val="21"/>
                <w:szCs w:val="21"/>
                <w:lang w:val="en-US" w:eastAsia="zh-CN"/>
              </w:rPr>
              <w:t>30m</w:t>
            </w:r>
            <w:r>
              <w:rPr>
                <w:rFonts w:hint="eastAsia"/>
                <w:color w:val="000000"/>
                <w:spacing w:val="-6"/>
                <w:w w:val="90"/>
                <w:sz w:val="21"/>
                <w:szCs w:val="21"/>
                <w:lang w:val="en-US" w:eastAsia="zh-CN"/>
              </w:rPr>
              <w:t>排气筒（</w:t>
            </w:r>
            <w:r>
              <w:rPr>
                <w:rFonts w:hint="eastAsia" w:ascii="Times New Roman" w:hAnsi="Times New Roman"/>
                <w:color w:val="000000"/>
                <w:spacing w:val="-6"/>
                <w:w w:val="90"/>
                <w:sz w:val="21"/>
                <w:szCs w:val="21"/>
                <w:lang w:val="en-US" w:eastAsia="zh-CN"/>
              </w:rPr>
              <w:t>DA041</w:t>
            </w:r>
            <w:r>
              <w:rPr>
                <w:rFonts w:hint="eastAsia"/>
                <w:color w:val="000000"/>
                <w:spacing w:val="-6"/>
                <w:w w:val="90"/>
                <w:sz w:val="21"/>
                <w:szCs w:val="21"/>
                <w:lang w:val="en-US" w:eastAsia="zh-CN"/>
              </w:rPr>
              <w:t>）</w:t>
            </w:r>
          </w:p>
        </w:tc>
        <w:tc>
          <w:tcPr>
            <w:tcW w:w="18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ascii="Times New Roman" w:hAnsi="Times New Roman" w:eastAsia="宋体" w:cs="Times New Roman"/>
                <w:color w:val="auto"/>
                <w:spacing w:val="-6"/>
                <w:w w:val="90"/>
                <w:kern w:val="2"/>
                <w:sz w:val="21"/>
                <w:szCs w:val="21"/>
                <w:lang w:val="en-US" w:eastAsia="zh-CN" w:bidi="ar-SA"/>
              </w:rPr>
            </w:pPr>
            <w:r>
              <w:rPr>
                <w:rFonts w:hint="eastAsia" w:ascii="Times New Roman" w:hAnsi="Times New Roman" w:cs="Times New Roman"/>
                <w:color w:val="auto"/>
                <w:spacing w:val="-6"/>
                <w:w w:val="90"/>
                <w:kern w:val="2"/>
                <w:sz w:val="21"/>
                <w:szCs w:val="21"/>
                <w:lang w:val="en-US" w:eastAsia="zh-CN" w:bidi="ar-SA"/>
              </w:rPr>
              <w:t>2022</w:t>
            </w:r>
            <w:r>
              <w:rPr>
                <w:rFonts w:hint="eastAsia" w:ascii="Times New Roman" w:hAnsi="Times New Roman" w:cs="Times New Roman"/>
                <w:color w:val="auto"/>
                <w:spacing w:val="-6"/>
                <w:w w:val="90"/>
                <w:kern w:val="2"/>
                <w:sz w:val="21"/>
                <w:szCs w:val="21"/>
                <w:lang w:val="en-US" w:eastAsia="zh-CN" w:bidi="ar-SA"/>
              </w:rPr>
              <w:t>.</w:t>
            </w:r>
            <w:r>
              <w:rPr>
                <w:rFonts w:hint="eastAsia" w:ascii="Times New Roman" w:hAnsi="Times New Roman" w:cs="Times New Roman"/>
                <w:color w:val="auto"/>
                <w:spacing w:val="-6"/>
                <w:w w:val="90"/>
                <w:kern w:val="2"/>
                <w:sz w:val="21"/>
                <w:szCs w:val="21"/>
                <w:lang w:val="en-US" w:eastAsia="zh-CN" w:bidi="ar-SA"/>
              </w:rPr>
              <w:t>5</w:t>
            </w:r>
            <w:r>
              <w:rPr>
                <w:rFonts w:hint="eastAsia" w:ascii="Times New Roman" w:hAnsi="Times New Roman" w:cs="Times New Roman"/>
                <w:color w:val="auto"/>
                <w:spacing w:val="-6"/>
                <w:w w:val="90"/>
                <w:kern w:val="2"/>
                <w:sz w:val="21"/>
                <w:szCs w:val="21"/>
                <w:lang w:val="en-US" w:eastAsia="zh-CN" w:bidi="ar-SA"/>
              </w:rPr>
              <w:t>.</w:t>
            </w:r>
            <w:r>
              <w:rPr>
                <w:rFonts w:hint="eastAsia" w:ascii="Times New Roman" w:hAnsi="Times New Roman" w:cs="Times New Roman"/>
                <w:color w:val="auto"/>
                <w:spacing w:val="-6"/>
                <w:w w:val="90"/>
                <w:kern w:val="2"/>
                <w:sz w:val="21"/>
                <w:szCs w:val="21"/>
                <w:lang w:val="en-US" w:eastAsia="zh-CN" w:bidi="ar-SA"/>
              </w:rPr>
              <w:t>11</w:t>
            </w: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氨</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61</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004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color w:val="000000"/>
                <w:spacing w:val="-6"/>
                <w:w w:val="90"/>
                <w:sz w:val="21"/>
                <w:szCs w:val="21"/>
                <w:lang w:eastAsia="zh-CN"/>
              </w:rPr>
              <w:t>硫化氢</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06557</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07353</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5</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97E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6</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52E</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4</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000000"/>
                <w:spacing w:val="-6"/>
                <w:w w:val="90"/>
                <w:kern w:val="2"/>
                <w:sz w:val="21"/>
                <w:szCs w:val="21"/>
                <w:lang w:val="en-US" w:eastAsia="zh-CN" w:bidi="ar-SA"/>
              </w:rPr>
            </w:pPr>
            <w:r>
              <w:rPr>
                <w:rFonts w:hint="eastAsia"/>
                <w:color w:val="000000"/>
                <w:spacing w:val="-6"/>
                <w:w w:val="90"/>
                <w:sz w:val="21"/>
                <w:szCs w:val="21"/>
                <w:lang w:eastAsia="zh-CN"/>
              </w:rPr>
              <w:t>臭气浓度</w:t>
            </w:r>
          </w:p>
        </w:tc>
        <w:tc>
          <w:tcPr>
            <w:tcW w:w="36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131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173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eastAsia="zh-CN"/>
              </w:rPr>
            </w:pPr>
          </w:p>
        </w:tc>
        <w:tc>
          <w:tcPr>
            <w:tcW w:w="18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Times New Roman" w:hAnsi="Times New Roman" w:eastAsia="宋体" w:cs="Times New Roman"/>
                <w:color w:val="auto"/>
                <w:spacing w:val="-6"/>
                <w:w w:val="90"/>
                <w:kern w:val="2"/>
                <w:sz w:val="21"/>
                <w:szCs w:val="21"/>
                <w:lang w:val="en-US" w:eastAsia="zh-CN" w:bidi="ar-SA"/>
              </w:rPr>
            </w:pPr>
          </w:p>
        </w:tc>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ascii="宋体" w:hAnsi="宋体" w:eastAsia="宋体" w:cs="Times New Roman"/>
                <w:color w:val="000000"/>
                <w:spacing w:val="-6"/>
                <w:w w:val="90"/>
                <w:sz w:val="21"/>
                <w:szCs w:val="21"/>
                <w:lang w:val="en-US" w:eastAsia="zh-CN" w:bidi="ar-SA"/>
              </w:rPr>
            </w:pPr>
            <w:r>
              <w:rPr>
                <w:rFonts w:hint="eastAsia" w:ascii="Times New Roman" w:hAnsi="Times New Roman"/>
                <w:color w:val="000000"/>
                <w:spacing w:val="-6"/>
                <w:w w:val="90"/>
                <w:sz w:val="21"/>
                <w:szCs w:val="21"/>
                <w:lang w:val="en-US" w:eastAsia="zh-CN"/>
              </w:rPr>
              <w:t>NMHC</w:t>
            </w:r>
          </w:p>
        </w:tc>
        <w:tc>
          <w:tcPr>
            <w:tcW w:w="1748" w:type="dxa"/>
            <w:gridSpan w:val="2"/>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54</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2</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06</w:t>
            </w:r>
          </w:p>
        </w:tc>
        <w:tc>
          <w:tcPr>
            <w:tcW w:w="185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default"/>
                <w:color w:val="000000"/>
                <w:spacing w:val="-6"/>
                <w:w w:val="90"/>
                <w:sz w:val="21"/>
                <w:szCs w:val="21"/>
                <w:lang w:val="en-US" w:eastAsia="zh-CN"/>
              </w:rPr>
            </w:pP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01</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w:t>
            </w:r>
            <w:r>
              <w:rPr>
                <w:rFonts w:hint="eastAsia"/>
                <w:color w:val="000000"/>
                <w:spacing w:val="-6"/>
                <w:w w:val="90"/>
                <w:sz w:val="21"/>
                <w:szCs w:val="21"/>
                <w:lang w:val="en-US" w:eastAsia="zh-CN"/>
              </w:rPr>
              <w:t>.</w:t>
            </w:r>
            <w:r>
              <w:rPr>
                <w:rFonts w:hint="eastAsia" w:ascii="Times New Roman" w:hAnsi="Times New Roman"/>
                <w:color w:val="000000"/>
                <w:spacing w:val="-6"/>
                <w:w w:val="90"/>
                <w:sz w:val="21"/>
                <w:szCs w:val="21"/>
                <w:lang w:val="en-US" w:eastAsia="zh-CN"/>
              </w:rPr>
              <w:t>02</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color w:val="000000"/>
                <w:spacing w:val="-6"/>
                <w:w w:val="90"/>
                <w:sz w:val="21"/>
                <w:szCs w:val="21"/>
              </w:rPr>
            </w:pPr>
          </w:p>
        </w:tc>
        <w:tc>
          <w:tcPr>
            <w:tcW w:w="6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center"/>
              <w:textAlignment w:val="auto"/>
              <w:rPr>
                <w:rFonts w:hint="eastAsia"/>
                <w:color w:val="000000"/>
                <w:spacing w:val="-6"/>
                <w:w w:val="90"/>
                <w:sz w:val="21"/>
                <w:szCs w:val="21"/>
                <w:lang w:val="en-US" w:eastAsia="zh-CN"/>
              </w:rPr>
            </w:pPr>
            <w:r>
              <w:rPr>
                <w:rFonts w:hint="eastAsia"/>
                <w:color w:val="000000"/>
                <w:spacing w:val="-6"/>
                <w:w w:val="90"/>
                <w:sz w:val="21"/>
                <w:szCs w:val="21"/>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143"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80" w:lineRule="exact"/>
              <w:ind w:firstLine="0" w:firstLineChars="0"/>
              <w:jc w:val="left"/>
              <w:textAlignment w:val="auto"/>
              <w:rPr>
                <w:rFonts w:hint="eastAsia" w:hAnsi="宋体"/>
                <w:color w:val="000000"/>
                <w:spacing w:val="-6"/>
                <w:w w:val="90"/>
                <w:sz w:val="21"/>
                <w:szCs w:val="21"/>
                <w:lang w:eastAsia="zh-CN"/>
              </w:rPr>
            </w:pPr>
            <w:r>
              <w:rPr>
                <w:rFonts w:hint="eastAsia"/>
                <w:color w:val="000000"/>
                <w:spacing w:val="-6"/>
                <w:w w:val="90"/>
                <w:sz w:val="21"/>
                <w:szCs w:val="21"/>
                <w:lang w:val="en-US" w:eastAsia="zh-CN"/>
              </w:rPr>
              <w:t>注：臭气浓度无量纲</w:t>
            </w:r>
          </w:p>
        </w:tc>
      </w:tr>
    </w:tbl>
    <w:p>
      <w:pPr>
        <w:bidi w:val="0"/>
        <w:rPr>
          <w:rFonts w:hint="default"/>
          <w:lang w:val="en-US" w:eastAsia="zh-CN"/>
        </w:rPr>
        <w:sectPr>
          <w:headerReference r:id="rId9" w:type="default"/>
          <w:footerReference r:id="rId10" w:type="default"/>
          <w:pgSz w:w="11906" w:h="16838"/>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根据分析，厂内污水站主要污染物排放满足《恶臭污染物排放标准》（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排放限值。统计厂内其他有组织废气监测结果见表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4</w:t>
      </w:r>
      <w:r>
        <w:rPr>
          <w:rFonts w:hint="eastAsia"/>
          <w:lang w:val="en-US" w:eastAsia="zh-CN"/>
        </w:rPr>
        <w:t>，厂区周边</w:t>
      </w:r>
      <w:r>
        <w:rPr>
          <w:rFonts w:hint="eastAsia" w:ascii="Times New Roman" w:hAnsi="Times New Roman"/>
          <w:lang w:val="en-US" w:eastAsia="zh-CN"/>
        </w:rPr>
        <w:t>2022</w:t>
      </w:r>
      <w:r>
        <w:rPr>
          <w:rFonts w:hint="eastAsia"/>
          <w:lang w:val="en-US" w:eastAsia="zh-CN"/>
        </w:rPr>
        <w:t>年无组织废气统计结果见表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w:t>
      </w:r>
    </w:p>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eastAsia" w:eastAsia="宋体"/>
          <w:b/>
          <w:bCs/>
          <w:color w:val="000000"/>
          <w:lang w:val="en-US" w:eastAsia="zh-CN"/>
        </w:rPr>
      </w:pPr>
      <w:r>
        <w:rPr>
          <w:rFonts w:hAnsi="宋体" w:eastAsia="宋体"/>
          <w:b/>
          <w:bCs/>
          <w:color w:val="000000"/>
        </w:rPr>
        <w:t>表</w:t>
      </w:r>
      <w:r>
        <w:rPr>
          <w:rFonts w:hint="eastAsia" w:ascii="Times New Roman" w:hAnsi="Times New Roman"/>
          <w:b/>
          <w:bCs/>
          <w:color w:val="000000"/>
          <w:lang w:val="en-US" w:eastAsia="zh-CN"/>
        </w:rPr>
        <w:t>3</w:t>
      </w:r>
      <w:r>
        <w:rPr>
          <w:rFonts w:hint="eastAsia"/>
          <w:b/>
          <w:bCs/>
          <w:color w:val="000000"/>
          <w:lang w:val="en-US" w:eastAsia="zh-CN"/>
        </w:rPr>
        <w:t>.</w:t>
      </w:r>
      <w:r>
        <w:rPr>
          <w:rFonts w:hint="eastAsia" w:ascii="Times New Roman" w:hAnsi="Times New Roman"/>
          <w:b/>
          <w:bCs/>
          <w:color w:val="000000"/>
          <w:lang w:val="en-US" w:eastAsia="zh-CN"/>
        </w:rPr>
        <w:t>3</w:t>
      </w:r>
      <w:r>
        <w:rPr>
          <w:rFonts w:hint="eastAsia"/>
          <w:b/>
          <w:bCs/>
          <w:color w:val="000000"/>
          <w:lang w:val="en-US" w:eastAsia="zh-CN"/>
        </w:rPr>
        <w:t>-</w:t>
      </w:r>
      <w:r>
        <w:rPr>
          <w:rFonts w:hint="eastAsia" w:ascii="Times New Roman" w:hAnsi="Times New Roman"/>
          <w:b/>
          <w:bCs/>
          <w:color w:val="000000"/>
          <w:lang w:val="en-US" w:eastAsia="zh-CN"/>
        </w:rPr>
        <w:t>4</w:t>
      </w:r>
      <w:r>
        <w:rPr>
          <w:rFonts w:eastAsia="宋体"/>
          <w:b/>
          <w:bCs/>
          <w:color w:val="000000"/>
        </w:rPr>
        <w:t xml:space="preserve">  </w:t>
      </w:r>
      <w:r>
        <w:rPr>
          <w:rFonts w:hint="eastAsia"/>
          <w:b/>
          <w:bCs/>
          <w:color w:val="000000"/>
          <w:lang w:eastAsia="zh-CN"/>
        </w:rPr>
        <w:t>其他有组织</w:t>
      </w:r>
      <w:r>
        <w:rPr>
          <w:rFonts w:hAnsi="宋体" w:eastAsia="宋体"/>
          <w:b/>
          <w:bCs/>
          <w:color w:val="000000"/>
        </w:rPr>
        <w:t>废气监测结果一览表</w:t>
      </w:r>
      <w:r>
        <w:rPr>
          <w:rFonts w:hint="eastAsia" w:hAnsi="宋体"/>
          <w:b/>
          <w:bCs/>
          <w:color w:val="000000"/>
          <w:lang w:eastAsia="zh-CN"/>
        </w:rPr>
        <w:t>（</w:t>
      </w:r>
      <w:r>
        <w:rPr>
          <w:rFonts w:hint="eastAsia" w:ascii="Times New Roman" w:hAnsi="Times New Roman"/>
          <w:b/>
          <w:bCs/>
          <w:color w:val="000000"/>
          <w:lang w:val="en-US" w:eastAsia="zh-CN"/>
        </w:rPr>
        <w:t>2022</w:t>
      </w:r>
      <w:r>
        <w:rPr>
          <w:rFonts w:hint="eastAsia" w:hAnsi="宋体"/>
          <w:b/>
          <w:bCs/>
          <w:color w:val="000000"/>
          <w:lang w:val="en-US" w:eastAsia="zh-CN"/>
        </w:rPr>
        <w:t>年度及验收监测数据统计</w:t>
      </w:r>
      <w:r>
        <w:rPr>
          <w:rFonts w:hint="eastAsia" w:hAnsi="宋体"/>
          <w:b/>
          <w:bCs/>
          <w:color w:val="000000"/>
          <w:lang w:eastAsia="zh-CN"/>
        </w:rPr>
        <w:t>）</w:t>
      </w:r>
    </w:p>
    <w:tbl>
      <w:tblPr>
        <w:tblStyle w:val="80"/>
        <w:tblW w:w="139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437"/>
        <w:gridCol w:w="769"/>
        <w:gridCol w:w="1985"/>
        <w:gridCol w:w="1570"/>
        <w:gridCol w:w="930"/>
        <w:gridCol w:w="1631"/>
        <w:gridCol w:w="1661"/>
        <w:gridCol w:w="1118"/>
        <w:gridCol w:w="727"/>
        <w:gridCol w:w="537"/>
        <w:gridCol w:w="6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监测点位</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0"/>
                <w:szCs w:val="16"/>
                <w:lang w:eastAsia="zh-CN"/>
              </w:rPr>
              <w:t>排污许可编号</w:t>
            </w: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int="eastAsia"/>
                <w:color w:val="000000"/>
                <w:spacing w:val="-6"/>
                <w:w w:val="90"/>
                <w:sz w:val="21"/>
                <w:szCs w:val="18"/>
                <w:lang w:eastAsia="zh-CN"/>
              </w:rPr>
              <w:t>采样</w:t>
            </w:r>
            <w:r>
              <w:rPr>
                <w:rFonts w:hAnsi="宋体"/>
                <w:color w:val="000000"/>
                <w:spacing w:val="-6"/>
                <w:w w:val="90"/>
                <w:sz w:val="21"/>
                <w:szCs w:val="18"/>
              </w:rPr>
              <w:t>时间</w:t>
            </w:r>
          </w:p>
        </w:tc>
        <w:tc>
          <w:tcPr>
            <w:tcW w:w="15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0"/>
                <w:szCs w:val="16"/>
                <w:lang w:eastAsia="zh-CN"/>
              </w:rPr>
            </w:pPr>
            <w:r>
              <w:rPr>
                <w:rFonts w:hint="eastAsia" w:hAnsi="宋体"/>
                <w:color w:val="000000"/>
                <w:spacing w:val="-6"/>
                <w:w w:val="90"/>
                <w:sz w:val="20"/>
                <w:szCs w:val="16"/>
                <w:lang w:eastAsia="zh-CN"/>
              </w:rPr>
              <w:t>污染物</w:t>
            </w:r>
          </w:p>
        </w:tc>
        <w:tc>
          <w:tcPr>
            <w:tcW w:w="9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数据</w:t>
            </w:r>
          </w:p>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来源</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排放浓度</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排放速率</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r>
              <w:rPr>
                <w:rFonts w:hAnsi="宋体"/>
                <w:color w:val="000000"/>
                <w:spacing w:val="-6"/>
                <w:w w:val="90"/>
                <w:sz w:val="21"/>
                <w:szCs w:val="18"/>
              </w:rPr>
              <w:t>环保</w:t>
            </w:r>
          </w:p>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措施</w:t>
            </w: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标准值</w:t>
            </w:r>
          </w:p>
        </w:tc>
        <w:tc>
          <w:tcPr>
            <w:tcW w:w="62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达标</w:t>
            </w:r>
          </w:p>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15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0"/>
                <w:szCs w:val="16"/>
              </w:rPr>
            </w:pPr>
          </w:p>
        </w:tc>
        <w:tc>
          <w:tcPr>
            <w:tcW w:w="9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r>
              <w:rPr>
                <w:rFonts w:ascii="Times New Roman" w:hAnsi="Times New Roman"/>
                <w:color w:val="000000"/>
                <w:spacing w:val="-6"/>
                <w:w w:val="90"/>
                <w:sz w:val="21"/>
                <w:szCs w:val="18"/>
              </w:rPr>
              <w:t>mg</w:t>
            </w:r>
            <w:r>
              <w:rPr>
                <w:color w:val="000000"/>
                <w:spacing w:val="-6"/>
                <w:w w:val="90"/>
                <w:sz w:val="21"/>
                <w:szCs w:val="18"/>
              </w:rPr>
              <w:t>/</w:t>
            </w:r>
            <w:r>
              <w:rPr>
                <w:rFonts w:ascii="Times New Roman" w:hAnsi="Times New Roman"/>
                <w:color w:val="000000"/>
                <w:spacing w:val="-6"/>
                <w:w w:val="90"/>
                <w:sz w:val="21"/>
                <w:szCs w:val="18"/>
              </w:rPr>
              <w:t>m</w:t>
            </w:r>
            <w:r>
              <w:rPr>
                <w:color w:val="000000"/>
                <w:spacing w:val="-6"/>
                <w:w w:val="90"/>
                <w:sz w:val="21"/>
                <w:szCs w:val="18"/>
              </w:rPr>
              <w:t>³</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kg</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h</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mg</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m</w:t>
            </w:r>
            <w:r>
              <w:rPr>
                <w:rFonts w:hint="eastAsia" w:hAnsi="宋体"/>
                <w:color w:val="000000"/>
                <w:spacing w:val="-6"/>
                <w:w w:val="90"/>
                <w:sz w:val="21"/>
                <w:szCs w:val="18"/>
                <w:lang w:val="en-US" w:eastAsia="zh-CN"/>
              </w:rPr>
              <w:t>³</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kg</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h</w:t>
            </w:r>
          </w:p>
        </w:tc>
        <w:tc>
          <w:tcPr>
            <w:tcW w:w="62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r>
              <w:rPr>
                <w:rFonts w:hint="eastAsia" w:hAnsi="宋体"/>
                <w:color w:val="000000"/>
                <w:spacing w:val="-6"/>
                <w:w w:val="90"/>
                <w:sz w:val="20"/>
                <w:szCs w:val="16"/>
                <w:lang w:eastAsia="zh-CN"/>
              </w:rPr>
              <w:t>制酸浸泡废气</w:t>
            </w:r>
            <w:r>
              <w:rPr>
                <w:rFonts w:hint="eastAsia" w:hAnsi="宋体"/>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22m</w:t>
            </w:r>
            <w:r>
              <w:rPr>
                <w:rFonts w:hint="eastAsia" w:hAnsi="宋体"/>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DA018</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2019</w:t>
            </w:r>
            <w:r>
              <w:rPr>
                <w:rFonts w:hint="eastAsia" w:hAnsi="宋体"/>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hAnsi="宋体"/>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SO</w:t>
            </w:r>
            <w:r>
              <w:rPr>
                <w:rFonts w:hint="eastAsia" w:ascii="Times New Roman" w:hAnsi="Times New Roman"/>
                <w:color w:val="000000"/>
                <w:spacing w:val="-6"/>
                <w:w w:val="90"/>
                <w:sz w:val="20"/>
                <w:szCs w:val="16"/>
                <w:vertAlign w:val="subscript"/>
                <w:lang w:val="en-US" w:eastAsia="zh-CN"/>
              </w:rPr>
              <w:t>2</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14</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0</w:t>
            </w:r>
            <w:r>
              <w:rPr>
                <w:rFonts w:hint="eastAsia" w:hAnsi="宋体"/>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003</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004</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二级碱洗</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960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4</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SO</w:t>
            </w:r>
            <w:r>
              <w:rPr>
                <w:rFonts w:hint="eastAsia" w:ascii="Times New Roman" w:hAnsi="Times New Roman"/>
                <w:color w:val="000000"/>
                <w:spacing w:val="-6"/>
                <w:w w:val="90"/>
                <w:sz w:val="20"/>
                <w:szCs w:val="16"/>
                <w:vertAlign w:val="subscript"/>
                <w:lang w:val="en-US" w:eastAsia="zh-CN"/>
              </w:rPr>
              <w:t>2</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hAnsi="宋体"/>
                <w:color w:val="000000"/>
                <w:spacing w:val="-6"/>
                <w:w w:val="90"/>
                <w:sz w:val="20"/>
                <w:szCs w:val="16"/>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960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4</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SO</w:t>
            </w:r>
            <w:r>
              <w:rPr>
                <w:rFonts w:hint="eastAsia" w:ascii="Times New Roman" w:hAnsi="Times New Roman"/>
                <w:color w:val="000000"/>
                <w:spacing w:val="-6"/>
                <w:w w:val="90"/>
                <w:sz w:val="20"/>
                <w:szCs w:val="16"/>
                <w:vertAlign w:val="subscript"/>
                <w:lang w:val="en-US" w:eastAsia="zh-CN"/>
              </w:rPr>
              <w:t>2</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86</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93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8</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highlight w:val="none"/>
                <w:lang w:val="en-US" w:eastAsia="zh-CN"/>
              </w:rPr>
            </w:pPr>
            <w:r>
              <w:rPr>
                <w:rFonts w:hint="eastAsia" w:hAnsi="宋体"/>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960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4</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SO</w:t>
            </w:r>
            <w:r>
              <w:rPr>
                <w:rFonts w:hint="eastAsia" w:ascii="Times New Roman" w:hAnsi="Times New Roman"/>
                <w:color w:val="000000"/>
                <w:spacing w:val="-6"/>
                <w:w w:val="90"/>
                <w:sz w:val="20"/>
                <w:szCs w:val="16"/>
                <w:vertAlign w:val="subscript"/>
                <w:lang w:val="en-US" w:eastAsia="zh-CN"/>
              </w:rPr>
              <w:t>2</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75</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79</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highlight w:val="none"/>
                <w:lang w:val="en-US" w:eastAsia="zh-CN"/>
              </w:rPr>
            </w:pPr>
            <w:r>
              <w:rPr>
                <w:rFonts w:hint="eastAsia" w:hAnsi="宋体"/>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960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4</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SO</w:t>
            </w:r>
            <w:r>
              <w:rPr>
                <w:rFonts w:hint="eastAsia" w:ascii="Times New Roman" w:hAnsi="Times New Roman"/>
                <w:color w:val="000000"/>
                <w:spacing w:val="-6"/>
                <w:w w:val="90"/>
                <w:sz w:val="20"/>
                <w:szCs w:val="16"/>
                <w:vertAlign w:val="subscript"/>
                <w:lang w:val="en-US" w:eastAsia="zh-CN"/>
              </w:rPr>
              <w:t>2</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73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95</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highlight w:val="none"/>
                <w:lang w:val="en-US" w:eastAsia="zh-CN"/>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960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w:t>
            </w:r>
            <w:r>
              <w:rPr>
                <w:rFonts w:hint="eastAsia"/>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4</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0"/>
                <w:szCs w:val="16"/>
                <w:lang w:val="en-US" w:eastAsia="zh-CN"/>
              </w:rPr>
            </w:pPr>
            <w:r>
              <w:rPr>
                <w:rFonts w:hint="eastAsia" w:hAnsi="宋体"/>
                <w:color w:val="000000"/>
                <w:spacing w:val="-6"/>
                <w:w w:val="90"/>
                <w:sz w:val="20"/>
                <w:szCs w:val="16"/>
                <w:lang w:eastAsia="zh-CN"/>
              </w:rPr>
              <w:t>玉米净化废气</w:t>
            </w:r>
            <w:r>
              <w:rPr>
                <w:rFonts w:hint="eastAsia" w:hAnsi="宋体"/>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20m</w:t>
            </w:r>
            <w:r>
              <w:rPr>
                <w:rFonts w:hint="eastAsia" w:hAnsi="宋体"/>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DA017</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lang w:val="en-US" w:eastAsia="zh-CN" w:bidi="ar-SA"/>
              </w:rPr>
            </w:pPr>
            <w:r>
              <w:rPr>
                <w:rFonts w:hint="eastAsia" w:hAnsi="宋体"/>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8</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4</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01</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r>
              <w:rPr>
                <w:rFonts w:hint="eastAsia"/>
                <w:color w:val="000000"/>
                <w:spacing w:val="-6"/>
                <w:w w:val="90"/>
                <w:sz w:val="21"/>
                <w:szCs w:val="18"/>
                <w:lang w:eastAsia="zh-CN"/>
              </w:rPr>
              <w:t>袋式除尘</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120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5</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9</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0"/>
                <w:szCs w:val="16"/>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val="en-US" w:eastAsia="zh-CN"/>
              </w:rPr>
            </w:pPr>
            <w:r>
              <w:rPr>
                <w:rFonts w:hint="eastAsia" w:hAnsi="宋体"/>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0"/>
                <w:szCs w:val="16"/>
                <w:highlight w:val="none"/>
                <w:lang w:val="en-US" w:eastAsia="zh-CN"/>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highlight w:val="none"/>
                <w:lang w:val="en-US" w:eastAsia="zh-CN"/>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120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5</w:t>
            </w:r>
            <w:r>
              <w:rPr>
                <w:rFonts w:hint="eastAsia" w:hAnsi="宋体"/>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9</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0"/>
                <w:szCs w:val="16"/>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hAnsi="宋体"/>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007</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008</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120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5</w:t>
            </w:r>
            <w:r>
              <w:rPr>
                <w:rFonts w:hint="eastAsia"/>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9</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0"/>
                <w:szCs w:val="16"/>
                <w:lang w:val="en-US" w:eastAsia="zh-CN"/>
              </w:rPr>
            </w:pPr>
            <w:r>
              <w:rPr>
                <w:rFonts w:hint="eastAsia" w:hAnsi="宋体"/>
                <w:color w:val="000000"/>
                <w:spacing w:val="-6"/>
                <w:w w:val="90"/>
                <w:sz w:val="20"/>
                <w:szCs w:val="16"/>
                <w:lang w:eastAsia="zh-CN"/>
              </w:rPr>
              <w:t>副产品干燥废气</w:t>
            </w:r>
            <w:r>
              <w:rPr>
                <w:rFonts w:hint="eastAsia" w:hAnsi="宋体"/>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16m</w:t>
            </w:r>
            <w:r>
              <w:rPr>
                <w:rFonts w:hint="eastAsia" w:hAnsi="宋体"/>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DA032</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lang w:val="en-US" w:eastAsia="zh-CN"/>
              </w:rPr>
            </w:pPr>
            <w:r>
              <w:rPr>
                <w:rFonts w:hint="eastAsia" w:hAnsi="宋体"/>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0"/>
                <w:szCs w:val="16"/>
                <w:highlight w:val="none"/>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04</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w:t>
            </w:r>
          </w:p>
        </w:tc>
        <w:tc>
          <w:tcPr>
            <w:tcW w:w="1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r>
              <w:rPr>
                <w:rFonts w:hint="eastAsia"/>
                <w:color w:val="000000"/>
                <w:spacing w:val="-6"/>
                <w:w w:val="90"/>
                <w:sz w:val="21"/>
                <w:szCs w:val="18"/>
                <w:lang w:eastAsia="zh-CN"/>
              </w:rPr>
              <w:t>袋式除尘</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color w:val="auto"/>
                <w:spacing w:val="-6"/>
                <w:w w:val="90"/>
                <w:sz w:val="20"/>
                <w:szCs w:val="16"/>
                <w:lang w:eastAsia="zh-CN"/>
              </w:rPr>
              <w:t>淀粉干燥</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s="Times New Roman"/>
                <w:color w:val="auto"/>
                <w:spacing w:val="-6"/>
                <w:w w:val="90"/>
                <w:kern w:val="2"/>
                <w:sz w:val="20"/>
                <w:szCs w:val="16"/>
                <w:lang w:val="en-US" w:eastAsia="zh-CN" w:bidi="ar-SA"/>
              </w:rPr>
              <w:t>DA024</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s="Times New Roman"/>
                <w:color w:val="000000"/>
                <w:spacing w:val="-6"/>
                <w:w w:val="90"/>
                <w:kern w:val="2"/>
                <w:sz w:val="20"/>
                <w:szCs w:val="16"/>
                <w:lang w:val="en-US" w:eastAsia="zh-CN" w:bidi="ar-SA"/>
              </w:rPr>
              <w:t>2019</w:t>
            </w:r>
            <w:r>
              <w:rPr>
                <w:rFonts w:hint="eastAsia"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10</w:t>
            </w:r>
            <w:r>
              <w:rPr>
                <w:rFonts w:hint="eastAsia"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s="Times New Roman"/>
                <w:color w:val="000000"/>
                <w:spacing w:val="-6"/>
                <w:w w:val="90"/>
                <w:kern w:val="2"/>
                <w:sz w:val="20"/>
                <w:szCs w:val="16"/>
                <w:lang w:val="en-US" w:eastAsia="zh-CN" w:bidi="ar-SA"/>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s="Times New Roman"/>
                <w:color w:val="000000"/>
                <w:spacing w:val="-6"/>
                <w:w w:val="90"/>
                <w:kern w:val="2"/>
                <w:sz w:val="21"/>
                <w:szCs w:val="18"/>
                <w:lang w:val="en-US" w:eastAsia="zh-CN" w:bidi="ar-SA"/>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17</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04</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18</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r>
              <w:rPr>
                <w:rFonts w:hint="eastAsia"/>
                <w:color w:val="000000"/>
                <w:spacing w:val="-6"/>
                <w:w w:val="90"/>
                <w:sz w:val="21"/>
                <w:szCs w:val="18"/>
                <w:lang w:eastAsia="zh-CN"/>
              </w:rPr>
              <w:t>旋风除尘</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0"/>
                <w:szCs w:val="16"/>
                <w:lang w:val="en-US" w:eastAsia="zh-CN" w:bidi="ar-SA"/>
              </w:rPr>
            </w:pPr>
            <w:r>
              <w:rPr>
                <w:rFonts w:hint="eastAsia"/>
                <w:color w:val="auto"/>
                <w:spacing w:val="-6"/>
                <w:w w:val="90"/>
                <w:sz w:val="20"/>
                <w:szCs w:val="16"/>
                <w:lang w:eastAsia="zh-CN"/>
              </w:rPr>
              <w:t>淀粉干燥</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s="Times New Roman"/>
                <w:color w:val="auto"/>
                <w:spacing w:val="-6"/>
                <w:w w:val="90"/>
                <w:kern w:val="2"/>
                <w:sz w:val="20"/>
                <w:szCs w:val="16"/>
                <w:lang w:val="en-US" w:eastAsia="zh-CN" w:bidi="ar-SA"/>
              </w:rPr>
              <w:t>DA025</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s="Times New Roman"/>
                <w:color w:val="000000"/>
                <w:spacing w:val="-6"/>
                <w:w w:val="90"/>
                <w:kern w:val="2"/>
                <w:sz w:val="20"/>
                <w:szCs w:val="16"/>
                <w:lang w:val="en-US" w:eastAsia="zh-CN" w:bidi="ar-SA"/>
              </w:rPr>
              <w:t>2019</w:t>
            </w:r>
            <w:r>
              <w:rPr>
                <w:rFonts w:hint="eastAsia"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10</w:t>
            </w:r>
            <w:r>
              <w:rPr>
                <w:rFonts w:hint="eastAsia"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s="Times New Roman"/>
                <w:color w:val="000000"/>
                <w:spacing w:val="-6"/>
                <w:w w:val="90"/>
                <w:kern w:val="2"/>
                <w:sz w:val="20"/>
                <w:szCs w:val="16"/>
                <w:lang w:val="en-US" w:eastAsia="zh-CN" w:bidi="ar-SA"/>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s="Times New Roman"/>
                <w:color w:val="000000"/>
                <w:spacing w:val="-6"/>
                <w:w w:val="90"/>
                <w:kern w:val="2"/>
                <w:sz w:val="21"/>
                <w:szCs w:val="18"/>
                <w:lang w:val="en-US" w:eastAsia="zh-CN" w:bidi="ar-SA"/>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17</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17</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0"/>
                <w:szCs w:val="16"/>
                <w:lang w:val="en-US" w:eastAsia="zh-CN" w:bidi="ar-SA"/>
              </w:rPr>
            </w:pPr>
            <w:r>
              <w:rPr>
                <w:rFonts w:hint="eastAsia"/>
                <w:color w:val="auto"/>
                <w:spacing w:val="-6"/>
                <w:w w:val="90"/>
                <w:sz w:val="20"/>
                <w:szCs w:val="16"/>
                <w:lang w:eastAsia="zh-CN"/>
              </w:rPr>
              <w:t>淀粉干燥</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s="Times New Roman"/>
                <w:color w:val="auto"/>
                <w:spacing w:val="-6"/>
                <w:w w:val="90"/>
                <w:kern w:val="2"/>
                <w:sz w:val="20"/>
                <w:szCs w:val="16"/>
                <w:lang w:val="en-US" w:eastAsia="zh-CN" w:bidi="ar-SA"/>
              </w:rPr>
              <w:t>DA026</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s="Times New Roman"/>
                <w:color w:val="000000"/>
                <w:spacing w:val="-6"/>
                <w:w w:val="90"/>
                <w:kern w:val="2"/>
                <w:sz w:val="20"/>
                <w:szCs w:val="16"/>
                <w:lang w:val="en-US" w:eastAsia="zh-CN" w:bidi="ar-SA"/>
              </w:rPr>
              <w:t>2019</w:t>
            </w:r>
            <w:r>
              <w:rPr>
                <w:rFonts w:hint="eastAsia"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10</w:t>
            </w:r>
            <w:r>
              <w:rPr>
                <w:rFonts w:hint="eastAsia"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s="Times New Roman"/>
                <w:color w:val="000000"/>
                <w:spacing w:val="-6"/>
                <w:w w:val="90"/>
                <w:kern w:val="2"/>
                <w:sz w:val="20"/>
                <w:szCs w:val="16"/>
                <w:lang w:val="en-US" w:eastAsia="zh-CN" w:bidi="ar-SA"/>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s="Times New Roman"/>
                <w:color w:val="000000"/>
                <w:spacing w:val="-6"/>
                <w:w w:val="90"/>
                <w:kern w:val="2"/>
                <w:sz w:val="21"/>
                <w:szCs w:val="18"/>
                <w:lang w:val="en-US" w:eastAsia="zh-CN" w:bidi="ar-SA"/>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17</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7</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73</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16</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0"/>
                <w:szCs w:val="16"/>
                <w:lang w:val="en-US" w:eastAsia="zh-CN" w:bidi="ar-SA"/>
              </w:rPr>
            </w:pPr>
            <w:r>
              <w:rPr>
                <w:rFonts w:hint="eastAsia"/>
                <w:color w:val="auto"/>
                <w:spacing w:val="-6"/>
                <w:w w:val="90"/>
                <w:sz w:val="20"/>
                <w:szCs w:val="16"/>
                <w:lang w:eastAsia="zh-CN"/>
              </w:rPr>
              <w:t>淀粉干燥</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s="Times New Roman"/>
                <w:color w:val="auto"/>
                <w:spacing w:val="-6"/>
                <w:w w:val="90"/>
                <w:kern w:val="2"/>
                <w:sz w:val="20"/>
                <w:szCs w:val="16"/>
                <w:lang w:val="en-US" w:eastAsia="zh-CN" w:bidi="ar-SA"/>
              </w:rPr>
              <w:t>DA027</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lang w:val="en-US" w:eastAsia="zh-CN" w:bidi="ar-SA"/>
              </w:rPr>
            </w:pPr>
            <w:r>
              <w:rPr>
                <w:rFonts w:hint="eastAsia" w:hAnsi="宋体"/>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s="Times New Roman"/>
                <w:color w:val="000000"/>
                <w:spacing w:val="-6"/>
                <w:w w:val="90"/>
                <w:kern w:val="2"/>
                <w:sz w:val="21"/>
                <w:szCs w:val="18"/>
                <w:lang w:val="en-US" w:eastAsia="zh-CN" w:bidi="ar-SA"/>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4</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color w:val="000000"/>
                <w:spacing w:val="-6"/>
                <w:w w:val="90"/>
                <w:sz w:val="21"/>
                <w:szCs w:val="18"/>
                <w:lang w:eastAsia="zh-CN"/>
              </w:rPr>
              <w:t>袋式</w:t>
            </w:r>
            <w:r>
              <w:rPr>
                <w:rFonts w:hint="eastAsia" w:hAnsi="宋体"/>
                <w:color w:val="000000"/>
                <w:spacing w:val="-6"/>
                <w:w w:val="90"/>
                <w:sz w:val="21"/>
                <w:szCs w:val="18"/>
                <w:lang w:eastAsia="zh-CN"/>
              </w:rPr>
              <w:t>除尘</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0"/>
                <w:szCs w:val="16"/>
                <w:lang w:val="en-US" w:eastAsia="zh-CN" w:bidi="ar-SA"/>
              </w:rPr>
            </w:pPr>
            <w:r>
              <w:rPr>
                <w:rFonts w:hint="eastAsia"/>
                <w:color w:val="auto"/>
                <w:spacing w:val="-6"/>
                <w:w w:val="90"/>
                <w:sz w:val="20"/>
                <w:szCs w:val="16"/>
                <w:lang w:eastAsia="zh-CN"/>
              </w:rPr>
              <w:t>淀粉干燥</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s="Times New Roman"/>
                <w:color w:val="auto"/>
                <w:spacing w:val="-6"/>
                <w:w w:val="90"/>
                <w:kern w:val="2"/>
                <w:sz w:val="20"/>
                <w:szCs w:val="16"/>
                <w:lang w:val="en-US" w:eastAsia="zh-CN" w:bidi="ar-SA"/>
              </w:rPr>
              <w:t>DA028</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lang w:val="en-US" w:eastAsia="zh-CN" w:bidi="ar-SA"/>
              </w:rPr>
            </w:pPr>
            <w:r>
              <w:rPr>
                <w:rFonts w:hint="eastAsia" w:hAnsi="宋体"/>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s="Times New Roman"/>
                <w:color w:val="000000"/>
                <w:spacing w:val="-6"/>
                <w:w w:val="90"/>
                <w:kern w:val="2"/>
                <w:sz w:val="21"/>
                <w:szCs w:val="18"/>
                <w:lang w:val="en-US" w:eastAsia="zh-CN" w:bidi="ar-SA"/>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68</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0"/>
                <w:szCs w:val="16"/>
                <w:lang w:val="en-US" w:eastAsia="zh-CN" w:bidi="ar-SA"/>
              </w:rPr>
            </w:pPr>
            <w:r>
              <w:rPr>
                <w:rFonts w:hint="eastAsia"/>
                <w:color w:val="auto"/>
                <w:spacing w:val="-6"/>
                <w:w w:val="90"/>
                <w:sz w:val="20"/>
                <w:szCs w:val="16"/>
                <w:lang w:eastAsia="zh-CN"/>
              </w:rPr>
              <w:t>淀粉干燥</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s="Times New Roman"/>
                <w:color w:val="auto"/>
                <w:spacing w:val="-6"/>
                <w:w w:val="90"/>
                <w:kern w:val="2"/>
                <w:sz w:val="20"/>
                <w:szCs w:val="16"/>
                <w:lang w:val="en-US" w:eastAsia="zh-CN" w:bidi="ar-SA"/>
              </w:rPr>
              <w:t>DA029</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lang w:val="en-US" w:eastAsia="zh-CN" w:bidi="ar-SA"/>
              </w:rPr>
            </w:pPr>
            <w:r>
              <w:rPr>
                <w:rFonts w:hint="eastAsia" w:hAnsi="宋体"/>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s="Times New Roman"/>
                <w:color w:val="000000"/>
                <w:spacing w:val="-6"/>
                <w:w w:val="90"/>
                <w:kern w:val="2"/>
                <w:sz w:val="21"/>
                <w:szCs w:val="18"/>
                <w:lang w:val="en-US" w:eastAsia="zh-CN" w:bidi="ar-SA"/>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82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lang w:val="en-US" w:eastAsia="zh-CN"/>
              </w:rPr>
            </w:pPr>
            <w:r>
              <w:rPr>
                <w:rFonts w:hint="eastAsia"/>
                <w:color w:val="000000"/>
                <w:spacing w:val="-6"/>
                <w:w w:val="90"/>
                <w:sz w:val="20"/>
                <w:szCs w:val="16"/>
                <w:lang w:eastAsia="zh-CN"/>
              </w:rPr>
              <w:t>副产品风送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20m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DA019</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lang w:val="en-US" w:eastAsia="zh-CN"/>
              </w:rPr>
            </w:pPr>
            <w:r>
              <w:rPr>
                <w:rFonts w:hint="eastAsia" w:ascii="Times New Roman" w:hAnsi="Times New Roman"/>
                <w:color w:val="000000"/>
                <w:spacing w:val="-6"/>
                <w:w w:val="90"/>
                <w:sz w:val="20"/>
                <w:szCs w:val="16"/>
              </w:rPr>
              <w:t>20</w:t>
            </w:r>
            <w:r>
              <w:rPr>
                <w:rFonts w:hint="eastAsia" w:ascii="Times New Roman" w:hAnsi="Times New Roman"/>
                <w:color w:val="000000"/>
                <w:spacing w:val="-6"/>
                <w:w w:val="90"/>
                <w:sz w:val="20"/>
                <w:szCs w:val="16"/>
                <w:lang w:val="en-US" w:eastAsia="zh-CN"/>
              </w:rPr>
              <w:t>19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26</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s="Times New Roman"/>
                <w:color w:val="000000"/>
                <w:spacing w:val="-6"/>
                <w:w w:val="90"/>
                <w:kern w:val="2"/>
                <w:sz w:val="21"/>
                <w:szCs w:val="18"/>
                <w:lang w:val="en-US" w:eastAsia="zh-CN" w:bidi="ar-SA"/>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11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4</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5</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0485</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0599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highlight w:val="none"/>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s="Times New Roman"/>
                <w:color w:val="000000"/>
                <w:spacing w:val="-6"/>
                <w:w w:val="90"/>
                <w:kern w:val="2"/>
                <w:sz w:val="21"/>
                <w:szCs w:val="18"/>
                <w:lang w:val="en-US" w:eastAsia="zh-CN" w:bidi="ar-SA"/>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10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5</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highlight w:val="none"/>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s="Times New Roman"/>
                <w:color w:val="000000"/>
                <w:spacing w:val="-6"/>
                <w:w w:val="90"/>
                <w:kern w:val="2"/>
                <w:sz w:val="21"/>
                <w:szCs w:val="18"/>
                <w:lang w:val="en-US" w:eastAsia="zh-CN" w:bidi="ar-SA"/>
              </w:rPr>
            </w:pPr>
            <w:r>
              <w:rPr>
                <w:rFonts w:hint="eastAsia" w:cs="Times New Roman"/>
                <w:color w:val="000000"/>
                <w:spacing w:val="-6"/>
                <w:w w:val="90"/>
                <w:kern w:val="2"/>
                <w:sz w:val="21"/>
                <w:szCs w:val="18"/>
                <w:lang w:val="en-US" w:eastAsia="zh-CN" w:bidi="ar-SA"/>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highlight w:val="none"/>
                <w:lang w:val="en-US" w:eastAsia="zh-CN"/>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highlight w:val="none"/>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s="Times New Roman"/>
                <w:color w:val="000000"/>
                <w:spacing w:val="-6"/>
                <w:w w:val="90"/>
                <w:kern w:val="2"/>
                <w:sz w:val="21"/>
                <w:szCs w:val="18"/>
                <w:lang w:val="en-US" w:eastAsia="zh-CN" w:bidi="ar-SA"/>
              </w:rPr>
            </w:pPr>
            <w:r>
              <w:rPr>
                <w:rFonts w:hint="eastAsia" w:cs="Times New Roman"/>
                <w:color w:val="000000"/>
                <w:spacing w:val="-6"/>
                <w:w w:val="90"/>
                <w:kern w:val="2"/>
                <w:sz w:val="21"/>
                <w:szCs w:val="18"/>
                <w:lang w:val="en-US" w:eastAsia="zh-CN" w:bidi="ar-SA"/>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r>
              <w:rPr>
                <w:rFonts w:hint="eastAsia"/>
                <w:color w:val="000000"/>
                <w:spacing w:val="-6"/>
                <w:w w:val="90"/>
                <w:sz w:val="20"/>
                <w:szCs w:val="16"/>
                <w:lang w:eastAsia="zh-CN"/>
              </w:rPr>
              <w:t>副产品风送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20m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DA020</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rPr>
              <w:t>20</w:t>
            </w:r>
            <w:r>
              <w:rPr>
                <w:rFonts w:hint="eastAsia" w:ascii="Times New Roman" w:hAnsi="Times New Roman"/>
                <w:color w:val="000000"/>
                <w:spacing w:val="-6"/>
                <w:w w:val="90"/>
                <w:sz w:val="20"/>
                <w:szCs w:val="16"/>
                <w:lang w:val="en-US" w:eastAsia="zh-CN"/>
              </w:rPr>
              <w:t>19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26</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s="Times New Roman"/>
                <w:color w:val="000000"/>
                <w:spacing w:val="-6"/>
                <w:w w:val="90"/>
                <w:kern w:val="2"/>
                <w:sz w:val="21"/>
                <w:szCs w:val="18"/>
                <w:lang w:val="en-US" w:eastAsia="zh-CN" w:bidi="ar-SA"/>
              </w:rPr>
            </w:pPr>
            <w:r>
              <w:rPr>
                <w:rFonts w:hint="eastAsia" w:hAnsi="宋体" w:cs="Times New Roman"/>
                <w:color w:val="000000"/>
                <w:spacing w:val="-6"/>
                <w:w w:val="90"/>
                <w:kern w:val="2"/>
                <w:sz w:val="21"/>
                <w:szCs w:val="18"/>
                <w:lang w:val="en-US" w:eastAsia="zh-CN" w:bidi="ar-SA"/>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12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4</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054</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0647</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10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副产品风送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20m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DA021</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rPr>
              <w:t>20</w:t>
            </w:r>
            <w:r>
              <w:rPr>
                <w:rFonts w:hint="eastAsia" w:ascii="Times New Roman" w:hAnsi="Times New Roman"/>
                <w:color w:val="000000"/>
                <w:spacing w:val="-6"/>
                <w:w w:val="90"/>
                <w:sz w:val="20"/>
                <w:szCs w:val="16"/>
                <w:lang w:val="en-US" w:eastAsia="zh-CN"/>
              </w:rPr>
              <w:t>19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26</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s="Times New Roman"/>
                <w:color w:val="000000"/>
                <w:spacing w:val="-6"/>
                <w:w w:val="90"/>
                <w:kern w:val="2"/>
                <w:sz w:val="21"/>
                <w:szCs w:val="18"/>
                <w:lang w:val="en-US" w:eastAsia="zh-CN" w:bidi="ar-SA"/>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13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15</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0822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0962</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highlight w:val="none"/>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04</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highlight w:val="none"/>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highlight w:val="none"/>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r>
              <w:rPr>
                <w:rFonts w:hint="eastAsia"/>
                <w:color w:val="000000"/>
                <w:spacing w:val="-6"/>
                <w:w w:val="90"/>
                <w:sz w:val="20"/>
                <w:szCs w:val="16"/>
                <w:lang w:eastAsia="zh-CN"/>
              </w:rPr>
              <w:t>副产品风送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20m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highlight w:val="none"/>
                <w:lang w:val="en-US" w:eastAsia="zh-CN"/>
              </w:rPr>
            </w:pPr>
            <w:r>
              <w:rPr>
                <w:rFonts w:hint="eastAsia" w:ascii="Times New Roman" w:hAnsi="Times New Roman"/>
                <w:color w:val="000000"/>
                <w:spacing w:val="-6"/>
                <w:w w:val="90"/>
                <w:sz w:val="20"/>
                <w:szCs w:val="16"/>
                <w:highlight w:val="none"/>
                <w:lang w:val="en-US" w:eastAsia="zh-CN"/>
              </w:rPr>
              <w:t>DA022</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rPr>
              <w:t>20</w:t>
            </w:r>
            <w:r>
              <w:rPr>
                <w:rFonts w:hint="eastAsia" w:ascii="Times New Roman" w:hAnsi="Times New Roman"/>
                <w:color w:val="000000"/>
                <w:spacing w:val="-6"/>
                <w:w w:val="90"/>
                <w:sz w:val="20"/>
                <w:szCs w:val="16"/>
                <w:lang w:val="en-US" w:eastAsia="zh-CN"/>
              </w:rPr>
              <w:t>19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9</w:t>
            </w:r>
            <w:r>
              <w:rPr>
                <w:rFonts w:hint="eastAsia"/>
                <w:color w:val="000000"/>
                <w:spacing w:val="-6"/>
                <w:w w:val="90"/>
                <w:sz w:val="20"/>
                <w:szCs w:val="16"/>
              </w:rPr>
              <w:t>.</w:t>
            </w:r>
            <w:r>
              <w:rPr>
                <w:rFonts w:hint="eastAsia" w:ascii="Times New Roman" w:hAnsi="Times New Roman"/>
                <w:color w:val="000000"/>
                <w:spacing w:val="-6"/>
                <w:w w:val="90"/>
                <w:sz w:val="20"/>
                <w:szCs w:val="16"/>
                <w:lang w:val="en-US" w:eastAsia="zh-CN"/>
              </w:rPr>
              <w:t>26</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13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4</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14</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7</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0711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0823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kern w:val="2"/>
                <w:sz w:val="21"/>
                <w:szCs w:val="18"/>
                <w:lang w:val="en-US" w:eastAsia="zh-CN" w:bidi="ar-SA"/>
              </w:rPr>
            </w:pPr>
            <w:r>
              <w:rPr>
                <w:rFonts w:hint="eastAsia" w:hAnsi="宋体"/>
                <w:color w:val="000000"/>
                <w:spacing w:val="-6"/>
                <w:w w:val="90"/>
                <w:kern w:val="2"/>
                <w:sz w:val="21"/>
                <w:szCs w:val="18"/>
                <w:lang w:val="en-US" w:eastAsia="zh-CN" w:bidi="ar-SA"/>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10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8</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008</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olor w:val="000000"/>
                <w:spacing w:val="-6"/>
                <w:w w:val="90"/>
                <w:kern w:val="2"/>
                <w:sz w:val="21"/>
                <w:szCs w:val="18"/>
                <w:lang w:val="en-US" w:eastAsia="zh-CN" w:bidi="ar-SA"/>
              </w:rPr>
            </w:pPr>
            <w:r>
              <w:rPr>
                <w:rFonts w:hint="eastAsia" w:hAnsi="宋体"/>
                <w:color w:val="000000"/>
                <w:spacing w:val="-6"/>
                <w:w w:val="90"/>
                <w:kern w:val="2"/>
                <w:sz w:val="21"/>
                <w:szCs w:val="18"/>
                <w:lang w:val="en-US" w:eastAsia="zh-CN" w:bidi="ar-SA"/>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lang w:val="en-US" w:eastAsia="zh-CN"/>
              </w:rPr>
            </w:pPr>
            <w:r>
              <w:rPr>
                <w:rFonts w:hint="eastAsia"/>
                <w:color w:val="000000"/>
                <w:spacing w:val="-6"/>
                <w:w w:val="90"/>
                <w:sz w:val="20"/>
                <w:szCs w:val="16"/>
                <w:lang w:eastAsia="zh-CN"/>
              </w:rPr>
              <w:t>主产品风送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17m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DA023</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6</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0591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0823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color w:val="auto"/>
                <w:spacing w:val="-6"/>
                <w:w w:val="90"/>
                <w:sz w:val="20"/>
                <w:szCs w:val="16"/>
                <w:lang w:eastAsia="zh-CN"/>
              </w:rPr>
              <w:t>玉米烘干转送</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26m</w:t>
            </w:r>
            <w:r>
              <w:rPr>
                <w:rFonts w:hint="eastAsia"/>
                <w:color w:val="auto"/>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DA003</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highlight w:val="none"/>
                <w:lang w:val="en-US" w:eastAsia="zh-CN" w:bidi="ar-SA"/>
              </w:rPr>
            </w:pPr>
            <w:r>
              <w:rPr>
                <w:rFonts w:hint="eastAsia"/>
                <w:color w:val="000000"/>
                <w:spacing w:val="-6"/>
                <w:w w:val="90"/>
                <w:sz w:val="21"/>
                <w:szCs w:val="18"/>
                <w:highlight w:val="none"/>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8</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7</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052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085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highlight w:val="none"/>
                <w:lang w:val="en-US" w:eastAsia="zh-CN"/>
              </w:rPr>
            </w:pPr>
            <w:r>
              <w:rPr>
                <w:rFonts w:hint="eastAsia"/>
                <w:color w:val="000000"/>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highlight w:val="none"/>
                <w:lang w:val="en-US" w:eastAsia="zh-CN" w:bidi="ar-SA"/>
              </w:rPr>
            </w:pPr>
            <w:r>
              <w:rPr>
                <w:rFonts w:hint="eastAsia"/>
                <w:color w:val="000000"/>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r>
              <w:rPr>
                <w:rFonts w:hint="eastAsia"/>
                <w:color w:val="auto"/>
                <w:spacing w:val="-6"/>
                <w:w w:val="90"/>
                <w:sz w:val="20"/>
                <w:szCs w:val="16"/>
                <w:lang w:eastAsia="zh-CN"/>
              </w:rPr>
              <w:t>玉米烘干转送</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29m</w:t>
            </w:r>
            <w:r>
              <w:rPr>
                <w:rFonts w:hint="eastAsia"/>
                <w:color w:val="auto"/>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DA009</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7</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0477</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0614</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7</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8</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02</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r>
              <w:rPr>
                <w:rFonts w:hint="eastAsia"/>
                <w:color w:val="000000"/>
                <w:spacing w:val="-6"/>
                <w:w w:val="90"/>
                <w:sz w:val="20"/>
                <w:szCs w:val="16"/>
                <w:lang w:eastAsia="zh-CN"/>
              </w:rPr>
              <w:t>玉米烘干转送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24m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DA004</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17</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7</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1</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16</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s="Times New Roman"/>
                <w:color w:val="000000"/>
                <w:spacing w:val="-6"/>
                <w:w w:val="90"/>
                <w:kern w:val="2"/>
                <w:sz w:val="20"/>
                <w:szCs w:val="16"/>
                <w:highlight w:val="none"/>
                <w:lang w:val="en-US" w:eastAsia="zh-CN" w:bidi="ar-SA"/>
              </w:rPr>
              <w:t>8</w:t>
            </w:r>
            <w:r>
              <w:rPr>
                <w:rFonts w:hint="eastAsia" w:ascii="Times New Roman" w:hAnsi="Times New Roman" w:cs="Times New Roman"/>
                <w:color w:val="000000"/>
                <w:spacing w:val="-6"/>
                <w:w w:val="90"/>
                <w:kern w:val="2"/>
                <w:sz w:val="20"/>
                <w:szCs w:val="16"/>
                <w:highlight w:val="none"/>
                <w:lang w:val="en-US" w:eastAsia="zh-CN" w:bidi="ar-SA"/>
              </w:rPr>
              <w:t>.</w:t>
            </w:r>
            <w:r>
              <w:rPr>
                <w:rFonts w:hint="eastAsia" w:ascii="Times New Roman" w:hAnsi="Times New Roman" w:cs="Times New Roman"/>
                <w:color w:val="000000"/>
                <w:spacing w:val="-6"/>
                <w:w w:val="90"/>
                <w:kern w:val="2"/>
                <w:sz w:val="20"/>
                <w:szCs w:val="16"/>
                <w:highlight w:val="none"/>
                <w:lang w:val="en-US" w:eastAsia="zh-CN" w:bidi="ar-SA"/>
              </w:rPr>
              <w:t>6</w:t>
            </w:r>
            <w:r>
              <w:rPr>
                <w:rFonts w:hint="eastAsia" w:ascii="Times New Roman" w:hAnsi="Times New Roman" w:cs="Times New Roman"/>
                <w:color w:val="000000"/>
                <w:spacing w:val="-6"/>
                <w:w w:val="90"/>
                <w:kern w:val="2"/>
                <w:sz w:val="20"/>
                <w:szCs w:val="16"/>
                <w:highlight w:val="none"/>
                <w:lang w:val="en-US" w:eastAsia="zh-CN" w:bidi="ar-SA"/>
              </w:rPr>
              <w:t>～</w:t>
            </w:r>
            <w:r>
              <w:rPr>
                <w:rFonts w:hint="eastAsia" w:ascii="Times New Roman" w:hAnsi="Times New Roman" w:cs="Times New Roman"/>
                <w:color w:val="000000"/>
                <w:spacing w:val="-6"/>
                <w:w w:val="90"/>
                <w:kern w:val="2"/>
                <w:sz w:val="20"/>
                <w:szCs w:val="16"/>
                <w:highlight w:val="none"/>
                <w:lang w:val="en-US" w:eastAsia="zh-CN" w:bidi="ar-SA"/>
              </w:rPr>
              <w:t>9</w:t>
            </w:r>
            <w:r>
              <w:rPr>
                <w:rFonts w:hint="eastAsia" w:ascii="Times New Roman" w:hAnsi="Times New Roman" w:cs="Times New Roman"/>
                <w:color w:val="000000"/>
                <w:spacing w:val="-6"/>
                <w:w w:val="90"/>
                <w:kern w:val="2"/>
                <w:sz w:val="20"/>
                <w:szCs w:val="16"/>
                <w:highlight w:val="none"/>
                <w:lang w:val="en-US" w:eastAsia="zh-CN" w:bidi="ar-SA"/>
              </w:rPr>
              <w:t>.</w:t>
            </w:r>
            <w:r>
              <w:rPr>
                <w:rFonts w:hint="eastAsia" w:ascii="Times New Roman" w:hAnsi="Times New Roman" w:cs="Times New Roman"/>
                <w:color w:val="000000"/>
                <w:spacing w:val="-6"/>
                <w:w w:val="90"/>
                <w:kern w:val="2"/>
                <w:sz w:val="20"/>
                <w:szCs w:val="16"/>
                <w:highlight w:val="none"/>
                <w:lang w:val="en-US" w:eastAsia="zh-CN" w:bidi="ar-SA"/>
              </w:rPr>
              <w:t>5</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0"/>
                <w:szCs w:val="16"/>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玉米烘干转送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24m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DA005</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10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7</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8</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122</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163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s="Times New Roman"/>
                <w:color w:val="000000"/>
                <w:spacing w:val="-6"/>
                <w:w w:val="90"/>
                <w:kern w:val="2"/>
                <w:sz w:val="20"/>
                <w:szCs w:val="16"/>
                <w:highlight w:val="none"/>
                <w:lang w:val="en-US" w:eastAsia="zh-CN" w:bidi="ar-SA"/>
              </w:rPr>
              <w:t>10</w:t>
            </w:r>
            <w:r>
              <w:rPr>
                <w:rFonts w:hint="eastAsia" w:ascii="Times New Roman" w:hAnsi="Times New Roman" w:cs="Times New Roman"/>
                <w:color w:val="000000"/>
                <w:spacing w:val="-6"/>
                <w:w w:val="90"/>
                <w:kern w:val="2"/>
                <w:sz w:val="20"/>
                <w:szCs w:val="16"/>
                <w:highlight w:val="none"/>
                <w:lang w:val="en-US" w:eastAsia="zh-CN" w:bidi="ar-SA"/>
              </w:rPr>
              <w:t>.</w:t>
            </w:r>
            <w:r>
              <w:rPr>
                <w:rFonts w:hint="eastAsia" w:ascii="Times New Roman" w:hAnsi="Times New Roman" w:cs="Times New Roman"/>
                <w:color w:val="000000"/>
                <w:spacing w:val="-6"/>
                <w:w w:val="90"/>
                <w:kern w:val="2"/>
                <w:sz w:val="20"/>
                <w:szCs w:val="16"/>
                <w:highlight w:val="none"/>
                <w:lang w:val="en-US" w:eastAsia="zh-CN" w:bidi="ar-SA"/>
              </w:rPr>
              <w:t>8</w:t>
            </w:r>
            <w:r>
              <w:rPr>
                <w:rFonts w:hint="eastAsia" w:ascii="Times New Roman" w:hAnsi="Times New Roman" w:cs="Times New Roman"/>
                <w:color w:val="000000"/>
                <w:spacing w:val="-6"/>
                <w:w w:val="90"/>
                <w:kern w:val="2"/>
                <w:sz w:val="20"/>
                <w:szCs w:val="16"/>
                <w:highlight w:val="none"/>
                <w:lang w:val="en-US" w:eastAsia="zh-CN" w:bidi="ar-SA"/>
              </w:rPr>
              <w:t>～</w:t>
            </w:r>
            <w:r>
              <w:rPr>
                <w:rFonts w:hint="eastAsia" w:ascii="Times New Roman" w:hAnsi="Times New Roman" w:cs="Times New Roman"/>
                <w:color w:val="000000"/>
                <w:spacing w:val="-6"/>
                <w:w w:val="90"/>
                <w:kern w:val="2"/>
                <w:sz w:val="20"/>
                <w:szCs w:val="16"/>
                <w:highlight w:val="none"/>
                <w:lang w:val="en-US" w:eastAsia="zh-CN" w:bidi="ar-SA"/>
              </w:rPr>
              <w:t>11</w:t>
            </w:r>
            <w:r>
              <w:rPr>
                <w:rFonts w:hint="eastAsia" w:ascii="Times New Roman" w:hAnsi="Times New Roman" w:cs="Times New Roman"/>
                <w:color w:val="000000"/>
                <w:spacing w:val="-6"/>
                <w:w w:val="90"/>
                <w:kern w:val="2"/>
                <w:sz w:val="20"/>
                <w:szCs w:val="16"/>
                <w:highlight w:val="none"/>
                <w:lang w:val="en-US" w:eastAsia="zh-CN" w:bidi="ar-SA"/>
              </w:rPr>
              <w:t>.</w:t>
            </w:r>
            <w:r>
              <w:rPr>
                <w:rFonts w:hint="eastAsia" w:ascii="Times New Roman" w:hAnsi="Times New Roman" w:cs="Times New Roman"/>
                <w:color w:val="000000"/>
                <w:spacing w:val="-6"/>
                <w:w w:val="90"/>
                <w:kern w:val="2"/>
                <w:sz w:val="20"/>
                <w:szCs w:val="16"/>
                <w:highlight w:val="none"/>
                <w:lang w:val="en-US" w:eastAsia="zh-CN" w:bidi="ar-SA"/>
              </w:rPr>
              <w:t>7</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val="en-US" w:eastAsia="zh-CN"/>
              </w:rPr>
            </w:pP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val="en-US" w:eastAsia="zh-CN"/>
              </w:rPr>
            </w:pP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玉米烘干转送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24m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DA006</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4</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13</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170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245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1"/>
                <w:szCs w:val="18"/>
                <w:highlight w:val="none"/>
                <w:lang w:val="en-US" w:eastAsia="zh-CN" w:bidi="ar-SA"/>
              </w:rPr>
            </w:pPr>
            <w:r>
              <w:rPr>
                <w:rFonts w:hint="eastAsia"/>
                <w:color w:val="auto"/>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8</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8</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9</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6</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highlight w:val="none"/>
                <w:lang w:val="en-US" w:eastAsia="zh-CN" w:bidi="ar-SA"/>
              </w:rPr>
            </w:pPr>
            <w:r>
              <w:rPr>
                <w:rFonts w:hint="eastAsia" w:ascii="Times New Roman" w:hAnsi="Times New Roman"/>
                <w:color w:val="000000"/>
                <w:spacing w:val="-6"/>
                <w:w w:val="90"/>
                <w:sz w:val="20"/>
                <w:szCs w:val="16"/>
                <w:highlight w:val="none"/>
                <w:lang w:val="en-US" w:eastAsia="zh-CN"/>
              </w:rPr>
              <w:t>0</w:t>
            </w:r>
            <w:r>
              <w:rPr>
                <w:rFonts w:hint="eastAsia"/>
                <w:color w:val="000000"/>
                <w:spacing w:val="-6"/>
                <w:w w:val="90"/>
                <w:sz w:val="20"/>
                <w:szCs w:val="16"/>
                <w:highlight w:val="none"/>
                <w:lang w:val="en-US" w:eastAsia="zh-CN"/>
              </w:rPr>
              <w:t>.</w:t>
            </w:r>
            <w:r>
              <w:rPr>
                <w:rFonts w:hint="eastAsia" w:ascii="Times New Roman" w:hAnsi="Times New Roman"/>
                <w:color w:val="000000"/>
                <w:spacing w:val="-6"/>
                <w:w w:val="90"/>
                <w:sz w:val="20"/>
                <w:szCs w:val="16"/>
                <w:highlight w:val="none"/>
                <w:lang w:val="en-US" w:eastAsia="zh-CN"/>
              </w:rPr>
              <w:t>02</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highlight w:val="none"/>
                <w:lang w:val="en-US" w:eastAsia="zh-CN" w:bidi="ar-SA"/>
              </w:rPr>
            </w:pPr>
            <w:r>
              <w:rPr>
                <w:rFonts w:hint="eastAsia"/>
                <w:color w:val="000000"/>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val="en-US" w:eastAsia="zh-CN"/>
              </w:rPr>
            </w:pP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val="en-US" w:eastAsia="zh-CN"/>
              </w:rPr>
            </w:pP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Ansi="宋体"/>
                <w:color w:val="000000"/>
                <w:spacing w:val="-6"/>
                <w:w w:val="90"/>
                <w:sz w:val="21"/>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highlight w:val="none"/>
                <w:lang w:val="en-US" w:eastAsia="zh-CN" w:bidi="ar-SA"/>
              </w:rPr>
            </w:pPr>
            <w:r>
              <w:rPr>
                <w:rFonts w:hint="eastAsia"/>
                <w:color w:val="000000"/>
                <w:spacing w:val="-6"/>
                <w:w w:val="90"/>
                <w:sz w:val="21"/>
                <w:szCs w:val="18"/>
                <w:highlight w:val="none"/>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hAnsi="宋体"/>
                <w:color w:val="000000"/>
                <w:spacing w:val="-6"/>
                <w:w w:val="90"/>
                <w:sz w:val="20"/>
                <w:szCs w:val="16"/>
                <w:highlight w:val="none"/>
              </w:rPr>
              <w:t>＜</w:t>
            </w:r>
            <w:r>
              <w:rPr>
                <w:rFonts w:hint="eastAsia" w:ascii="Times New Roman" w:hAnsi="Times New Roman"/>
                <w:color w:val="000000"/>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highlight w:val="none"/>
                <w:lang w:val="en-US" w:eastAsia="zh-CN" w:bidi="ar-SA"/>
              </w:rPr>
            </w:pPr>
            <w:r>
              <w:rPr>
                <w:rFonts w:hint="eastAsia"/>
                <w:color w:val="000000"/>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r>
              <w:rPr>
                <w:rFonts w:hAnsi="宋体"/>
                <w:color w:val="000000"/>
                <w:spacing w:val="-6"/>
                <w:w w:val="90"/>
                <w:sz w:val="21"/>
                <w:szCs w:val="18"/>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玉米烘干转送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24m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DA007</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0506</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0690</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color w:val="auto"/>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玉米烘干转送</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24m</w:t>
            </w:r>
            <w:r>
              <w:rPr>
                <w:rFonts w:hint="eastAsia"/>
                <w:color w:val="000000"/>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DA008</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olor w:val="auto"/>
                <w:spacing w:val="-6"/>
                <w:w w:val="90"/>
                <w:sz w:val="20"/>
                <w:szCs w:val="16"/>
                <w:lang w:val="en-US" w:eastAsia="zh-CN"/>
              </w:rPr>
              <w:t>5</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4</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7</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2</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olor w:val="auto"/>
                <w:spacing w:val="-6"/>
                <w:w w:val="90"/>
                <w:sz w:val="20"/>
                <w:szCs w:val="16"/>
                <w:lang w:val="en-US" w:eastAsia="zh-CN"/>
              </w:rPr>
              <w:t>0</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028</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0</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0405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color w:val="auto"/>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color w:val="000000"/>
                <w:spacing w:val="-6"/>
                <w:w w:val="90"/>
                <w:sz w:val="20"/>
                <w:szCs w:val="16"/>
                <w:lang w:val="en-US" w:eastAsia="zh-CN"/>
              </w:rPr>
              <w:t>玉米烘干转送+</w:t>
            </w:r>
            <w:r>
              <w:rPr>
                <w:rFonts w:hint="eastAsia" w:ascii="Times New Roman" w:hAnsi="Times New Roman"/>
                <w:color w:val="000000"/>
                <w:spacing w:val="-6"/>
                <w:w w:val="90"/>
                <w:sz w:val="20"/>
                <w:szCs w:val="16"/>
                <w:lang w:val="en-US" w:eastAsia="zh-CN"/>
              </w:rPr>
              <w:t>29m</w:t>
            </w:r>
            <w:r>
              <w:rPr>
                <w:rFonts w:hint="eastAsia"/>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DA010</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auto"/>
                <w:spacing w:val="-6"/>
                <w:w w:val="90"/>
                <w:sz w:val="20"/>
                <w:szCs w:val="16"/>
                <w:highlight w:val="none"/>
                <w:lang w:val="en-US" w:eastAsia="zh-CN"/>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color w:val="000000"/>
                <w:spacing w:val="-6"/>
                <w:w w:val="90"/>
                <w:sz w:val="20"/>
                <w:szCs w:val="16"/>
                <w:lang w:val="en-US" w:eastAsia="zh-CN"/>
              </w:rPr>
              <w:t>玉米烘干转送+</w:t>
            </w:r>
            <w:r>
              <w:rPr>
                <w:rFonts w:hint="eastAsia" w:ascii="Times New Roman" w:hAnsi="Times New Roman"/>
                <w:color w:val="000000"/>
                <w:spacing w:val="-6"/>
                <w:w w:val="90"/>
                <w:sz w:val="20"/>
                <w:szCs w:val="16"/>
                <w:lang w:val="en-US" w:eastAsia="zh-CN"/>
              </w:rPr>
              <w:t>29m</w:t>
            </w:r>
            <w:r>
              <w:rPr>
                <w:rFonts w:hint="eastAsia"/>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DA011</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eastAsia="zh-CN"/>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auto"/>
                <w:spacing w:val="-6"/>
                <w:w w:val="90"/>
                <w:sz w:val="20"/>
                <w:szCs w:val="16"/>
                <w:highlight w:val="none"/>
                <w:lang w:val="en-US" w:eastAsia="zh-CN"/>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04</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08</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color w:val="000000"/>
                <w:spacing w:val="-6"/>
                <w:w w:val="90"/>
                <w:sz w:val="20"/>
                <w:szCs w:val="16"/>
                <w:lang w:val="en-US" w:eastAsia="zh-CN"/>
              </w:rPr>
              <w:t>玉米烘干转送+</w:t>
            </w:r>
            <w:r>
              <w:rPr>
                <w:rFonts w:hint="eastAsia" w:ascii="Times New Roman" w:hAnsi="Times New Roman"/>
                <w:color w:val="000000"/>
                <w:spacing w:val="-6"/>
                <w:w w:val="90"/>
                <w:sz w:val="20"/>
                <w:szCs w:val="16"/>
                <w:lang w:val="en-US" w:eastAsia="zh-CN"/>
              </w:rPr>
              <w:t>16m</w:t>
            </w:r>
            <w:r>
              <w:rPr>
                <w:rFonts w:hint="eastAsia"/>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DA012</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auto"/>
                <w:spacing w:val="-6"/>
                <w:w w:val="90"/>
                <w:kern w:val="2"/>
                <w:sz w:val="20"/>
                <w:szCs w:val="16"/>
                <w:highlight w:val="none"/>
                <w:lang w:val="en-US" w:eastAsia="zh-CN" w:bidi="ar-SA"/>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ascii="Times New Roman" w:hAnsi="Times New Roman" w:cs="Times New Roman"/>
                <w:color w:val="auto"/>
                <w:spacing w:val="-6"/>
                <w:w w:val="90"/>
                <w:kern w:val="2"/>
                <w:sz w:val="20"/>
                <w:szCs w:val="16"/>
                <w:highlight w:val="none"/>
                <w:lang w:val="en-US" w:eastAsia="zh-CN" w:bidi="ar-SA"/>
              </w:rPr>
              <w:t>0</w:t>
            </w:r>
            <w:r>
              <w:rPr>
                <w:rFonts w:hint="eastAsia" w:cs="Times New Roman"/>
                <w:color w:val="auto"/>
                <w:spacing w:val="-6"/>
                <w:w w:val="90"/>
                <w:kern w:val="2"/>
                <w:sz w:val="20"/>
                <w:szCs w:val="16"/>
                <w:highlight w:val="none"/>
                <w:lang w:val="en-US" w:eastAsia="zh-CN" w:bidi="ar-SA"/>
              </w:rPr>
              <w:t>.</w:t>
            </w:r>
            <w:r>
              <w:rPr>
                <w:rFonts w:hint="eastAsia" w:ascii="Times New Roman" w:hAnsi="Times New Roman" w:cs="Times New Roman"/>
                <w:color w:val="auto"/>
                <w:spacing w:val="-6"/>
                <w:w w:val="90"/>
                <w:kern w:val="2"/>
                <w:sz w:val="20"/>
                <w:szCs w:val="16"/>
                <w:highlight w:val="none"/>
                <w:lang w:val="en-US" w:eastAsia="zh-CN" w:bidi="ar-SA"/>
              </w:rPr>
              <w:t>15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16</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玉米烘干转送+</w:t>
            </w:r>
            <w:r>
              <w:rPr>
                <w:rFonts w:hint="eastAsia" w:ascii="Times New Roman" w:hAnsi="Times New Roman"/>
                <w:color w:val="000000"/>
                <w:spacing w:val="-6"/>
                <w:w w:val="90"/>
                <w:sz w:val="20"/>
                <w:szCs w:val="16"/>
                <w:lang w:val="en-US" w:eastAsia="zh-CN"/>
              </w:rPr>
              <w:t>16m</w:t>
            </w:r>
            <w:r>
              <w:rPr>
                <w:rFonts w:hint="eastAsia"/>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DA013</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auto"/>
                <w:spacing w:val="-6"/>
                <w:w w:val="90"/>
                <w:kern w:val="2"/>
                <w:sz w:val="20"/>
                <w:szCs w:val="16"/>
                <w:highlight w:val="none"/>
                <w:lang w:val="en-US" w:eastAsia="zh-CN" w:bidi="ar-SA"/>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ascii="Times New Roman" w:hAnsi="Times New Roman" w:eastAsia="宋体" w:cs="Times New Roman"/>
                <w:color w:val="auto"/>
                <w:spacing w:val="-6"/>
                <w:w w:val="90"/>
                <w:kern w:val="2"/>
                <w:sz w:val="20"/>
                <w:szCs w:val="16"/>
                <w:highlight w:val="none"/>
                <w:lang w:val="en-US" w:eastAsia="zh-CN" w:bidi="ar-SA"/>
              </w:rPr>
              <w:t>0</w:t>
            </w:r>
            <w:r>
              <w:rPr>
                <w:rFonts w:hint="eastAsia" w:ascii="Times New Roman" w:hAnsi="Times New Roman" w:eastAsia="宋体" w:cs="Times New Roman"/>
                <w:color w:val="auto"/>
                <w:spacing w:val="-6"/>
                <w:w w:val="90"/>
                <w:kern w:val="2"/>
                <w:sz w:val="20"/>
                <w:szCs w:val="16"/>
                <w:highlight w:val="none"/>
                <w:lang w:val="en-US" w:eastAsia="zh-CN" w:bidi="ar-SA"/>
              </w:rPr>
              <w:t>.</w:t>
            </w:r>
            <w:r>
              <w:rPr>
                <w:rFonts w:hint="eastAsia" w:ascii="Times New Roman" w:hAnsi="Times New Roman" w:cs="Times New Roman"/>
                <w:color w:val="auto"/>
                <w:spacing w:val="-6"/>
                <w:w w:val="90"/>
                <w:kern w:val="2"/>
                <w:sz w:val="20"/>
                <w:szCs w:val="16"/>
                <w:highlight w:val="none"/>
                <w:lang w:val="en-US" w:eastAsia="zh-CN" w:bidi="ar-SA"/>
              </w:rPr>
              <w:t>20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玉米烘干转送+</w:t>
            </w:r>
            <w:r>
              <w:rPr>
                <w:rFonts w:hint="eastAsia" w:ascii="Times New Roman" w:hAnsi="Times New Roman"/>
                <w:color w:val="000000"/>
                <w:spacing w:val="-6"/>
                <w:w w:val="90"/>
                <w:sz w:val="20"/>
                <w:szCs w:val="16"/>
                <w:lang w:val="en-US" w:eastAsia="zh-CN"/>
              </w:rPr>
              <w:t>16m</w:t>
            </w:r>
            <w:r>
              <w:rPr>
                <w:rFonts w:hint="eastAsia"/>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DA014</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auto"/>
                <w:spacing w:val="-6"/>
                <w:w w:val="90"/>
                <w:kern w:val="2"/>
                <w:sz w:val="20"/>
                <w:szCs w:val="16"/>
                <w:highlight w:val="none"/>
                <w:lang w:val="en-US" w:eastAsia="zh-CN" w:bidi="ar-SA"/>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ascii="Times New Roman" w:hAnsi="Times New Roman" w:cs="Times New Roman"/>
                <w:color w:val="auto"/>
                <w:spacing w:val="-6"/>
                <w:w w:val="90"/>
                <w:kern w:val="2"/>
                <w:sz w:val="20"/>
                <w:szCs w:val="16"/>
                <w:highlight w:val="none"/>
                <w:lang w:val="en-US" w:eastAsia="zh-CN" w:bidi="ar-SA"/>
              </w:rPr>
              <w:t>0</w:t>
            </w:r>
            <w:r>
              <w:rPr>
                <w:rFonts w:hint="eastAsia" w:ascii="Times New Roman" w:hAnsi="Times New Roman" w:cs="Times New Roman"/>
                <w:color w:val="auto"/>
                <w:spacing w:val="-6"/>
                <w:w w:val="90"/>
                <w:kern w:val="2"/>
                <w:sz w:val="20"/>
                <w:szCs w:val="16"/>
                <w:highlight w:val="none"/>
                <w:lang w:val="en-US" w:eastAsia="zh-CN" w:bidi="ar-SA"/>
              </w:rPr>
              <w:t>.</w:t>
            </w:r>
            <w:r>
              <w:rPr>
                <w:rFonts w:hint="eastAsia" w:ascii="Times New Roman" w:hAnsi="Times New Roman" w:cs="Times New Roman"/>
                <w:color w:val="auto"/>
                <w:spacing w:val="-6"/>
                <w:w w:val="90"/>
                <w:kern w:val="2"/>
                <w:sz w:val="20"/>
                <w:szCs w:val="16"/>
                <w:highlight w:val="none"/>
                <w:lang w:val="en-US" w:eastAsia="zh-CN" w:bidi="ar-SA"/>
              </w:rPr>
              <w:t>07</w:t>
            </w:r>
            <w:r>
              <w:rPr>
                <w:rFonts w:hint="eastAsia" w:ascii="Times New Roman" w:hAnsi="Times New Roman" w:cs="Times New Roman"/>
                <w:color w:val="auto"/>
                <w:spacing w:val="-6"/>
                <w:w w:val="90"/>
                <w:kern w:val="2"/>
                <w:sz w:val="20"/>
                <w:szCs w:val="16"/>
                <w:highlight w:val="none"/>
                <w:lang w:val="en-US" w:eastAsia="zh-CN" w:bidi="ar-SA"/>
              </w:rPr>
              <w:t>～</w:t>
            </w:r>
            <w:r>
              <w:rPr>
                <w:rFonts w:hint="eastAsia" w:ascii="Times New Roman" w:hAnsi="Times New Roman" w:cs="Times New Roman"/>
                <w:color w:val="auto"/>
                <w:spacing w:val="-6"/>
                <w:w w:val="90"/>
                <w:kern w:val="2"/>
                <w:sz w:val="20"/>
                <w:szCs w:val="16"/>
                <w:highlight w:val="none"/>
                <w:lang w:val="en-US" w:eastAsia="zh-CN" w:bidi="ar-SA"/>
              </w:rPr>
              <w:t>0</w:t>
            </w:r>
            <w:r>
              <w:rPr>
                <w:rFonts w:hint="eastAsia" w:ascii="Times New Roman" w:hAnsi="Times New Roman" w:cs="Times New Roman"/>
                <w:color w:val="auto"/>
                <w:spacing w:val="-6"/>
                <w:w w:val="90"/>
                <w:kern w:val="2"/>
                <w:sz w:val="20"/>
                <w:szCs w:val="16"/>
                <w:highlight w:val="none"/>
                <w:lang w:val="en-US" w:eastAsia="zh-CN" w:bidi="ar-SA"/>
              </w:rPr>
              <w:t>.</w:t>
            </w:r>
            <w:r>
              <w:rPr>
                <w:rFonts w:hint="eastAsia" w:ascii="Times New Roman" w:hAnsi="Times New Roman" w:cs="Times New Roman"/>
                <w:color w:val="auto"/>
                <w:spacing w:val="-6"/>
                <w:w w:val="90"/>
                <w:kern w:val="2"/>
                <w:sz w:val="20"/>
                <w:szCs w:val="16"/>
                <w:highlight w:val="none"/>
                <w:lang w:val="en-US" w:eastAsia="zh-CN" w:bidi="ar-SA"/>
              </w:rPr>
              <w:t>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玉米烘干转送+</w:t>
            </w:r>
            <w:r>
              <w:rPr>
                <w:rFonts w:hint="eastAsia" w:ascii="Times New Roman" w:hAnsi="Times New Roman"/>
                <w:color w:val="000000"/>
                <w:spacing w:val="-6"/>
                <w:w w:val="90"/>
                <w:sz w:val="20"/>
                <w:szCs w:val="16"/>
                <w:lang w:val="en-US" w:eastAsia="zh-CN"/>
              </w:rPr>
              <w:t>34m</w:t>
            </w:r>
            <w:r>
              <w:rPr>
                <w:rFonts w:hint="eastAsia"/>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DA015</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auto"/>
                <w:spacing w:val="-6"/>
                <w:w w:val="90"/>
                <w:kern w:val="2"/>
                <w:sz w:val="20"/>
                <w:szCs w:val="16"/>
                <w:highlight w:val="none"/>
                <w:lang w:val="en-US" w:eastAsia="zh-CN" w:bidi="ar-SA"/>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ascii="Times New Roman" w:hAnsi="Times New Roman" w:cs="Times New Roman"/>
                <w:color w:val="auto"/>
                <w:spacing w:val="-6"/>
                <w:w w:val="90"/>
                <w:kern w:val="2"/>
                <w:sz w:val="20"/>
                <w:szCs w:val="16"/>
                <w:highlight w:val="none"/>
                <w:lang w:val="en-US" w:eastAsia="zh-CN" w:bidi="ar-SA"/>
              </w:rPr>
              <w:t>0</w:t>
            </w:r>
            <w:r>
              <w:rPr>
                <w:rFonts w:hint="eastAsia" w:ascii="Times New Roman" w:hAnsi="Times New Roman" w:cs="Times New Roman"/>
                <w:color w:val="auto"/>
                <w:spacing w:val="-6"/>
                <w:w w:val="90"/>
                <w:kern w:val="2"/>
                <w:sz w:val="20"/>
                <w:szCs w:val="16"/>
                <w:highlight w:val="none"/>
                <w:lang w:val="en-US" w:eastAsia="zh-CN" w:bidi="ar-SA"/>
              </w:rPr>
              <w:t>.</w:t>
            </w:r>
            <w:r>
              <w:rPr>
                <w:rFonts w:hint="eastAsia" w:ascii="Times New Roman" w:hAnsi="Times New Roman" w:cs="Times New Roman"/>
                <w:color w:val="auto"/>
                <w:spacing w:val="-6"/>
                <w:w w:val="90"/>
                <w:kern w:val="2"/>
                <w:sz w:val="20"/>
                <w:szCs w:val="16"/>
                <w:highlight w:val="none"/>
                <w:lang w:val="en-US" w:eastAsia="zh-CN" w:bidi="ar-SA"/>
              </w:rPr>
              <w:t>27</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玉米烘干转送+</w:t>
            </w:r>
            <w:r>
              <w:rPr>
                <w:rFonts w:hint="eastAsia" w:ascii="Times New Roman" w:hAnsi="Times New Roman"/>
                <w:color w:val="000000"/>
                <w:spacing w:val="-6"/>
                <w:w w:val="90"/>
                <w:sz w:val="20"/>
                <w:szCs w:val="16"/>
                <w:lang w:val="en-US" w:eastAsia="zh-CN"/>
              </w:rPr>
              <w:t>34m</w:t>
            </w:r>
            <w:r>
              <w:rPr>
                <w:rFonts w:hint="eastAsia"/>
                <w:color w:val="000000"/>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DA016</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宋体" w:eastAsia="宋体" w:cs="Times New Roman"/>
                <w:color w:val="auto"/>
                <w:spacing w:val="-6"/>
                <w:w w:val="90"/>
                <w:kern w:val="2"/>
                <w:sz w:val="20"/>
                <w:szCs w:val="16"/>
                <w:highlight w:val="none"/>
                <w:lang w:val="en-US" w:eastAsia="zh-CN" w:bidi="ar-SA"/>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20</w:t>
            </w:r>
          </w:p>
        </w:tc>
        <w:tc>
          <w:tcPr>
            <w:tcW w:w="1661"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ascii="Times New Roman" w:hAnsi="Times New Roman" w:cs="Times New Roman"/>
                <w:color w:val="auto"/>
                <w:spacing w:val="-6"/>
                <w:w w:val="90"/>
                <w:kern w:val="2"/>
                <w:sz w:val="20"/>
                <w:szCs w:val="16"/>
                <w:highlight w:val="none"/>
                <w:lang w:val="en-US" w:eastAsia="zh-CN" w:bidi="ar-SA"/>
              </w:rPr>
              <w:t>0</w:t>
            </w:r>
            <w:r>
              <w:rPr>
                <w:rFonts w:hint="eastAsia" w:ascii="Times New Roman" w:hAnsi="Times New Roman" w:cs="Times New Roman"/>
                <w:color w:val="auto"/>
                <w:spacing w:val="-6"/>
                <w:w w:val="90"/>
                <w:kern w:val="2"/>
                <w:sz w:val="20"/>
                <w:szCs w:val="16"/>
                <w:highlight w:val="none"/>
                <w:lang w:val="en-US" w:eastAsia="zh-CN" w:bidi="ar-SA"/>
              </w:rPr>
              <w:t>.</w:t>
            </w:r>
            <w:r>
              <w:rPr>
                <w:rFonts w:hint="eastAsia" w:ascii="Times New Roman" w:hAnsi="Times New Roman" w:cs="Times New Roman"/>
                <w:color w:val="auto"/>
                <w:spacing w:val="-6"/>
                <w:w w:val="90"/>
                <w:kern w:val="2"/>
                <w:sz w:val="20"/>
                <w:szCs w:val="16"/>
                <w:highlight w:val="none"/>
                <w:lang w:val="en-US" w:eastAsia="zh-CN" w:bidi="ar-SA"/>
              </w:rPr>
              <w:t>14</w:t>
            </w:r>
          </w:p>
        </w:tc>
        <w:tc>
          <w:tcPr>
            <w:tcW w:w="1118" w:type="dxa"/>
            <w:vMerge w:val="continue"/>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Times New Roman" w:hAnsi="Times New Roman" w:eastAsia="宋体" w:cs="Times New Roman"/>
                <w:color w:val="000000"/>
                <w:spacing w:val="-6"/>
                <w:w w:val="90"/>
                <w:kern w:val="2"/>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宋体" w:eastAsia="宋体" w:cs="Times New Roman"/>
                <w:color w:val="000000"/>
                <w:spacing w:val="-6"/>
                <w:w w:val="90"/>
                <w:kern w:val="2"/>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color w:val="auto"/>
                <w:spacing w:val="-6"/>
                <w:w w:val="90"/>
                <w:sz w:val="20"/>
                <w:szCs w:val="16"/>
                <w:highlight w:val="none"/>
                <w:lang w:eastAsia="zh-CN"/>
              </w:rPr>
              <w:t>包装车间（淀粉）</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15m</w:t>
            </w:r>
            <w:r>
              <w:rPr>
                <w:rFonts w:hint="eastAsia"/>
                <w:color w:val="auto"/>
                <w:spacing w:val="-6"/>
                <w:w w:val="90"/>
                <w:sz w:val="20"/>
                <w:szCs w:val="16"/>
                <w:highlight w:val="none"/>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DA030</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14</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0"/>
                <w:szCs w:val="16"/>
                <w:lang w:val="en-US" w:eastAsia="zh-CN"/>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8</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w:t>
            </w:r>
          </w:p>
        </w:tc>
        <w:tc>
          <w:tcPr>
            <w:tcW w:w="1661"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027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0414</w:t>
            </w:r>
          </w:p>
        </w:tc>
        <w:tc>
          <w:tcPr>
            <w:tcW w:w="1118" w:type="dxa"/>
            <w:vMerge w:val="restar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r>
              <w:rPr>
                <w:rFonts w:hint="eastAsia"/>
                <w:color w:val="000000"/>
                <w:spacing w:val="-6"/>
                <w:w w:val="90"/>
                <w:sz w:val="21"/>
                <w:szCs w:val="18"/>
                <w:lang w:eastAsia="zh-CN"/>
              </w:rPr>
              <w:t>袋式除尘</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highlight w:val="none"/>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highlight w:val="none"/>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color w:val="auto"/>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highlight w:val="none"/>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highlight w:val="none"/>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color w:val="auto"/>
                <w:spacing w:val="-6"/>
                <w:w w:val="90"/>
                <w:sz w:val="20"/>
                <w:szCs w:val="16"/>
                <w:lang w:eastAsia="zh-CN"/>
              </w:rPr>
              <w:t>包装车间（副产品）</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15m</w:t>
            </w:r>
            <w:r>
              <w:rPr>
                <w:rFonts w:hint="eastAsia"/>
                <w:color w:val="auto"/>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DA031</w:t>
            </w:r>
          </w:p>
        </w:tc>
        <w:tc>
          <w:tcPr>
            <w:tcW w:w="1985"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2019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14</w:t>
            </w:r>
          </w:p>
        </w:tc>
        <w:tc>
          <w:tcPr>
            <w:tcW w:w="1570"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0"/>
                <w:szCs w:val="16"/>
                <w:lang w:val="en-US" w:eastAsia="zh-CN"/>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验收监测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0148</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0206</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p>
        </w:tc>
        <w:tc>
          <w:tcPr>
            <w:tcW w:w="1985"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0"/>
                <w:szCs w:val="16"/>
                <w:lang w:val="en-US" w:eastAsia="zh-CN"/>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8</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淀粉干燥+</w:t>
            </w:r>
            <w:r>
              <w:rPr>
                <w:rFonts w:hint="eastAsia" w:ascii="Times New Roman" w:hAnsi="Times New Roman"/>
                <w:color w:val="auto"/>
                <w:spacing w:val="-6"/>
                <w:w w:val="90"/>
                <w:sz w:val="20"/>
                <w:szCs w:val="16"/>
                <w:highlight w:val="none"/>
                <w:lang w:val="en-US" w:eastAsia="zh-CN"/>
              </w:rPr>
              <w:t>17m</w:t>
            </w:r>
            <w:r>
              <w:rPr>
                <w:rFonts w:hint="eastAsia"/>
                <w:color w:val="auto"/>
                <w:spacing w:val="-6"/>
                <w:w w:val="90"/>
                <w:sz w:val="20"/>
                <w:szCs w:val="16"/>
                <w:highlight w:val="none"/>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DA024</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eastAsia="zh-CN"/>
              </w:rPr>
            </w:pPr>
            <w:r>
              <w:rPr>
                <w:rFonts w:hint="eastAsia"/>
                <w:color w:val="000000"/>
                <w:spacing w:val="-6"/>
                <w:w w:val="90"/>
                <w:sz w:val="21"/>
                <w:szCs w:val="18"/>
                <w:lang w:eastAsia="zh-CN"/>
              </w:rPr>
              <w:t>旋风除尘</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color w:val="auto"/>
                <w:spacing w:val="-6"/>
                <w:w w:val="90"/>
                <w:sz w:val="20"/>
                <w:szCs w:val="16"/>
                <w:lang w:val="en-US" w:eastAsia="zh-CN"/>
              </w:rPr>
              <w:t>淀粉干燥废气+</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DA025</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color w:val="auto"/>
                <w:spacing w:val="-6"/>
                <w:w w:val="90"/>
                <w:sz w:val="20"/>
                <w:szCs w:val="16"/>
                <w:lang w:val="en-US" w:eastAsia="zh-CN"/>
              </w:rPr>
              <w:t>淀粉干燥+</w:t>
            </w:r>
            <w:r>
              <w:rPr>
                <w:rFonts w:hint="eastAsia" w:ascii="Times New Roman" w:hAnsi="Times New Roman"/>
                <w:color w:val="auto"/>
                <w:spacing w:val="-6"/>
                <w:w w:val="90"/>
                <w:sz w:val="20"/>
                <w:szCs w:val="16"/>
                <w:lang w:val="en-US" w:eastAsia="zh-CN"/>
              </w:rPr>
              <w:t>17m</w:t>
            </w:r>
            <w:r>
              <w:rPr>
                <w:rFonts w:hint="eastAsia"/>
                <w:color w:val="auto"/>
                <w:spacing w:val="-6"/>
                <w:w w:val="90"/>
                <w:sz w:val="20"/>
                <w:szCs w:val="16"/>
                <w:lang w:val="en-US" w:eastAsia="zh-CN"/>
              </w:rPr>
              <w:t>排气筒</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DA026</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颗粒物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20</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color w:val="auto"/>
                <w:spacing w:val="-6"/>
                <w:w w:val="90"/>
                <w:sz w:val="20"/>
                <w:szCs w:val="16"/>
                <w:highlight w:val="none"/>
                <w:lang w:val="en-US" w:eastAsia="zh-CN"/>
              </w:rPr>
              <w:t>/</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300</w:t>
            </w:r>
            <w:r>
              <w:rPr>
                <w:rFonts w:hint="eastAsia"/>
                <w:color w:val="auto"/>
                <w:spacing w:val="-6"/>
                <w:w w:val="90"/>
                <w:sz w:val="20"/>
                <w:szCs w:val="16"/>
                <w:lang w:val="en-US" w:eastAsia="zh-CN"/>
              </w:rPr>
              <w:t>#发酵罐废气+</w:t>
            </w:r>
            <w:r>
              <w:rPr>
                <w:rFonts w:hint="eastAsia" w:ascii="Times New Roman" w:hAnsi="Times New Roman"/>
                <w:color w:val="auto"/>
                <w:spacing w:val="-6"/>
                <w:w w:val="90"/>
                <w:sz w:val="20"/>
                <w:szCs w:val="16"/>
                <w:lang w:val="en-US" w:eastAsia="zh-CN"/>
              </w:rPr>
              <w:t>27m</w:t>
            </w:r>
            <w:r>
              <w:rPr>
                <w:rFonts w:hint="eastAsia"/>
                <w:color w:val="auto"/>
                <w:spacing w:val="-6"/>
                <w:w w:val="90"/>
                <w:sz w:val="20"/>
                <w:szCs w:val="16"/>
                <w:lang w:val="en-US" w:eastAsia="zh-CN"/>
              </w:rPr>
              <w:t>排气筒（间歇排放）</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DA045</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lang w:val="en-US" w:eastAsia="zh-CN" w:bidi="ar-SA"/>
              </w:rPr>
            </w:pPr>
            <w:r>
              <w:rPr>
                <w:rFonts w:hint="eastAsia" w:ascii="Times New Roman" w:hAnsi="Times New Roman" w:cs="Times New Roman"/>
                <w:color w:val="000000"/>
                <w:spacing w:val="-6"/>
                <w:w w:val="90"/>
                <w:sz w:val="20"/>
                <w:szCs w:val="16"/>
                <w:lang w:val="en-US" w:eastAsia="zh-CN" w:bidi="ar-SA"/>
              </w:rPr>
              <w:t>2022</w:t>
            </w:r>
            <w:r>
              <w:rPr>
                <w:rFonts w:hint="eastAsia" w:cs="Times New Roman"/>
                <w:color w:val="000000"/>
                <w:spacing w:val="-6"/>
                <w:w w:val="90"/>
                <w:sz w:val="20"/>
                <w:szCs w:val="16"/>
                <w:lang w:val="en-US" w:eastAsia="zh-CN" w:bidi="ar-SA"/>
              </w:rPr>
              <w:t>.</w:t>
            </w:r>
            <w:r>
              <w:rPr>
                <w:rFonts w:hint="eastAsia" w:ascii="Times New Roman" w:hAnsi="Times New Roman" w:cs="Times New Roman"/>
                <w:color w:val="000000"/>
                <w:spacing w:val="-6"/>
                <w:w w:val="90"/>
                <w:sz w:val="20"/>
                <w:szCs w:val="16"/>
                <w:lang w:val="en-US" w:eastAsia="zh-CN" w:bidi="ar-SA"/>
              </w:rPr>
              <w:t>5</w:t>
            </w:r>
            <w:r>
              <w:rPr>
                <w:rFonts w:hint="eastAsia" w:cs="Times New Roman"/>
                <w:color w:val="000000"/>
                <w:spacing w:val="-6"/>
                <w:w w:val="90"/>
                <w:sz w:val="20"/>
                <w:szCs w:val="16"/>
                <w:lang w:val="en-US" w:eastAsia="zh-CN" w:bidi="ar-SA"/>
              </w:rPr>
              <w:t>.</w:t>
            </w:r>
            <w:r>
              <w:rPr>
                <w:rFonts w:hint="eastAsia" w:ascii="Times New Roman" w:hAnsi="Times New Roman" w:cs="Times New Roman"/>
                <w:color w:val="000000"/>
                <w:spacing w:val="-6"/>
                <w:w w:val="90"/>
                <w:sz w:val="20"/>
                <w:szCs w:val="16"/>
                <w:lang w:val="en-US" w:eastAsia="zh-CN" w:bidi="ar-SA"/>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49</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61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005</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007</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二级水喷淋</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1"/>
                <w:szCs w:val="18"/>
                <w:lang w:val="en-US" w:eastAsia="zh-CN" w:bidi="ar-SA"/>
              </w:rPr>
            </w:pPr>
            <w:r>
              <w:rPr>
                <w:rFonts w:hint="eastAsia" w:ascii="Times New Roman" w:hAnsi="Times New Roman" w:cs="Times New Roman"/>
                <w:color w:val="000000"/>
                <w:spacing w:val="-6"/>
                <w:w w:val="90"/>
                <w:sz w:val="21"/>
                <w:szCs w:val="18"/>
                <w:lang w:val="en-US" w:eastAsia="zh-CN" w:bidi="ar-SA"/>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1"/>
                <w:szCs w:val="18"/>
                <w:lang w:val="en-US" w:eastAsia="zh-CN" w:bidi="ar-SA"/>
              </w:rPr>
            </w:pPr>
            <w:r>
              <w:rPr>
                <w:rFonts w:hint="eastAsia" w:cs="Times New Roman"/>
                <w:color w:val="000000"/>
                <w:spacing w:val="-6"/>
                <w:w w:val="90"/>
                <w:sz w:val="21"/>
                <w:szCs w:val="18"/>
                <w:lang w:val="en-US" w:eastAsia="zh-CN" w:bidi="ar-SA"/>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s="Times New Roman"/>
                <w:color w:val="000000"/>
                <w:spacing w:val="-6"/>
                <w:w w:val="90"/>
                <w:sz w:val="21"/>
                <w:szCs w:val="18"/>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lang w:val="en-US" w:eastAsia="zh-CN" w:bidi="ar-SA"/>
              </w:rPr>
            </w:pPr>
            <w:r>
              <w:rPr>
                <w:rFonts w:hint="eastAsia" w:ascii="Times New Roman" w:hAnsi="Times New Roman" w:cs="Times New Roman"/>
                <w:color w:val="000000"/>
                <w:spacing w:val="-6"/>
                <w:w w:val="90"/>
                <w:sz w:val="20"/>
                <w:szCs w:val="16"/>
                <w:lang w:val="en-US" w:eastAsia="zh-CN" w:bidi="ar-SA"/>
              </w:rPr>
              <w:t>2022</w:t>
            </w:r>
            <w:r>
              <w:rPr>
                <w:rFonts w:hint="eastAsia" w:cs="Times New Roman"/>
                <w:color w:val="000000"/>
                <w:spacing w:val="-6"/>
                <w:w w:val="90"/>
                <w:sz w:val="20"/>
                <w:szCs w:val="16"/>
                <w:lang w:val="en-US" w:eastAsia="zh-CN" w:bidi="ar-SA"/>
              </w:rPr>
              <w:t>.</w:t>
            </w:r>
            <w:r>
              <w:rPr>
                <w:rFonts w:hint="eastAsia" w:ascii="Times New Roman" w:hAnsi="Times New Roman" w:cs="Times New Roman"/>
                <w:color w:val="000000"/>
                <w:spacing w:val="-6"/>
                <w:w w:val="90"/>
                <w:sz w:val="20"/>
                <w:szCs w:val="16"/>
                <w:lang w:val="en-US" w:eastAsia="zh-CN" w:bidi="ar-SA"/>
              </w:rPr>
              <w:t>8</w:t>
            </w:r>
            <w:r>
              <w:rPr>
                <w:rFonts w:hint="eastAsia" w:cs="Times New Roman"/>
                <w:color w:val="000000"/>
                <w:spacing w:val="-6"/>
                <w:w w:val="90"/>
                <w:sz w:val="20"/>
                <w:szCs w:val="16"/>
                <w:lang w:val="en-US" w:eastAsia="zh-CN" w:bidi="ar-SA"/>
              </w:rPr>
              <w:t>.</w:t>
            </w:r>
            <w:r>
              <w:rPr>
                <w:rFonts w:hint="eastAsia" w:ascii="Times New Roman" w:hAnsi="Times New Roman" w:cs="Times New Roman"/>
                <w:color w:val="000000"/>
                <w:spacing w:val="-6"/>
                <w:w w:val="90"/>
                <w:sz w:val="20"/>
                <w:szCs w:val="16"/>
                <w:lang w:val="en-US" w:eastAsia="zh-CN" w:bidi="ar-SA"/>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92</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1</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43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013</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019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s="Times New Roman"/>
                <w:color w:val="000000"/>
                <w:spacing w:val="-6"/>
                <w:w w:val="90"/>
                <w:sz w:val="21"/>
                <w:szCs w:val="18"/>
                <w:lang w:val="en-US" w:eastAsia="zh-CN" w:bidi="ar-SA"/>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s="Times New Roman"/>
                <w:color w:val="000000"/>
                <w:spacing w:val="-6"/>
                <w:w w:val="90"/>
                <w:sz w:val="21"/>
                <w:szCs w:val="18"/>
                <w:lang w:val="en-US" w:eastAsia="zh-CN" w:bidi="ar-SA"/>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s="Times New Roman"/>
                <w:color w:val="000000"/>
                <w:spacing w:val="-6"/>
                <w:w w:val="90"/>
                <w:sz w:val="21"/>
                <w:szCs w:val="18"/>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lang w:val="en-US" w:eastAsia="zh-CN" w:bidi="ar-SA"/>
              </w:rPr>
            </w:pPr>
            <w:r>
              <w:rPr>
                <w:rFonts w:hint="eastAsia" w:ascii="Times New Roman" w:hAnsi="Times New Roman" w:cs="Times New Roman"/>
                <w:color w:val="000000"/>
                <w:spacing w:val="-6"/>
                <w:w w:val="90"/>
                <w:sz w:val="20"/>
                <w:szCs w:val="16"/>
                <w:lang w:val="en-US" w:eastAsia="zh-CN" w:bidi="ar-SA"/>
              </w:rPr>
              <w:t>2022</w:t>
            </w:r>
            <w:r>
              <w:rPr>
                <w:rFonts w:hint="eastAsia" w:cs="Times New Roman"/>
                <w:color w:val="000000"/>
                <w:spacing w:val="-6"/>
                <w:w w:val="90"/>
                <w:sz w:val="20"/>
                <w:szCs w:val="16"/>
                <w:lang w:val="en-US" w:eastAsia="zh-CN" w:bidi="ar-SA"/>
              </w:rPr>
              <w:t>.</w:t>
            </w:r>
            <w:r>
              <w:rPr>
                <w:rFonts w:hint="eastAsia" w:ascii="Times New Roman" w:hAnsi="Times New Roman" w:cs="Times New Roman"/>
                <w:color w:val="000000"/>
                <w:spacing w:val="-6"/>
                <w:w w:val="90"/>
                <w:sz w:val="20"/>
                <w:szCs w:val="16"/>
                <w:lang w:val="en-US" w:eastAsia="zh-CN" w:bidi="ar-SA"/>
              </w:rPr>
              <w:t>12</w:t>
            </w:r>
            <w:r>
              <w:rPr>
                <w:rFonts w:hint="eastAsia" w:cs="Times New Roman"/>
                <w:color w:val="000000"/>
                <w:spacing w:val="-6"/>
                <w:w w:val="90"/>
                <w:sz w:val="20"/>
                <w:szCs w:val="16"/>
                <w:lang w:val="en-US" w:eastAsia="zh-CN" w:bidi="ar-SA"/>
              </w:rPr>
              <w:t>.</w:t>
            </w:r>
            <w:r>
              <w:rPr>
                <w:rFonts w:hint="eastAsia" w:ascii="Times New Roman" w:hAnsi="Times New Roman" w:cs="Times New Roman"/>
                <w:color w:val="000000"/>
                <w:spacing w:val="-6"/>
                <w:w w:val="90"/>
                <w:sz w:val="20"/>
                <w:szCs w:val="16"/>
                <w:lang w:val="en-US" w:eastAsia="zh-CN" w:bidi="ar-SA"/>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29</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02</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36</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66</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olor w:val="auto"/>
                <w:spacing w:val="-6"/>
                <w:w w:val="90"/>
                <w:sz w:val="20"/>
                <w:szCs w:val="16"/>
                <w:lang w:val="en-US" w:eastAsia="zh-CN"/>
              </w:rPr>
              <w:t>800</w:t>
            </w:r>
            <w:r>
              <w:rPr>
                <w:rFonts w:hint="eastAsia"/>
                <w:color w:val="auto"/>
                <w:spacing w:val="-6"/>
                <w:w w:val="90"/>
                <w:sz w:val="20"/>
                <w:szCs w:val="16"/>
                <w:lang w:val="en-US" w:eastAsia="zh-CN"/>
              </w:rPr>
              <w:t>#发酵罐废气+</w:t>
            </w:r>
            <w:r>
              <w:rPr>
                <w:rFonts w:hint="eastAsia" w:ascii="Times New Roman" w:hAnsi="Times New Roman"/>
                <w:color w:val="auto"/>
                <w:spacing w:val="-6"/>
                <w:w w:val="90"/>
                <w:sz w:val="20"/>
                <w:szCs w:val="16"/>
                <w:lang w:val="en-US" w:eastAsia="zh-CN"/>
              </w:rPr>
              <w:t>27m</w:t>
            </w:r>
            <w:r>
              <w:rPr>
                <w:rFonts w:hint="eastAsia"/>
                <w:color w:val="auto"/>
                <w:spacing w:val="-6"/>
                <w:w w:val="90"/>
                <w:sz w:val="20"/>
                <w:szCs w:val="16"/>
                <w:lang w:val="en-US" w:eastAsia="zh-CN"/>
              </w:rPr>
              <w:t>排气筒（间歇排放）</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r>
              <w:rPr>
                <w:rFonts w:hint="eastAsia" w:ascii="Times New Roman" w:hAnsi="Times New Roman"/>
                <w:color w:val="auto"/>
                <w:spacing w:val="-6"/>
                <w:w w:val="90"/>
                <w:sz w:val="20"/>
                <w:szCs w:val="16"/>
                <w:lang w:val="en-US" w:eastAsia="zh-CN"/>
              </w:rPr>
              <w:t>DA044</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s="Times New Roman"/>
                <w:color w:val="000000"/>
                <w:spacing w:val="-6"/>
                <w:w w:val="90"/>
                <w:kern w:val="2"/>
                <w:sz w:val="20"/>
                <w:szCs w:val="16"/>
                <w:lang w:val="en-US" w:eastAsia="zh-CN" w:bidi="ar-SA"/>
              </w:rPr>
              <w:t>2022</w:t>
            </w:r>
            <w:r>
              <w:rPr>
                <w:rFonts w:hint="eastAsia" w:ascii="Times New Roman" w:hAnsi="Times New Roman"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5</w:t>
            </w:r>
            <w:r>
              <w:rPr>
                <w:rFonts w:hint="eastAsia" w:ascii="Times New Roman" w:hAnsi="Times New Roman"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65</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83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007</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009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s="Times New Roman"/>
                <w:color w:val="000000"/>
                <w:spacing w:val="-6"/>
                <w:w w:val="90"/>
                <w:kern w:val="2"/>
                <w:sz w:val="20"/>
                <w:szCs w:val="16"/>
                <w:lang w:val="en-US" w:eastAsia="zh-CN" w:bidi="ar-SA"/>
              </w:rPr>
              <w:t>2022</w:t>
            </w:r>
            <w:r>
              <w:rPr>
                <w:rFonts w:hint="eastAsia" w:ascii="Times New Roman" w:hAnsi="Times New Roman"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8</w:t>
            </w:r>
            <w:r>
              <w:rPr>
                <w:rFonts w:hint="eastAsia" w:ascii="Times New Roman" w:hAnsi="Times New Roman"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2</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99</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3</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44</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004</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w:t>
            </w:r>
            <w:r>
              <w:rPr>
                <w:rFonts w:hint="eastAsia" w:cs="Times New Roman"/>
                <w:color w:val="auto"/>
                <w:spacing w:val="-6"/>
                <w:w w:val="90"/>
                <w:sz w:val="20"/>
                <w:szCs w:val="16"/>
                <w:highlight w:val="none"/>
                <w:lang w:val="en-US" w:eastAsia="zh-CN" w:bidi="ar-SA"/>
              </w:rPr>
              <w:t>.</w:t>
            </w:r>
            <w:r>
              <w:rPr>
                <w:rFonts w:hint="eastAsia" w:ascii="Times New Roman" w:hAnsi="Times New Roman" w:cs="Times New Roman"/>
                <w:color w:val="auto"/>
                <w:spacing w:val="-6"/>
                <w:w w:val="90"/>
                <w:sz w:val="20"/>
                <w:szCs w:val="16"/>
                <w:highlight w:val="none"/>
                <w:lang w:val="en-US" w:eastAsia="zh-CN" w:bidi="ar-SA"/>
              </w:rPr>
              <w:t>05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s="Times New Roman"/>
                <w:color w:val="000000"/>
                <w:spacing w:val="-6"/>
                <w:w w:val="90"/>
                <w:kern w:val="2"/>
                <w:sz w:val="20"/>
                <w:szCs w:val="16"/>
                <w:lang w:val="en-US" w:eastAsia="zh-CN" w:bidi="ar-SA"/>
              </w:rPr>
              <w:t>2022</w:t>
            </w:r>
            <w:r>
              <w:rPr>
                <w:rFonts w:hint="eastAsia" w:ascii="Times New Roman" w:hAnsi="Times New Roman"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12</w:t>
            </w:r>
            <w:r>
              <w:rPr>
                <w:rFonts w:hint="eastAsia" w:ascii="Times New Roman" w:hAnsi="Times New Roman" w:cs="Times New Roman"/>
                <w:color w:val="000000"/>
                <w:spacing w:val="-6"/>
                <w:w w:val="90"/>
                <w:kern w:val="2"/>
                <w:sz w:val="20"/>
                <w:szCs w:val="16"/>
                <w:lang w:val="en-US" w:eastAsia="zh-CN" w:bidi="ar-SA"/>
              </w:rPr>
              <w:t>.</w:t>
            </w:r>
            <w:r>
              <w:rPr>
                <w:rFonts w:hint="eastAsia" w:ascii="Times New Roman" w:hAnsi="Times New Roman" w:cs="Times New Roman"/>
                <w:color w:val="000000"/>
                <w:spacing w:val="-6"/>
                <w:w w:val="90"/>
                <w:kern w:val="2"/>
                <w:sz w:val="20"/>
                <w:szCs w:val="16"/>
                <w:lang w:val="en-US" w:eastAsia="zh-CN" w:bidi="ar-SA"/>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071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cs="Times New Roman"/>
                <w:color w:val="000000"/>
                <w:spacing w:val="-6"/>
                <w:w w:val="90"/>
                <w:kern w:val="2"/>
                <w:sz w:val="20"/>
                <w:szCs w:val="16"/>
                <w:lang w:val="en-US" w:eastAsia="zh-CN" w:bidi="ar-SA"/>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ascii="宋体" w:hAnsi="宋体" w:eastAsia="宋体" w:cs="Times New Roman"/>
                <w:color w:val="000000"/>
                <w:spacing w:val="-6"/>
                <w:w w:val="90"/>
                <w:sz w:val="21"/>
                <w:szCs w:val="18"/>
                <w:lang w:val="en-US" w:eastAsia="zh-CN" w:bidi="ar-SA"/>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PA</w:t>
            </w:r>
            <w:r>
              <w:rPr>
                <w:rFonts w:hint="eastAsia"/>
                <w:color w:val="auto"/>
                <w:spacing w:val="-6"/>
                <w:w w:val="90"/>
                <w:sz w:val="20"/>
                <w:szCs w:val="16"/>
                <w:lang w:val="en-US" w:eastAsia="zh-CN"/>
              </w:rPr>
              <w:t>车间聚合釜放空废气+</w:t>
            </w:r>
            <w:r>
              <w:rPr>
                <w:rFonts w:hint="eastAsia" w:ascii="Times New Roman" w:hAnsi="Times New Roman"/>
                <w:color w:val="auto"/>
                <w:spacing w:val="-6"/>
                <w:w w:val="90"/>
                <w:sz w:val="20"/>
                <w:szCs w:val="16"/>
                <w:lang w:val="en-US" w:eastAsia="zh-CN"/>
              </w:rPr>
              <w:t>40m</w:t>
            </w:r>
            <w:r>
              <w:rPr>
                <w:rFonts w:hint="eastAsia"/>
                <w:color w:val="auto"/>
                <w:spacing w:val="-6"/>
                <w:w w:val="90"/>
                <w:sz w:val="20"/>
                <w:szCs w:val="16"/>
                <w:lang w:val="en-US" w:eastAsia="zh-CN"/>
              </w:rPr>
              <w:t>排气筒（间歇排放）</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color w:val="auto"/>
                <w:spacing w:val="-6"/>
                <w:w w:val="90"/>
                <w:sz w:val="20"/>
                <w:szCs w:val="16"/>
                <w:lang w:val="en-US" w:eastAsia="zh-CN"/>
              </w:rPr>
              <w:t>/</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99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008</w:t>
            </w:r>
          </w:p>
        </w:tc>
        <w:tc>
          <w:tcPr>
            <w:tcW w:w="1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1"/>
                <w:szCs w:val="18"/>
                <w:lang w:val="en-US" w:eastAsia="zh-CN" w:bidi="ar-SA"/>
              </w:rPr>
            </w:pPr>
            <w:r>
              <w:rPr>
                <w:rFonts w:hint="eastAsia" w:cs="Times New Roman"/>
                <w:color w:val="000000"/>
                <w:spacing w:val="-6"/>
                <w:w w:val="90"/>
                <w:sz w:val="21"/>
                <w:szCs w:val="18"/>
                <w:lang w:val="en-US" w:eastAsia="zh-CN" w:bidi="ar-SA"/>
              </w:rPr>
              <w:t>二级水膜+碱喷淋</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350</w:t>
            </w:r>
            <w:r>
              <w:rPr>
                <w:rFonts w:hint="eastAsia"/>
                <w:color w:val="auto"/>
                <w:spacing w:val="-6"/>
                <w:w w:val="90"/>
                <w:sz w:val="20"/>
                <w:szCs w:val="16"/>
                <w:highlight w:val="none"/>
                <w:lang w:val="en-US" w:eastAsia="zh-CN"/>
              </w:rPr>
              <w:t>单元除臭废气+</w:t>
            </w:r>
            <w:r>
              <w:rPr>
                <w:rFonts w:hint="eastAsia" w:ascii="Times New Roman" w:hAnsi="Times New Roman"/>
                <w:color w:val="auto"/>
                <w:spacing w:val="-6"/>
                <w:w w:val="90"/>
                <w:sz w:val="20"/>
                <w:szCs w:val="16"/>
                <w:highlight w:val="none"/>
                <w:lang w:val="en-US" w:eastAsia="zh-CN"/>
              </w:rPr>
              <w:t>27m</w:t>
            </w:r>
            <w:r>
              <w:rPr>
                <w:rFonts w:hint="eastAsia"/>
                <w:color w:val="auto"/>
                <w:spacing w:val="-6"/>
                <w:w w:val="90"/>
                <w:sz w:val="20"/>
                <w:szCs w:val="16"/>
                <w:highlight w:val="none"/>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DA042</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45</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003</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eastAsia="宋体"/>
                <w:color w:val="000000"/>
                <w:spacing w:val="-6"/>
                <w:w w:val="90"/>
                <w:sz w:val="21"/>
                <w:szCs w:val="18"/>
                <w:lang w:val="en-US" w:eastAsia="zh-CN"/>
              </w:rPr>
            </w:pPr>
            <w:r>
              <w:rPr>
                <w:rFonts w:hint="eastAsia"/>
                <w:color w:val="000000"/>
                <w:spacing w:val="-6"/>
                <w:w w:val="90"/>
                <w:sz w:val="21"/>
                <w:szCs w:val="18"/>
                <w:lang w:eastAsia="zh-CN"/>
              </w:rPr>
              <w:t>酸吸收（</w:t>
            </w:r>
            <w:r>
              <w:rPr>
                <w:rFonts w:hint="eastAsia" w:ascii="Times New Roman" w:hAnsi="Times New Roman"/>
                <w:color w:val="000000"/>
                <w:spacing w:val="-6"/>
                <w:w w:val="90"/>
                <w:sz w:val="21"/>
                <w:szCs w:val="18"/>
                <w:lang w:val="en-US" w:eastAsia="zh-CN"/>
              </w:rPr>
              <w:t>30</w:t>
            </w:r>
            <w:r>
              <w:rPr>
                <w:rFonts w:hint="eastAsia"/>
                <w:color w:val="000000"/>
                <w:spacing w:val="-6"/>
                <w:w w:val="90"/>
                <w:sz w:val="21"/>
                <w:szCs w:val="18"/>
                <w:lang w:val="en-US" w:eastAsia="zh-CN"/>
              </w:rPr>
              <w:t>%硫酸</w:t>
            </w:r>
            <w:r>
              <w:rPr>
                <w:rFonts w:hint="eastAsia"/>
                <w:color w:val="000000"/>
                <w:spacing w:val="-6"/>
                <w:w w:val="90"/>
                <w:sz w:val="21"/>
                <w:szCs w:val="18"/>
                <w:lang w:eastAsia="zh-CN"/>
              </w:rPr>
              <w:t>）</w:t>
            </w:r>
            <w:r>
              <w:rPr>
                <w:rFonts w:hint="eastAsia"/>
                <w:color w:val="000000"/>
                <w:spacing w:val="-6"/>
                <w:w w:val="90"/>
                <w:sz w:val="21"/>
                <w:szCs w:val="18"/>
                <w:lang w:val="en-US" w:eastAsia="zh-CN"/>
              </w:rPr>
              <w:t>+水洗</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34</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055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hAnsi="宋体"/>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30</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lang w:val="en-US" w:eastAsia="zh-CN" w:bidi="ar-SA"/>
              </w:rPr>
            </w:pPr>
            <w:r>
              <w:rPr>
                <w:rFonts w:hint="eastAsia"/>
                <w:color w:val="auto"/>
                <w:spacing w:val="-6"/>
                <w:w w:val="90"/>
                <w:sz w:val="20"/>
                <w:szCs w:val="16"/>
                <w:lang w:val="en-US" w:eastAsia="zh-CN"/>
              </w:rPr>
              <w:t>臭气浓度（无量纲）</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1"/>
                <w:szCs w:val="18"/>
                <w:lang w:val="en-US" w:eastAsia="zh-CN" w:bidi="ar-SA"/>
              </w:rPr>
            </w:pPr>
            <w:r>
              <w:rPr>
                <w:rFonts w:hint="eastAsia"/>
                <w:color w:val="auto"/>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173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309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auto"/>
                <w:spacing w:val="-6"/>
                <w:w w:val="90"/>
                <w:sz w:val="21"/>
                <w:szCs w:val="18"/>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1"/>
                <w:szCs w:val="18"/>
                <w:lang w:val="en-US" w:eastAsia="zh-CN"/>
              </w:rPr>
            </w:pPr>
            <w:r>
              <w:rPr>
                <w:rFonts w:hint="eastAsia" w:ascii="Times New Roman" w:hAnsi="Times New Roman"/>
                <w:color w:val="auto"/>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42</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014</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1"/>
                <w:szCs w:val="18"/>
                <w:lang w:val="en-US" w:eastAsia="zh-CN"/>
              </w:rPr>
            </w:pPr>
            <w:r>
              <w:rPr>
                <w:rFonts w:hint="eastAsia" w:ascii="Times New Roman" w:hAnsi="Times New Roman"/>
                <w:color w:val="auto"/>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1"/>
                <w:szCs w:val="18"/>
                <w:lang w:val="en-US" w:eastAsia="zh-CN"/>
              </w:rPr>
            </w:pP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48</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000000"/>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1"/>
                <w:szCs w:val="18"/>
                <w:lang w:val="en-US" w:eastAsia="zh-CN" w:bidi="ar-SA"/>
              </w:rPr>
            </w:pPr>
            <w:r>
              <w:rPr>
                <w:rFonts w:hint="eastAsia" w:ascii="Times New Roman" w:hAnsi="Times New Roman"/>
                <w:color w:val="auto"/>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1"/>
                <w:szCs w:val="18"/>
                <w:lang w:val="en-US" w:eastAsia="zh-CN" w:bidi="ar-SA"/>
              </w:rPr>
            </w:pPr>
            <w:r>
              <w:rPr>
                <w:rFonts w:hint="eastAsia"/>
                <w:color w:val="auto"/>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auto"/>
                <w:spacing w:val="-6"/>
                <w:w w:val="90"/>
                <w:sz w:val="20"/>
                <w:szCs w:val="16"/>
                <w:lang w:val="en-US" w:eastAsia="zh-CN" w:bidi="ar-SA"/>
              </w:rPr>
            </w:pPr>
            <w:r>
              <w:rPr>
                <w:rFonts w:hint="eastAsia" w:ascii="Times New Roman" w:hAnsi="Times New Roman" w:cs="Times New Roman"/>
                <w:color w:val="auto"/>
                <w:spacing w:val="-6"/>
                <w:w w:val="90"/>
                <w:sz w:val="20"/>
                <w:szCs w:val="16"/>
                <w:lang w:val="en-US" w:eastAsia="zh-CN" w:bidi="ar-SA"/>
              </w:rPr>
              <w:t>H</w:t>
            </w:r>
            <w:r>
              <w:rPr>
                <w:rFonts w:hint="eastAsia" w:ascii="Times New Roman" w:hAnsi="Times New Roman" w:cs="Times New Roman"/>
                <w:color w:val="auto"/>
                <w:spacing w:val="-6"/>
                <w:w w:val="90"/>
                <w:sz w:val="20"/>
                <w:szCs w:val="16"/>
                <w:vertAlign w:val="subscript"/>
                <w:lang w:val="en-US" w:eastAsia="zh-CN" w:bidi="ar-SA"/>
              </w:rPr>
              <w:t>2</w:t>
            </w:r>
            <w:r>
              <w:rPr>
                <w:rFonts w:hint="eastAsia" w:ascii="Times New Roman" w:hAnsi="Times New Roman" w:cs="Times New Roman"/>
                <w:color w:val="auto"/>
                <w:spacing w:val="-6"/>
                <w:w w:val="90"/>
                <w:sz w:val="20"/>
                <w:szCs w:val="16"/>
                <w:lang w:val="en-US" w:eastAsia="zh-CN" w:bidi="ar-SA"/>
              </w:rPr>
              <w:t>S</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1"/>
                <w:szCs w:val="18"/>
                <w:lang w:val="en-US" w:eastAsia="zh-CN" w:bidi="ar-SA"/>
              </w:rPr>
            </w:pPr>
            <w:r>
              <w:rPr>
                <w:rFonts w:hint="eastAsia"/>
                <w:color w:val="auto"/>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019</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45E</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97E</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auto"/>
                <w:spacing w:val="-6"/>
                <w:w w:val="90"/>
                <w:sz w:val="21"/>
                <w:szCs w:val="18"/>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1"/>
                <w:szCs w:val="18"/>
                <w:lang w:val="en-US" w:eastAsia="zh-CN"/>
              </w:rPr>
            </w:pPr>
            <w:r>
              <w:rPr>
                <w:rFonts w:hint="eastAsia"/>
                <w:color w:val="auto"/>
                <w:spacing w:val="-6"/>
                <w:w w:val="90"/>
                <w:sz w:val="21"/>
                <w:szCs w:val="18"/>
                <w:lang w:val="en-US" w:eastAsia="zh-CN"/>
              </w:rPr>
              <w:t>/</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1"/>
                <w:szCs w:val="18"/>
                <w:lang w:val="en-US" w:eastAsia="zh-CN"/>
              </w:rPr>
            </w:pPr>
            <w:r>
              <w:rPr>
                <w:rFonts w:hint="eastAsia" w:ascii="Times New Roman" w:hAnsi="Times New Roman"/>
                <w:color w:val="auto"/>
                <w:spacing w:val="-6"/>
                <w:w w:val="90"/>
                <w:sz w:val="21"/>
                <w:szCs w:val="18"/>
                <w:lang w:val="en-US" w:eastAsia="zh-CN"/>
              </w:rPr>
              <w:t>1</w:t>
            </w:r>
            <w:r>
              <w:rPr>
                <w:rFonts w:hint="eastAsia"/>
                <w:color w:val="auto"/>
                <w:spacing w:val="-6"/>
                <w:w w:val="90"/>
                <w:sz w:val="21"/>
                <w:szCs w:val="18"/>
                <w:lang w:val="en-US" w:eastAsia="zh-CN"/>
              </w:rPr>
              <w:t>.</w:t>
            </w:r>
            <w:r>
              <w:rPr>
                <w:rFonts w:hint="eastAsia" w:ascii="Times New Roman" w:hAnsi="Times New Roman"/>
                <w:color w:val="auto"/>
                <w:spacing w:val="-6"/>
                <w:w w:val="90"/>
                <w:sz w:val="21"/>
                <w:szCs w:val="18"/>
                <w:lang w:val="en-US" w:eastAsia="zh-CN"/>
              </w:rPr>
              <w:t>3</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Times New Roman" w:hAnsi="Times New Roman" w:eastAsia="宋体" w:cs="Times New Roman"/>
                <w:color w:val="auto"/>
                <w:spacing w:val="-6"/>
                <w:w w:val="90"/>
                <w:kern w:val="2"/>
                <w:sz w:val="20"/>
                <w:szCs w:val="16"/>
                <w:lang w:val="en-US" w:eastAsia="zh-CN" w:bidi="ar-SA"/>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r>
              <w:rPr>
                <w:rFonts w:hint="eastAsia"/>
                <w:color w:val="auto"/>
                <w:spacing w:val="-6"/>
                <w:w w:val="90"/>
                <w:sz w:val="20"/>
                <w:szCs w:val="16"/>
                <w:lang w:val="en-US" w:eastAsia="zh-CN"/>
              </w:rPr>
              <w:t>臭气浓度</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1"/>
                <w:szCs w:val="18"/>
                <w:lang w:val="en-US" w:eastAsia="zh-CN"/>
              </w:rPr>
            </w:pPr>
            <w:r>
              <w:rPr>
                <w:rFonts w:hint="eastAsia"/>
                <w:color w:val="auto"/>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229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309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color w:val="auto"/>
                <w:spacing w:val="-6"/>
                <w:w w:val="90"/>
                <w:sz w:val="21"/>
                <w:szCs w:val="18"/>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1"/>
                <w:szCs w:val="18"/>
                <w:lang w:val="en-US" w:eastAsia="zh-CN"/>
              </w:rPr>
            </w:pPr>
            <w:r>
              <w:rPr>
                <w:rFonts w:hint="eastAsia" w:ascii="Times New Roman" w:hAnsi="Times New Roman"/>
                <w:color w:val="auto"/>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DN</w:t>
            </w:r>
            <w:r>
              <w:rPr>
                <w:rFonts w:hint="eastAsia"/>
                <w:color w:val="auto"/>
                <w:spacing w:val="-6"/>
                <w:w w:val="90"/>
                <w:sz w:val="20"/>
                <w:szCs w:val="16"/>
                <w:lang w:val="en-US" w:eastAsia="zh-CN"/>
              </w:rPr>
              <w:t>精馏废气+</w:t>
            </w:r>
            <w:r>
              <w:rPr>
                <w:rFonts w:hint="eastAsia" w:ascii="Times New Roman" w:hAnsi="Times New Roman"/>
                <w:color w:val="auto"/>
                <w:spacing w:val="-6"/>
                <w:w w:val="90"/>
                <w:sz w:val="20"/>
                <w:szCs w:val="16"/>
                <w:lang w:val="en-US" w:eastAsia="zh-CN"/>
              </w:rPr>
              <w:t>20m</w:t>
            </w:r>
            <w:r>
              <w:rPr>
                <w:rFonts w:hint="eastAsia"/>
                <w:color w:val="auto"/>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DA034</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臭气浓度（无量纲）</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验收监测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173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309</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eastAsia="zh-CN"/>
              </w:rPr>
              <w:t>二级水膜</w:t>
            </w:r>
            <w:r>
              <w:rPr>
                <w:rFonts w:hint="eastAsia"/>
                <w:color w:val="000000"/>
                <w:spacing w:val="-6"/>
                <w:w w:val="90"/>
                <w:sz w:val="21"/>
                <w:szCs w:val="18"/>
                <w:lang w:val="en-US" w:eastAsia="zh-CN"/>
              </w:rPr>
              <w:t>+水喷淋</w:t>
            </w: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eastAsia="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eastAsia="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臭气浓度（无量纲）</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131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229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臭气浓度（无量纲）</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3090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5495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auto"/>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24</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51</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009</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NMHC</w:t>
            </w:r>
          </w:p>
        </w:tc>
        <w:tc>
          <w:tcPr>
            <w:tcW w:w="930" w:type="dxa"/>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84</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121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153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45</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DN</w:t>
            </w:r>
            <w:r>
              <w:rPr>
                <w:rFonts w:hint="eastAsia"/>
                <w:color w:val="auto"/>
                <w:spacing w:val="-6"/>
                <w:w w:val="90"/>
                <w:sz w:val="20"/>
                <w:szCs w:val="16"/>
                <w:lang w:val="en-US" w:eastAsia="zh-CN"/>
              </w:rPr>
              <w:t>提取废气+</w:t>
            </w:r>
            <w:r>
              <w:rPr>
                <w:rFonts w:hint="eastAsia" w:ascii="Times New Roman" w:hAnsi="Times New Roman"/>
                <w:color w:val="auto"/>
                <w:spacing w:val="-6"/>
                <w:w w:val="90"/>
                <w:sz w:val="20"/>
                <w:szCs w:val="16"/>
                <w:lang w:val="en-US" w:eastAsia="zh-CN"/>
              </w:rPr>
              <w:t>23m</w:t>
            </w:r>
            <w:r>
              <w:rPr>
                <w:rFonts w:hint="eastAsia"/>
                <w:color w:val="auto"/>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DA033</w:t>
            </w: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ascii="Times New Roman" w:hAnsi="Times New Roman"/>
                <w:color w:val="000000"/>
                <w:spacing w:val="-6"/>
                <w:w w:val="90"/>
                <w:sz w:val="20"/>
                <w:szCs w:val="16"/>
                <w:lang w:val="en-US" w:eastAsia="zh-CN"/>
              </w:rPr>
              <w:t>2020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0"/>
                <w:szCs w:val="16"/>
                <w:lang w:val="en-US" w:eastAsia="zh-CN" w:bidi="ar-SA"/>
              </w:rPr>
            </w:pPr>
            <w:r>
              <w:rPr>
                <w:rFonts w:hint="eastAsia"/>
                <w:color w:val="000000"/>
                <w:spacing w:val="-6"/>
                <w:w w:val="90"/>
                <w:sz w:val="20"/>
                <w:szCs w:val="16"/>
                <w:lang w:val="en-US" w:eastAsia="zh-CN"/>
              </w:rPr>
              <w:t>臭气浓度（无量纲）</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Times New Roman" w:hAnsi="Times New Roman" w:eastAsia="宋体" w:cs="Times New Roman"/>
                <w:color w:val="000000"/>
                <w:spacing w:val="-6"/>
                <w:w w:val="90"/>
                <w:kern w:val="2"/>
                <w:sz w:val="21"/>
                <w:szCs w:val="18"/>
                <w:lang w:val="en-US" w:eastAsia="zh-CN" w:bidi="ar-SA"/>
              </w:rPr>
            </w:pPr>
            <w:r>
              <w:rPr>
                <w:rFonts w:hint="eastAsia"/>
                <w:color w:val="000000"/>
                <w:spacing w:val="-6"/>
                <w:w w:val="90"/>
                <w:sz w:val="21"/>
                <w:szCs w:val="18"/>
                <w:lang w:val="en-US" w:eastAsia="zh-CN"/>
              </w:rPr>
              <w:t>验收监测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977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1318</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一级水膜</w:t>
            </w: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hAnsi="宋体"/>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臭气浓度（无量纲）</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173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309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臭气浓度（无量纲）</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4168</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5495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auto"/>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8</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24</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81</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016</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56</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2022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12</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84</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8</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71</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085</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20</w:t>
            </w:r>
          </w:p>
        </w:tc>
        <w:tc>
          <w:tcPr>
            <w:tcW w:w="1661"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002</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color w:val="auto"/>
                <w:spacing w:val="-6"/>
                <w:w w:val="90"/>
                <w:sz w:val="20"/>
                <w:szCs w:val="16"/>
                <w:lang w:eastAsia="zh-CN"/>
              </w:rPr>
              <w:t>动力站锅炉烟气</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100m</w:t>
            </w:r>
            <w:r>
              <w:rPr>
                <w:rFonts w:hint="eastAsia"/>
                <w:color w:val="auto"/>
                <w:spacing w:val="-6"/>
                <w:w w:val="90"/>
                <w:sz w:val="20"/>
                <w:szCs w:val="16"/>
                <w:lang w:val="en-US" w:eastAsia="zh-CN"/>
              </w:rPr>
              <w:t>烟囱</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DA001</w:t>
            </w: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2022</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12</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林格曼黑度</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eastAsia="宋体"/>
                <w:color w:val="auto"/>
                <w:spacing w:val="-6"/>
                <w:w w:val="90"/>
                <w:sz w:val="20"/>
                <w:szCs w:val="16"/>
                <w:highlight w:val="none"/>
                <w:lang w:val="en-US" w:eastAsia="zh-CN"/>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1</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spacing w:val="-6"/>
                <w:w w:val="90"/>
                <w:sz w:val="21"/>
                <w:szCs w:val="20"/>
                <w:lang w:val="en-US" w:eastAsia="zh-CN"/>
              </w:rPr>
              <w:t>SNCR</w:t>
            </w:r>
            <w:r>
              <w:rPr>
                <w:rFonts w:hint="eastAsia" w:ascii="Times New Roman" w:hAnsi="Times New Roman"/>
                <w:spacing w:val="-6"/>
                <w:w w:val="90"/>
                <w:sz w:val="21"/>
                <w:szCs w:val="20"/>
                <w:lang w:val="en-US" w:eastAsia="zh-CN"/>
              </w:rPr>
              <w:t>+</w:t>
            </w:r>
            <w:r>
              <w:rPr>
                <w:rFonts w:hint="eastAsia" w:ascii="Times New Roman" w:hAnsi="Times New Roman"/>
                <w:spacing w:val="-6"/>
                <w:w w:val="90"/>
                <w:sz w:val="21"/>
                <w:szCs w:val="20"/>
                <w:lang w:val="en-US" w:eastAsia="zh-CN"/>
              </w:rPr>
              <w:t>SCR</w:t>
            </w:r>
            <w:r>
              <w:rPr>
                <w:rFonts w:hint="eastAsia" w:ascii="Times New Roman" w:hAnsi="Times New Roman"/>
                <w:spacing w:val="-6"/>
                <w:w w:val="90"/>
                <w:sz w:val="21"/>
                <w:szCs w:val="20"/>
                <w:lang w:val="en-US" w:eastAsia="zh-CN"/>
              </w:rPr>
              <w:t>脱硝+</w:t>
            </w:r>
            <w:r>
              <w:rPr>
                <w:rFonts w:hint="eastAsia"/>
                <w:spacing w:val="-6"/>
                <w:w w:val="90"/>
                <w:sz w:val="21"/>
                <w:szCs w:val="20"/>
                <w:lang w:eastAsia="zh-CN"/>
              </w:rPr>
              <w:t>电袋复合除尘</w:t>
            </w:r>
            <w:r>
              <w:rPr>
                <w:rFonts w:hint="eastAsia"/>
                <w:spacing w:val="-6"/>
                <w:w w:val="90"/>
                <w:sz w:val="21"/>
                <w:szCs w:val="20"/>
                <w:lang w:val="en-US" w:eastAsia="zh-CN"/>
              </w:rPr>
              <w:t>+氨法脱硫</w:t>
            </w: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val="en-US" w:eastAsia="zh-CN"/>
              </w:rPr>
            </w:pPr>
            <w:r>
              <w:rPr>
                <w:rFonts w:hint="eastAsia" w:hAnsi="宋体"/>
                <w:color w:val="000000"/>
                <w:spacing w:val="-6"/>
                <w:w w:val="90"/>
                <w:sz w:val="20"/>
                <w:szCs w:val="16"/>
              </w:rPr>
              <w:t>＜</w:t>
            </w:r>
            <w:r>
              <w:rPr>
                <w:rFonts w:hint="eastAsia" w:ascii="Times New Roman" w:hAnsi="Times New Roman"/>
                <w:color w:val="000000"/>
                <w:spacing w:val="-6"/>
                <w:w w:val="90"/>
                <w:sz w:val="20"/>
                <w:szCs w:val="16"/>
                <w:lang w:val="en-US" w:eastAsia="zh-CN"/>
              </w:rPr>
              <w:t>1</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lang w:val="en-US" w:eastAsia="zh-CN" w:bidi="ar-SA"/>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汞及其化合物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0034</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auto"/>
                <w:spacing w:val="-6"/>
                <w:w w:val="90"/>
                <w:sz w:val="20"/>
                <w:szCs w:val="16"/>
                <w:highlight w:val="none"/>
                <w:lang w:val="en-US" w:eastAsia="zh-CN" w:bidi="ar-SA"/>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0007</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0</w:t>
            </w:r>
            <w:r>
              <w:rPr>
                <w:rFonts w:hint="eastAsia"/>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03</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2022</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12</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10</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林格曼黑度</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hAnsi="宋体"/>
                <w:color w:val="auto"/>
                <w:spacing w:val="-6"/>
                <w:w w:val="90"/>
                <w:sz w:val="20"/>
                <w:szCs w:val="16"/>
                <w:highlight w:val="none"/>
              </w:rPr>
              <w:t>＜</w:t>
            </w:r>
            <w:r>
              <w:rPr>
                <w:rFonts w:hint="eastAsia" w:ascii="Times New Roman" w:hAnsi="Times New Roman"/>
                <w:color w:val="auto"/>
                <w:spacing w:val="-6"/>
                <w:w w:val="90"/>
                <w:sz w:val="20"/>
                <w:szCs w:val="16"/>
                <w:highlight w:val="none"/>
                <w:lang w:val="en-US" w:eastAsia="zh-CN"/>
              </w:rPr>
              <w:t>1</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ascii="宋体" w:hAnsi="宋体" w:eastAsia="宋体" w:cs="Times New Roman"/>
                <w:color w:val="000000"/>
                <w:spacing w:val="-6"/>
                <w:w w:val="90"/>
                <w:sz w:val="21"/>
                <w:szCs w:val="18"/>
                <w:lang w:val="en-US" w:eastAsia="zh-CN" w:bidi="ar-SA"/>
              </w:rPr>
            </w:pPr>
            <w:r>
              <w:rPr>
                <w:rFonts w:hint="eastAsia" w:hAnsi="宋体"/>
                <w:color w:val="000000"/>
                <w:spacing w:val="-6"/>
                <w:w w:val="90"/>
                <w:sz w:val="20"/>
                <w:szCs w:val="16"/>
              </w:rPr>
              <w:t>＜</w:t>
            </w:r>
            <w:r>
              <w:rPr>
                <w:rFonts w:hint="eastAsia" w:ascii="Times New Roman" w:hAnsi="Times New Roman"/>
                <w:color w:val="000000"/>
                <w:spacing w:val="-6"/>
                <w:w w:val="90"/>
                <w:sz w:val="20"/>
                <w:szCs w:val="16"/>
                <w:lang w:val="en-US" w:eastAsia="zh-CN"/>
              </w:rPr>
              <w:t>1</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汞及其化合物</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0025</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00021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00026</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0</w:t>
            </w:r>
            <w:r>
              <w:rPr>
                <w:rFonts w:hint="eastAsia"/>
                <w:color w:val="000000"/>
                <w:spacing w:val="-6"/>
                <w:w w:val="90"/>
                <w:sz w:val="21"/>
                <w:szCs w:val="18"/>
                <w:lang w:val="en-US" w:eastAsia="zh-CN"/>
              </w:rPr>
              <w:t>.</w:t>
            </w:r>
            <w:r>
              <w:rPr>
                <w:rFonts w:hint="eastAsia" w:ascii="Times New Roman" w:hAnsi="Times New Roman"/>
                <w:color w:val="000000"/>
                <w:spacing w:val="-6"/>
                <w:w w:val="90"/>
                <w:sz w:val="21"/>
                <w:szCs w:val="18"/>
                <w:lang w:val="en-US" w:eastAsia="zh-CN"/>
              </w:rPr>
              <w:t>03</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color w:val="auto"/>
                <w:spacing w:val="-6"/>
                <w:w w:val="90"/>
                <w:sz w:val="20"/>
                <w:szCs w:val="16"/>
                <w:lang w:eastAsia="zh-CN"/>
              </w:rPr>
              <w:t>固废库除臭工序</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30m</w:t>
            </w:r>
            <w:r>
              <w:rPr>
                <w:rFonts w:hint="eastAsia"/>
                <w:color w:val="auto"/>
                <w:spacing w:val="-6"/>
                <w:w w:val="90"/>
                <w:sz w:val="20"/>
                <w:szCs w:val="16"/>
                <w:lang w:val="en-US" w:eastAsia="zh-CN"/>
              </w:rPr>
              <w:t>排气筒</w:t>
            </w:r>
          </w:p>
        </w:tc>
        <w:tc>
          <w:tcPr>
            <w:tcW w:w="7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DA043</w:t>
            </w: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2022</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8</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3</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53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1</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69</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077</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088</w:t>
            </w:r>
          </w:p>
        </w:tc>
        <w:tc>
          <w:tcPr>
            <w:tcW w:w="11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eastAsia="zh-CN"/>
              </w:rPr>
              <w:t>酸吸收</w:t>
            </w:r>
            <w:r>
              <w:rPr>
                <w:rFonts w:hint="eastAsia"/>
                <w:color w:val="000000"/>
                <w:spacing w:val="-6"/>
                <w:w w:val="90"/>
                <w:sz w:val="21"/>
                <w:szCs w:val="18"/>
                <w:lang w:val="en-US" w:eastAsia="zh-CN"/>
              </w:rPr>
              <w:t>+水洗</w:t>
            </w: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color w:val="000000"/>
                <w:spacing w:val="-6"/>
                <w:w w:val="90"/>
                <w:sz w:val="21"/>
                <w:szCs w:val="18"/>
                <w:lang w:val="en-US" w:eastAsia="zh-CN"/>
              </w:rPr>
              <w:t>/</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6</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6</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31</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32</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0</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1"/>
                <w:szCs w:val="18"/>
                <w:lang w:val="en-US" w:eastAsia="zh-CN"/>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color w:val="000000"/>
                <w:spacing w:val="-6"/>
                <w:w w:val="90"/>
                <w:sz w:val="20"/>
                <w:szCs w:val="16"/>
                <w:lang w:val="en-US" w:eastAsia="zh-CN"/>
              </w:rPr>
              <w:t>臭气浓度</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val="en-US" w:eastAsia="zh-CN"/>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highlight w:val="none"/>
                <w:lang w:val="en-US" w:eastAsia="zh-CN"/>
              </w:rPr>
            </w:pPr>
            <w:r>
              <w:rPr>
                <w:rFonts w:hint="eastAsia" w:ascii="Times New Roman" w:hAnsi="Times New Roman"/>
                <w:color w:val="auto"/>
                <w:spacing w:val="-6"/>
                <w:w w:val="90"/>
                <w:sz w:val="20"/>
                <w:szCs w:val="16"/>
                <w:highlight w:val="none"/>
                <w:lang w:val="en-US" w:eastAsia="zh-CN"/>
              </w:rPr>
              <w:t>173</w:t>
            </w:r>
            <w:r>
              <w:rPr>
                <w:rFonts w:hint="eastAsia"/>
                <w:color w:val="auto"/>
                <w:spacing w:val="-6"/>
                <w:w w:val="90"/>
                <w:sz w:val="20"/>
                <w:szCs w:val="16"/>
                <w:highlight w:val="none"/>
                <w:lang w:val="en-US" w:eastAsia="zh-CN"/>
              </w:rPr>
              <w:t>～</w:t>
            </w:r>
            <w:r>
              <w:rPr>
                <w:rFonts w:hint="eastAsia" w:ascii="Times New Roman" w:hAnsi="Times New Roman"/>
                <w:color w:val="auto"/>
                <w:spacing w:val="-6"/>
                <w:w w:val="90"/>
                <w:sz w:val="20"/>
                <w:szCs w:val="16"/>
                <w:highlight w:val="none"/>
                <w:lang w:val="en-US" w:eastAsia="zh-CN"/>
              </w:rPr>
              <w:t>309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auto"/>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auto"/>
                <w:spacing w:val="-6"/>
                <w:w w:val="90"/>
                <w:sz w:val="20"/>
                <w:szCs w:val="16"/>
                <w:lang w:val="en-US" w:eastAsia="zh-CN"/>
              </w:rPr>
            </w:pPr>
            <w:r>
              <w:rPr>
                <w:rFonts w:hint="eastAsia" w:ascii="Times New Roman" w:hAnsi="Times New Roman"/>
                <w:color w:val="auto"/>
                <w:spacing w:val="-6"/>
                <w:w w:val="90"/>
                <w:sz w:val="20"/>
                <w:szCs w:val="16"/>
                <w:lang w:val="en-US" w:eastAsia="zh-CN"/>
              </w:rPr>
              <w:t>2022</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12</w:t>
            </w:r>
            <w:r>
              <w:rPr>
                <w:rFonts w:hint="eastAsia"/>
                <w:color w:val="auto"/>
                <w:spacing w:val="-6"/>
                <w:w w:val="90"/>
                <w:sz w:val="20"/>
                <w:szCs w:val="16"/>
                <w:lang w:val="en-US" w:eastAsia="zh-CN"/>
              </w:rPr>
              <w:t>.</w:t>
            </w:r>
            <w:r>
              <w:rPr>
                <w:rFonts w:hint="eastAsia" w:ascii="Times New Roman" w:hAnsi="Times New Roman"/>
                <w:color w:val="auto"/>
                <w:spacing w:val="-6"/>
                <w:w w:val="90"/>
                <w:sz w:val="20"/>
                <w:szCs w:val="16"/>
                <w:lang w:val="en-US" w:eastAsia="zh-CN"/>
              </w:rPr>
              <w:t>11</w:t>
            </w: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NH</w:t>
            </w:r>
            <w:r>
              <w:rPr>
                <w:rFonts w:hint="eastAsia" w:ascii="Times New Roman" w:hAnsi="Times New Roman"/>
                <w:color w:val="000000"/>
                <w:spacing w:val="-6"/>
                <w:w w:val="90"/>
                <w:sz w:val="20"/>
                <w:szCs w:val="16"/>
                <w:vertAlign w:val="subscript"/>
                <w:lang w:val="en-US" w:eastAsia="zh-CN"/>
              </w:rPr>
              <w:t>3</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3</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56</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13</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111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163</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val="en-US" w:eastAsia="zh-CN"/>
              </w:rPr>
            </w:pPr>
            <w:r>
              <w:rPr>
                <w:rFonts w:hint="eastAsia"/>
                <w:color w:val="000000"/>
                <w:spacing w:val="-6"/>
                <w:w w:val="90"/>
                <w:sz w:val="21"/>
                <w:szCs w:val="18"/>
                <w:lang w:val="en-US" w:eastAsia="zh-CN"/>
              </w:rPr>
              <w:t>/</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s="Times New Roman"/>
                <w:color w:val="000000"/>
                <w:spacing w:val="-6"/>
                <w:w w:val="90"/>
                <w:sz w:val="20"/>
                <w:szCs w:val="16"/>
                <w:lang w:val="en-US" w:eastAsia="zh-CN" w:bidi="ar-SA"/>
              </w:rPr>
              <w:t>H</w:t>
            </w:r>
            <w:r>
              <w:rPr>
                <w:rFonts w:hint="eastAsia" w:ascii="Times New Roman" w:hAnsi="Times New Roman" w:cs="Times New Roman"/>
                <w:color w:val="000000"/>
                <w:spacing w:val="-6"/>
                <w:w w:val="90"/>
                <w:sz w:val="20"/>
                <w:szCs w:val="16"/>
                <w:vertAlign w:val="subscript"/>
                <w:lang w:val="en-US" w:eastAsia="zh-CN" w:bidi="ar-SA"/>
              </w:rPr>
              <w:t>2</w:t>
            </w:r>
            <w:r>
              <w:rPr>
                <w:rFonts w:hint="eastAsia" w:ascii="Times New Roman" w:hAnsi="Times New Roman" w:cs="Times New Roman"/>
                <w:color w:val="000000"/>
                <w:spacing w:val="-6"/>
                <w:w w:val="90"/>
                <w:sz w:val="20"/>
                <w:szCs w:val="16"/>
                <w:lang w:val="en-US" w:eastAsia="zh-CN" w:bidi="ar-SA"/>
              </w:rPr>
              <w:t>S</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017</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02</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5</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31E</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6</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14E</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4</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ascii="Times New Roman" w:hAnsi="Times New Roman"/>
                <w:color w:val="000000"/>
                <w:spacing w:val="-6"/>
                <w:w w:val="90"/>
                <w:sz w:val="21"/>
                <w:szCs w:val="18"/>
                <w:lang w:val="en-US" w:eastAsia="zh-CN"/>
              </w:rPr>
              <w:t>60</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ascii="Times New Roman" w:hAnsi="Times New Roman"/>
                <w:color w:val="000000"/>
                <w:spacing w:val="-6"/>
                <w:w w:val="90"/>
                <w:sz w:val="20"/>
                <w:szCs w:val="16"/>
                <w:lang w:val="en-US" w:eastAsia="zh-CN"/>
              </w:rPr>
              <w:t>NMHC</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1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31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1</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55</w:t>
            </w:r>
          </w:p>
        </w:tc>
        <w:tc>
          <w:tcPr>
            <w:tcW w:w="16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04</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05</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7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color w:val="000000"/>
                <w:spacing w:val="-6"/>
                <w:w w:val="90"/>
                <w:sz w:val="21"/>
                <w:szCs w:val="18"/>
                <w:lang w:val="en-US" w:eastAsia="zh-CN"/>
              </w:rPr>
              <w:t>/</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20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4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eastAsia="zh-CN"/>
              </w:rPr>
            </w:pPr>
          </w:p>
        </w:tc>
        <w:tc>
          <w:tcPr>
            <w:tcW w:w="7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auto"/>
                <w:spacing w:val="-6"/>
                <w:w w:val="90"/>
                <w:sz w:val="20"/>
                <w:szCs w:val="16"/>
                <w:lang w:val="en-US" w:eastAsia="zh-CN"/>
              </w:rPr>
            </w:pPr>
          </w:p>
        </w:tc>
        <w:tc>
          <w:tcPr>
            <w:tcW w:w="15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0"/>
                <w:szCs w:val="16"/>
                <w:lang w:val="en-US" w:eastAsia="zh-CN" w:bidi="ar-SA"/>
              </w:rPr>
            </w:pPr>
            <w:r>
              <w:rPr>
                <w:rFonts w:hint="eastAsia"/>
                <w:color w:val="000000"/>
                <w:spacing w:val="-6"/>
                <w:w w:val="90"/>
                <w:sz w:val="20"/>
                <w:szCs w:val="16"/>
                <w:lang w:val="en-US" w:eastAsia="zh-CN"/>
              </w:rPr>
              <w:t>臭气浓度</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ascii="宋体" w:hAnsi="宋体" w:eastAsia="宋体" w:cs="Times New Roman"/>
                <w:color w:val="000000"/>
                <w:spacing w:val="-6"/>
                <w:w w:val="90"/>
                <w:sz w:val="21"/>
                <w:szCs w:val="18"/>
                <w:lang w:val="en-US" w:eastAsia="zh-CN" w:bidi="ar-SA"/>
              </w:rPr>
            </w:pPr>
            <w:r>
              <w:rPr>
                <w:rFonts w:hint="eastAsia"/>
                <w:color w:val="000000"/>
                <w:spacing w:val="-6"/>
                <w:w w:val="90"/>
                <w:sz w:val="21"/>
                <w:szCs w:val="18"/>
                <w:lang w:val="en-US" w:eastAsia="zh-CN"/>
              </w:rPr>
              <w:t>例行监测</w:t>
            </w:r>
          </w:p>
        </w:tc>
        <w:tc>
          <w:tcPr>
            <w:tcW w:w="329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0"/>
                <w:szCs w:val="16"/>
                <w:lang w:val="en-US" w:eastAsia="zh-CN"/>
              </w:rPr>
            </w:pPr>
            <w:r>
              <w:rPr>
                <w:rFonts w:hint="eastAsia" w:ascii="Times New Roman" w:hAnsi="Times New Roman"/>
                <w:color w:val="000000"/>
                <w:spacing w:val="-6"/>
                <w:w w:val="90"/>
                <w:sz w:val="20"/>
                <w:szCs w:val="16"/>
                <w:lang w:val="en-US" w:eastAsia="zh-CN"/>
              </w:rPr>
              <w:t>229</w:t>
            </w:r>
            <w:r>
              <w:rPr>
                <w:rFonts w:hint="eastAsia"/>
                <w:color w:val="000000"/>
                <w:spacing w:val="-6"/>
                <w:w w:val="90"/>
                <w:sz w:val="20"/>
                <w:szCs w:val="16"/>
                <w:lang w:val="en-US" w:eastAsia="zh-CN"/>
              </w:rPr>
              <w:t>～</w:t>
            </w:r>
            <w:r>
              <w:rPr>
                <w:rFonts w:hint="eastAsia" w:ascii="Times New Roman" w:hAnsi="Times New Roman"/>
                <w:color w:val="000000"/>
                <w:spacing w:val="-6"/>
                <w:w w:val="90"/>
                <w:sz w:val="20"/>
                <w:szCs w:val="16"/>
                <w:lang w:val="en-US" w:eastAsia="zh-CN"/>
              </w:rPr>
              <w:t>309</w:t>
            </w:r>
          </w:p>
        </w:tc>
        <w:tc>
          <w:tcPr>
            <w:tcW w:w="11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color w:val="000000"/>
                <w:spacing w:val="-6"/>
                <w:w w:val="90"/>
                <w:sz w:val="21"/>
                <w:szCs w:val="18"/>
                <w:lang w:eastAsia="zh-CN"/>
              </w:rPr>
            </w:pPr>
          </w:p>
        </w:tc>
        <w:tc>
          <w:tcPr>
            <w:tcW w:w="12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default" w:hAnsi="宋体"/>
                <w:color w:val="000000"/>
                <w:spacing w:val="-6"/>
                <w:w w:val="90"/>
                <w:sz w:val="21"/>
                <w:szCs w:val="18"/>
                <w:lang w:val="en-US" w:eastAsia="zh-CN"/>
              </w:rPr>
            </w:pPr>
            <w:r>
              <w:rPr>
                <w:rFonts w:hint="eastAsia" w:ascii="Times New Roman" w:hAnsi="Times New Roman"/>
                <w:color w:val="000000"/>
                <w:spacing w:val="-6"/>
                <w:w w:val="90"/>
                <w:sz w:val="21"/>
                <w:szCs w:val="18"/>
                <w:lang w:val="en-US" w:eastAsia="zh-CN"/>
              </w:rPr>
              <w:t>7800</w:t>
            </w:r>
          </w:p>
        </w:tc>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line="260" w:lineRule="exact"/>
              <w:ind w:firstLine="0" w:firstLineChars="0"/>
              <w:jc w:val="center"/>
              <w:textAlignment w:val="auto"/>
              <w:rPr>
                <w:rFonts w:hint="eastAsia" w:hAnsi="宋体"/>
                <w:color w:val="000000"/>
                <w:spacing w:val="-6"/>
                <w:w w:val="90"/>
                <w:sz w:val="21"/>
                <w:szCs w:val="18"/>
                <w:lang w:eastAsia="zh-CN"/>
              </w:rPr>
            </w:pPr>
            <w:r>
              <w:rPr>
                <w:rFonts w:hint="eastAsia"/>
                <w:color w:val="000000"/>
                <w:spacing w:val="-6"/>
                <w:w w:val="90"/>
                <w:sz w:val="21"/>
                <w:szCs w:val="18"/>
                <w:lang w:eastAsia="zh-CN"/>
              </w:rPr>
              <w:t>达标</w:t>
            </w:r>
          </w:p>
        </w:tc>
      </w:tr>
    </w:tbl>
    <w:p>
      <w:pPr>
        <w:rPr>
          <w:rFonts w:hint="default"/>
          <w:lang w:val="en-US" w:eastAsia="zh-CN"/>
        </w:rPr>
        <w:sectPr>
          <w:pgSz w:w="16838" w:h="11906" w:orient="landscape"/>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default"/>
          <w:lang w:val="en-US" w:eastAsia="zh-CN"/>
        </w:rPr>
      </w:pPr>
      <w:r>
        <w:rPr>
          <w:rFonts w:hint="eastAsia"/>
          <w:lang w:val="en-US" w:eastAsia="zh-CN"/>
        </w:rPr>
        <w:t>根据分析，厂内玉米净化废气主要污染物颗粒物排放满足《大气污染物综合排放标准》（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二级标准；制酸浸泡废气主要污染物</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val="en-US" w:eastAsia="zh-CN"/>
        </w:rPr>
        <w:t>排放满足《大气污染物综合排放标准》（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二级标准；其他产尘点废气主要污染物颗粒物排放满足《合成工业污染物排放标准》（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特别排放限值；发酵车间</w:t>
      </w:r>
      <w:r>
        <w:rPr>
          <w:rFonts w:hint="eastAsia" w:ascii="Times New Roman" w:hAnsi="Times New Roman"/>
          <w:lang w:val="en-US" w:eastAsia="zh-CN"/>
        </w:rPr>
        <w:t>300</w:t>
      </w:r>
      <w:r>
        <w:rPr>
          <w:rFonts w:hint="eastAsia"/>
          <w:lang w:val="en-US" w:eastAsia="zh-CN"/>
        </w:rPr>
        <w:t>#发酵罐和</w:t>
      </w:r>
      <w:r>
        <w:rPr>
          <w:rFonts w:hint="eastAsia" w:ascii="Times New Roman" w:hAnsi="Times New Roman"/>
          <w:lang w:val="en-US" w:eastAsia="zh-CN"/>
        </w:rPr>
        <w:t>800</w:t>
      </w:r>
      <w:r>
        <w:rPr>
          <w:rFonts w:hint="eastAsia"/>
          <w:lang w:val="en-US" w:eastAsia="zh-CN"/>
        </w:rPr>
        <w:t>#发酵罐废气部分引入污水站补充氧，当不需要补氧时废气经发酵车间二级水喷淋处理后排放，主要污染物氨和</w:t>
      </w:r>
      <w:r>
        <w:rPr>
          <w:rFonts w:hint="eastAsia" w:ascii="Times New Roman" w:hAnsi="Times New Roman"/>
          <w:lang w:val="en-US" w:eastAsia="zh-CN"/>
        </w:rPr>
        <w:t>NMHC</w:t>
      </w:r>
      <w:r>
        <w:rPr>
          <w:rFonts w:hint="eastAsia"/>
          <w:lang w:val="en-US" w:eastAsia="zh-CN"/>
        </w:rPr>
        <w:t>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w:t>
      </w:r>
      <w:r>
        <w:rPr>
          <w:rFonts w:hint="eastAsia" w:ascii="Times New Roman" w:hAnsi="Times New Roman"/>
          <w:lang w:val="en-US" w:eastAsia="zh-CN"/>
        </w:rPr>
        <w:t>PA</w:t>
      </w:r>
      <w:r>
        <w:rPr>
          <w:rFonts w:hint="eastAsia"/>
          <w:lang w:val="en-US" w:eastAsia="zh-CN"/>
        </w:rPr>
        <w:t>聚合车间聚合釜放空废气中，主要污染物氨满足《合成树脂工业污染物排放标准》（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w:t>
      </w:r>
      <w:r>
        <w:rPr>
          <w:rFonts w:hint="eastAsia" w:ascii="Times New Roman" w:hAnsi="Times New Roman"/>
          <w:lang w:val="en-US" w:eastAsia="zh-CN"/>
        </w:rPr>
        <w:t>DN</w:t>
      </w:r>
      <w:r>
        <w:rPr>
          <w:rFonts w:hint="eastAsia"/>
          <w:lang w:val="en-US" w:eastAsia="zh-CN"/>
        </w:rPr>
        <w:t>提取车间提取废气和精馏废气中，主要污染物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和</w:t>
      </w:r>
      <w:r>
        <w:rPr>
          <w:rFonts w:hint="eastAsia" w:ascii="Times New Roman" w:hAnsi="Times New Roman"/>
          <w:lang w:val="en-US" w:eastAsia="zh-CN"/>
        </w:rPr>
        <w:t>NMHC</w:t>
      </w:r>
      <w:r>
        <w:rPr>
          <w:rFonts w:hint="eastAsia"/>
          <w:lang w:val="en-US" w:eastAsia="zh-CN"/>
        </w:rPr>
        <w:t>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特别排放限值。</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 xml:space="preserve">  厂界无组织废气监测结果  单位：</w:t>
      </w:r>
      <w:r>
        <w:rPr>
          <w:rFonts w:hint="eastAsia" w:ascii="Times New Roman" w:hAnsi="Times New Roman"/>
          <w:lang w:val="en-US" w:eastAsia="zh-CN"/>
        </w:rPr>
        <w:t>mg</w:t>
      </w:r>
      <w:r>
        <w:rPr>
          <w:rFonts w:hint="eastAsia"/>
          <w:lang w:val="en-US" w:eastAsia="zh-CN"/>
        </w:rPr>
        <w:t>/</w:t>
      </w:r>
      <w:r>
        <w:rPr>
          <w:rFonts w:hint="eastAsia" w:ascii="Times New Roman" w:hAnsi="Times New Roman"/>
          <w:lang w:val="en-US" w:eastAsia="zh-CN"/>
        </w:rPr>
        <w:t>m</w:t>
      </w:r>
      <w:r>
        <w:rPr>
          <w:rFonts w:hint="eastAsia"/>
          <w:lang w:val="en-US" w:eastAsia="zh-CN"/>
        </w:rPr>
        <w:t>³，臭气浓度无量纲</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049"/>
        <w:gridCol w:w="1315"/>
        <w:gridCol w:w="1266"/>
        <w:gridCol w:w="948"/>
        <w:gridCol w:w="1315"/>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restart"/>
            <w:tcBorders>
              <w:top w:val="single" w:color="auto" w:sz="12"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采样时间</w:t>
            </w:r>
          </w:p>
        </w:tc>
        <w:tc>
          <w:tcPr>
            <w:tcW w:w="1116" w:type="pct"/>
            <w:vMerge w:val="restar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监测点位</w:t>
            </w:r>
          </w:p>
        </w:tc>
        <w:tc>
          <w:tcPr>
            <w:tcW w:w="3265" w:type="pct"/>
            <w:gridSpan w:val="5"/>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监测结果范围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NH</w:t>
            </w:r>
            <w:r>
              <w:rPr>
                <w:rFonts w:hint="eastAsia" w:ascii="Times New Roman" w:hAnsi="Times New Roman"/>
                <w:spacing w:val="-11"/>
                <w:sz w:val="20"/>
                <w:szCs w:val="18"/>
                <w:vertAlign w:val="subscript"/>
                <w:lang w:val="en-US" w:eastAsia="zh-CN"/>
              </w:rPr>
              <w:t>3</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H</w:t>
            </w:r>
            <w:r>
              <w:rPr>
                <w:rFonts w:hint="eastAsia" w:ascii="Times New Roman" w:hAnsi="Times New Roman"/>
                <w:spacing w:val="-11"/>
                <w:sz w:val="20"/>
                <w:szCs w:val="18"/>
                <w:vertAlign w:val="subscript"/>
                <w:lang w:val="en-US" w:eastAsia="zh-CN"/>
              </w:rPr>
              <w:t>2</w:t>
            </w:r>
            <w:r>
              <w:rPr>
                <w:rFonts w:hint="eastAsia" w:ascii="Times New Roman" w:hAnsi="Times New Roman"/>
                <w:spacing w:val="-11"/>
                <w:sz w:val="20"/>
                <w:szCs w:val="18"/>
                <w:vertAlign w:val="baseline"/>
                <w:lang w:val="en-US" w:eastAsia="zh-CN"/>
              </w:rPr>
              <w:t>S</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臭气浓度</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颗粒物</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restar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2022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厂区西侧（参照点）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067</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133</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067</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133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85</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厂区东南侧（监测点）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14</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167</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233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64</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厂区东侧（监测点）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09</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14</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167</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233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76</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厂区东北侧（监测点）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15</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15</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233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89</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restar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2022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5</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12</w:t>
            </w: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厂区西北侧（参照点）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18</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133</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183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厂区东侧（监测点）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14</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25</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333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厂区东南侧（监测点）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16</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367</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25</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厂区南侧（监测点）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16</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39</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kern w:val="2"/>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417</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483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16</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restar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2022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8</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w:t>
            </w: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厂区北侧（参照点）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14</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167</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32</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厂区东南侧（监测点）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12</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217</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厂区南侧（监测点）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09</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11</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317</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367</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66</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厂区西南侧（监测点）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09</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kern w:val="2"/>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45</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567</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17</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restar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2022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12</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厂区西北侧（参照点）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06</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117</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167</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0"/>
                <w:szCs w:val="18"/>
                <w:vertAlign w:val="baseline"/>
                <w:lang w:val="en-US" w:eastAsia="zh-CN"/>
              </w:rPr>
            </w:pPr>
            <w:r>
              <w:rPr>
                <w:rFonts w:hint="eastAsia"/>
                <w:spacing w:val="-11"/>
                <w:sz w:val="20"/>
                <w:szCs w:val="18"/>
                <w:vertAlign w:val="baseline"/>
                <w:lang w:val="en-US" w:eastAsia="zh-CN"/>
              </w:rPr>
              <w:t>厂区东侧（监测点）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03</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07</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005</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006</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2</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283</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87</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厂区东南侧（监测点）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08</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09</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006</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007</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3</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350</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88</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厂区南侧（监测点）</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06</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08</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006</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007</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0"/>
                <w:szCs w:val="18"/>
                <w:vertAlign w:val="baseline"/>
                <w:lang w:val="en-US" w:eastAsia="zh-CN" w:bidi="ar-SA"/>
              </w:rPr>
            </w:pPr>
            <w:r>
              <w:rPr>
                <w:rFonts w:hint="default"/>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4</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0</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45</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86</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1</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restart"/>
            <w:tcBorders>
              <w:top w:val="single" w:color="auto" w:sz="4" w:space="0"/>
              <w:left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标准值</w:t>
            </w: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GB14554</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93</w:t>
            </w:r>
            <w:r>
              <w:rPr>
                <w:rFonts w:hint="eastAsia" w:ascii="Times New Roman" w:hAnsi="Times New Roman" w:cs="Times New Roman"/>
                <w:spacing w:val="-11"/>
                <w:kern w:val="2"/>
                <w:sz w:val="20"/>
                <w:szCs w:val="18"/>
                <w:vertAlign w:val="baseline"/>
                <w:lang w:val="en-US" w:eastAsia="zh-CN" w:bidi="ar-SA"/>
              </w:rPr>
              <w:t>表</w:t>
            </w:r>
            <w:r>
              <w:rPr>
                <w:rFonts w:hint="eastAsia" w:ascii="Times New Roman" w:hAnsi="Times New Roman" w:cs="Times New Roman"/>
                <w:spacing w:val="-11"/>
                <w:kern w:val="2"/>
                <w:sz w:val="20"/>
                <w:szCs w:val="18"/>
                <w:vertAlign w:val="baseline"/>
                <w:lang w:val="en-US" w:eastAsia="zh-CN" w:bidi="ar-SA"/>
              </w:rPr>
              <w:t>1</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5</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0</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06</w:t>
            </w: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20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Merge w:val="continue"/>
            <w:tcBorders>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p>
        </w:tc>
        <w:tc>
          <w:tcPr>
            <w:tcW w:w="11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0"/>
                <w:szCs w:val="18"/>
                <w:vertAlign w:val="baseline"/>
                <w:lang w:val="en-US" w:eastAsia="zh-CN" w:bidi="ar-SA"/>
              </w:rPr>
            </w:pPr>
            <w:r>
              <w:rPr>
                <w:rFonts w:hint="eastAsia" w:ascii="Times New Roman" w:hAnsi="Times New Roman" w:cs="Times New Roman"/>
                <w:spacing w:val="-11"/>
                <w:kern w:val="2"/>
                <w:sz w:val="20"/>
                <w:szCs w:val="18"/>
                <w:vertAlign w:val="baseline"/>
                <w:lang w:val="en-US" w:eastAsia="zh-CN" w:bidi="ar-SA"/>
              </w:rPr>
              <w:t>GB31572</w:t>
            </w:r>
            <w:r>
              <w:rPr>
                <w:rFonts w:hint="eastAsia" w:ascii="Times New Roman" w:hAnsi="Times New Roman" w:cs="Times New Roman"/>
                <w:spacing w:val="-11"/>
                <w:kern w:val="2"/>
                <w:sz w:val="20"/>
                <w:szCs w:val="18"/>
                <w:vertAlign w:val="baseline"/>
                <w:lang w:val="en-US" w:eastAsia="zh-CN" w:bidi="ar-SA"/>
              </w:rPr>
              <w:t>-</w:t>
            </w:r>
            <w:r>
              <w:rPr>
                <w:rFonts w:hint="eastAsia" w:ascii="Times New Roman" w:hAnsi="Times New Roman" w:cs="Times New Roman"/>
                <w:spacing w:val="-11"/>
                <w:kern w:val="2"/>
                <w:sz w:val="20"/>
                <w:szCs w:val="18"/>
                <w:vertAlign w:val="baseline"/>
                <w:lang w:val="en-US" w:eastAsia="zh-CN" w:bidi="ar-SA"/>
              </w:rPr>
              <w:t>2015</w:t>
            </w:r>
            <w:r>
              <w:rPr>
                <w:rFonts w:hint="eastAsia" w:ascii="Times New Roman" w:hAnsi="Times New Roman" w:cs="Times New Roman"/>
                <w:spacing w:val="-11"/>
                <w:kern w:val="2"/>
                <w:sz w:val="20"/>
                <w:szCs w:val="18"/>
                <w:vertAlign w:val="baseline"/>
                <w:lang w:val="en-US" w:eastAsia="zh-CN" w:bidi="ar-SA"/>
              </w:rPr>
              <w:t>表</w:t>
            </w:r>
            <w:r>
              <w:rPr>
                <w:rFonts w:hint="eastAsia" w:ascii="Times New Roman" w:hAnsi="Times New Roman" w:cs="Times New Roman"/>
                <w:spacing w:val="-11"/>
                <w:kern w:val="2"/>
                <w:sz w:val="20"/>
                <w:szCs w:val="18"/>
                <w:vertAlign w:val="baseline"/>
                <w:lang w:val="en-US" w:eastAsia="zh-CN" w:bidi="ar-SA"/>
              </w:rPr>
              <w:t>9</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p>
        </w:tc>
        <w:tc>
          <w:tcPr>
            <w:tcW w:w="5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8"/>
                <w:vertAlign w:val="baseline"/>
                <w:lang w:val="en-US" w:eastAsia="zh-CN"/>
              </w:rPr>
            </w:pP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1</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p>
        </w:tc>
        <w:tc>
          <w:tcPr>
            <w:tcW w:w="623"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0"/>
                <w:szCs w:val="18"/>
                <w:vertAlign w:val="baseline"/>
                <w:lang w:val="en-US" w:eastAsia="zh-CN" w:bidi="ar-SA"/>
              </w:rPr>
            </w:pPr>
            <w:r>
              <w:rPr>
                <w:rFonts w:hint="eastAsia" w:ascii="Times New Roman" w:hAnsi="Times New Roman"/>
                <w:spacing w:val="-11"/>
                <w:sz w:val="20"/>
                <w:szCs w:val="18"/>
                <w:vertAlign w:val="baseline"/>
                <w:lang w:val="en-US" w:eastAsia="zh-CN"/>
              </w:rPr>
              <w:t>4</w:t>
            </w:r>
            <w:r>
              <w:rPr>
                <w:rFonts w:hint="eastAsia"/>
                <w:spacing w:val="-11"/>
                <w:sz w:val="20"/>
                <w:szCs w:val="18"/>
                <w:vertAlign w:val="baseline"/>
                <w:lang w:val="en-US" w:eastAsia="zh-CN"/>
              </w:rPr>
              <w:t>.</w:t>
            </w:r>
            <w:r>
              <w:rPr>
                <w:rFonts w:hint="eastAsia" w:ascii="Times New Roman" w:hAnsi="Times New Roman"/>
                <w:spacing w:val="-11"/>
                <w:sz w:val="20"/>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gridSpan w:val="2"/>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达标情况</w:t>
            </w:r>
          </w:p>
        </w:tc>
        <w:tc>
          <w:tcPr>
            <w:tcW w:w="71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达标</w:t>
            </w:r>
          </w:p>
        </w:tc>
        <w:tc>
          <w:tcPr>
            <w:tcW w:w="690"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达标</w:t>
            </w:r>
          </w:p>
        </w:tc>
        <w:tc>
          <w:tcPr>
            <w:tcW w:w="51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达标</w:t>
            </w:r>
          </w:p>
        </w:tc>
        <w:tc>
          <w:tcPr>
            <w:tcW w:w="71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达标</w:t>
            </w:r>
          </w:p>
        </w:tc>
        <w:tc>
          <w:tcPr>
            <w:tcW w:w="623"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8"/>
                <w:vertAlign w:val="baseline"/>
                <w:lang w:val="en-US" w:eastAsia="zh-CN"/>
              </w:rPr>
            </w:pPr>
            <w:r>
              <w:rPr>
                <w:rFonts w:hint="eastAsia"/>
                <w:spacing w:val="-11"/>
                <w:sz w:val="20"/>
                <w:szCs w:val="18"/>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lang w:val="en-US" w:eastAsia="zh-CN"/>
        </w:rPr>
      </w:pPr>
      <w:r>
        <w:rPr>
          <w:rFonts w:hint="eastAsia"/>
          <w:lang w:val="en-US" w:eastAsia="zh-CN"/>
        </w:rPr>
        <w:t>由上表可知，现有工程厂界无组织污染物均满足达标排放要求。</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val="en-US" w:eastAsia="zh-CN"/>
        </w:rPr>
        <w:t>废水</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lang w:val="en-US" w:eastAsia="zh-CN"/>
        </w:rPr>
        <w:sectPr>
          <w:pgSz w:w="11906" w:h="16838"/>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根据现有工程验收监测及例行监测资料，现有工程厂内废水总排口排放及达标情况见表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6</w:t>
      </w:r>
      <w:r>
        <w:rPr>
          <w:rFonts w:hint="eastAsia"/>
          <w:lang w:val="en-US" w:eastAsia="zh-CN"/>
        </w:rPr>
        <w:t>。</w:t>
      </w:r>
    </w:p>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default"/>
          <w:lang w:val="en-US" w:eastAsia="zh-CN"/>
        </w:rPr>
      </w:pPr>
      <w:r>
        <w:rPr>
          <w:rFonts w:hint="eastAsia"/>
          <w:lang w:val="en-US" w:eastAsia="zh-CN"/>
        </w:rPr>
        <w:t>表</w:t>
      </w:r>
      <w:r>
        <w:rPr>
          <w:rFonts w:hint="eastAsia" w:ascii="Times New Roman" w:hAnsi="Times New Roman" w:cs="Times New Roman"/>
          <w:lang w:val="en-US" w:eastAsia="zh-CN"/>
        </w:rPr>
        <w:t>3</w:t>
      </w:r>
      <w:r>
        <w:rPr>
          <w:rFonts w:hint="eastAsia" w:cs="Times New Roman"/>
          <w:lang w:val="en-US" w:eastAsia="zh-CN"/>
        </w:rPr>
        <w:t>.</w:t>
      </w:r>
      <w:r>
        <w:rPr>
          <w:rFonts w:hint="eastAsia" w:ascii="Times New Roman" w:hAnsi="Times New Roman" w:cs="Times New Roman"/>
          <w:lang w:val="en-US" w:eastAsia="zh-CN"/>
        </w:rPr>
        <w:t>3</w:t>
      </w:r>
      <w:r>
        <w:rPr>
          <w:rFonts w:hint="eastAsia" w:cs="Times New Roman"/>
          <w:lang w:val="en-US" w:eastAsia="zh-CN"/>
        </w:rPr>
        <w:t>-</w:t>
      </w:r>
      <w:r>
        <w:rPr>
          <w:rFonts w:hint="eastAsia" w:ascii="Times New Roman" w:hAnsi="Times New Roman" w:cs="Times New Roman"/>
          <w:lang w:val="en-US" w:eastAsia="zh-CN"/>
        </w:rPr>
        <w:t>6</w:t>
      </w:r>
      <w:r>
        <w:rPr>
          <w:rFonts w:hint="eastAsia"/>
          <w:lang w:val="en-US" w:eastAsia="zh-CN"/>
        </w:rPr>
        <w:t xml:space="preserve">  污水站总排口水质监测结果统计</w:t>
      </w:r>
      <w:r>
        <w:rPr>
          <w:rFonts w:hint="eastAsia" w:hAnsi="宋体"/>
          <w:b/>
          <w:bCs/>
          <w:color w:val="000000"/>
          <w:lang w:eastAsia="zh-CN"/>
        </w:rPr>
        <w:t>（</w:t>
      </w:r>
      <w:r>
        <w:rPr>
          <w:rFonts w:hint="eastAsia" w:ascii="Times New Roman" w:hAnsi="Times New Roman"/>
          <w:b/>
          <w:bCs/>
          <w:color w:val="000000"/>
          <w:lang w:val="en-US" w:eastAsia="zh-CN"/>
        </w:rPr>
        <w:t>2022</w:t>
      </w:r>
      <w:r>
        <w:rPr>
          <w:rFonts w:hint="eastAsia" w:hAnsi="宋体"/>
          <w:b/>
          <w:bCs/>
          <w:color w:val="000000"/>
          <w:lang w:val="en-US" w:eastAsia="zh-CN"/>
        </w:rPr>
        <w:t>年例行监测及验收监测</w:t>
      </w:r>
      <w:r>
        <w:rPr>
          <w:rFonts w:hint="eastAsia" w:hAnsi="宋体"/>
          <w:b/>
          <w:bCs/>
          <w:color w:val="000000"/>
          <w:lang w:eastAsia="zh-CN"/>
        </w:rPr>
        <w:t>）</w:t>
      </w:r>
      <w:r>
        <w:rPr>
          <w:rFonts w:hint="eastAsia"/>
          <w:lang w:val="en-US" w:eastAsia="zh-CN"/>
        </w:rPr>
        <w:t xml:space="preserve">  单位：</w:t>
      </w:r>
      <w:r>
        <w:rPr>
          <w:rFonts w:hint="eastAsia" w:ascii="Times New Roman" w:hAnsi="Times New Roman" w:cs="Times New Roman"/>
          <w:lang w:val="en-US" w:eastAsia="zh-CN"/>
        </w:rPr>
        <w:t>mg</w:t>
      </w:r>
      <w:r>
        <w:rPr>
          <w:rFonts w:hint="eastAsia"/>
          <w:lang w:val="en-US" w:eastAsia="zh-CN"/>
        </w:rPr>
        <w:t>/</w:t>
      </w:r>
      <w:r>
        <w:rPr>
          <w:rFonts w:hint="eastAsia" w:ascii="Times New Roman" w:hAnsi="Times New Roman" w:cs="Times New Roman"/>
          <w:lang w:val="en-US" w:eastAsia="zh-CN"/>
        </w:rPr>
        <w:t>L</w:t>
      </w:r>
      <w:r>
        <w:rPr>
          <w:rFonts w:hint="eastAsia" w:cs="Times New Roman"/>
          <w:lang w:val="en-US" w:eastAsia="zh-CN"/>
        </w:rPr>
        <w:t>，</w:t>
      </w:r>
      <w:r>
        <w:rPr>
          <w:rFonts w:hint="eastAsia" w:ascii="Times New Roman" w:hAnsi="Times New Roman" w:cs="Times New Roman"/>
          <w:lang w:val="en-US" w:eastAsia="zh-CN"/>
        </w:rPr>
        <w:t>pH</w:t>
      </w:r>
      <w:r>
        <w:rPr>
          <w:rFonts w:hint="eastAsia" w:cs="Times New Roman"/>
          <w:lang w:val="en-US" w:eastAsia="zh-CN"/>
        </w:rPr>
        <w:t>无量纲</w:t>
      </w:r>
    </w:p>
    <w:tbl>
      <w:tblPr>
        <w:tblStyle w:val="81"/>
        <w:tblW w:w="498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1504"/>
        <w:gridCol w:w="1784"/>
        <w:gridCol w:w="1612"/>
        <w:gridCol w:w="1815"/>
        <w:gridCol w:w="1730"/>
        <w:gridCol w:w="1677"/>
        <w:gridCol w:w="18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7" w:type="pct"/>
            <w:tcBorders>
              <w:tl2br w:val="nil"/>
              <w:tr2bl w:val="nil"/>
            </w:tcBorders>
            <w:noWrap w:val="0"/>
            <w:vAlign w:val="center"/>
            <mc:AlternateContent>
              <mc:Choice Requires="wpsCustomData">
                <wpsCustomData:diagonals>
                  <wpsCustomData:diagonal from="30000" to="1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w:rPr>
                <w:rFonts w:hint="eastAsia"/>
                <w:spacing w:val="-6"/>
                <w:w w:val="90"/>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firstLine="0"/>
              <w:jc w:val="center"/>
              <w:textAlignment w:val="auto"/>
              <mc:AlternateContent>
                <mc:Choice Requires="wpsCustomData">
                  <wpsCustomData:diagonalParaType/>
                </mc:Choice>
              </mc:AlternateContent>
              <w:rPr>
                <w:rFonts w:hint="default"/>
                <w:spacing w:val="-6"/>
                <w:w w:val="90"/>
                <w:sz w:val="21"/>
                <w:szCs w:val="21"/>
                <w:vertAlign w:val="baseline"/>
                <w:lang w:val="en-US" w:eastAsia="zh-CN"/>
              </w:rPr>
            </w:pPr>
            <w:r>
              <w:rPr>
                <w:rFonts w:hint="eastAsia"/>
                <w:spacing w:val="-6"/>
                <w:w w:val="90"/>
                <w:sz w:val="21"/>
                <w:szCs w:val="21"/>
                <w:vertAlign w:val="baseline"/>
                <w:lang w:val="en-US" w:eastAsia="zh-CN"/>
              </w:rPr>
              <w:t>项目</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监测时间</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验收监测</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2019</w:t>
            </w:r>
            <w:r>
              <w:rPr>
                <w:rFonts w:hint="eastAsia"/>
                <w:spacing w:val="-6"/>
                <w:w w:val="90"/>
                <w:sz w:val="21"/>
                <w:szCs w:val="21"/>
                <w:vertAlign w:val="baseline"/>
                <w:lang w:val="en-US" w:eastAsia="zh-CN"/>
              </w:rPr>
              <w:t>年）</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2022</w:t>
            </w:r>
            <w:r>
              <w:rPr>
                <w:rFonts w:hint="eastAsia"/>
                <w:spacing w:val="-6"/>
                <w:w w:val="90"/>
                <w:sz w:val="21"/>
                <w:szCs w:val="21"/>
                <w:vertAlign w:val="baseline"/>
                <w:lang w:val="en-US" w:eastAsia="zh-CN"/>
              </w:rPr>
              <w:t>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第一季度</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2022</w:t>
            </w:r>
            <w:r>
              <w:rPr>
                <w:rFonts w:hint="eastAsia"/>
                <w:spacing w:val="-6"/>
                <w:w w:val="90"/>
                <w:sz w:val="21"/>
                <w:szCs w:val="21"/>
                <w:vertAlign w:val="baseline"/>
                <w:lang w:val="en-US" w:eastAsia="zh-CN"/>
              </w:rPr>
              <w:t>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第二季度</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2022</w:t>
            </w:r>
            <w:r>
              <w:rPr>
                <w:rFonts w:hint="eastAsia"/>
                <w:spacing w:val="-6"/>
                <w:w w:val="90"/>
                <w:sz w:val="21"/>
                <w:szCs w:val="21"/>
                <w:vertAlign w:val="baseline"/>
                <w:lang w:val="en-US" w:eastAsia="zh-CN"/>
              </w:rPr>
              <w:t>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第三季度</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2022</w:t>
            </w:r>
            <w:r>
              <w:rPr>
                <w:rFonts w:hint="eastAsia"/>
                <w:spacing w:val="-6"/>
                <w:w w:val="90"/>
                <w:sz w:val="21"/>
                <w:szCs w:val="21"/>
                <w:vertAlign w:val="baseline"/>
                <w:lang w:val="en-US" w:eastAsia="zh-CN"/>
              </w:rPr>
              <w:t>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第四季度</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GB31572</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2015</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表</w:t>
            </w:r>
            <w:r>
              <w:rPr>
                <w:rFonts w:hint="eastAsia" w:ascii="Times New Roman" w:hAnsi="Times New Roman"/>
                <w:spacing w:val="-6"/>
                <w:w w:val="90"/>
                <w:sz w:val="21"/>
                <w:szCs w:val="21"/>
                <w:vertAlign w:val="baseline"/>
                <w:lang w:val="en-US" w:eastAsia="zh-CN"/>
              </w:rPr>
              <w:t>1</w:t>
            </w:r>
            <w:r>
              <w:rPr>
                <w:rFonts w:hint="eastAsia"/>
                <w:spacing w:val="-6"/>
                <w:w w:val="90"/>
                <w:sz w:val="21"/>
                <w:szCs w:val="21"/>
                <w:vertAlign w:val="baseline"/>
                <w:lang w:val="en-US" w:eastAsia="zh-CN"/>
              </w:rPr>
              <w:t>间接</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GB</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T31962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2015</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表</w:t>
            </w:r>
            <w:r>
              <w:rPr>
                <w:rFonts w:hint="eastAsia" w:ascii="Times New Roman" w:hAnsi="Times New Roman"/>
                <w:spacing w:val="-6"/>
                <w:w w:val="90"/>
                <w:sz w:val="21"/>
                <w:szCs w:val="21"/>
                <w:vertAlign w:val="baseline"/>
                <w:lang w:val="en-US" w:eastAsia="zh-CN"/>
              </w:rPr>
              <w:t>1B</w:t>
            </w:r>
            <w:r>
              <w:rPr>
                <w:rFonts w:hint="eastAsia"/>
                <w:spacing w:val="-6"/>
                <w:w w:val="90"/>
                <w:sz w:val="21"/>
                <w:szCs w:val="21"/>
                <w:vertAlign w:val="baseline"/>
                <w:lang w:val="en-US" w:eastAsia="zh-CN"/>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pH</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72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77</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7</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8</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8</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0</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8</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8</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3</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8</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4</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8</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8</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cs="Times New Roman"/>
                <w:spacing w:val="-6"/>
                <w:w w:val="90"/>
                <w:sz w:val="21"/>
                <w:szCs w:val="21"/>
                <w:vertAlign w:val="baseline"/>
                <w:lang w:val="en-US" w:eastAsia="zh-CN"/>
              </w:rPr>
              <w:t>6</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5</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9</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COD</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101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106</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17</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38</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322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330</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109</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155</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37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44</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cs="Times New Roman"/>
                <w:spacing w:val="-6"/>
                <w:w w:val="90"/>
                <w:sz w:val="21"/>
                <w:szCs w:val="21"/>
                <w:vertAlign w:val="baseline"/>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BOD</w:t>
            </w:r>
            <w:r>
              <w:rPr>
                <w:rFonts w:hint="eastAsia" w:ascii="Times New Roman" w:hAnsi="Times New Roman"/>
                <w:spacing w:val="-6"/>
                <w:w w:val="90"/>
                <w:sz w:val="21"/>
                <w:szCs w:val="21"/>
                <w:vertAlign w:val="subscript"/>
                <w:lang w:val="en-US" w:eastAsia="zh-CN"/>
              </w:rPr>
              <w:t>5</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37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38</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9</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5</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2</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14</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5</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206</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212</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36</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2</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45</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7</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12</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8</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cs="Times New Roman"/>
                <w:spacing w:val="-6"/>
                <w:w w:val="90"/>
                <w:sz w:val="21"/>
                <w:szCs w:val="21"/>
                <w:vertAlign w:val="baseline"/>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悬浮物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18</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6</w:t>
            </w:r>
            <w:r>
              <w:rPr>
                <w:rFonts w:hint="eastAsia" w:cs="Times New Roman"/>
                <w:spacing w:val="-6"/>
                <w:w w:val="90"/>
                <w:sz w:val="21"/>
                <w:szCs w:val="21"/>
                <w:vertAlign w:val="baseline"/>
                <w:lang w:val="en-US" w:eastAsia="zh-CN"/>
              </w:rPr>
              <w:t>～</w:t>
            </w:r>
            <w:r>
              <w:rPr>
                <w:rFonts w:hint="eastAsia" w:ascii="Times New Roman" w:hAnsi="Times New Roman" w:cs="Times New Roman"/>
                <w:spacing w:val="-6"/>
                <w:w w:val="90"/>
                <w:sz w:val="21"/>
                <w:szCs w:val="21"/>
                <w:vertAlign w:val="baseline"/>
                <w:lang w:val="en-US" w:eastAsia="zh-CN"/>
              </w:rPr>
              <w:t>9</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80</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17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19</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ascii="Times New Roman" w:hAnsi="Times New Roman" w:cs="Times New Roman"/>
                <w:spacing w:val="-6"/>
                <w:w w:val="90"/>
                <w:sz w:val="21"/>
                <w:szCs w:val="21"/>
                <w:vertAlign w:val="baseline"/>
                <w:lang w:val="en-US" w:eastAsia="zh-CN"/>
              </w:rPr>
              <w:t>6</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16</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cs="Times New Roman"/>
                <w:spacing w:val="-6"/>
                <w:w w:val="90"/>
                <w:sz w:val="21"/>
                <w:szCs w:val="21"/>
                <w:vertAlign w:val="baseline"/>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氨氮</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016</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348</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933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113</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28</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06</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87</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default"/>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025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spacing w:val="-6"/>
                <w:w w:val="90"/>
                <w:sz w:val="21"/>
                <w:szCs w:val="21"/>
                <w:vertAlign w:val="baseline"/>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总磷</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10</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97</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57</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58</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16</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64</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spacing w:val="-6"/>
                <w:w w:val="90"/>
                <w:sz w:val="21"/>
                <w:szCs w:val="21"/>
                <w:vertAlign w:val="baseli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总氮</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25</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9</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26</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6</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62</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37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39</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83</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spacing w:val="-6"/>
                <w:w w:val="90"/>
                <w:sz w:val="21"/>
                <w:szCs w:val="21"/>
                <w:vertAlign w:val="baseli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可吸附有机卤化物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257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346</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5</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溶解性总固体</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1122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1213</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769</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865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1989</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1994</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1536</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1755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1"/>
                <w:vertAlign w:val="baseline"/>
                <w:lang w:val="en-US" w:eastAsia="zh-CN" w:bidi="ar-SA"/>
              </w:rPr>
            </w:pPr>
            <w:r>
              <w:rPr>
                <w:rFonts w:hint="eastAsia" w:ascii="Times New Roman" w:hAnsi="Times New Roman"/>
                <w:spacing w:val="-6"/>
                <w:w w:val="90"/>
                <w:sz w:val="21"/>
                <w:szCs w:val="21"/>
                <w:vertAlign w:val="baseline"/>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总铅</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0106</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0106</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0106</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0127</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0176</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总镉</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00097</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00113</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0015</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0019</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0024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0031</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0033</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0037</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总砷</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0015</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0019</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0015</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0018</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0022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0024</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0011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0015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总汞</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00004</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00004</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00014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00027</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00052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00056</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氟化物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618</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680</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5</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06</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7</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65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422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494</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挥发酚</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0015</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动植物油</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574</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850</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60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2</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98</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81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61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69</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石油类</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440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499</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60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1</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84</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68</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03</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42</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58</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硫化物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022</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030</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55</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57</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04</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05</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01</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01</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阴离子表面活性剂</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10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12</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硫酸盐</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179</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209</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306</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354</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铜</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锌</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05</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ascii="Times New Roman" w:hAnsi="Times New Roman"/>
                <w:spacing w:val="-6"/>
                <w:w w:val="90"/>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甲基汞（</w:t>
            </w:r>
            <w:r>
              <w:rPr>
                <w:rFonts w:hint="eastAsia" w:ascii="Times New Roman" w:hAnsi="Times New Roman"/>
                <w:spacing w:val="-6"/>
                <w:w w:val="90"/>
                <w:sz w:val="21"/>
                <w:szCs w:val="21"/>
                <w:vertAlign w:val="baseline"/>
                <w:lang w:val="en-US" w:eastAsia="zh-CN"/>
              </w:rPr>
              <w:t>ng</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L</w:t>
            </w:r>
            <w:r>
              <w:rPr>
                <w:rFonts w:hint="eastAsia"/>
                <w:spacing w:val="-6"/>
                <w:w w:val="90"/>
                <w:sz w:val="21"/>
                <w:szCs w:val="21"/>
                <w:vertAlign w:val="baseline"/>
                <w:lang w:val="en-US" w:eastAsia="zh-CN"/>
              </w:rPr>
              <w:t>）</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10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不得检出</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乙基汞（</w:t>
            </w:r>
            <w:r>
              <w:rPr>
                <w:rFonts w:hint="eastAsia" w:ascii="Times New Roman" w:hAnsi="Times New Roman"/>
                <w:spacing w:val="-6"/>
                <w:w w:val="90"/>
                <w:sz w:val="21"/>
                <w:szCs w:val="21"/>
                <w:vertAlign w:val="baseline"/>
                <w:lang w:val="en-US" w:eastAsia="zh-CN"/>
              </w:rPr>
              <w:t>ng</w:t>
            </w: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L</w:t>
            </w:r>
            <w:r>
              <w:rPr>
                <w:rFonts w:hint="eastAsia"/>
                <w:spacing w:val="-6"/>
                <w:w w:val="90"/>
                <w:sz w:val="21"/>
                <w:szCs w:val="21"/>
                <w:vertAlign w:val="baseline"/>
                <w:lang w:val="en-US" w:eastAsia="zh-CN"/>
              </w:rPr>
              <w:t>）</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6"/>
                <w:w w:val="90"/>
                <w:sz w:val="21"/>
                <w:szCs w:val="21"/>
                <w:vertAlign w:val="baseline"/>
                <w:lang w:val="en-US" w:eastAsia="zh-CN"/>
              </w:rPr>
            </w:pPr>
            <w:r>
              <w:rPr>
                <w:rFonts w:hint="eastAsia" w:cs="Times New Roman"/>
                <w:spacing w:val="-6"/>
                <w:w w:val="90"/>
                <w:sz w:val="21"/>
                <w:szCs w:val="21"/>
                <w:vertAlign w:val="baseline"/>
                <w:lang w:val="en-US" w:eastAsia="zh-CN"/>
              </w:rPr>
              <w:t>/</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r>
              <w:rPr>
                <w:rFonts w:hint="eastAsia" w:ascii="Times New Roman" w:hAnsi="Times New Roman"/>
                <w:spacing w:val="-6"/>
                <w:w w:val="90"/>
                <w:sz w:val="21"/>
                <w:szCs w:val="21"/>
                <w:vertAlign w:val="baseline"/>
                <w:lang w:val="en-US" w:eastAsia="zh-CN"/>
              </w:rPr>
              <w:t>20</w:t>
            </w:r>
          </w:p>
        </w:tc>
        <w:tc>
          <w:tcPr>
            <w:tcW w:w="6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1"/>
                <w:vertAlign w:val="baseline"/>
                <w:lang w:val="en-US" w:eastAsia="zh-CN"/>
              </w:rPr>
            </w:pPr>
            <w:r>
              <w:rPr>
                <w:rFonts w:hint="eastAsia"/>
                <w:spacing w:val="-6"/>
                <w:w w:val="90"/>
                <w:sz w:val="21"/>
                <w:szCs w:val="21"/>
                <w:vertAlign w:val="baseline"/>
                <w:lang w:val="en-US" w:eastAsia="zh-CN"/>
              </w:rPr>
              <w:t>不得检出</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1"/>
                <w:vertAlign w:val="baseline"/>
                <w:lang w:val="en-US" w:eastAsia="zh-CN"/>
              </w:rPr>
            </w:pPr>
            <w:r>
              <w:rPr>
                <w:rFonts w:hint="eastAsia"/>
                <w:spacing w:val="-6"/>
                <w:w w:val="90"/>
                <w:sz w:val="21"/>
                <w:szCs w:val="21"/>
                <w:vertAlign w:val="baseline"/>
                <w:lang w:val="en-US" w:eastAsia="zh-CN"/>
              </w:rPr>
              <w:t>/</w:t>
            </w:r>
          </w:p>
        </w:tc>
      </w:tr>
    </w:tbl>
    <w:p>
      <w:pPr>
        <w:bidi w:val="0"/>
        <w:rPr>
          <w:rFonts w:hint="default"/>
          <w:lang w:val="en-US" w:eastAsia="zh-CN"/>
        </w:rPr>
      </w:pPr>
      <w:r>
        <w:rPr>
          <w:rFonts w:hint="eastAsia"/>
          <w:lang w:val="en-US" w:eastAsia="zh-CN"/>
        </w:rPr>
        <w:t>污水总排口</w:t>
      </w:r>
      <w:r>
        <w:rPr>
          <w:rFonts w:hint="eastAsia" w:ascii="Times New Roman" w:hAnsi="Times New Roman"/>
          <w:lang w:val="en-US" w:eastAsia="zh-CN"/>
        </w:rPr>
        <w:t>2022</w:t>
      </w:r>
      <w:r>
        <w:rPr>
          <w:rFonts w:hint="eastAsia"/>
          <w:lang w:val="en-US" w:eastAsia="zh-CN"/>
        </w:rPr>
        <w:t>年主要污染物在线监测月报统计结果见表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7</w:t>
      </w:r>
      <w:r>
        <w:rPr>
          <w:rFonts w:hint="eastAsia"/>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7</w:t>
      </w:r>
      <w:r>
        <w:rPr>
          <w:rFonts w:hint="eastAsia"/>
          <w:lang w:val="en-US" w:eastAsia="zh-CN"/>
        </w:rPr>
        <w:t xml:space="preserve">  污水总排口</w:t>
      </w:r>
      <w:r>
        <w:rPr>
          <w:rFonts w:hint="eastAsia" w:ascii="Times New Roman" w:hAnsi="Times New Roman"/>
          <w:lang w:val="en-US" w:eastAsia="zh-CN"/>
        </w:rPr>
        <w:t>2022</w:t>
      </w:r>
      <w:r>
        <w:rPr>
          <w:rFonts w:hint="eastAsia"/>
          <w:lang w:val="en-US" w:eastAsia="zh-CN"/>
        </w:rPr>
        <w:t>年在线监测统计一览表  单位：</w:t>
      </w:r>
      <w:r>
        <w:rPr>
          <w:rFonts w:hint="eastAsia" w:ascii="Times New Roman" w:hAnsi="Times New Roman" w:cs="Times New Roman"/>
          <w:lang w:val="en-US" w:eastAsia="zh-CN"/>
        </w:rPr>
        <w:t>mg</w:t>
      </w:r>
      <w:r>
        <w:rPr>
          <w:rFonts w:hint="eastAsia"/>
          <w:lang w:val="en-US" w:eastAsia="zh-CN"/>
        </w:rPr>
        <w:t>/</w:t>
      </w:r>
      <w:r>
        <w:rPr>
          <w:rFonts w:hint="eastAsia" w:ascii="Times New Roman" w:hAnsi="Times New Roman" w:cs="Times New Roman"/>
          <w:lang w:val="en-US" w:eastAsia="zh-CN"/>
        </w:rPr>
        <w:t>L</w:t>
      </w:r>
      <w:r>
        <w:rPr>
          <w:rFonts w:hint="eastAsia" w:cs="Times New Roman"/>
          <w:lang w:val="en-US" w:eastAsia="zh-CN"/>
        </w:rPr>
        <w:t>，</w:t>
      </w:r>
      <w:r>
        <w:rPr>
          <w:rFonts w:hint="eastAsia" w:ascii="Times New Roman" w:hAnsi="Times New Roman" w:cs="Times New Roman"/>
          <w:lang w:val="en-US" w:eastAsia="zh-CN"/>
        </w:rPr>
        <w:t>pH</w:t>
      </w:r>
      <w:r>
        <w:rPr>
          <w:rFonts w:hint="eastAsia" w:cs="Times New Roman"/>
          <w:lang w:val="en-US" w:eastAsia="zh-CN"/>
        </w:rPr>
        <w:t>无量纲</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239"/>
        <w:gridCol w:w="1335"/>
        <w:gridCol w:w="1693"/>
        <w:gridCol w:w="1484"/>
        <w:gridCol w:w="1693"/>
        <w:gridCol w:w="1487"/>
        <w:gridCol w:w="1693"/>
        <w:gridCol w:w="1490"/>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restart"/>
            <w:tcBorders>
              <w:top w:val="single" w:color="auto" w:sz="12" w:space="0"/>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序号</w:t>
            </w:r>
          </w:p>
        </w:tc>
        <w:tc>
          <w:tcPr>
            <w:tcW w:w="439" w:type="pct"/>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时间</w:t>
            </w:r>
          </w:p>
        </w:tc>
        <w:tc>
          <w:tcPr>
            <w:tcW w:w="3854" w:type="pct"/>
            <w:gridSpan w:val="7"/>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污染物</w:t>
            </w:r>
          </w:p>
        </w:tc>
        <w:tc>
          <w:tcPr>
            <w:tcW w:w="459" w:type="pct"/>
            <w:vMerge w:val="restart"/>
            <w:tcBorders>
              <w:top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废水排放量</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m</w:t>
            </w:r>
            <w:r>
              <w:rPr>
                <w:rFonts w:hint="eastAsia"/>
                <w:spacing w:val="-6"/>
                <w:w w:val="90"/>
                <w:sz w:val="21"/>
                <w:szCs w:val="20"/>
                <w:vertAlign w:val="baseline"/>
                <w:lang w:val="en-US" w:eastAsia="zh-CN"/>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p>
        </w:tc>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p>
        </w:tc>
        <w:tc>
          <w:tcPr>
            <w:tcW w:w="4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pH</w:t>
            </w:r>
          </w:p>
        </w:tc>
        <w:tc>
          <w:tcPr>
            <w:tcW w:w="11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CODcr</w:t>
            </w:r>
          </w:p>
        </w:tc>
        <w:tc>
          <w:tcPr>
            <w:tcW w:w="112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NH</w:t>
            </w:r>
            <w:r>
              <w:rPr>
                <w:rFonts w:hint="eastAsia" w:ascii="Times New Roman" w:hAnsi="Times New Roman"/>
                <w:spacing w:val="-6"/>
                <w:w w:val="90"/>
                <w:sz w:val="21"/>
                <w:szCs w:val="20"/>
                <w:vertAlign w:val="subscript"/>
                <w:lang w:val="en-US" w:eastAsia="zh-CN"/>
              </w:rPr>
              <w:t>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N</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TN</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TP</w:t>
            </w:r>
          </w:p>
        </w:tc>
        <w:tc>
          <w:tcPr>
            <w:tcW w:w="459" w:type="pct"/>
            <w:vMerge w:val="continue"/>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p>
        </w:tc>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p>
        </w:tc>
        <w:tc>
          <w:tcPr>
            <w:tcW w:w="4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浓度</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mg</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L</w:t>
            </w:r>
            <w:r>
              <w:rPr>
                <w:rFonts w:hint="eastAsia"/>
                <w:spacing w:val="-6"/>
                <w:w w:val="90"/>
                <w:sz w:val="21"/>
                <w:szCs w:val="20"/>
                <w:vertAlign w:val="baseline"/>
                <w:lang w:val="en-US" w:eastAsia="zh-CN"/>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排放量（</w:t>
            </w:r>
            <w:r>
              <w:rPr>
                <w:rFonts w:hint="eastAsia" w:ascii="Times New Roman" w:hAnsi="Times New Roman"/>
                <w:spacing w:val="-6"/>
                <w:w w:val="90"/>
                <w:sz w:val="21"/>
                <w:szCs w:val="20"/>
                <w:vertAlign w:val="baseline"/>
                <w:lang w:val="en-US" w:eastAsia="zh-CN"/>
              </w:rPr>
              <w:t>kg</w:t>
            </w:r>
            <w:r>
              <w:rPr>
                <w:rFonts w:hint="eastAsia"/>
                <w:spacing w:val="-6"/>
                <w:w w:val="90"/>
                <w:sz w:val="21"/>
                <w:szCs w:val="20"/>
                <w:vertAlign w:val="baseline"/>
                <w:lang w:val="en-US" w:eastAsia="zh-CN"/>
              </w:rPr>
              <w:t>）</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mg</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L</w:t>
            </w:r>
            <w:r>
              <w:rPr>
                <w:rFonts w:hint="eastAsia"/>
                <w:spacing w:val="-6"/>
                <w:w w:val="90"/>
                <w:sz w:val="21"/>
                <w:szCs w:val="20"/>
                <w:vertAlign w:val="baseline"/>
                <w:lang w:val="en-US" w:eastAsia="zh-CN"/>
              </w:rPr>
              <w:t>）</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排放量（</w:t>
            </w:r>
            <w:r>
              <w:rPr>
                <w:rFonts w:hint="eastAsia" w:ascii="Times New Roman" w:hAnsi="Times New Roman"/>
                <w:spacing w:val="-6"/>
                <w:w w:val="90"/>
                <w:sz w:val="21"/>
                <w:szCs w:val="20"/>
                <w:vertAlign w:val="baseline"/>
                <w:lang w:val="en-US" w:eastAsia="zh-CN"/>
              </w:rPr>
              <w:t>kg</w:t>
            </w:r>
            <w:r>
              <w:rPr>
                <w:rFonts w:hint="eastAsia"/>
                <w:spacing w:val="-6"/>
                <w:w w:val="90"/>
                <w:sz w:val="21"/>
                <w:szCs w:val="20"/>
                <w:vertAlign w:val="baseline"/>
                <w:lang w:val="en-US" w:eastAsia="zh-CN"/>
              </w:rPr>
              <w:t>）</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浓度</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mg</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L</w:t>
            </w:r>
            <w:r>
              <w:rPr>
                <w:rFonts w:hint="eastAsia"/>
                <w:spacing w:val="-6"/>
                <w:w w:val="90"/>
                <w:sz w:val="21"/>
                <w:szCs w:val="20"/>
                <w:vertAlign w:val="baseline"/>
                <w:lang w:val="en-US" w:eastAsia="zh-CN"/>
              </w:rPr>
              <w:t>）</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浓度（</w:t>
            </w:r>
            <w:r>
              <w:rPr>
                <w:rFonts w:hint="eastAsia" w:ascii="Times New Roman" w:hAnsi="Times New Roman"/>
                <w:spacing w:val="-6"/>
                <w:w w:val="90"/>
                <w:sz w:val="21"/>
                <w:szCs w:val="20"/>
                <w:vertAlign w:val="baseline"/>
                <w:lang w:val="en-US" w:eastAsia="zh-CN"/>
              </w:rPr>
              <w:t>mg</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L</w:t>
            </w:r>
            <w:r>
              <w:rPr>
                <w:rFonts w:hint="eastAsia"/>
                <w:spacing w:val="-6"/>
                <w:w w:val="90"/>
                <w:sz w:val="21"/>
                <w:szCs w:val="20"/>
                <w:vertAlign w:val="baseline"/>
                <w:lang w:val="en-US" w:eastAsia="zh-CN"/>
              </w:rPr>
              <w:t>）</w:t>
            </w:r>
          </w:p>
        </w:tc>
        <w:tc>
          <w:tcPr>
            <w:tcW w:w="459" w:type="pct"/>
            <w:vMerge w:val="continue"/>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823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343</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269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185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32</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9823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25</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894</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174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115</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827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299</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236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991</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235630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742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202</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262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674</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8499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93</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038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391</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663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904</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177</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284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802</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221919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412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974</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271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152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324</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18141</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668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68</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4785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15</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116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305</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007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737</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254975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882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614</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631</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12163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865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294</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2580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52</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365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181</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856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68</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304902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5</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5</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724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808</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235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837</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46254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469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109</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9190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44</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722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208</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912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753</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372642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065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947</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208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220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69</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43151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123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378</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9268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w:t>
            </w:r>
          </w:p>
        </w:tc>
        <w:tc>
          <w:tcPr>
            <w:tcW w:w="600" w:type="pct"/>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color w:val="auto"/>
                <w:spacing w:val="-6"/>
                <w:w w:val="90"/>
                <w:sz w:val="21"/>
                <w:szCs w:val="20"/>
                <w:vertAlign w:val="baseline"/>
                <w:lang w:val="en-US" w:eastAsia="zh-CN"/>
              </w:rPr>
              <w:t>21</w:t>
            </w:r>
            <w:r>
              <w:rPr>
                <w:rFonts w:hint="eastAsia"/>
                <w:color w:val="auto"/>
                <w:spacing w:val="-6"/>
                <w:w w:val="90"/>
                <w:sz w:val="21"/>
                <w:szCs w:val="20"/>
                <w:vertAlign w:val="baseline"/>
                <w:lang w:val="en-US" w:eastAsia="zh-CN"/>
              </w:rPr>
              <w:t>.</w:t>
            </w:r>
            <w:r>
              <w:rPr>
                <w:rFonts w:hint="eastAsia" w:ascii="Times New Roman" w:hAnsi="Times New Roman"/>
                <w:color w:val="auto"/>
                <w:spacing w:val="-6"/>
                <w:w w:val="90"/>
                <w:sz w:val="21"/>
                <w:szCs w:val="20"/>
                <w:vertAlign w:val="baseline"/>
                <w:lang w:val="en-US" w:eastAsia="zh-CN"/>
              </w:rPr>
              <w:t>004</w:t>
            </w:r>
            <w:r>
              <w:rPr>
                <w:rFonts w:hint="eastAsia"/>
                <w:color w:val="auto"/>
                <w:spacing w:val="-6"/>
                <w:w w:val="90"/>
                <w:sz w:val="21"/>
                <w:szCs w:val="20"/>
                <w:vertAlign w:val="baseline"/>
                <w:lang w:val="en-US" w:eastAsia="zh-CN"/>
              </w:rPr>
              <w:t>～</w:t>
            </w:r>
            <w:r>
              <w:rPr>
                <w:rFonts w:hint="eastAsia" w:ascii="Times New Roman" w:hAnsi="Times New Roman"/>
                <w:color w:val="auto"/>
                <w:spacing w:val="-6"/>
                <w:w w:val="90"/>
                <w:sz w:val="21"/>
                <w:szCs w:val="20"/>
                <w:vertAlign w:val="baseline"/>
                <w:lang w:val="en-US" w:eastAsia="zh-CN"/>
              </w:rPr>
              <w:t>80</w:t>
            </w:r>
            <w:r>
              <w:rPr>
                <w:rFonts w:hint="eastAsia"/>
                <w:color w:val="auto"/>
                <w:spacing w:val="-6"/>
                <w:w w:val="90"/>
                <w:sz w:val="21"/>
                <w:szCs w:val="20"/>
                <w:vertAlign w:val="baseline"/>
                <w:lang w:val="en-US" w:eastAsia="zh-CN"/>
              </w:rPr>
              <w:t>.</w:t>
            </w:r>
            <w:r>
              <w:rPr>
                <w:rFonts w:hint="eastAsia" w:ascii="Times New Roman" w:hAnsi="Times New Roman"/>
                <w:color w:val="auto"/>
                <w:spacing w:val="-6"/>
                <w:w w:val="90"/>
                <w:sz w:val="21"/>
                <w:szCs w:val="20"/>
                <w:vertAlign w:val="baseline"/>
                <w:lang w:val="en-US" w:eastAsia="zh-CN"/>
              </w:rPr>
              <w:t>588</w:t>
            </w:r>
            <w:r>
              <w:rPr>
                <w:rFonts w:hint="eastAsia"/>
                <w:color w:val="auto"/>
                <w:spacing w:val="-6"/>
                <w:w w:val="90"/>
                <w:sz w:val="21"/>
                <w:szCs w:val="20"/>
                <w:vertAlign w:val="baseline"/>
                <w:lang w:val="en-US" w:eastAsia="zh-CN"/>
              </w:rPr>
              <w:t>（超标率</w:t>
            </w:r>
            <w:r>
              <w:rPr>
                <w:rFonts w:hint="eastAsia" w:ascii="Times New Roman" w:hAnsi="Times New Roman"/>
                <w:color w:val="auto"/>
                <w:spacing w:val="-6"/>
                <w:w w:val="90"/>
                <w:sz w:val="21"/>
                <w:szCs w:val="20"/>
                <w:vertAlign w:val="baseline"/>
                <w:lang w:val="en-US" w:eastAsia="zh-CN"/>
              </w:rPr>
              <w:t>10</w:t>
            </w:r>
            <w:r>
              <w:rPr>
                <w:rFonts w:hint="eastAsia"/>
                <w:color w:val="auto"/>
                <w:spacing w:val="-6"/>
                <w:w w:val="90"/>
                <w:sz w:val="21"/>
                <w:szCs w:val="20"/>
                <w:vertAlign w:val="baseline"/>
                <w:lang w:val="en-US" w:eastAsia="zh-CN"/>
              </w:rPr>
              <w:t>%）</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695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407347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648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933</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775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156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814</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24341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029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977</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4095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79</w:t>
            </w:r>
          </w:p>
        </w:tc>
        <w:tc>
          <w:tcPr>
            <w:tcW w:w="600" w:type="pct"/>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048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209</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（超标率</w:t>
            </w: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659</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289060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8</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708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249</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499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109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742</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13585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193</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246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76</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885</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121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064</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229317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9</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9</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602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397</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115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75</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11928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018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115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309</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892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098</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443</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268166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10</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10</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479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57</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476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121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728</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7283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79</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017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528</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533</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646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573</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419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998</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250653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11</w:t>
            </w:r>
          </w:p>
        </w:tc>
        <w:tc>
          <w:tcPr>
            <w:tcW w:w="4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11</w:t>
            </w:r>
            <w:r>
              <w:rPr>
                <w:rFonts w:hint="eastAsia"/>
                <w:spacing w:val="-6"/>
                <w:w w:val="90"/>
                <w:sz w:val="21"/>
                <w:szCs w:val="20"/>
                <w:vertAlign w:val="baseline"/>
                <w:lang w:val="en-US" w:eastAsia="zh-CN"/>
              </w:rPr>
              <w:t>月</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716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863</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111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13</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6018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65</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017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453</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248</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288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543</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801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232</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157960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tcBorders>
              <w:left w:val="single" w:color="auto" w:sz="12"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12</w:t>
            </w:r>
          </w:p>
        </w:tc>
        <w:tc>
          <w:tcPr>
            <w:tcW w:w="43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12</w:t>
            </w:r>
            <w:r>
              <w:rPr>
                <w:rFonts w:hint="eastAsia"/>
                <w:spacing w:val="-6"/>
                <w:w w:val="90"/>
                <w:sz w:val="21"/>
                <w:szCs w:val="20"/>
                <w:vertAlign w:val="baseline"/>
                <w:lang w:val="en-US" w:eastAsia="zh-CN"/>
              </w:rPr>
              <w:t>月</w:t>
            </w:r>
          </w:p>
        </w:tc>
        <w:tc>
          <w:tcPr>
            <w:tcW w:w="4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548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831</w:t>
            </w:r>
          </w:p>
        </w:tc>
        <w:tc>
          <w:tcPr>
            <w:tcW w:w="6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163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104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223</w:t>
            </w:r>
          </w:p>
        </w:tc>
        <w:tc>
          <w:tcPr>
            <w:tcW w:w="52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9853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79</w:t>
            </w:r>
          </w:p>
        </w:tc>
        <w:tc>
          <w:tcPr>
            <w:tcW w:w="6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014</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13</w:t>
            </w:r>
          </w:p>
        </w:tc>
        <w:tc>
          <w:tcPr>
            <w:tcW w:w="527"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50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135</w:t>
            </w:r>
          </w:p>
        </w:tc>
        <w:tc>
          <w:tcPr>
            <w:tcW w:w="60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063</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10</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254</w:t>
            </w:r>
          </w:p>
        </w:tc>
        <w:tc>
          <w:tcPr>
            <w:tcW w:w="528"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435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536</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265137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gridSpan w:val="2"/>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vertAlign w:val="baseline"/>
                <w:lang w:val="en-US" w:eastAsia="zh-CN"/>
              </w:rPr>
            </w:pPr>
            <w:r>
              <w:rPr>
                <w:rFonts w:hint="eastAsia"/>
                <w:spacing w:val="-6"/>
                <w:w w:val="90"/>
                <w:sz w:val="21"/>
                <w:szCs w:val="20"/>
                <w:vertAlign w:val="baseline"/>
                <w:lang w:val="en-US" w:eastAsia="zh-CN"/>
              </w:rPr>
              <w:t>标准限值</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6</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9</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5</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500</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45</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70</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8</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gridSpan w:val="2"/>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达标情况</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达标</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达标</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达标</w:t>
            </w: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超标</w:t>
            </w:r>
          </w:p>
        </w:tc>
        <w:tc>
          <w:tcPr>
            <w:tcW w:w="5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达标</w:t>
            </w:r>
          </w:p>
        </w:tc>
        <w:tc>
          <w:tcPr>
            <w:tcW w:w="459"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gridSpan w:val="2"/>
            <w:tcBorders>
              <w:left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vertAlign w:val="baseline"/>
                <w:lang w:val="en-US" w:eastAsia="zh-CN"/>
              </w:rPr>
            </w:pPr>
            <w:r>
              <w:rPr>
                <w:rFonts w:hint="eastAsia"/>
                <w:spacing w:val="-6"/>
                <w:w w:val="90"/>
                <w:sz w:val="21"/>
                <w:szCs w:val="20"/>
                <w:vertAlign w:val="baseline"/>
                <w:lang w:val="en-US" w:eastAsia="zh-CN"/>
              </w:rPr>
              <w:t>总排放量（</w:t>
            </w:r>
            <w:r>
              <w:rPr>
                <w:rFonts w:hint="eastAsia" w:ascii="Times New Roman" w:hAnsi="Times New Roman"/>
                <w:spacing w:val="-6"/>
                <w:w w:val="90"/>
                <w:sz w:val="21"/>
                <w:szCs w:val="20"/>
                <w:vertAlign w:val="baseline"/>
                <w:lang w:val="en-US" w:eastAsia="zh-CN"/>
              </w:rPr>
              <w:t>t</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a</w:t>
            </w:r>
            <w:r>
              <w:rPr>
                <w:rFonts w:hint="eastAsia"/>
                <w:spacing w:val="-6"/>
                <w:w w:val="90"/>
                <w:sz w:val="21"/>
                <w:szCs w:val="20"/>
                <w:vertAlign w:val="baseline"/>
                <w:lang w:val="en-US" w:eastAsia="zh-CN"/>
              </w:rPr>
              <w:t>）</w:t>
            </w:r>
          </w:p>
        </w:tc>
        <w:tc>
          <w:tcPr>
            <w:tcW w:w="473"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60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526"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211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04</w:t>
            </w:r>
          </w:p>
        </w:tc>
        <w:tc>
          <w:tcPr>
            <w:tcW w:w="60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527"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31</w:t>
            </w:r>
            <w:r>
              <w:rPr>
                <w:rFonts w:hint="eastAsia"/>
                <w:spacing w:val="-6"/>
                <w:w w:val="90"/>
                <w:sz w:val="21"/>
                <w:szCs w:val="20"/>
                <w:vertAlign w:val="baseline"/>
                <w:lang w:val="en-US" w:eastAsia="zh-CN"/>
              </w:rPr>
              <w:t>.</w:t>
            </w:r>
            <w:r>
              <w:rPr>
                <w:rFonts w:hint="eastAsia" w:ascii="Times New Roman" w:hAnsi="Times New Roman"/>
                <w:spacing w:val="-6"/>
                <w:w w:val="90"/>
                <w:sz w:val="21"/>
                <w:szCs w:val="20"/>
                <w:vertAlign w:val="baseline"/>
                <w:lang w:val="en-US" w:eastAsia="zh-CN"/>
              </w:rPr>
              <w:t>293</w:t>
            </w:r>
          </w:p>
        </w:tc>
        <w:tc>
          <w:tcPr>
            <w:tcW w:w="60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528"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spacing w:val="-6"/>
                <w:w w:val="90"/>
                <w:sz w:val="21"/>
                <w:szCs w:val="20"/>
                <w:vertAlign w:val="baseline"/>
                <w:lang w:val="en-US" w:eastAsia="zh-CN"/>
              </w:rPr>
              <w:t>/</w:t>
            </w:r>
          </w:p>
        </w:tc>
        <w:tc>
          <w:tcPr>
            <w:tcW w:w="459" w:type="pct"/>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vertAlign w:val="baseline"/>
                <w:lang w:val="en-US" w:eastAsia="zh-CN"/>
              </w:rPr>
            </w:pPr>
            <w:r>
              <w:rPr>
                <w:rFonts w:hint="eastAsia" w:ascii="Times New Roman" w:hAnsi="Times New Roman"/>
                <w:spacing w:val="-6"/>
                <w:w w:val="90"/>
                <w:sz w:val="21"/>
                <w:szCs w:val="20"/>
                <w:vertAlign w:val="baseline"/>
                <w:lang w:val="en-US" w:eastAsia="zh-CN"/>
              </w:rPr>
              <w:t>3257708</w:t>
            </w:r>
          </w:p>
        </w:tc>
      </w:tr>
    </w:tbl>
    <w:p>
      <w:pPr>
        <w:bidi w:val="0"/>
        <w:rPr>
          <w:rFonts w:hint="default"/>
          <w:lang w:val="en-US" w:eastAsia="zh-CN"/>
        </w:rPr>
      </w:pPr>
    </w:p>
    <w:p>
      <w:pPr>
        <w:bidi w:val="0"/>
        <w:rPr>
          <w:rFonts w:hint="default"/>
          <w:lang w:val="en-US" w:eastAsia="zh-CN"/>
        </w:rPr>
        <w:sectPr>
          <w:pgSz w:w="16838" w:h="11906" w:orient="landscape"/>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p>
    <w:p>
      <w:pPr>
        <w:rPr>
          <w:rFonts w:hint="eastAsia"/>
          <w:lang w:val="en-US" w:eastAsia="zh-CN"/>
        </w:rPr>
      </w:pPr>
      <w:r>
        <w:rPr>
          <w:rFonts w:hint="eastAsia"/>
          <w:lang w:val="en-US" w:eastAsia="zh-CN"/>
        </w:rPr>
        <w:t>根据在线监测报表的统计分析，</w:t>
      </w:r>
      <w:r>
        <w:rPr>
          <w:rFonts w:hint="eastAsia" w:ascii="Times New Roman" w:hAnsi="Times New Roman"/>
          <w:lang w:val="en-US" w:eastAsia="zh-CN"/>
        </w:rPr>
        <w:t>2022</w:t>
      </w:r>
      <w:r>
        <w:rPr>
          <w:rFonts w:hint="eastAsia"/>
          <w:lang w:val="en-US" w:eastAsia="zh-CN"/>
        </w:rPr>
        <w:t>年废水排放总量为</w:t>
      </w:r>
      <w:r>
        <w:rPr>
          <w:rFonts w:hint="eastAsia" w:ascii="Times New Roman" w:hAnsi="Times New Roman"/>
          <w:lang w:val="en-US" w:eastAsia="zh-CN"/>
        </w:rPr>
        <w:t>325</w:t>
      </w:r>
      <w:r>
        <w:rPr>
          <w:rFonts w:hint="eastAsia"/>
          <w:lang w:val="en-US" w:eastAsia="zh-CN"/>
        </w:rPr>
        <w:t>.</w:t>
      </w:r>
      <w:r>
        <w:rPr>
          <w:rFonts w:hint="eastAsia" w:ascii="Times New Roman" w:hAnsi="Times New Roman"/>
          <w:lang w:val="en-US" w:eastAsia="zh-CN"/>
        </w:rPr>
        <w:t>7708</w:t>
      </w:r>
      <w:r>
        <w:rPr>
          <w:rFonts w:hint="eastAsia"/>
          <w:lang w:val="en-US" w:eastAsia="zh-CN"/>
        </w:rPr>
        <w:t>万</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a</w:t>
      </w:r>
      <w:r>
        <w:rPr>
          <w:rFonts w:hint="eastAsia"/>
          <w:lang w:val="en-US" w:eastAsia="zh-CN"/>
        </w:rPr>
        <w:t>，</w:t>
      </w:r>
      <w:r>
        <w:rPr>
          <w:rFonts w:hint="eastAsia" w:ascii="Times New Roman" w:hAnsi="Times New Roman"/>
          <w:lang w:val="en-US" w:eastAsia="zh-CN"/>
        </w:rPr>
        <w:t>2022</w:t>
      </w:r>
      <w:r>
        <w:rPr>
          <w:rFonts w:hint="eastAsia"/>
          <w:lang w:val="en-US" w:eastAsia="zh-CN"/>
        </w:rPr>
        <w:t>年</w:t>
      </w:r>
      <w:r>
        <w:rPr>
          <w:rFonts w:hint="eastAsia" w:ascii="Times New Roman" w:hAnsi="Times New Roman"/>
          <w:lang w:val="en-US" w:eastAsia="zh-CN"/>
        </w:rPr>
        <w:t>6</w:t>
      </w:r>
      <w:r>
        <w:rPr>
          <w:rFonts w:hint="eastAsia"/>
          <w:lang w:val="en-US" w:eastAsia="zh-CN"/>
        </w:rPr>
        <w:t>月、</w:t>
      </w:r>
      <w:r>
        <w:rPr>
          <w:rFonts w:hint="eastAsia" w:ascii="Times New Roman" w:hAnsi="Times New Roman"/>
          <w:lang w:val="en-US" w:eastAsia="zh-CN"/>
        </w:rPr>
        <w:t>7</w:t>
      </w:r>
      <w:r>
        <w:rPr>
          <w:rFonts w:hint="eastAsia"/>
          <w:lang w:val="en-US" w:eastAsia="zh-CN"/>
        </w:rPr>
        <w:t>月时，总氮在个别时段存在超标，主要原因是未及时更换滤膜和补充相关药剂，其余污染因子均满足达标排放。</w:t>
      </w:r>
    </w:p>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现有工程聚合工艺</w:t>
      </w:r>
      <w:r>
        <w:rPr>
          <w:rFonts w:hint="eastAsia" w:ascii="Times New Roman" w:hAnsi="Times New Roman"/>
          <w:lang w:val="en-US" w:eastAsia="zh-CN"/>
        </w:rPr>
        <w:t>VOCs</w:t>
      </w:r>
      <w:r>
        <w:rPr>
          <w:rFonts w:hint="eastAsia"/>
          <w:lang w:val="en-US" w:eastAsia="zh-CN"/>
        </w:rPr>
        <w:t>排放核算</w:t>
      </w:r>
    </w:p>
    <w:p>
      <w:pPr>
        <w:bidi w:val="0"/>
        <w:rPr>
          <w:rFonts w:hint="default"/>
          <w:color w:val="auto"/>
          <w:lang w:val="en-US" w:eastAsia="zh-CN"/>
        </w:rPr>
      </w:pPr>
      <w:r>
        <w:rPr>
          <w:rFonts w:hint="eastAsia"/>
          <w:color w:val="auto"/>
          <w:lang w:val="en-US" w:eastAsia="zh-CN"/>
        </w:rPr>
        <w:t>现有工程</w:t>
      </w:r>
      <w:r>
        <w:rPr>
          <w:rFonts w:hint="eastAsia" w:ascii="Times New Roman" w:hAnsi="Times New Roman"/>
          <w:color w:val="auto"/>
          <w:lang w:val="en-US" w:eastAsia="zh-CN"/>
        </w:rPr>
        <w:t>PA</w:t>
      </w:r>
      <w:r>
        <w:rPr>
          <w:rFonts w:hint="eastAsia"/>
          <w:color w:val="auto"/>
          <w:lang w:val="en-US" w:eastAsia="zh-CN"/>
        </w:rPr>
        <w:t>车间中，聚合釜产生的放空废气中含有少量的残留胺和有机杂质，车间内对该部分废气进行收集，采用二级水膜+碱喷淋处理后，通过</w:t>
      </w:r>
      <w:r>
        <w:rPr>
          <w:rFonts w:hint="eastAsia" w:ascii="Times New Roman" w:hAnsi="Times New Roman"/>
          <w:color w:val="auto"/>
          <w:lang w:val="en-US" w:eastAsia="zh-CN"/>
        </w:rPr>
        <w:t>40m</w:t>
      </w:r>
      <w:r>
        <w:rPr>
          <w:rFonts w:hint="eastAsia"/>
          <w:color w:val="auto"/>
          <w:lang w:val="en-US" w:eastAsia="zh-CN"/>
        </w:rPr>
        <w:t>排气筒排放。</w:t>
      </w:r>
    </w:p>
    <w:p>
      <w:pPr>
        <w:bidi w:val="0"/>
        <w:rPr>
          <w:rFonts w:hint="default"/>
          <w:color w:val="auto"/>
          <w:lang w:val="en-US" w:eastAsia="zh-CN"/>
        </w:rPr>
      </w:pPr>
      <w:r>
        <w:rPr>
          <w:rFonts w:hint="eastAsia"/>
          <w:color w:val="auto"/>
          <w:lang w:val="en-US" w:eastAsia="zh-CN"/>
        </w:rPr>
        <w:t>根据</w:t>
      </w:r>
      <w:r>
        <w:rPr>
          <w:rFonts w:hint="eastAsia" w:ascii="Times New Roman" w:hAnsi="Times New Roman"/>
          <w:color w:val="auto"/>
          <w:lang w:val="en-US" w:eastAsia="zh-CN"/>
        </w:rPr>
        <w:t>2023</w:t>
      </w:r>
      <w:r>
        <w:rPr>
          <w:rFonts w:hint="eastAsia"/>
          <w:color w:val="auto"/>
          <w:lang w:val="en-US" w:eastAsia="zh-CN"/>
        </w:rPr>
        <w:t>年对现有工程聚合釜放空废气的采样监测，聚合釜放空废气</w:t>
      </w:r>
      <w:r>
        <w:rPr>
          <w:rFonts w:hint="eastAsia" w:ascii="Times New Roman" w:hAnsi="Times New Roman"/>
          <w:color w:val="auto"/>
          <w:lang w:val="en-US" w:eastAsia="zh-CN"/>
        </w:rPr>
        <w:t>NMHC</w:t>
      </w:r>
      <w:r>
        <w:rPr>
          <w:rFonts w:hint="eastAsia"/>
          <w:color w:val="auto"/>
          <w:lang w:val="en-US" w:eastAsia="zh-CN"/>
        </w:rPr>
        <w:t>平均排放速率为</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053kg</w:t>
      </w:r>
      <w:r>
        <w:rPr>
          <w:rFonts w:hint="eastAsia"/>
          <w:color w:val="auto"/>
          <w:lang w:val="en-US" w:eastAsia="zh-CN"/>
        </w:rPr>
        <w:t>/</w:t>
      </w:r>
      <w:r>
        <w:rPr>
          <w:rFonts w:hint="eastAsia" w:ascii="Times New Roman" w:hAnsi="Times New Roman"/>
          <w:color w:val="auto"/>
          <w:lang w:val="en-US" w:eastAsia="zh-CN"/>
        </w:rPr>
        <w:t>h</w:t>
      </w:r>
      <w:r>
        <w:rPr>
          <w:rFonts w:hint="eastAsia"/>
          <w:color w:val="auto"/>
          <w:lang w:val="en-US" w:eastAsia="zh-CN"/>
        </w:rPr>
        <w:t>，全年预计排放</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424t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p>
    <w:p>
      <w:pPr>
        <w:pStyle w:val="6"/>
        <w:bidi w:val="0"/>
        <w:rPr>
          <w:rFonts w:hint="eastAsia"/>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4</w:t>
      </w:r>
      <w:r>
        <w:rPr>
          <w:rFonts w:hint="eastAsia"/>
          <w:lang w:val="en-US" w:eastAsia="zh-CN"/>
        </w:rPr>
        <w:t>排污口规范化</w:t>
      </w:r>
    </w:p>
    <w:p>
      <w:pPr>
        <w:spacing w:before="120" w:line="360" w:lineRule="auto"/>
        <w:ind w:firstLine="480"/>
        <w:rPr>
          <w:rFonts w:hint="eastAsia"/>
          <w:lang w:eastAsia="zh-CN"/>
        </w:rPr>
      </w:pPr>
      <w:r>
        <w:rPr>
          <w:rFonts w:hint="eastAsia"/>
          <w:kern w:val="0"/>
          <w:sz w:val="24"/>
          <w:szCs w:val="24"/>
          <w:lang w:eastAsia="zh-CN"/>
        </w:rPr>
        <w:t>建设单位</w:t>
      </w:r>
      <w:r>
        <w:rPr>
          <w:rFonts w:hint="eastAsia" w:ascii="宋体" w:hAnsi="宋体"/>
          <w:sz w:val="24"/>
          <w:szCs w:val="24"/>
        </w:rPr>
        <w:t>按照《排污口规范化整治技术要求(试行)》《环境保护图形标志》(</w:t>
      </w:r>
      <w:r>
        <w:rPr>
          <w:rFonts w:hint="eastAsia" w:ascii="Times New Roman" w:hAnsi="Times New Roman"/>
          <w:sz w:val="24"/>
          <w:szCs w:val="24"/>
        </w:rPr>
        <w:t>GB15562</w:t>
      </w:r>
      <w:r>
        <w:rPr>
          <w:rFonts w:hint="eastAsia" w:ascii="宋体" w:hAnsi="宋体"/>
          <w:sz w:val="24"/>
          <w:szCs w:val="24"/>
        </w:rPr>
        <w:t>.</w:t>
      </w:r>
      <w:r>
        <w:rPr>
          <w:rFonts w:hint="eastAsia" w:ascii="Times New Roman" w:hAnsi="Times New Roman"/>
          <w:sz w:val="24"/>
          <w:szCs w:val="24"/>
        </w:rPr>
        <w:t>1</w:t>
      </w:r>
      <w:r>
        <w:rPr>
          <w:rFonts w:hint="eastAsia" w:ascii="宋体" w:hAnsi="宋体"/>
          <w:sz w:val="24"/>
          <w:szCs w:val="24"/>
        </w:rPr>
        <w:t>-</w:t>
      </w:r>
      <w:r>
        <w:rPr>
          <w:rFonts w:hint="eastAsia" w:ascii="Times New Roman" w:hAnsi="Times New Roman"/>
          <w:sz w:val="24"/>
          <w:szCs w:val="24"/>
        </w:rPr>
        <w:t>1995</w:t>
      </w:r>
      <w:r>
        <w:rPr>
          <w:rFonts w:hint="eastAsia" w:ascii="宋体" w:hAnsi="宋体"/>
          <w:sz w:val="24"/>
          <w:szCs w:val="24"/>
        </w:rPr>
        <w:t>)(</w:t>
      </w:r>
      <w:r>
        <w:rPr>
          <w:rFonts w:hint="eastAsia" w:ascii="Times New Roman" w:hAnsi="Times New Roman"/>
          <w:sz w:val="24"/>
          <w:szCs w:val="24"/>
        </w:rPr>
        <w:t>GB15562</w:t>
      </w:r>
      <w:r>
        <w:rPr>
          <w:rFonts w:hint="eastAsia" w:ascii="宋体" w:hAnsi="宋体"/>
          <w:sz w:val="24"/>
          <w:szCs w:val="24"/>
        </w:rPr>
        <w:t>.</w:t>
      </w:r>
      <w:r>
        <w:rPr>
          <w:rFonts w:hint="eastAsia" w:ascii="Times New Roman" w:hAnsi="Times New Roman"/>
          <w:sz w:val="24"/>
          <w:szCs w:val="24"/>
        </w:rPr>
        <w:t>2</w:t>
      </w:r>
      <w:r>
        <w:rPr>
          <w:rFonts w:hint="eastAsia" w:ascii="宋体" w:hAnsi="宋体"/>
          <w:sz w:val="24"/>
          <w:szCs w:val="24"/>
        </w:rPr>
        <w:t>-</w:t>
      </w:r>
      <w:r>
        <w:rPr>
          <w:rFonts w:hint="eastAsia" w:ascii="Times New Roman" w:hAnsi="Times New Roman"/>
          <w:sz w:val="24"/>
          <w:szCs w:val="24"/>
        </w:rPr>
        <w:t>1995</w:t>
      </w:r>
      <w:r>
        <w:rPr>
          <w:rFonts w:hint="eastAsia" w:ascii="宋体" w:hAnsi="宋体"/>
          <w:sz w:val="24"/>
          <w:szCs w:val="24"/>
        </w:rPr>
        <w:t>)</w:t>
      </w:r>
      <w:r>
        <w:rPr>
          <w:rFonts w:hint="eastAsia"/>
          <w:sz w:val="24"/>
          <w:szCs w:val="24"/>
          <w:lang w:eastAsia="zh-CN"/>
        </w:rPr>
        <w:t>、《危险废物识别标志设置技术规范》（</w:t>
      </w:r>
      <w:r>
        <w:rPr>
          <w:rFonts w:hint="eastAsia" w:ascii="Times New Roman" w:hAnsi="Times New Roman"/>
          <w:sz w:val="24"/>
          <w:szCs w:val="24"/>
          <w:lang w:val="en-US" w:eastAsia="zh-CN"/>
        </w:rPr>
        <w:t>HJ1276</w:t>
      </w:r>
      <w:r>
        <w:rPr>
          <w:rFonts w:hint="eastAsia"/>
          <w:sz w:val="24"/>
          <w:szCs w:val="24"/>
          <w:lang w:val="en-US" w:eastAsia="zh-CN"/>
        </w:rPr>
        <w:t>-</w:t>
      </w:r>
      <w:r>
        <w:rPr>
          <w:rFonts w:hint="eastAsia" w:ascii="Times New Roman" w:hAnsi="Times New Roman"/>
          <w:sz w:val="24"/>
          <w:szCs w:val="24"/>
          <w:lang w:val="en-US" w:eastAsia="zh-CN"/>
        </w:rPr>
        <w:t>2022</w:t>
      </w:r>
      <w:r>
        <w:rPr>
          <w:rFonts w:hint="eastAsia"/>
          <w:sz w:val="24"/>
          <w:szCs w:val="24"/>
          <w:lang w:eastAsia="zh-CN"/>
        </w:rPr>
        <w:t>）</w:t>
      </w:r>
      <w:r>
        <w:rPr>
          <w:rFonts w:hint="eastAsia" w:ascii="宋体" w:hAnsi="宋体"/>
          <w:sz w:val="24"/>
          <w:szCs w:val="24"/>
        </w:rPr>
        <w:t>的规定对污染物排放口(源)和固体废物贮存</w:t>
      </w:r>
      <w:r>
        <w:rPr>
          <w:rFonts w:hint="eastAsia"/>
          <w:sz w:val="24"/>
          <w:szCs w:val="24"/>
          <w:lang w:eastAsia="zh-CN"/>
        </w:rPr>
        <w:t>区</w:t>
      </w:r>
      <w:r>
        <w:rPr>
          <w:rFonts w:hint="eastAsia" w:ascii="宋体" w:hAnsi="宋体"/>
          <w:sz w:val="24"/>
          <w:szCs w:val="24"/>
        </w:rPr>
        <w:t>进行规范化整治</w:t>
      </w:r>
      <w:r>
        <w:rPr>
          <w:rFonts w:hint="eastAsia"/>
          <w:sz w:val="24"/>
          <w:szCs w:val="24"/>
          <w:lang w:eastAsia="zh-CN"/>
        </w:rPr>
        <w:t>并</w:t>
      </w:r>
      <w:r>
        <w:rPr>
          <w:rFonts w:hint="eastAsia" w:ascii="宋体" w:hAnsi="宋体"/>
          <w:sz w:val="24"/>
          <w:szCs w:val="24"/>
        </w:rPr>
        <w:t>设置环境保护图形标志。</w:t>
      </w:r>
      <w:r>
        <w:rPr>
          <w:rFonts w:hint="eastAsia"/>
          <w:lang w:eastAsia="zh-CN"/>
        </w:rPr>
        <w:t>厂内危险废物管理具备管理台账和危险废物处理协议，</w:t>
      </w:r>
      <w:r>
        <w:rPr>
          <w:rFonts w:hint="eastAsia"/>
        </w:rPr>
        <w:t>严格按照《</w:t>
      </w:r>
      <w:r>
        <w:rPr>
          <w:rFonts w:hint="eastAsia"/>
          <w:lang w:eastAsia="zh-CN"/>
        </w:rPr>
        <w:t>危险废物转移管理办法</w:t>
      </w:r>
      <w:r>
        <w:rPr>
          <w:rFonts w:hint="eastAsia"/>
        </w:rPr>
        <w:t>》要求</w:t>
      </w:r>
      <w:r>
        <w:rPr>
          <w:rFonts w:hint="eastAsia"/>
          <w:lang w:eastAsia="zh-CN"/>
        </w:rPr>
        <w:t>进行</w:t>
      </w:r>
      <w:r>
        <w:rPr>
          <w:rFonts w:hint="eastAsia"/>
        </w:rPr>
        <w:t>贮存、运输和转移管理。</w:t>
      </w:r>
    </w:p>
    <w:tbl>
      <w:tblPr>
        <w:tblStyle w:val="8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7"/>
        <w:gridCol w:w="45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drawing>
                <wp:inline distT="0" distB="0" distL="114300" distR="114300">
                  <wp:extent cx="2761615" cy="2071370"/>
                  <wp:effectExtent l="0" t="0" r="635" b="5080"/>
                  <wp:docPr id="105" name="图片 105" descr="QQ图片2023071418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QQ图片20230714183044"/>
                          <pic:cNvPicPr>
                            <a:picLocks noChangeAspect="1"/>
                          </pic:cNvPicPr>
                        </pic:nvPicPr>
                        <pic:blipFill>
                          <a:blip r:embed="rId40"/>
                          <a:stretch>
                            <a:fillRect/>
                          </a:stretch>
                        </pic:blipFill>
                        <pic:spPr>
                          <a:xfrm>
                            <a:off x="0" y="0"/>
                            <a:ext cx="2761615" cy="2071370"/>
                          </a:xfrm>
                          <a:prstGeom prst="rect">
                            <a:avLst/>
                          </a:prstGeom>
                        </pic:spPr>
                      </pic:pic>
                    </a:graphicData>
                  </a:graphic>
                </wp:inline>
              </w:drawing>
            </w:r>
          </w:p>
        </w:tc>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drawing>
                <wp:inline distT="0" distB="0" distL="114300" distR="114300">
                  <wp:extent cx="2761615" cy="2071370"/>
                  <wp:effectExtent l="0" t="0" r="635" b="5080"/>
                  <wp:docPr id="106" name="图片 106" descr="QQ图片202307141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QQ图片20230714183051"/>
                          <pic:cNvPicPr>
                            <a:picLocks noChangeAspect="1"/>
                          </pic:cNvPicPr>
                        </pic:nvPicPr>
                        <pic:blipFill>
                          <a:blip r:embed="rId41"/>
                          <a:stretch>
                            <a:fillRect/>
                          </a:stretch>
                        </pic:blipFill>
                        <pic:spPr>
                          <a:xfrm>
                            <a:off x="0" y="0"/>
                            <a:ext cx="2761615" cy="20713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危险废物贮存库标识</w:t>
            </w:r>
          </w:p>
        </w:tc>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危险废物贮存库标识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drawing>
                <wp:inline distT="0" distB="0" distL="114300" distR="114300">
                  <wp:extent cx="2770505" cy="1287145"/>
                  <wp:effectExtent l="0" t="0" r="10795" b="8255"/>
                  <wp:docPr id="107" name="图片 107" descr="QQ图片2021102616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QQ图片20211026160240"/>
                          <pic:cNvPicPr>
                            <a:picLocks noChangeAspect="1"/>
                          </pic:cNvPicPr>
                        </pic:nvPicPr>
                        <pic:blipFill>
                          <a:blip r:embed="rId42"/>
                          <a:stretch>
                            <a:fillRect/>
                          </a:stretch>
                        </pic:blipFill>
                        <pic:spPr>
                          <a:xfrm>
                            <a:off x="0" y="0"/>
                            <a:ext cx="2770505" cy="1287145"/>
                          </a:xfrm>
                          <a:prstGeom prst="rect">
                            <a:avLst/>
                          </a:prstGeom>
                        </pic:spPr>
                      </pic:pic>
                    </a:graphicData>
                  </a:graphic>
                </wp:inline>
              </w:drawing>
            </w:r>
          </w:p>
        </w:tc>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drawing>
                <wp:inline distT="0" distB="0" distL="114300" distR="114300">
                  <wp:extent cx="2780030" cy="1291590"/>
                  <wp:effectExtent l="0" t="0" r="1270" b="3810"/>
                  <wp:docPr id="108" name="图片 108" descr="QQ图片2021102616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QQ图片20211026160313"/>
                          <pic:cNvPicPr>
                            <a:picLocks noChangeAspect="1"/>
                          </pic:cNvPicPr>
                        </pic:nvPicPr>
                        <pic:blipFill>
                          <a:blip r:embed="rId43"/>
                          <a:stretch>
                            <a:fillRect/>
                          </a:stretch>
                        </pic:blipFill>
                        <pic:spPr>
                          <a:xfrm>
                            <a:off x="0" y="0"/>
                            <a:ext cx="2780030" cy="12915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危险废物管理制度展板</w:t>
            </w:r>
          </w:p>
        </w:tc>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危险废物分类存放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drawing>
                <wp:inline distT="0" distB="0" distL="114300" distR="114300">
                  <wp:extent cx="2770505" cy="1287145"/>
                  <wp:effectExtent l="0" t="0" r="10795" b="8255"/>
                  <wp:docPr id="109" name="图片 109" descr="QQ图片2021102616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QQ图片20211026160301"/>
                          <pic:cNvPicPr>
                            <a:picLocks noChangeAspect="1"/>
                          </pic:cNvPicPr>
                        </pic:nvPicPr>
                        <pic:blipFill>
                          <a:blip r:embed="rId44"/>
                          <a:stretch>
                            <a:fillRect/>
                          </a:stretch>
                        </pic:blipFill>
                        <pic:spPr>
                          <a:xfrm>
                            <a:off x="0" y="0"/>
                            <a:ext cx="2770505" cy="1287145"/>
                          </a:xfrm>
                          <a:prstGeom prst="rect">
                            <a:avLst/>
                          </a:prstGeom>
                        </pic:spPr>
                      </pic:pic>
                    </a:graphicData>
                  </a:graphic>
                </wp:inline>
              </w:drawing>
            </w:r>
          </w:p>
        </w:tc>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drawing>
                <wp:inline distT="0" distB="0" distL="114300" distR="114300">
                  <wp:extent cx="2770505" cy="1287145"/>
                  <wp:effectExtent l="0" t="0" r="10795" b="8255"/>
                  <wp:docPr id="110" name="图片 110" descr="QQ图片2021102616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QQ图片20211026160253"/>
                          <pic:cNvPicPr>
                            <a:picLocks noChangeAspect="1"/>
                          </pic:cNvPicPr>
                        </pic:nvPicPr>
                        <pic:blipFill>
                          <a:blip r:embed="rId45"/>
                          <a:stretch>
                            <a:fillRect/>
                          </a:stretch>
                        </pic:blipFill>
                        <pic:spPr>
                          <a:xfrm>
                            <a:off x="0" y="0"/>
                            <a:ext cx="2770505" cy="12871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危险废物贮存库截水沟</w:t>
            </w:r>
          </w:p>
        </w:tc>
        <w:tc>
          <w:tcPr>
            <w:tcW w:w="4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危险废物贮存库集水池</w:t>
            </w:r>
          </w:p>
        </w:tc>
      </w:tr>
    </w:tbl>
    <w:p>
      <w:pPr>
        <w:pStyle w:val="6"/>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厂区分区防渗硬化</w:t>
      </w:r>
    </w:p>
    <w:p>
      <w:pPr>
        <w:bidi w:val="0"/>
        <w:rPr>
          <w:rFonts w:hint="default"/>
          <w:lang w:val="en-US" w:eastAsia="zh-CN"/>
        </w:rPr>
      </w:pPr>
      <w:r>
        <w:rPr>
          <w:rFonts w:hint="eastAsia"/>
          <w:lang w:val="en-US" w:eastAsia="zh-CN"/>
        </w:rPr>
        <w:t>现有工程参照《石油化工工程防渗技术规范》（</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T50934</w:t>
      </w:r>
      <w:r>
        <w:rPr>
          <w:rFonts w:hint="eastAsia"/>
          <w:lang w:val="en-US" w:eastAsia="zh-CN"/>
        </w:rPr>
        <w:t>-</w:t>
      </w:r>
      <w:r>
        <w:rPr>
          <w:rFonts w:hint="eastAsia" w:ascii="Times New Roman" w:hAnsi="Times New Roman"/>
          <w:lang w:val="en-US" w:eastAsia="zh-CN"/>
        </w:rPr>
        <w:t>2013</w:t>
      </w:r>
      <w:r>
        <w:rPr>
          <w:rFonts w:hint="eastAsia"/>
          <w:lang w:val="en-US" w:eastAsia="zh-CN"/>
        </w:rPr>
        <w:t>）将厂区划分为非污染防治区、一般污染防治区和重点污染防治区。厂区重点防渗区域见表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8</w:t>
      </w:r>
      <w:r>
        <w:rPr>
          <w:rFonts w:hint="eastAsia"/>
          <w:lang w:val="en-US" w:eastAsia="zh-CN"/>
        </w:rPr>
        <w:t>。</w:t>
      </w:r>
    </w:p>
    <w:p>
      <w:pPr>
        <w:pStyle w:val="20"/>
        <w:bidi w:val="0"/>
        <w:rPr>
          <w:rFonts w:hint="eastAsia"/>
          <w:lang w:val="en-US" w:eastAsia="zh-CN"/>
        </w:rPr>
      </w:pPr>
      <w:r>
        <w:rPr>
          <w:rFonts w:hint="eastAsia"/>
          <w:lang w:val="en-US" w:eastAsia="zh-CN"/>
        </w:rP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8</w:t>
      </w:r>
      <w:r>
        <w:rPr>
          <w:rFonts w:hint="eastAsia"/>
          <w:lang w:val="en-US" w:eastAsia="zh-CN"/>
        </w:rPr>
        <w:t xml:space="preserve">  厂区分区防渗情况</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3459"/>
        <w:gridCol w:w="3303"/>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序号</w:t>
            </w:r>
          </w:p>
        </w:tc>
        <w:tc>
          <w:tcPr>
            <w:tcW w:w="1884"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装置、单元名称</w:t>
            </w:r>
          </w:p>
        </w:tc>
        <w:tc>
          <w:tcPr>
            <w:tcW w:w="1799"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污染防治区域及部位</w:t>
            </w:r>
          </w:p>
        </w:tc>
        <w:tc>
          <w:tcPr>
            <w:tcW w:w="983"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污染防治区类别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188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氨储罐区、</w:t>
            </w:r>
            <w:r>
              <w:rPr>
                <w:rFonts w:hint="eastAsia" w:ascii="Times New Roman" w:hAnsi="Times New Roman"/>
                <w:sz w:val="21"/>
                <w:szCs w:val="16"/>
                <w:vertAlign w:val="baseline"/>
                <w:lang w:val="en-US" w:eastAsia="zh-CN"/>
              </w:rPr>
              <w:t>DN</w:t>
            </w:r>
            <w:r>
              <w:rPr>
                <w:rFonts w:hint="eastAsia"/>
                <w:sz w:val="21"/>
                <w:szCs w:val="16"/>
                <w:vertAlign w:val="baseline"/>
                <w:lang w:val="en-US" w:eastAsia="zh-CN"/>
              </w:rPr>
              <w:t>溶液储罐、酸碱储罐</w:t>
            </w:r>
          </w:p>
        </w:tc>
        <w:tc>
          <w:tcPr>
            <w:tcW w:w="179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储罐基础</w:t>
            </w:r>
          </w:p>
        </w:tc>
        <w:tc>
          <w:tcPr>
            <w:tcW w:w="983"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w:t>
            </w:r>
          </w:p>
        </w:tc>
        <w:tc>
          <w:tcPr>
            <w:tcW w:w="188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各类吸收塔塔底水池</w:t>
            </w:r>
          </w:p>
        </w:tc>
        <w:tc>
          <w:tcPr>
            <w:tcW w:w="179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底板和壁板</w:t>
            </w:r>
          </w:p>
        </w:tc>
        <w:tc>
          <w:tcPr>
            <w:tcW w:w="983"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w:t>
            </w:r>
          </w:p>
        </w:tc>
        <w:tc>
          <w:tcPr>
            <w:tcW w:w="188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危险废物贮存库</w:t>
            </w:r>
          </w:p>
        </w:tc>
        <w:tc>
          <w:tcPr>
            <w:tcW w:w="179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地面和裙角</w:t>
            </w:r>
          </w:p>
        </w:tc>
        <w:tc>
          <w:tcPr>
            <w:tcW w:w="983"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w:t>
            </w:r>
          </w:p>
        </w:tc>
        <w:tc>
          <w:tcPr>
            <w:tcW w:w="188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cs="Times New Roman"/>
                <w:sz w:val="21"/>
                <w:szCs w:val="16"/>
                <w:vertAlign w:val="baseline"/>
                <w:lang w:val="en-US" w:eastAsia="zh-CN" w:bidi="ar-SA"/>
              </w:rPr>
              <w:t>污水处理站各池体</w:t>
            </w:r>
          </w:p>
        </w:tc>
        <w:tc>
          <w:tcPr>
            <w:tcW w:w="179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cs="Times New Roman"/>
                <w:sz w:val="21"/>
                <w:szCs w:val="16"/>
                <w:vertAlign w:val="baseline"/>
                <w:lang w:val="en-US" w:eastAsia="zh-CN" w:bidi="ar-SA"/>
              </w:rPr>
              <w:t>底板和壁板</w:t>
            </w:r>
          </w:p>
        </w:tc>
        <w:tc>
          <w:tcPr>
            <w:tcW w:w="983"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cs="Times New Roman"/>
                <w:sz w:val="21"/>
                <w:szCs w:val="16"/>
                <w:vertAlign w:val="baseline"/>
                <w:lang w:val="en-US" w:eastAsia="zh-CN" w:bidi="ar-SA"/>
              </w:rPr>
              <w:t>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5</w:t>
            </w:r>
          </w:p>
        </w:tc>
        <w:tc>
          <w:tcPr>
            <w:tcW w:w="188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地下管道</w:t>
            </w:r>
          </w:p>
        </w:tc>
        <w:tc>
          <w:tcPr>
            <w:tcW w:w="1799"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一级、二级地管采用钢制管道</w:t>
            </w:r>
          </w:p>
        </w:tc>
        <w:tc>
          <w:tcPr>
            <w:tcW w:w="983"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sz w:val="21"/>
                <w:szCs w:val="16"/>
                <w:vertAlign w:val="baseline"/>
                <w:lang w:val="en-US" w:eastAsia="zh-CN"/>
              </w:rPr>
              <w:t>重点</w:t>
            </w:r>
          </w:p>
        </w:tc>
      </w:tr>
    </w:tbl>
    <w:p>
      <w:pPr>
        <w:bidi w:val="0"/>
        <w:rPr>
          <w:rFonts w:hint="eastAsia"/>
          <w:lang w:val="en-US" w:eastAsia="zh-CN"/>
        </w:rPr>
      </w:pPr>
      <w:r>
        <w:rPr>
          <w:rFonts w:hint="eastAsia"/>
          <w:lang w:val="en-US" w:eastAsia="zh-CN"/>
        </w:rPr>
        <w:t>现有工程按照环评文件采取了分区防渗措施。</w:t>
      </w:r>
    </w:p>
    <w:p>
      <w:pPr>
        <w:pStyle w:val="4"/>
        <w:bidi w:val="0"/>
        <w:rPr>
          <w:rFonts w:hint="default"/>
          <w:lang w:val="en-US" w:eastAsia="zh-CN"/>
        </w:rPr>
      </w:pPr>
      <w:bookmarkStart w:id="105" w:name="_Toc8873"/>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4</w:t>
      </w:r>
      <w:r>
        <w:rPr>
          <w:rFonts w:hint="eastAsia"/>
          <w:lang w:val="en-US" w:eastAsia="zh-CN"/>
        </w:rPr>
        <w:t>现有工程主要污染物总量控制指标</w:t>
      </w:r>
      <w:bookmarkEnd w:id="105"/>
    </w:p>
    <w:p>
      <w:pPr>
        <w:bidi w:val="0"/>
        <w:rPr>
          <w:rFonts w:hint="eastAsia"/>
          <w:color w:val="FF0000"/>
          <w:lang w:val="en-US" w:eastAsia="zh-CN"/>
        </w:rPr>
      </w:pPr>
      <w:r>
        <w:rPr>
          <w:rFonts w:hint="eastAsia"/>
          <w:lang w:val="en-US" w:eastAsia="zh-CN"/>
        </w:rPr>
        <w:t>根据最新的企业排</w:t>
      </w:r>
      <w:r>
        <w:rPr>
          <w:rFonts w:hint="eastAsia"/>
          <w:color w:val="auto"/>
          <w:lang w:val="en-US" w:eastAsia="zh-CN"/>
        </w:rPr>
        <w:t>污许可证（证书编号：</w:t>
      </w:r>
      <w:r>
        <w:rPr>
          <w:rFonts w:hint="eastAsia" w:ascii="Times New Roman" w:hAnsi="Times New Roman"/>
          <w:color w:val="auto"/>
          <w:lang w:val="en-US" w:eastAsia="zh-CN"/>
        </w:rPr>
        <w:t>91654202MA775WL12K001Q</w:t>
      </w:r>
      <w:r>
        <w:rPr>
          <w:rFonts w:hint="eastAsia"/>
          <w:color w:val="auto"/>
          <w:lang w:val="en-US" w:eastAsia="zh-CN"/>
        </w:rPr>
        <w:t>）现有工程大气污染物许可排放量为：颗粒物：</w:t>
      </w:r>
      <w:r>
        <w:rPr>
          <w:rFonts w:hint="eastAsia" w:ascii="Times New Roman" w:hAnsi="Times New Roman"/>
          <w:color w:val="auto"/>
          <w:lang w:val="en-US" w:eastAsia="zh-CN"/>
        </w:rPr>
        <w:t>66</w:t>
      </w:r>
      <w:r>
        <w:rPr>
          <w:rFonts w:hint="eastAsia" w:ascii="Times New Roman" w:hAnsi="Times New Roman"/>
          <w:color w:val="auto"/>
          <w:lang w:val="en-US" w:eastAsia="zh-CN"/>
        </w:rPr>
        <w:t>.</w:t>
      </w:r>
      <w:r>
        <w:rPr>
          <w:rFonts w:hint="eastAsia" w:ascii="Times New Roman" w:hAnsi="Times New Roman"/>
          <w:color w:val="auto"/>
          <w:lang w:val="en-US" w:eastAsia="zh-CN"/>
        </w:rPr>
        <w:t>11756t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r>
        <w:rPr>
          <w:rFonts w:hint="eastAsia" w:ascii="Times New Roman" w:hAnsi="Times New Roman"/>
          <w:color w:val="auto"/>
          <w:lang w:val="en-US" w:eastAsia="zh-CN"/>
        </w:rPr>
        <w:t>SO</w:t>
      </w:r>
      <w:r>
        <w:rPr>
          <w:rFonts w:hint="eastAsia" w:ascii="Times New Roman" w:hAnsi="Times New Roman"/>
          <w:color w:val="auto"/>
          <w:vertAlign w:val="subscript"/>
          <w:lang w:val="en-US" w:eastAsia="zh-CN"/>
        </w:rPr>
        <w:t>2</w:t>
      </w:r>
      <w:r>
        <w:rPr>
          <w:rFonts w:hint="eastAsia"/>
          <w:color w:val="auto"/>
          <w:lang w:val="en-US" w:eastAsia="zh-CN"/>
        </w:rPr>
        <w:t>:</w:t>
      </w:r>
      <w:r>
        <w:rPr>
          <w:rFonts w:hint="eastAsia" w:ascii="Times New Roman" w:hAnsi="Times New Roman"/>
          <w:color w:val="auto"/>
          <w:lang w:val="en-US" w:eastAsia="zh-CN"/>
        </w:rPr>
        <w:t>132</w:t>
      </w:r>
      <w:r>
        <w:rPr>
          <w:rFonts w:hint="eastAsia" w:ascii="Times New Roman" w:hAnsi="Times New Roman"/>
          <w:color w:val="auto"/>
          <w:lang w:val="en-US" w:eastAsia="zh-CN"/>
        </w:rPr>
        <w:t>.</w:t>
      </w:r>
      <w:r>
        <w:rPr>
          <w:rFonts w:hint="eastAsia" w:ascii="Times New Roman" w:hAnsi="Times New Roman"/>
          <w:color w:val="auto"/>
          <w:lang w:val="en-US" w:eastAsia="zh-CN"/>
        </w:rPr>
        <w:t>235t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r>
        <w:rPr>
          <w:rFonts w:hint="eastAsia" w:ascii="Times New Roman" w:hAnsi="Times New Roman"/>
          <w:color w:val="auto"/>
          <w:lang w:val="en-US" w:eastAsia="zh-CN"/>
        </w:rPr>
        <w:t>NOx</w:t>
      </w:r>
      <w:r>
        <w:rPr>
          <w:rFonts w:hint="eastAsia"/>
          <w:color w:val="auto"/>
          <w:lang w:val="en-US" w:eastAsia="zh-CN"/>
        </w:rPr>
        <w:t>：</w:t>
      </w:r>
      <w:r>
        <w:rPr>
          <w:rFonts w:hint="eastAsia" w:ascii="Times New Roman" w:hAnsi="Times New Roman"/>
          <w:color w:val="auto"/>
          <w:lang w:val="en-US" w:eastAsia="zh-CN"/>
        </w:rPr>
        <w:t>330</w:t>
      </w:r>
      <w:r>
        <w:rPr>
          <w:rFonts w:hint="eastAsia" w:ascii="Times New Roman" w:hAnsi="Times New Roman"/>
          <w:color w:val="auto"/>
          <w:lang w:val="en-US" w:eastAsia="zh-CN"/>
        </w:rPr>
        <w:t>.</w:t>
      </w:r>
      <w:r>
        <w:rPr>
          <w:rFonts w:hint="eastAsia" w:ascii="Times New Roman" w:hAnsi="Times New Roman"/>
          <w:color w:val="auto"/>
          <w:lang w:val="en-US" w:eastAsia="zh-CN"/>
        </w:rPr>
        <w:t>5875t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r>
        <w:rPr>
          <w:rFonts w:hint="eastAsia" w:ascii="Times New Roman" w:hAnsi="Times New Roman"/>
          <w:color w:val="auto"/>
          <w:lang w:val="en-US" w:eastAsia="zh-CN"/>
        </w:rPr>
        <w:t>废水污染物许可排放量为：COD：165.91t/a，NH</w:t>
      </w:r>
      <w:r>
        <w:rPr>
          <w:rFonts w:hint="eastAsia" w:ascii="Times New Roman" w:hAnsi="Times New Roman"/>
          <w:color w:val="auto"/>
          <w:vertAlign w:val="subscript"/>
          <w:lang w:val="en-US" w:eastAsia="zh-CN"/>
        </w:rPr>
        <w:t>3</w:t>
      </w:r>
      <w:r>
        <w:rPr>
          <w:rFonts w:hint="eastAsia" w:ascii="Times New Roman" w:hAnsi="Times New Roman"/>
          <w:color w:val="auto"/>
          <w:lang w:val="en-US" w:eastAsia="zh-CN"/>
        </w:rPr>
        <w:t>-N：18t/a</w:t>
      </w:r>
      <w:r>
        <w:rPr>
          <w:rFonts w:hint="eastAsia"/>
          <w:color w:val="auto"/>
          <w:lang w:val="en-US" w:eastAsia="zh-CN"/>
        </w:rPr>
        <w:t>。</w:t>
      </w:r>
    </w:p>
    <w:p>
      <w:pPr>
        <w:bidi w:val="0"/>
        <w:rPr>
          <w:rFonts w:hint="default"/>
          <w:lang w:val="en-US" w:eastAsia="zh-CN"/>
        </w:rPr>
      </w:pPr>
      <w:r>
        <w:rPr>
          <w:rFonts w:hint="eastAsia"/>
          <w:lang w:val="en-US" w:eastAsia="zh-CN"/>
        </w:rPr>
        <w:t>根据</w:t>
      </w:r>
      <w:r>
        <w:rPr>
          <w:rFonts w:hint="eastAsia" w:ascii="Times New Roman" w:hAnsi="Times New Roman"/>
          <w:lang w:val="en-US" w:eastAsia="zh-CN"/>
        </w:rPr>
        <w:t>2022</w:t>
      </w:r>
      <w:r>
        <w:rPr>
          <w:rFonts w:hint="eastAsia"/>
          <w:lang w:val="en-US" w:eastAsia="zh-CN"/>
        </w:rPr>
        <w:t>年厂内排污许可执行年报统计，现有工程和凯赛（乌苏）生物技术有限公司年产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万吨长链聚酰胺项目主要污染物排放量为：</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96t</w:t>
      </w:r>
      <w:r>
        <w:rPr>
          <w:rFonts w:hint="eastAsia"/>
          <w:lang w:val="en-US" w:eastAsia="zh-CN"/>
        </w:rPr>
        <w:t>/</w:t>
      </w:r>
      <w:r>
        <w:rPr>
          <w:rFonts w:hint="eastAsia" w:ascii="Times New Roman" w:hAnsi="Times New Roman"/>
          <w:lang w:val="en-US" w:eastAsia="zh-CN"/>
        </w:rPr>
        <w:t>a</w:t>
      </w:r>
      <w:r>
        <w:rPr>
          <w:rFonts w:hint="eastAsia"/>
          <w:lang w:val="en-US" w:eastAsia="zh-CN"/>
        </w:rPr>
        <w:t>，</w:t>
      </w:r>
      <w:r>
        <w:rPr>
          <w:rFonts w:hint="eastAsia" w:ascii="Times New Roman" w:hAnsi="Times New Roman"/>
          <w:lang w:val="en-US" w:eastAsia="zh-CN"/>
        </w:rPr>
        <w:t>NOx</w:t>
      </w:r>
      <w:r>
        <w:rPr>
          <w:rFonts w:hint="eastAsia"/>
          <w:lang w:val="en-US" w:eastAsia="zh-CN"/>
        </w:rPr>
        <w:t>：</w:t>
      </w:r>
      <w:r>
        <w:rPr>
          <w:rFonts w:hint="eastAsia" w:ascii="Times New Roman" w:hAnsi="Times New Roman"/>
          <w:lang w:val="en-US" w:eastAsia="zh-CN"/>
        </w:rPr>
        <w:t>31</w:t>
      </w:r>
      <w:r>
        <w:rPr>
          <w:rFonts w:hint="eastAsia"/>
          <w:lang w:val="en-US" w:eastAsia="zh-CN"/>
        </w:rPr>
        <w:t>.</w:t>
      </w:r>
      <w:r>
        <w:rPr>
          <w:rFonts w:hint="eastAsia" w:ascii="Times New Roman" w:hAnsi="Times New Roman"/>
          <w:lang w:val="en-US" w:eastAsia="zh-CN"/>
        </w:rPr>
        <w:t>72t</w:t>
      </w:r>
      <w:r>
        <w:rPr>
          <w:rFonts w:hint="eastAsia"/>
          <w:lang w:val="en-US" w:eastAsia="zh-CN"/>
        </w:rPr>
        <w:t>/</w:t>
      </w:r>
      <w:r>
        <w:rPr>
          <w:rFonts w:hint="eastAsia" w:ascii="Times New Roman" w:hAnsi="Times New Roman"/>
          <w:lang w:val="en-US" w:eastAsia="zh-CN"/>
        </w:rPr>
        <w:t>a</w:t>
      </w:r>
      <w:r>
        <w:rPr>
          <w:rFonts w:hint="eastAsia"/>
          <w:lang w:val="en-US" w:eastAsia="zh-CN"/>
        </w:rPr>
        <w:t>，颗粒物：</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3t</w:t>
      </w:r>
      <w:r>
        <w:rPr>
          <w:rFonts w:hint="eastAsia"/>
          <w:lang w:val="en-US" w:eastAsia="zh-CN"/>
        </w:rPr>
        <w:t>/</w:t>
      </w:r>
      <w:r>
        <w:rPr>
          <w:rFonts w:hint="eastAsia" w:ascii="Times New Roman" w:hAnsi="Times New Roman"/>
          <w:lang w:val="en-US" w:eastAsia="zh-CN"/>
        </w:rPr>
        <w:t>a</w:t>
      </w:r>
      <w:r>
        <w:rPr>
          <w:rFonts w:hint="eastAsia"/>
          <w:lang w:val="en-US" w:eastAsia="zh-CN"/>
        </w:rPr>
        <w:t>，</w:t>
      </w:r>
      <w:r>
        <w:rPr>
          <w:rFonts w:hint="eastAsia" w:ascii="Times New Roman" w:hAnsi="Times New Roman"/>
          <w:color w:val="auto"/>
          <w:lang w:val="en-US" w:eastAsia="zh-CN"/>
        </w:rPr>
        <w:t>COD：160.03t/a，</w:t>
      </w:r>
      <w:bookmarkStart w:id="378" w:name="_GoBack"/>
      <w:bookmarkEnd w:id="378"/>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ascii="Times New Roman" w:hAnsi="Times New Roman"/>
          <w:color w:val="auto"/>
          <w:lang w:val="en-US" w:eastAsia="zh-CN"/>
        </w:rPr>
        <w:t>-N：3.98t/a，</w:t>
      </w:r>
      <w:r>
        <w:rPr>
          <w:rFonts w:hint="eastAsia"/>
          <w:lang w:val="en-US" w:eastAsia="zh-CN"/>
        </w:rPr>
        <w:t>废水排入园区污水处理厂进一步处理，不外排。因此本项目实际排放量不超过许可排放量。</w:t>
      </w:r>
    </w:p>
    <w:p>
      <w:pPr>
        <w:pStyle w:val="4"/>
        <w:bidi w:val="0"/>
        <w:rPr>
          <w:rFonts w:hint="default"/>
          <w:lang w:val="en-US" w:eastAsia="zh-CN"/>
        </w:rPr>
      </w:pPr>
      <w:bookmarkStart w:id="106" w:name="_Toc32006"/>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现有工程环保手续及履行情况</w:t>
      </w:r>
      <w:bookmarkEnd w:id="106"/>
    </w:p>
    <w:p>
      <w:pPr>
        <w:spacing w:beforeLines="0" w:line="360" w:lineRule="auto"/>
        <w:ind w:firstLine="480"/>
        <w:rPr>
          <w:rFonts w:hint="eastAsia"/>
          <w:lang w:val="en-US" w:eastAsia="zh-CN"/>
        </w:rPr>
      </w:pPr>
      <w:r>
        <w:rPr>
          <w:rFonts w:hint="eastAsia" w:ascii="Times New Roman" w:hAnsi="Times New Roman"/>
          <w:lang w:val="en-US" w:eastAsia="zh-CN"/>
        </w:rPr>
        <w:t>2017</w:t>
      </w:r>
      <w:r>
        <w:rPr>
          <w:rFonts w:hint="eastAsia"/>
          <w:lang w:val="en-US" w:eastAsia="zh-CN"/>
        </w:rPr>
        <w:t>年，建设单位取得了原新疆维吾尔自治区环境保护厅《关于凯赛（乌苏）生物材料有限公司年产</w:t>
      </w:r>
      <w:r>
        <w:rPr>
          <w:rFonts w:hint="eastAsia" w:ascii="Times New Roman" w:hAnsi="Times New Roman"/>
          <w:lang w:val="en-US" w:eastAsia="zh-CN"/>
        </w:rPr>
        <w:t>10</w:t>
      </w:r>
      <w:r>
        <w:rPr>
          <w:rFonts w:hint="eastAsia"/>
          <w:lang w:val="en-US" w:eastAsia="zh-CN"/>
        </w:rPr>
        <w:t>万吨聚酰胺项目环境影响报告书的批复》（新环函[</w:t>
      </w:r>
      <w:r>
        <w:rPr>
          <w:rFonts w:hint="eastAsia" w:ascii="Times New Roman" w:hAnsi="Times New Roman"/>
          <w:lang w:val="en-US" w:eastAsia="zh-CN"/>
        </w:rPr>
        <w:t>2017</w:t>
      </w:r>
      <w:r>
        <w:rPr>
          <w:rFonts w:hint="eastAsia"/>
          <w:lang w:val="en-US" w:eastAsia="zh-CN"/>
        </w:rPr>
        <w:t>]</w:t>
      </w:r>
      <w:r>
        <w:rPr>
          <w:rFonts w:hint="eastAsia" w:ascii="Times New Roman" w:hAnsi="Times New Roman"/>
          <w:lang w:val="en-US" w:eastAsia="zh-CN"/>
        </w:rPr>
        <w:t>1315</w:t>
      </w:r>
      <w:r>
        <w:rPr>
          <w:rFonts w:hint="eastAsia"/>
          <w:lang w:val="en-US" w:eastAsia="zh-CN"/>
        </w:rPr>
        <w:t>号）。现有工程于</w:t>
      </w:r>
      <w:r>
        <w:rPr>
          <w:rFonts w:hint="eastAsia" w:ascii="Times New Roman" w:hAnsi="Times New Roman"/>
          <w:lang w:val="en-US" w:eastAsia="zh-CN"/>
        </w:rPr>
        <w:t>2019</w:t>
      </w:r>
      <w:r>
        <w:rPr>
          <w:rFonts w:hint="eastAsia"/>
          <w:lang w:val="en-US" w:eastAsia="zh-CN"/>
        </w:rPr>
        <w:t>年</w:t>
      </w:r>
      <w:r>
        <w:rPr>
          <w:rFonts w:hint="eastAsia" w:ascii="Times New Roman" w:hAnsi="Times New Roman"/>
          <w:lang w:val="en-US" w:eastAsia="zh-CN"/>
        </w:rPr>
        <w:t>12</w:t>
      </w:r>
      <w:r>
        <w:rPr>
          <w:rFonts w:hint="eastAsia"/>
          <w:lang w:val="en-US" w:eastAsia="zh-CN"/>
        </w:rPr>
        <w:t>月完成了自主环境保护验收。一期工程建设内容包括：主体工程：</w:t>
      </w:r>
      <w:r>
        <w:rPr>
          <w:rFonts w:hint="eastAsia" w:ascii="Times New Roman" w:hAnsi="Times New Roman"/>
          <w:lang w:val="en-US" w:eastAsia="zh-CN"/>
        </w:rPr>
        <w:t>30</w:t>
      </w:r>
      <w:r>
        <w:rPr>
          <w:rFonts w:hint="eastAsia"/>
          <w:lang w:val="en-US" w:eastAsia="zh-CN"/>
        </w:rPr>
        <w:t>万吨/年玉米深加工单元、</w:t>
      </w:r>
      <w:r>
        <w:rPr>
          <w:rFonts w:hint="eastAsia" w:ascii="Times New Roman" w:hAnsi="Times New Roman"/>
          <w:lang w:val="en-US" w:eastAsia="zh-CN"/>
        </w:rPr>
        <w:t>5</w:t>
      </w:r>
      <w:r>
        <w:rPr>
          <w:rFonts w:hint="eastAsia"/>
          <w:lang w:val="en-US" w:eastAsia="zh-CN"/>
        </w:rPr>
        <w:t>万吨/年</w:t>
      </w:r>
      <w:r>
        <w:rPr>
          <w:rFonts w:hint="eastAsia" w:ascii="Times New Roman" w:hAnsi="Times New Roman"/>
          <w:lang w:val="en-US" w:eastAsia="zh-CN"/>
        </w:rPr>
        <w:t>DN</w:t>
      </w:r>
      <w:r>
        <w:rPr>
          <w:rFonts w:hint="eastAsia"/>
          <w:lang w:val="en-US" w:eastAsia="zh-CN"/>
        </w:rPr>
        <w:t>溶液生产单元、</w:t>
      </w:r>
      <w:r>
        <w:rPr>
          <w:rFonts w:hint="eastAsia" w:ascii="Times New Roman" w:hAnsi="Times New Roman"/>
          <w:lang w:val="en-US" w:eastAsia="zh-CN"/>
        </w:rPr>
        <w:t>10</w:t>
      </w:r>
      <w:r>
        <w:rPr>
          <w:rFonts w:hint="eastAsia"/>
          <w:lang w:val="en-US" w:eastAsia="zh-CN"/>
        </w:rPr>
        <w:t>万吨/年聚酰胺生产单元；公用辅助工程：动力站、空压站、氮气站、氢气站、纯水站、导热油系统、制冷站、备品备料及维修仓库、供电系统、循环水系统、消防系统等；储运设施：玉米筒仓、酸碱储罐区、液氨罐区、</w:t>
      </w:r>
      <w:r>
        <w:rPr>
          <w:rFonts w:hint="eastAsia" w:ascii="Times New Roman" w:hAnsi="Times New Roman"/>
          <w:lang w:val="en-US" w:eastAsia="zh-CN"/>
        </w:rPr>
        <w:t>DN</w:t>
      </w:r>
      <w:r>
        <w:rPr>
          <w:rFonts w:hint="eastAsia"/>
          <w:lang w:val="en-US" w:eastAsia="zh-CN"/>
        </w:rPr>
        <w:t>溶液罐区、封闭煤仓等。该一期工程建设规模为：生物基聚酰胺</w:t>
      </w:r>
      <w:r>
        <w:rPr>
          <w:rFonts w:hint="eastAsia" w:ascii="Times New Roman" w:hAnsi="Times New Roman"/>
          <w:lang w:val="en-US" w:eastAsia="zh-CN"/>
        </w:rPr>
        <w:t>70000t</w:t>
      </w:r>
      <w:r>
        <w:rPr>
          <w:rFonts w:hint="eastAsia"/>
          <w:lang w:val="en-US" w:eastAsia="zh-CN"/>
        </w:rPr>
        <w:t>/</w:t>
      </w:r>
      <w:r>
        <w:rPr>
          <w:rFonts w:hint="eastAsia" w:ascii="Times New Roman" w:hAnsi="Times New Roman"/>
          <w:lang w:val="en-US" w:eastAsia="zh-CN"/>
        </w:rPr>
        <w:t>a</w:t>
      </w:r>
      <w:r>
        <w:rPr>
          <w:rFonts w:hint="eastAsia"/>
          <w:lang w:val="en-US" w:eastAsia="zh-CN"/>
        </w:rPr>
        <w:t>、副产品喷浆玉米纤维</w:t>
      </w:r>
      <w:r>
        <w:rPr>
          <w:rFonts w:hint="eastAsia" w:ascii="Times New Roman" w:hAnsi="Times New Roman"/>
          <w:lang w:val="en-US" w:eastAsia="zh-CN"/>
        </w:rPr>
        <w:t>86190t</w:t>
      </w:r>
      <w:r>
        <w:rPr>
          <w:rFonts w:hint="eastAsia"/>
          <w:lang w:val="en-US" w:eastAsia="zh-CN"/>
        </w:rPr>
        <w:t>/</w:t>
      </w:r>
      <w:r>
        <w:rPr>
          <w:rFonts w:hint="eastAsia" w:ascii="Times New Roman" w:hAnsi="Times New Roman"/>
          <w:lang w:val="en-US" w:eastAsia="zh-CN"/>
        </w:rPr>
        <w:t>a</w:t>
      </w:r>
      <w:r>
        <w:rPr>
          <w:rFonts w:hint="eastAsia"/>
          <w:lang w:val="en-US" w:eastAsia="zh-CN"/>
        </w:rPr>
        <w:t>、玉米高蛋白饲料</w:t>
      </w:r>
      <w:r>
        <w:rPr>
          <w:rFonts w:hint="eastAsia" w:ascii="Times New Roman" w:hAnsi="Times New Roman"/>
          <w:lang w:val="en-US" w:eastAsia="zh-CN"/>
        </w:rPr>
        <w:t>16300t</w:t>
      </w:r>
      <w:r>
        <w:rPr>
          <w:rFonts w:hint="eastAsia"/>
          <w:lang w:val="en-US" w:eastAsia="zh-CN"/>
        </w:rPr>
        <w:t>/</w:t>
      </w:r>
      <w:r>
        <w:rPr>
          <w:rFonts w:hint="eastAsia" w:ascii="Times New Roman" w:hAnsi="Times New Roman"/>
          <w:lang w:val="en-US" w:eastAsia="zh-CN"/>
        </w:rPr>
        <w:t>a</w:t>
      </w:r>
      <w:r>
        <w:rPr>
          <w:rFonts w:hint="eastAsia"/>
          <w:lang w:val="en-US" w:eastAsia="zh-CN"/>
        </w:rPr>
        <w:t>、干胚芽</w:t>
      </w:r>
      <w:r>
        <w:rPr>
          <w:rFonts w:hint="eastAsia" w:ascii="Times New Roman" w:hAnsi="Times New Roman"/>
          <w:lang w:val="en-US" w:eastAsia="zh-CN"/>
        </w:rPr>
        <w:t>19000t</w:t>
      </w:r>
      <w:r>
        <w:rPr>
          <w:rFonts w:hint="eastAsia"/>
          <w:lang w:val="en-US" w:eastAsia="zh-CN"/>
        </w:rPr>
        <w:t>/</w:t>
      </w:r>
      <w:r>
        <w:rPr>
          <w:rFonts w:hint="eastAsia" w:ascii="Times New Roman" w:hAnsi="Times New Roman"/>
          <w:lang w:val="en-US" w:eastAsia="zh-CN"/>
        </w:rPr>
        <w:t>a</w:t>
      </w:r>
      <w:r>
        <w:rPr>
          <w:rFonts w:hint="eastAsia"/>
          <w:lang w:val="en-US" w:eastAsia="zh-CN"/>
        </w:rPr>
        <w:t>。二期工程年产</w:t>
      </w:r>
      <w:r>
        <w:rPr>
          <w:rFonts w:hint="eastAsia" w:ascii="Times New Roman" w:hAnsi="Times New Roman"/>
          <w:lang w:val="en-US" w:eastAsia="zh-CN"/>
        </w:rPr>
        <w:t>30000</w:t>
      </w:r>
      <w:r>
        <w:rPr>
          <w:rFonts w:hint="eastAsia"/>
          <w:lang w:val="en-US" w:eastAsia="zh-CN"/>
        </w:rPr>
        <w:t>吨短纤产品，主体工程及配套设施拟纳入二期竣工环保验收，目前未建设。</w:t>
      </w:r>
    </w:p>
    <w:p>
      <w:pPr>
        <w:bidi w:val="0"/>
        <w:rPr>
          <w:rFonts w:hint="eastAsia"/>
          <w:lang w:val="en-US" w:eastAsia="zh-CN"/>
        </w:rPr>
      </w:pPr>
      <w:r>
        <w:rPr>
          <w:rFonts w:hint="eastAsia" w:ascii="Times New Roman" w:hAnsi="Times New Roman"/>
          <w:lang w:val="en-US" w:eastAsia="zh-CN"/>
        </w:rPr>
        <w:t>2018</w:t>
      </w:r>
      <w:r>
        <w:rPr>
          <w:rFonts w:hint="eastAsia"/>
          <w:lang w:val="en-US" w:eastAsia="zh-CN"/>
        </w:rPr>
        <w:t>年</w:t>
      </w:r>
      <w:r>
        <w:rPr>
          <w:rFonts w:hint="eastAsia" w:ascii="Times New Roman" w:hAnsi="Times New Roman"/>
          <w:lang w:val="en-US" w:eastAsia="zh-CN"/>
        </w:rPr>
        <w:t>6</w:t>
      </w:r>
      <w:r>
        <w:rPr>
          <w:rFonts w:hint="eastAsia"/>
          <w:lang w:val="en-US" w:eastAsia="zh-CN"/>
        </w:rPr>
        <w:t>月</w:t>
      </w:r>
      <w:r>
        <w:rPr>
          <w:rFonts w:hint="eastAsia" w:ascii="Times New Roman" w:hAnsi="Times New Roman"/>
          <w:lang w:val="en-US" w:eastAsia="zh-CN"/>
        </w:rPr>
        <w:t>14</w:t>
      </w:r>
      <w:r>
        <w:rPr>
          <w:rFonts w:hint="eastAsia"/>
          <w:lang w:val="en-US" w:eastAsia="zh-CN"/>
        </w:rPr>
        <w:t>日，塔城地区生态环境局对《凯赛（乌苏）生物材料有限公司突发环境事件应急预案》进行了备案，</w:t>
      </w:r>
      <w:r>
        <w:rPr>
          <w:rFonts w:hint="eastAsia" w:ascii="Times New Roman" w:hAnsi="Times New Roman"/>
          <w:lang w:val="en-US" w:eastAsia="zh-CN"/>
        </w:rPr>
        <w:t>2021</w:t>
      </w:r>
      <w:r>
        <w:rPr>
          <w:rFonts w:hint="eastAsia"/>
          <w:lang w:val="en-US" w:eastAsia="zh-CN"/>
        </w:rPr>
        <w:t>年</w:t>
      </w:r>
      <w:r>
        <w:rPr>
          <w:rFonts w:hint="eastAsia" w:ascii="Times New Roman" w:hAnsi="Times New Roman"/>
          <w:lang w:val="en-US" w:eastAsia="zh-CN"/>
        </w:rPr>
        <w:t>5</w:t>
      </w:r>
      <w:r>
        <w:rPr>
          <w:rFonts w:hint="eastAsia"/>
          <w:lang w:val="en-US" w:eastAsia="zh-CN"/>
        </w:rPr>
        <w:t>月建设单位对《凯赛（乌苏）生物材料有限公司突发环境事件应急预案》进行了重新修订，备案文号（</w:t>
      </w:r>
      <w:r>
        <w:rPr>
          <w:rFonts w:hint="eastAsia" w:ascii="Times New Roman" w:hAnsi="Times New Roman"/>
          <w:lang w:val="en-US" w:eastAsia="zh-CN"/>
        </w:rPr>
        <w:t>654200</w:t>
      </w:r>
      <w:r>
        <w:rPr>
          <w:rFonts w:hint="eastAsia"/>
          <w:lang w:val="en-US" w:eastAsia="zh-CN"/>
        </w:rPr>
        <w:t>-</w:t>
      </w:r>
      <w:r>
        <w:rPr>
          <w:rFonts w:hint="eastAsia" w:ascii="Times New Roman" w:hAnsi="Times New Roman"/>
          <w:lang w:val="en-US" w:eastAsia="zh-CN"/>
        </w:rPr>
        <w:t>2021</w:t>
      </w:r>
      <w:r>
        <w:rPr>
          <w:rFonts w:hint="eastAsia"/>
          <w:lang w:val="en-US" w:eastAsia="zh-CN"/>
        </w:rPr>
        <w:t>-</w:t>
      </w:r>
      <w:r>
        <w:rPr>
          <w:rFonts w:hint="eastAsia" w:ascii="Times New Roman" w:hAnsi="Times New Roman"/>
          <w:lang w:val="en-US" w:eastAsia="zh-CN"/>
        </w:rPr>
        <w:t>040</w:t>
      </w:r>
      <w:r>
        <w:rPr>
          <w:rFonts w:hint="eastAsia"/>
          <w:lang w:val="en-US" w:eastAsia="zh-CN"/>
        </w:rPr>
        <w:t>-</w:t>
      </w:r>
      <w:r>
        <w:rPr>
          <w:rFonts w:hint="eastAsia" w:ascii="Times New Roman" w:hAnsi="Times New Roman"/>
          <w:lang w:val="en-US" w:eastAsia="zh-CN"/>
        </w:rPr>
        <w:t>M</w:t>
      </w:r>
      <w:r>
        <w:rPr>
          <w:rFonts w:hint="eastAsia"/>
          <w:lang w:val="en-US" w:eastAsia="zh-CN"/>
        </w:rPr>
        <w:t>）；</w:t>
      </w:r>
      <w:r>
        <w:rPr>
          <w:rFonts w:hint="eastAsia" w:ascii="Times New Roman" w:hAnsi="Times New Roman"/>
          <w:lang w:val="en-US" w:eastAsia="zh-CN"/>
        </w:rPr>
        <w:t>2022</w:t>
      </w:r>
      <w:r>
        <w:rPr>
          <w:rFonts w:hint="eastAsia"/>
          <w:lang w:val="en-US" w:eastAsia="zh-CN"/>
        </w:rPr>
        <w:t>年</w:t>
      </w:r>
      <w:r>
        <w:rPr>
          <w:rFonts w:hint="eastAsia" w:ascii="Times New Roman" w:hAnsi="Times New Roman"/>
          <w:lang w:val="en-US" w:eastAsia="zh-CN"/>
        </w:rPr>
        <w:t>7</w:t>
      </w:r>
      <w:r>
        <w:rPr>
          <w:rFonts w:hint="eastAsia"/>
          <w:lang w:val="en-US" w:eastAsia="zh-CN"/>
        </w:rPr>
        <w:t>月，建设单位延续排污许可证，塔城地区生态环境局核发了排污许可证（证号：</w:t>
      </w:r>
      <w:r>
        <w:rPr>
          <w:rFonts w:hint="eastAsia" w:ascii="Times New Roman" w:hAnsi="Times New Roman"/>
          <w:lang w:val="en-US" w:eastAsia="zh-CN"/>
        </w:rPr>
        <w:t>91654202MA775WL12K001Q</w:t>
      </w:r>
      <w:r>
        <w:rPr>
          <w:rFonts w:hint="eastAsia"/>
          <w:lang w:val="en-US" w:eastAsia="zh-CN"/>
        </w:rPr>
        <w:t>）。</w:t>
      </w:r>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现有工程环评文件的执行情况</w:t>
      </w:r>
    </w:p>
    <w:p>
      <w:pPr>
        <w:bidi w:val="0"/>
        <w:rPr>
          <w:rFonts w:hint="default"/>
          <w:lang w:val="en-US" w:eastAsia="zh-CN"/>
        </w:rPr>
      </w:pPr>
      <w:r>
        <w:rPr>
          <w:rFonts w:hint="eastAsia"/>
          <w:lang w:val="en-US" w:eastAsia="zh-CN"/>
        </w:rPr>
        <w:t>现有工程环保措施及落实情况见表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w:t>
      </w:r>
    </w:p>
    <w:p>
      <w:pPr>
        <w:bidi w:val="0"/>
        <w:rPr>
          <w:rFonts w:hint="eastAsia"/>
          <w:lang w:val="en-US" w:eastAsia="zh-CN"/>
        </w:rPr>
      </w:pPr>
    </w:p>
    <w:p>
      <w:pPr>
        <w:bidi w:val="0"/>
        <w:rPr>
          <w:rFonts w:hint="eastAsia"/>
          <w:lang w:val="en-US" w:eastAsia="zh-CN"/>
        </w:rPr>
        <w:sectPr>
          <w:pgSz w:w="11906" w:h="16838"/>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b/>
        </w:rPr>
      </w:pPr>
      <w:r>
        <w:rPr>
          <w:rFonts w:hAnsi="宋体"/>
          <w:b/>
        </w:rPr>
        <w:t>表</w:t>
      </w:r>
      <w:r>
        <w:rPr>
          <w:rFonts w:hint="eastAsia" w:ascii="Times New Roman" w:hAnsi="Times New Roman"/>
          <w:b/>
          <w:lang w:val="en-US" w:eastAsia="zh-CN"/>
        </w:rPr>
        <w:t>3</w:t>
      </w:r>
      <w:r>
        <w:rPr>
          <w:rFonts w:hint="eastAsia" w:ascii="Times New Roman" w:hAnsi="Times New Roman"/>
          <w:b/>
          <w:lang w:val="en-US" w:eastAsia="zh-CN"/>
        </w:rPr>
        <w:t>.</w:t>
      </w:r>
      <w:r>
        <w:rPr>
          <w:rFonts w:hint="eastAsia" w:ascii="Times New Roman" w:hAnsi="Times New Roman"/>
          <w:b/>
          <w:lang w:val="en-US" w:eastAsia="zh-CN"/>
        </w:rPr>
        <w:t>5</w:t>
      </w:r>
      <w:r>
        <w:rPr>
          <w:b/>
        </w:rPr>
        <w:t>-</w:t>
      </w:r>
      <w:r>
        <w:rPr>
          <w:rFonts w:ascii="Times New Roman" w:hAnsi="Times New Roman"/>
          <w:b/>
        </w:rPr>
        <w:t>1</w:t>
      </w:r>
      <w:r>
        <w:rPr>
          <w:b/>
        </w:rPr>
        <w:t xml:space="preserve">  </w:t>
      </w:r>
      <w:r>
        <w:rPr>
          <w:rFonts w:hAnsi="宋体"/>
          <w:b/>
        </w:rPr>
        <w:t>环保措施落实情况</w:t>
      </w:r>
      <w:r>
        <w:rPr>
          <w:rFonts w:hint="eastAsia" w:hAnsi="宋体"/>
          <w:b/>
          <w:lang w:eastAsia="zh-CN"/>
        </w:rPr>
        <w:t>一栏</w:t>
      </w:r>
      <w:r>
        <w:rPr>
          <w:rFonts w:hAnsi="宋体"/>
          <w:b/>
        </w:rPr>
        <w:t>表</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92"/>
        <w:gridCol w:w="2238"/>
        <w:gridCol w:w="2964"/>
        <w:gridCol w:w="3476"/>
        <w:gridCol w:w="1195"/>
        <w:gridCol w:w="2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环境要素</w:t>
            </w:r>
          </w:p>
        </w:tc>
        <w:tc>
          <w:tcPr>
            <w:tcW w:w="25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污染物</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报告书中提出的环保措施</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竣工验收</w:t>
            </w:r>
            <w:r>
              <w:rPr>
                <w:rFonts w:hint="eastAsia"/>
                <w:spacing w:val="-6"/>
                <w:w w:val="90"/>
                <w:sz w:val="21"/>
                <w:szCs w:val="20"/>
                <w:lang w:eastAsia="zh-CN"/>
              </w:rPr>
              <w:t>期间</w:t>
            </w:r>
            <w:r>
              <w:rPr>
                <w:spacing w:val="-6"/>
                <w:w w:val="90"/>
                <w:sz w:val="21"/>
                <w:szCs w:val="20"/>
              </w:rPr>
              <w:t>提出</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的环保措施</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落实情况</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本次现场调查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spacing w:val="-6"/>
                <w:w w:val="90"/>
                <w:sz w:val="21"/>
                <w:szCs w:val="20"/>
              </w:rPr>
              <w:t>大气环境</w:t>
            </w: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淀粉车间</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玉米净化</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20m</w:t>
            </w:r>
            <w:r>
              <w:rPr>
                <w:rFonts w:hint="eastAsia"/>
                <w:spacing w:val="-6"/>
                <w:w w:val="90"/>
                <w:sz w:val="21"/>
                <w:szCs w:val="20"/>
                <w:lang w:val="en-US" w:eastAsia="zh-CN"/>
              </w:rPr>
              <w:t>高排气筒</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20m</w:t>
            </w:r>
            <w:r>
              <w:rPr>
                <w:rFonts w:hint="eastAsia"/>
                <w:spacing w:val="-6"/>
                <w:w w:val="90"/>
                <w:sz w:val="21"/>
                <w:szCs w:val="20"/>
                <w:lang w:val="en-US" w:eastAsia="zh-CN"/>
              </w:rPr>
              <w:t>高排气筒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pacing w:val="-6"/>
                <w:w w:val="90"/>
                <w:sz w:val="21"/>
                <w:szCs w:val="20"/>
                <w:lang w:val="en-US" w:eastAsia="zh-CN"/>
              </w:rPr>
            </w:pPr>
            <w:r>
              <w:rPr>
                <w:rFonts w:hint="eastAsia"/>
                <w:color w:val="auto"/>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制酸浸泡废气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碱喷淋吸收塔</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22m</w:t>
            </w:r>
            <w:r>
              <w:rPr>
                <w:rFonts w:hint="eastAsia"/>
                <w:spacing w:val="-6"/>
                <w:w w:val="90"/>
                <w:sz w:val="21"/>
                <w:szCs w:val="20"/>
                <w:lang w:val="en-US" w:eastAsia="zh-CN"/>
              </w:rPr>
              <w:t>高排气筒</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碱喷淋吸收塔</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22m</w:t>
            </w:r>
            <w:r>
              <w:rPr>
                <w:rFonts w:hint="eastAsia"/>
                <w:spacing w:val="-6"/>
                <w:w w:val="90"/>
                <w:sz w:val="21"/>
                <w:szCs w:val="20"/>
                <w:lang w:val="en-US" w:eastAsia="zh-CN"/>
              </w:rPr>
              <w:t>高排气筒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pacing w:val="-6"/>
                <w:w w:val="90"/>
                <w:sz w:val="21"/>
                <w:szCs w:val="20"/>
                <w:lang w:val="en-US" w:eastAsia="zh-CN"/>
              </w:rPr>
            </w:pPr>
            <w:r>
              <w:rPr>
                <w:rFonts w:hint="eastAsia"/>
                <w:color w:val="auto"/>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副产品干燥废气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套袋式除尘器+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16m</w:t>
            </w:r>
            <w:r>
              <w:rPr>
                <w:rFonts w:hint="eastAsia"/>
                <w:spacing w:val="-6"/>
                <w:w w:val="90"/>
                <w:sz w:val="21"/>
                <w:szCs w:val="20"/>
                <w:lang w:val="en-US" w:eastAsia="zh-CN"/>
              </w:rPr>
              <w:t>排气筒</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套袋式除尘器+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16m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pacing w:val="-6"/>
                <w:w w:val="90"/>
                <w:sz w:val="21"/>
                <w:szCs w:val="20"/>
                <w:lang w:val="en-US" w:eastAsia="zh-CN"/>
              </w:rPr>
            </w:pPr>
            <w:r>
              <w:rPr>
                <w:rFonts w:hint="eastAsia"/>
                <w:color w:val="auto"/>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副产品风送废气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4</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4</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20m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同验收，将原无组织废气收集处理后有组织排放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淀粉干燥废气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ascii="Times New Roman" w:hAnsi="Times New Roman"/>
                <w:spacing w:val="-6"/>
                <w:w w:val="90"/>
                <w:sz w:val="21"/>
                <w:szCs w:val="20"/>
                <w:lang w:val="en-US" w:eastAsia="zh-CN"/>
              </w:rPr>
              <w:t>6</w:t>
            </w:r>
            <w:r>
              <w:rPr>
                <w:rFonts w:hint="eastAsia"/>
                <w:spacing w:val="-6"/>
                <w:w w:val="90"/>
                <w:sz w:val="21"/>
                <w:szCs w:val="20"/>
                <w:lang w:val="en-US" w:eastAsia="zh-CN"/>
              </w:rPr>
              <w:t>套旋风分离器+</w:t>
            </w:r>
            <w:r>
              <w:rPr>
                <w:rFonts w:hint="eastAsia" w:ascii="Times New Roman" w:hAnsi="Times New Roman"/>
                <w:spacing w:val="-6"/>
                <w:w w:val="90"/>
                <w:sz w:val="21"/>
                <w:szCs w:val="20"/>
                <w:lang w:val="en-US" w:eastAsia="zh-CN"/>
              </w:rPr>
              <w:t>6</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17m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包装车间废气（副产品）</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15m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包装车间废气（淀粉）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15m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主产品风送废气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17m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玉米烘干转送废气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spacing w:val="-6"/>
                <w:w w:val="90"/>
                <w:sz w:val="21"/>
                <w:szCs w:val="20"/>
                <w:lang w:val="en-US" w:eastAsia="zh-CN"/>
              </w:rPr>
            </w:pPr>
            <w:r>
              <w:rPr>
                <w:rFonts w:hint="eastAsia" w:ascii="Times New Roman" w:hAnsi="Times New Roman"/>
                <w:spacing w:val="-6"/>
                <w:w w:val="90"/>
                <w:sz w:val="21"/>
                <w:szCs w:val="20"/>
                <w:lang w:val="en-US" w:eastAsia="zh-CN"/>
              </w:rPr>
              <w:t>14</w:t>
            </w:r>
            <w:r>
              <w:rPr>
                <w:rFonts w:hint="eastAsia"/>
                <w:spacing w:val="-6"/>
                <w:w w:val="90"/>
                <w:sz w:val="21"/>
                <w:szCs w:val="20"/>
                <w:lang w:val="en-US" w:eastAsia="zh-CN"/>
              </w:rPr>
              <w:t>套脉冲除尘+</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26m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r>
              <w:rPr>
                <w:rFonts w:hint="eastAsia" w:ascii="Times New Roman" w:hAnsi="Times New Roman"/>
                <w:spacing w:val="-6"/>
                <w:w w:val="90"/>
                <w:sz w:val="21"/>
                <w:szCs w:val="20"/>
                <w:lang w:val="en-US" w:eastAsia="zh-CN"/>
              </w:rPr>
              <w:t>5</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24m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r>
              <w:rPr>
                <w:rFonts w:hint="eastAsia" w:ascii="Times New Roman" w:hAnsi="Times New Roman"/>
                <w:spacing w:val="-6"/>
                <w:w w:val="90"/>
                <w:sz w:val="21"/>
                <w:szCs w:val="20"/>
                <w:lang w:val="en-US" w:eastAsia="zh-CN"/>
              </w:rPr>
              <w:t>3</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29m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r>
              <w:rPr>
                <w:rFonts w:hint="eastAsia" w:ascii="Times New Roman" w:hAnsi="Times New Roman"/>
                <w:spacing w:val="-6"/>
                <w:w w:val="90"/>
                <w:sz w:val="21"/>
                <w:szCs w:val="20"/>
                <w:lang w:val="en-US" w:eastAsia="zh-CN"/>
              </w:rPr>
              <w:t>3</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16m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r>
              <w:rPr>
                <w:rFonts w:hint="eastAsia" w:ascii="Times New Roman" w:hAnsi="Times New Roman"/>
                <w:spacing w:val="-6"/>
                <w:w w:val="90"/>
                <w:sz w:val="21"/>
                <w:szCs w:val="20"/>
                <w:lang w:val="en-US" w:eastAsia="zh-CN"/>
              </w:rPr>
              <w:t>2</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34m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发酵车间废气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rFonts w:hint="eastAsia" w:ascii="Times New Roman" w:hAnsi="Times New Roman"/>
                <w:spacing w:val="-6"/>
                <w:w w:val="90"/>
                <w:sz w:val="21"/>
                <w:szCs w:val="20"/>
                <w:lang w:val="en-US" w:eastAsia="zh-CN"/>
              </w:rPr>
              <w:t>300</w:t>
            </w:r>
            <w:r>
              <w:rPr>
                <w:rFonts w:hint="eastAsia"/>
                <w:spacing w:val="-6"/>
                <w:w w:val="90"/>
                <w:sz w:val="21"/>
                <w:szCs w:val="20"/>
                <w:lang w:val="en-US" w:eastAsia="zh-CN"/>
              </w:rPr>
              <w:t>#发酵罐废气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spacing w:val="-6"/>
                <w:w w:val="90"/>
                <w:sz w:val="21"/>
                <w:szCs w:val="20"/>
                <w:lang w:val="en-US" w:eastAsia="zh-CN"/>
              </w:rPr>
              <w:t>/</w:t>
            </w:r>
          </w:p>
        </w:tc>
        <w:tc>
          <w:tcPr>
            <w:tcW w:w="31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pacing w:val="-6"/>
                <w:w w:val="90"/>
                <w:sz w:val="21"/>
                <w:szCs w:val="20"/>
                <w:lang w:val="en-US" w:eastAsia="zh-CN"/>
              </w:rPr>
            </w:pPr>
            <w:r>
              <w:rPr>
                <w:rFonts w:hint="eastAsia"/>
                <w:spacing w:val="-6"/>
                <w:w w:val="90"/>
                <w:sz w:val="21"/>
                <w:szCs w:val="20"/>
                <w:lang w:val="en-US" w:eastAsia="zh-CN"/>
              </w:rPr>
              <w:t>发酵罐泄压</w:t>
            </w:r>
            <w:r>
              <w:rPr>
                <w:rFonts w:hint="eastAsia"/>
                <w:spacing w:val="-6"/>
                <w:w w:val="90"/>
                <w:sz w:val="21"/>
                <w:szCs w:val="20"/>
                <w:lang w:eastAsia="zh-CN"/>
              </w:rPr>
              <w:t>废气经旋激分离器处理后通过</w:t>
            </w:r>
            <w:r>
              <w:rPr>
                <w:rFonts w:hint="eastAsia" w:ascii="Times New Roman" w:hAnsi="Times New Roman"/>
                <w:spacing w:val="-6"/>
                <w:w w:val="90"/>
                <w:sz w:val="21"/>
                <w:szCs w:val="20"/>
                <w:lang w:val="en-US" w:eastAsia="zh-CN"/>
              </w:rPr>
              <w:t>25m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排气筒排放</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0"/>
                <w:szCs w:val="18"/>
                <w:lang w:val="en-US" w:eastAsia="zh-CN"/>
              </w:rPr>
            </w:pPr>
            <w:r>
              <w:rPr>
                <w:rFonts w:hint="eastAsia"/>
                <w:color w:val="000000"/>
                <w:spacing w:val="-6"/>
                <w:w w:val="90"/>
                <w:sz w:val="21"/>
                <w:szCs w:val="21"/>
                <w:lang w:val="en-US" w:eastAsia="zh-CN"/>
              </w:rPr>
              <w:t>污水站曝气时送污水曝气池，通过污水站生物除臭+</w:t>
            </w:r>
            <w:r>
              <w:rPr>
                <w:rFonts w:hint="eastAsia" w:ascii="Times New Roman" w:hAnsi="Times New Roman"/>
                <w:color w:val="000000"/>
                <w:spacing w:val="-6"/>
                <w:w w:val="90"/>
                <w:sz w:val="21"/>
                <w:szCs w:val="21"/>
                <w:lang w:val="en-US" w:eastAsia="zh-CN"/>
              </w:rPr>
              <w:t>30m</w:t>
            </w:r>
            <w:r>
              <w:rPr>
                <w:rFonts w:hint="eastAsia"/>
                <w:color w:val="000000"/>
                <w:spacing w:val="-6"/>
                <w:w w:val="90"/>
                <w:sz w:val="21"/>
                <w:szCs w:val="21"/>
                <w:lang w:val="en-US" w:eastAsia="zh-CN"/>
              </w:rPr>
              <w:t>排气筒排放，污水站停止曝气时经二级水喷淋+</w:t>
            </w:r>
            <w:r>
              <w:rPr>
                <w:rFonts w:hint="eastAsia" w:ascii="Times New Roman" w:hAnsi="Times New Roman"/>
                <w:color w:val="000000"/>
                <w:spacing w:val="-6"/>
                <w:w w:val="90"/>
                <w:sz w:val="21"/>
                <w:szCs w:val="21"/>
                <w:lang w:val="en-US" w:eastAsia="zh-CN"/>
              </w:rPr>
              <w:t>1</w:t>
            </w:r>
            <w:r>
              <w:rPr>
                <w:rFonts w:hint="eastAsia"/>
                <w:color w:val="000000"/>
                <w:spacing w:val="-6"/>
                <w:w w:val="90"/>
                <w:sz w:val="21"/>
                <w:szCs w:val="21"/>
                <w:lang w:val="en-US" w:eastAsia="zh-CN"/>
              </w:rPr>
              <w:t>根</w:t>
            </w:r>
            <w:r>
              <w:rPr>
                <w:rFonts w:hint="eastAsia" w:ascii="Times New Roman" w:hAnsi="Times New Roman"/>
                <w:color w:val="000000"/>
                <w:spacing w:val="-6"/>
                <w:w w:val="90"/>
                <w:sz w:val="21"/>
                <w:szCs w:val="21"/>
                <w:lang w:val="en-US" w:eastAsia="zh-CN"/>
              </w:rPr>
              <w:t>27m</w:t>
            </w:r>
            <w:r>
              <w:rPr>
                <w:rFonts w:hint="eastAsia"/>
                <w:color w:val="000000"/>
                <w:spacing w:val="-6"/>
                <w:w w:val="90"/>
                <w:sz w:val="21"/>
                <w:szCs w:val="21"/>
                <w:lang w:val="en-US" w:eastAsia="zh-CN"/>
              </w:rPr>
              <w:t>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800</w:t>
            </w:r>
            <w:r>
              <w:rPr>
                <w:rFonts w:hint="eastAsia"/>
                <w:spacing w:val="-6"/>
                <w:w w:val="90"/>
                <w:sz w:val="21"/>
                <w:szCs w:val="20"/>
                <w:lang w:val="en-US" w:eastAsia="zh-CN"/>
              </w:rPr>
              <w:t>#发酵罐废气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spacing w:val="-6"/>
                <w:w w:val="90"/>
                <w:sz w:val="21"/>
                <w:szCs w:val="20"/>
                <w:lang w:val="en-US" w:eastAsia="zh-CN"/>
              </w:rPr>
              <w:t>/</w:t>
            </w:r>
          </w:p>
        </w:tc>
        <w:tc>
          <w:tcPr>
            <w:tcW w:w="31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pacing w:val="-6"/>
                <w:w w:val="90"/>
                <w:sz w:val="21"/>
                <w:szCs w:val="20"/>
              </w:rPr>
            </w:pP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0"/>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热动锅炉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锅炉渣仓废气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25m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密闭存储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灰仓废气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val="en-US" w:eastAsia="zh-CN"/>
              </w:rPr>
              <w:t>/</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套布袋除尘器+</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30m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密闭存储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锅炉烟气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SNCR</w:t>
            </w:r>
            <w:r>
              <w:rPr>
                <w:rFonts w:hint="eastAsia" w:ascii="Times New Roman" w:hAnsi="Times New Roman"/>
                <w:spacing w:val="-6"/>
                <w:w w:val="90"/>
                <w:sz w:val="21"/>
                <w:szCs w:val="20"/>
                <w:lang w:val="en-US" w:eastAsia="zh-CN"/>
              </w:rPr>
              <w:t>+</w:t>
            </w:r>
            <w:r>
              <w:rPr>
                <w:rFonts w:hint="eastAsia" w:ascii="Times New Roman" w:hAnsi="Times New Roman"/>
                <w:spacing w:val="-6"/>
                <w:w w:val="90"/>
                <w:sz w:val="21"/>
                <w:szCs w:val="20"/>
                <w:lang w:val="en-US" w:eastAsia="zh-CN"/>
              </w:rPr>
              <w:t>SCR</w:t>
            </w:r>
            <w:r>
              <w:rPr>
                <w:rFonts w:hint="eastAsia" w:ascii="Times New Roman" w:hAnsi="Times New Roman"/>
                <w:spacing w:val="-6"/>
                <w:w w:val="90"/>
                <w:sz w:val="21"/>
                <w:szCs w:val="20"/>
                <w:lang w:val="en-US" w:eastAsia="zh-CN"/>
              </w:rPr>
              <w:t>脱硝+</w:t>
            </w:r>
            <w:r>
              <w:rPr>
                <w:rFonts w:hint="eastAsia"/>
                <w:spacing w:val="-6"/>
                <w:w w:val="90"/>
                <w:sz w:val="21"/>
                <w:szCs w:val="20"/>
                <w:lang w:eastAsia="zh-CN"/>
              </w:rPr>
              <w:t>电袋复合除尘</w:t>
            </w:r>
            <w:r>
              <w:rPr>
                <w:rFonts w:hint="eastAsia"/>
                <w:spacing w:val="-6"/>
                <w:w w:val="90"/>
                <w:sz w:val="21"/>
                <w:szCs w:val="20"/>
                <w:lang w:val="en-US" w:eastAsia="zh-CN"/>
              </w:rPr>
              <w:t>+氨法脱硫+</w:t>
            </w:r>
            <w:r>
              <w:rPr>
                <w:rFonts w:hint="eastAsia" w:ascii="Times New Roman" w:hAnsi="Times New Roman"/>
                <w:spacing w:val="-6"/>
                <w:w w:val="90"/>
                <w:sz w:val="21"/>
                <w:szCs w:val="20"/>
                <w:lang w:val="en-US" w:eastAsia="zh-CN"/>
              </w:rPr>
              <w:t>100m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烟囱</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ascii="Times New Roman" w:hAnsi="Times New Roman"/>
                <w:spacing w:val="-6"/>
                <w:w w:val="90"/>
                <w:sz w:val="21"/>
                <w:szCs w:val="20"/>
                <w:lang w:val="en-US" w:eastAsia="zh-CN"/>
              </w:rPr>
              <w:t>SNCR</w:t>
            </w:r>
            <w:r>
              <w:rPr>
                <w:rFonts w:hint="eastAsia" w:ascii="Times New Roman" w:hAnsi="Times New Roman"/>
                <w:spacing w:val="-6"/>
                <w:w w:val="90"/>
                <w:sz w:val="21"/>
                <w:szCs w:val="20"/>
                <w:lang w:val="en-US" w:eastAsia="zh-CN"/>
              </w:rPr>
              <w:t>+</w:t>
            </w:r>
            <w:r>
              <w:rPr>
                <w:rFonts w:hint="eastAsia" w:ascii="Times New Roman" w:hAnsi="Times New Roman"/>
                <w:color w:val="auto"/>
                <w:spacing w:val="-6"/>
                <w:w w:val="90"/>
                <w:sz w:val="21"/>
                <w:szCs w:val="20"/>
                <w:lang w:val="en-US" w:eastAsia="zh-CN"/>
              </w:rPr>
              <w:t>SCR</w:t>
            </w:r>
            <w:r>
              <w:rPr>
                <w:rFonts w:hint="eastAsia" w:ascii="Times New Roman" w:hAnsi="Times New Roman"/>
                <w:color w:val="auto"/>
                <w:spacing w:val="-6"/>
                <w:w w:val="90"/>
                <w:sz w:val="21"/>
                <w:szCs w:val="20"/>
                <w:lang w:val="en-US" w:eastAsia="zh-CN"/>
              </w:rPr>
              <w:t>脱硝+</w:t>
            </w:r>
            <w:r>
              <w:rPr>
                <w:rFonts w:hint="eastAsia"/>
                <w:color w:val="auto"/>
                <w:spacing w:val="-6"/>
                <w:w w:val="90"/>
                <w:sz w:val="21"/>
                <w:szCs w:val="20"/>
                <w:lang w:eastAsia="zh-CN"/>
              </w:rPr>
              <w:t>电袋复合除尘</w:t>
            </w:r>
            <w:r>
              <w:rPr>
                <w:rFonts w:hint="eastAsia"/>
                <w:color w:val="auto"/>
                <w:spacing w:val="-6"/>
                <w:w w:val="90"/>
                <w:sz w:val="21"/>
                <w:szCs w:val="20"/>
                <w:lang w:val="en-US" w:eastAsia="zh-CN"/>
              </w:rPr>
              <w:t>+氨法</w:t>
            </w:r>
            <w:r>
              <w:rPr>
                <w:rFonts w:hint="eastAsia"/>
                <w:spacing w:val="-6"/>
                <w:w w:val="90"/>
                <w:sz w:val="21"/>
                <w:szCs w:val="20"/>
                <w:lang w:val="en-US" w:eastAsia="zh-CN"/>
              </w:rPr>
              <w:t>脱硫+</w:t>
            </w:r>
            <w:r>
              <w:rPr>
                <w:rFonts w:hint="eastAsia" w:ascii="Times New Roman" w:hAnsi="Times New Roman"/>
                <w:spacing w:val="-6"/>
                <w:w w:val="90"/>
                <w:sz w:val="21"/>
                <w:szCs w:val="20"/>
                <w:lang w:val="en-US" w:eastAsia="zh-CN"/>
              </w:rPr>
              <w:t>100m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烟囱</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color w:val="auto"/>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ascii="Times New Roman" w:hAnsi="Times New Roman"/>
                <w:spacing w:val="-6"/>
                <w:w w:val="90"/>
                <w:sz w:val="21"/>
                <w:szCs w:val="20"/>
                <w:lang w:val="en-US" w:eastAsia="zh-CN"/>
              </w:rPr>
              <w:t>PA</w:t>
            </w:r>
            <w:r>
              <w:rPr>
                <w:rFonts w:hint="eastAsia"/>
                <w:spacing w:val="-6"/>
                <w:w w:val="90"/>
                <w:sz w:val="21"/>
                <w:szCs w:val="20"/>
                <w:lang w:eastAsia="zh-CN"/>
              </w:rPr>
              <w:t>车间</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聚合釜放空废气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二级水膜</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40m</w:t>
            </w:r>
            <w:r>
              <w:rPr>
                <w:rFonts w:hint="eastAsia"/>
                <w:spacing w:val="-6"/>
                <w:w w:val="90"/>
                <w:sz w:val="21"/>
                <w:szCs w:val="20"/>
                <w:lang w:val="en-US" w:eastAsia="zh-CN"/>
              </w:rPr>
              <w:t>高排气筒</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二级水膜</w:t>
            </w:r>
            <w:r>
              <w:rPr>
                <w:rFonts w:hint="eastAsia"/>
                <w:spacing w:val="-6"/>
                <w:w w:val="90"/>
                <w:sz w:val="21"/>
                <w:szCs w:val="20"/>
                <w:lang w:val="en-US" w:eastAsia="zh-CN"/>
              </w:rPr>
              <w:t>+碱喷淋+</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40m</w:t>
            </w:r>
            <w:r>
              <w:rPr>
                <w:rFonts w:hint="eastAsia"/>
                <w:spacing w:val="-6"/>
                <w:w w:val="90"/>
                <w:sz w:val="21"/>
                <w:szCs w:val="20"/>
                <w:lang w:val="en-US" w:eastAsia="zh-CN"/>
              </w:rPr>
              <w:t>高排气筒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0"/>
                <w:lang w:val="en-US" w:eastAsia="zh-CN" w:bidi="ar-SA"/>
              </w:rPr>
            </w:pPr>
            <w:r>
              <w:rPr>
                <w:rFonts w:hint="eastAsia"/>
                <w:color w:val="auto"/>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177" w:firstLineChars="100"/>
              <w:textAlignment w:val="auto"/>
              <w:rPr>
                <w:rFonts w:hint="eastAsia" w:eastAsia="宋体"/>
                <w:spacing w:val="-6"/>
                <w:w w:val="90"/>
                <w:sz w:val="21"/>
                <w:szCs w:val="20"/>
                <w:lang w:eastAsia="zh-CN"/>
              </w:rPr>
            </w:pPr>
            <w:r>
              <w:rPr>
                <w:rFonts w:hint="eastAsia"/>
                <w:spacing w:val="-6"/>
                <w:w w:val="90"/>
                <w:sz w:val="21"/>
                <w:szCs w:val="20"/>
                <w:lang w:eastAsia="zh-CN"/>
              </w:rPr>
              <w:t>提取车间</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精馏废气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二级水膜</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20m</w:t>
            </w:r>
            <w:r>
              <w:rPr>
                <w:rFonts w:hint="eastAsia"/>
                <w:spacing w:val="-6"/>
                <w:w w:val="90"/>
                <w:sz w:val="21"/>
                <w:szCs w:val="20"/>
                <w:lang w:val="en-US" w:eastAsia="zh-CN"/>
              </w:rPr>
              <w:t>排气筒</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二级水膜</w:t>
            </w:r>
            <w:r>
              <w:rPr>
                <w:rFonts w:hint="eastAsia"/>
                <w:spacing w:val="-6"/>
                <w:w w:val="90"/>
                <w:sz w:val="21"/>
                <w:szCs w:val="20"/>
                <w:lang w:val="en-US" w:eastAsia="zh-CN"/>
              </w:rPr>
              <w:t>+水喷淋+</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20m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6"/>
                <w:w w:val="90"/>
                <w:kern w:val="2"/>
                <w:sz w:val="21"/>
                <w:szCs w:val="20"/>
                <w:lang w:val="en-US" w:eastAsia="zh-CN" w:bidi="ar-SA"/>
              </w:rPr>
            </w:pPr>
            <w:r>
              <w:rPr>
                <w:rFonts w:hint="eastAsia"/>
                <w:color w:val="auto"/>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提取废气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val="en-US" w:eastAsia="zh-CN"/>
              </w:rPr>
              <w:t>一级水膜+</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20m</w:t>
            </w:r>
            <w:r>
              <w:rPr>
                <w:rFonts w:hint="eastAsia"/>
                <w:spacing w:val="-6"/>
                <w:w w:val="90"/>
                <w:sz w:val="21"/>
                <w:szCs w:val="20"/>
                <w:lang w:val="en-US" w:eastAsia="zh-CN"/>
              </w:rPr>
              <w:t>排气筒</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一级水膜</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23m</w:t>
            </w:r>
            <w:r>
              <w:rPr>
                <w:rFonts w:hint="eastAsia" w:ascii="Times New Roman" w:hAnsi="Times New Roman"/>
                <w:spacing w:val="-6"/>
                <w:w w:val="90"/>
                <w:sz w:val="21"/>
                <w:szCs w:val="20"/>
                <w:lang w:val="en-US" w:eastAsia="zh-CN"/>
              </w:rPr>
              <w:t>高</w:t>
            </w:r>
            <w:r>
              <w:rPr>
                <w:rFonts w:hint="eastAsia"/>
                <w:spacing w:val="-6"/>
                <w:w w:val="90"/>
                <w:sz w:val="21"/>
                <w:szCs w:val="20"/>
                <w:lang w:val="en-US" w:eastAsia="zh-CN"/>
              </w:rPr>
              <w:t>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6"/>
                <w:w w:val="90"/>
                <w:kern w:val="2"/>
                <w:sz w:val="21"/>
                <w:szCs w:val="20"/>
                <w:lang w:val="en-US" w:eastAsia="zh-CN" w:bidi="ar-SA"/>
              </w:rPr>
            </w:pPr>
            <w:r>
              <w:rPr>
                <w:rFonts w:hint="eastAsia"/>
                <w:color w:val="auto"/>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25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r>
              <w:rPr>
                <w:rFonts w:hint="eastAsia"/>
                <w:spacing w:val="-6"/>
                <w:w w:val="90"/>
                <w:sz w:val="21"/>
                <w:szCs w:val="20"/>
                <w:lang w:eastAsia="zh-CN"/>
              </w:rPr>
              <w:t>污水站废水预处理废气</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密闭收集站内废气</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5</w:t>
            </w:r>
            <w:r>
              <w:rPr>
                <w:rFonts w:hint="eastAsia"/>
                <w:spacing w:val="-6"/>
                <w:w w:val="90"/>
                <w:sz w:val="21"/>
                <w:szCs w:val="20"/>
                <w:lang w:val="en-US" w:eastAsia="zh-CN"/>
              </w:rPr>
              <w:t>套生物除臭设施+</w:t>
            </w:r>
            <w:r>
              <w:rPr>
                <w:rFonts w:hint="eastAsia" w:ascii="Times New Roman" w:hAnsi="Times New Roman"/>
                <w:spacing w:val="-6"/>
                <w:w w:val="90"/>
                <w:sz w:val="21"/>
                <w:szCs w:val="20"/>
                <w:lang w:val="en-US" w:eastAsia="zh-CN"/>
              </w:rPr>
              <w:t>5</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30m</w:t>
            </w:r>
            <w:r>
              <w:rPr>
                <w:rFonts w:hint="eastAsia"/>
                <w:spacing w:val="-6"/>
                <w:w w:val="90"/>
                <w:sz w:val="21"/>
                <w:szCs w:val="20"/>
                <w:lang w:val="en-US" w:eastAsia="zh-CN"/>
              </w:rPr>
              <w:t>高排气筒</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eastAsia="zh-CN"/>
              </w:rPr>
              <w:t>密闭收集站内废气</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5</w:t>
            </w:r>
            <w:r>
              <w:rPr>
                <w:rFonts w:hint="eastAsia"/>
                <w:spacing w:val="-6"/>
                <w:w w:val="90"/>
                <w:sz w:val="21"/>
                <w:szCs w:val="20"/>
                <w:lang w:val="en-US" w:eastAsia="zh-CN"/>
              </w:rPr>
              <w:t>套生物除臭设施+</w:t>
            </w:r>
            <w:r>
              <w:rPr>
                <w:rFonts w:hint="eastAsia" w:ascii="Times New Roman" w:hAnsi="Times New Roman"/>
                <w:spacing w:val="-6"/>
                <w:w w:val="90"/>
                <w:sz w:val="21"/>
                <w:szCs w:val="20"/>
                <w:lang w:val="en-US" w:eastAsia="zh-CN"/>
              </w:rPr>
              <w:t>5</w:t>
            </w:r>
            <w:r>
              <w:rPr>
                <w:rFonts w:hint="eastAsia"/>
                <w:spacing w:val="-6"/>
                <w:w w:val="90"/>
                <w:sz w:val="21"/>
                <w:szCs w:val="20"/>
                <w:lang w:val="en-US" w:eastAsia="zh-CN"/>
              </w:rPr>
              <w:t>根</w:t>
            </w:r>
            <w:r>
              <w:rPr>
                <w:rFonts w:hint="eastAsia" w:ascii="Times New Roman" w:hAnsi="Times New Roman"/>
                <w:spacing w:val="-6"/>
                <w:w w:val="90"/>
                <w:sz w:val="21"/>
                <w:szCs w:val="20"/>
                <w:lang w:val="en-US" w:eastAsia="zh-CN"/>
              </w:rPr>
              <w:t>30m</w:t>
            </w:r>
            <w:r>
              <w:rPr>
                <w:rFonts w:hint="eastAsia"/>
                <w:spacing w:val="-6"/>
                <w:w w:val="90"/>
                <w:sz w:val="21"/>
                <w:szCs w:val="20"/>
                <w:lang w:val="en-US" w:eastAsia="zh-CN"/>
              </w:rPr>
              <w:t>高排气筒</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spacing w:val="-6"/>
                <w:w w:val="90"/>
                <w:sz w:val="21"/>
                <w:szCs w:val="20"/>
                <w:lang w:eastAsia="zh-CN"/>
              </w:rPr>
              <w:t>增加一套碱喷淋</w:t>
            </w:r>
            <w:r>
              <w:rPr>
                <w:rFonts w:hint="eastAsia"/>
                <w:spacing w:val="-6"/>
                <w:w w:val="90"/>
                <w:sz w:val="21"/>
                <w:szCs w:val="20"/>
                <w:lang w:val="en-US" w:eastAsia="zh-CN"/>
              </w:rPr>
              <w:t>+</w:t>
            </w:r>
            <w:r>
              <w:rPr>
                <w:rFonts w:hint="eastAsia"/>
                <w:spacing w:val="-6"/>
                <w:w w:val="90"/>
                <w:sz w:val="21"/>
                <w:szCs w:val="20"/>
                <w:lang w:eastAsia="zh-CN"/>
              </w:rPr>
              <w:t>生物除臭</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30m</w:t>
            </w:r>
            <w:r>
              <w:rPr>
                <w:rFonts w:hint="eastAsia"/>
                <w:spacing w:val="-6"/>
                <w:w w:val="90"/>
                <w:sz w:val="21"/>
                <w:szCs w:val="20"/>
                <w:lang w:val="en-US" w:eastAsia="zh-CN"/>
              </w:rPr>
              <w:t>高排气筒，共</w:t>
            </w:r>
            <w:r>
              <w:rPr>
                <w:rFonts w:hint="eastAsia" w:ascii="Times New Roman" w:hAnsi="Times New Roman"/>
                <w:spacing w:val="-6"/>
                <w:w w:val="90"/>
                <w:sz w:val="21"/>
                <w:szCs w:val="20"/>
                <w:lang w:val="en-US" w:eastAsia="zh-CN"/>
              </w:rPr>
              <w:t>6</w:t>
            </w:r>
            <w:r>
              <w:rPr>
                <w:rFonts w:hint="eastAsia"/>
                <w:spacing w:val="-6"/>
                <w:w w:val="90"/>
                <w:sz w:val="21"/>
                <w:szCs w:val="20"/>
                <w:lang w:val="en-US" w:eastAsia="zh-CN"/>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spacing w:val="-6"/>
                <w:w w:val="90"/>
                <w:sz w:val="21"/>
                <w:szCs w:val="20"/>
              </w:rPr>
              <w:t>水环境</w:t>
            </w:r>
          </w:p>
        </w:tc>
        <w:tc>
          <w:tcPr>
            <w:tcW w:w="25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spacing w:val="-6"/>
                <w:w w:val="90"/>
                <w:sz w:val="21"/>
                <w:szCs w:val="20"/>
              </w:rPr>
              <w:t>生产</w:t>
            </w:r>
            <w:r>
              <w:rPr>
                <w:rFonts w:hint="eastAsia"/>
                <w:spacing w:val="-6"/>
                <w:w w:val="90"/>
                <w:sz w:val="21"/>
                <w:szCs w:val="20"/>
                <w:lang w:eastAsia="zh-CN"/>
              </w:rPr>
              <w:t>废</w:t>
            </w:r>
            <w:r>
              <w:rPr>
                <w:spacing w:val="-6"/>
                <w:w w:val="90"/>
                <w:sz w:val="21"/>
                <w:szCs w:val="20"/>
              </w:rPr>
              <w:t>水</w:t>
            </w:r>
            <w:r>
              <w:rPr>
                <w:rFonts w:hint="eastAsia"/>
                <w:spacing w:val="-6"/>
                <w:w w:val="90"/>
                <w:sz w:val="21"/>
                <w:szCs w:val="20"/>
                <w:lang w:eastAsia="zh-CN"/>
              </w:rPr>
              <w:t>、生活污水、初期雨水</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万</w:t>
            </w:r>
            <w:r>
              <w:rPr>
                <w:rFonts w:hint="eastAsia" w:ascii="Times New Roman" w:hAnsi="Times New Roman"/>
                <w:spacing w:val="-6"/>
                <w:w w:val="90"/>
                <w:sz w:val="21"/>
                <w:szCs w:val="20"/>
                <w:lang w:val="en-US" w:eastAsia="zh-CN"/>
              </w:rPr>
              <w:t>t</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d</w:t>
            </w:r>
            <w:r>
              <w:rPr>
                <w:rFonts w:hint="eastAsia"/>
                <w:spacing w:val="-6"/>
                <w:w w:val="90"/>
                <w:sz w:val="21"/>
                <w:szCs w:val="20"/>
                <w:lang w:eastAsia="zh-CN"/>
              </w:rPr>
              <w:t>污水站</w:t>
            </w:r>
            <w:r>
              <w:rPr>
                <w:rFonts w:hint="eastAsia"/>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水解酸化池+</w:t>
            </w:r>
            <w:r>
              <w:rPr>
                <w:rFonts w:hint="eastAsia" w:ascii="Times New Roman" w:hAnsi="Times New Roman" w:eastAsia="宋体" w:cs="Times New Roman"/>
                <w:spacing w:val="-6"/>
                <w:w w:val="90"/>
                <w:sz w:val="21"/>
                <w:szCs w:val="20"/>
                <w:lang w:val="en-US" w:eastAsia="zh-CN"/>
              </w:rPr>
              <w:t>A2O</w:t>
            </w:r>
            <w:r>
              <w:rPr>
                <w:rFonts w:hint="eastAsia" w:ascii="Times New Roman" w:hAnsi="Times New Roman" w:eastAsia="宋体" w:cs="Times New Roman"/>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MBR</w:t>
            </w:r>
            <w:r>
              <w:rPr>
                <w:rFonts w:hint="eastAsia" w:ascii="Times New Roman" w:hAnsi="Times New Roman" w:eastAsia="宋体" w:cs="Times New Roman"/>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RO</w:t>
            </w:r>
            <w:r>
              <w:rPr>
                <w:rFonts w:hint="eastAsia" w:ascii="Times New Roman" w:hAnsi="Times New Roman" w:eastAsia="宋体" w:cs="Times New Roman"/>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MVR</w:t>
            </w:r>
            <w:r>
              <w:rPr>
                <w:rFonts w:hint="eastAsia" w:ascii="Times New Roman" w:hAnsi="Times New Roman" w:eastAsia="宋体" w:cs="Times New Roman"/>
                <w:spacing w:val="-6"/>
                <w:w w:val="90"/>
                <w:sz w:val="21"/>
                <w:szCs w:val="20"/>
                <w:lang w:val="en-US" w:eastAsia="zh-CN"/>
              </w:rPr>
              <w:t>工艺</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w:t>
            </w:r>
            <w:r>
              <w:rPr>
                <w:rFonts w:hint="eastAsia"/>
                <w:spacing w:val="-6"/>
                <w:w w:val="90"/>
                <w:sz w:val="21"/>
                <w:szCs w:val="20"/>
                <w:lang w:val="en-US" w:eastAsia="zh-CN"/>
              </w:rPr>
              <w:t>万</w:t>
            </w:r>
            <w:r>
              <w:rPr>
                <w:rFonts w:hint="eastAsia" w:ascii="Times New Roman" w:hAnsi="Times New Roman"/>
                <w:spacing w:val="-6"/>
                <w:w w:val="90"/>
                <w:sz w:val="21"/>
                <w:szCs w:val="20"/>
                <w:lang w:val="en-US" w:eastAsia="zh-CN"/>
              </w:rPr>
              <w:t>t</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d</w:t>
            </w:r>
            <w:r>
              <w:rPr>
                <w:rFonts w:hint="eastAsia"/>
                <w:spacing w:val="-6"/>
                <w:w w:val="90"/>
                <w:sz w:val="21"/>
                <w:szCs w:val="20"/>
                <w:lang w:eastAsia="zh-CN"/>
              </w:rPr>
              <w:t>污水站</w:t>
            </w:r>
            <w:r>
              <w:rPr>
                <w:rFonts w:hint="eastAsia"/>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水解酸化池+</w:t>
            </w:r>
            <w:r>
              <w:rPr>
                <w:rFonts w:hint="eastAsia" w:ascii="Times New Roman" w:hAnsi="Times New Roman" w:eastAsia="宋体" w:cs="Times New Roman"/>
                <w:spacing w:val="-6"/>
                <w:w w:val="90"/>
                <w:sz w:val="21"/>
                <w:szCs w:val="20"/>
                <w:lang w:val="en-US" w:eastAsia="zh-CN"/>
              </w:rPr>
              <w:t>A2O</w:t>
            </w:r>
            <w:r>
              <w:rPr>
                <w:rFonts w:hint="eastAsia" w:ascii="Times New Roman" w:hAnsi="Times New Roman" w:eastAsia="宋体" w:cs="Times New Roman"/>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MBR</w:t>
            </w:r>
            <w:r>
              <w:rPr>
                <w:rFonts w:hint="eastAsia" w:ascii="Times New Roman" w:hAnsi="Times New Roman" w:eastAsia="宋体" w:cs="Times New Roman"/>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RO</w:t>
            </w:r>
            <w:r>
              <w:rPr>
                <w:rFonts w:hint="eastAsia" w:ascii="Times New Roman" w:hAnsi="Times New Roman" w:eastAsia="宋体" w:cs="Times New Roman"/>
                <w:spacing w:val="-6"/>
                <w:w w:val="90"/>
                <w:sz w:val="21"/>
                <w:szCs w:val="20"/>
                <w:lang w:val="en-US" w:eastAsia="zh-CN"/>
              </w:rPr>
              <w:t>+</w:t>
            </w:r>
            <w:r>
              <w:rPr>
                <w:rFonts w:hint="eastAsia" w:ascii="Times New Roman" w:hAnsi="Times New Roman" w:eastAsia="宋体" w:cs="Times New Roman"/>
                <w:spacing w:val="-6"/>
                <w:w w:val="90"/>
                <w:sz w:val="21"/>
                <w:szCs w:val="20"/>
                <w:lang w:val="en-US" w:eastAsia="zh-CN"/>
              </w:rPr>
              <w:t>MVR</w:t>
            </w:r>
            <w:r>
              <w:rPr>
                <w:rFonts w:hint="eastAsia" w:ascii="Times New Roman" w:hAnsi="Times New Roman" w:eastAsia="宋体" w:cs="Times New Roman"/>
                <w:spacing w:val="-6"/>
                <w:w w:val="90"/>
                <w:sz w:val="21"/>
                <w:szCs w:val="20"/>
                <w:lang w:val="en-US" w:eastAsia="zh-CN"/>
              </w:rPr>
              <w:t>工艺</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spacing w:val="-6"/>
                <w:w w:val="90"/>
                <w:sz w:val="21"/>
                <w:szCs w:val="20"/>
                <w:lang w:eastAsia="zh-CN"/>
              </w:rPr>
              <w:t>已</w:t>
            </w:r>
            <w:r>
              <w:rPr>
                <w:spacing w:val="-6"/>
                <w:w w:val="90"/>
                <w:sz w:val="21"/>
                <w:szCs w:val="20"/>
              </w:rPr>
              <w:t>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color w:val="auto"/>
                <w:spacing w:val="-6"/>
                <w:w w:val="90"/>
                <w:sz w:val="21"/>
                <w:szCs w:val="20"/>
                <w:lang w:val="en-US" w:eastAsia="zh-CN"/>
              </w:rPr>
              <w:t>已按要求建设，</w:t>
            </w:r>
            <w:r>
              <w:rPr>
                <w:rFonts w:hint="eastAsia" w:ascii="Times New Roman" w:hAnsi="Times New Roman"/>
                <w:color w:val="auto"/>
                <w:spacing w:val="-6"/>
                <w:w w:val="90"/>
                <w:sz w:val="21"/>
                <w:szCs w:val="20"/>
                <w:lang w:val="en-US" w:eastAsia="zh-CN"/>
              </w:rPr>
              <w:t>MBR</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RO</w:t>
            </w:r>
            <w:r>
              <w:rPr>
                <w:rFonts w:hint="eastAsia"/>
                <w:color w:val="auto"/>
                <w:spacing w:val="-6"/>
                <w:w w:val="90"/>
                <w:sz w:val="21"/>
                <w:szCs w:val="20"/>
                <w:lang w:val="en-US" w:eastAsia="zh-CN"/>
              </w:rPr>
              <w:t>+</w:t>
            </w:r>
            <w:r>
              <w:rPr>
                <w:rFonts w:hint="eastAsia" w:ascii="Times New Roman" w:hAnsi="Times New Roman"/>
                <w:color w:val="auto"/>
                <w:spacing w:val="-6"/>
                <w:w w:val="90"/>
                <w:sz w:val="21"/>
                <w:szCs w:val="20"/>
                <w:lang w:val="en-US" w:eastAsia="zh-CN"/>
              </w:rPr>
              <w:t>MVR</w:t>
            </w:r>
            <w:r>
              <w:rPr>
                <w:rFonts w:hint="eastAsia"/>
                <w:color w:val="auto"/>
                <w:spacing w:val="-6"/>
                <w:w w:val="90"/>
                <w:sz w:val="21"/>
                <w:szCs w:val="20"/>
                <w:lang w:val="en-US" w:eastAsia="zh-CN"/>
              </w:rPr>
              <w:t>装置作为应急备用设备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25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清净下水</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循环水池、除盐水站、动力站锅炉排水经园区下水管网，至园区污水厂处理</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eastAsia="zh-CN"/>
              </w:rPr>
              <w:t>循环水池、除盐水站、动力站锅炉排水经园区下水管网，至园区污水厂处理</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val="en-US"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spacing w:val="-6"/>
                <w:w w:val="90"/>
                <w:sz w:val="21"/>
                <w:szCs w:val="20"/>
              </w:rPr>
              <w:t>声环境</w:t>
            </w:r>
          </w:p>
        </w:tc>
        <w:tc>
          <w:tcPr>
            <w:tcW w:w="25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spacing w:val="-6"/>
                <w:w w:val="90"/>
                <w:sz w:val="21"/>
                <w:szCs w:val="20"/>
              </w:rPr>
              <w:t>机械设备噪声</w:t>
            </w:r>
            <w:r>
              <w:rPr>
                <w:rFonts w:hint="eastAsia"/>
                <w:spacing w:val="-6"/>
                <w:w w:val="90"/>
                <w:sz w:val="21"/>
                <w:szCs w:val="20"/>
                <w:lang w:eastAsia="zh-CN"/>
              </w:rPr>
              <w:t>、</w:t>
            </w:r>
            <w:r>
              <w:rPr>
                <w:spacing w:val="-6"/>
                <w:w w:val="90"/>
                <w:sz w:val="21"/>
                <w:szCs w:val="20"/>
              </w:rPr>
              <w:t>空气动力性噪声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spacing w:val="-6"/>
                <w:w w:val="90"/>
                <w:sz w:val="21"/>
                <w:szCs w:val="20"/>
              </w:rPr>
              <w:t>选用低噪声设备、风机、泵采用隔声措施、加装消声器、基础减</w:t>
            </w:r>
            <w:r>
              <w:rPr>
                <w:rFonts w:hint="eastAsia"/>
                <w:spacing w:val="-6"/>
                <w:w w:val="90"/>
                <w:sz w:val="21"/>
                <w:szCs w:val="20"/>
                <w:lang w:eastAsia="zh-CN"/>
              </w:rPr>
              <w:t>振</w:t>
            </w:r>
            <w:r>
              <w:rPr>
                <w:spacing w:val="-6"/>
                <w:w w:val="90"/>
                <w:sz w:val="21"/>
                <w:szCs w:val="20"/>
              </w:rPr>
              <w:t>、隔声等措施</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合理平面布置、隔声减振等</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val="en-US" w:eastAsia="zh-CN"/>
              </w:rPr>
              <w:t>主要以隔声、减振为主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spacing w:val="-6"/>
                <w:w w:val="90"/>
                <w:sz w:val="21"/>
                <w:szCs w:val="20"/>
              </w:rPr>
              <w:t>固体废物</w:t>
            </w:r>
          </w:p>
        </w:tc>
        <w:tc>
          <w:tcPr>
            <w:tcW w:w="7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val="en-US" w:eastAsia="zh-CN"/>
              </w:rPr>
            </w:pPr>
            <w:r>
              <w:rPr>
                <w:rFonts w:hint="eastAsia"/>
                <w:spacing w:val="-6"/>
                <w:w w:val="90"/>
                <w:sz w:val="21"/>
                <w:szCs w:val="20"/>
                <w:lang w:val="en-US" w:eastAsia="zh-CN"/>
              </w:rPr>
              <w:t>玉米深加工单元</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玉米原料杂质</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eastAsia="zh-CN"/>
              </w:rPr>
              <w:t>依托市政清运处理</w:t>
            </w:r>
            <w:r>
              <w:rPr>
                <w:rFonts w:hint="eastAsia"/>
                <w:spacing w:val="-6"/>
                <w:w w:val="90"/>
                <w:sz w:val="21"/>
                <w:szCs w:val="20"/>
                <w:lang w:val="en-US" w:eastAsia="zh-CN"/>
              </w:rPr>
              <w:t xml:space="preserve"> </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val="en-US" w:eastAsia="zh-CN"/>
              </w:rPr>
              <w:t>新疆易路通智慧物流有限公司清运</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eastAsia="zh-CN"/>
              </w:rPr>
              <w:t>送乌苏工业园区一般工业固废填埋场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r>
              <w:rPr>
                <w:rFonts w:hint="eastAsia" w:ascii="Times New Roman" w:hAnsi="Times New Roman"/>
                <w:spacing w:val="-6"/>
                <w:w w:val="90"/>
                <w:sz w:val="21"/>
                <w:szCs w:val="20"/>
                <w:lang w:val="en-US" w:eastAsia="zh-CN"/>
              </w:rPr>
              <w:t>DN</w:t>
            </w:r>
            <w:r>
              <w:rPr>
                <w:rFonts w:hint="eastAsia"/>
                <w:spacing w:val="-6"/>
                <w:w w:val="90"/>
                <w:sz w:val="21"/>
                <w:szCs w:val="20"/>
                <w:lang w:val="en-US" w:eastAsia="zh-CN"/>
              </w:rPr>
              <w:t>溶液生产单元</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ascii="Times New Roman" w:hAnsi="Times New Roman"/>
                <w:spacing w:val="-6"/>
                <w:w w:val="90"/>
                <w:sz w:val="21"/>
                <w:szCs w:val="20"/>
                <w:lang w:eastAsia="zh-CN"/>
              </w:rPr>
              <w:t>DN</w:t>
            </w:r>
            <w:r>
              <w:rPr>
                <w:rFonts w:hint="eastAsia"/>
                <w:spacing w:val="-6"/>
                <w:w w:val="90"/>
                <w:sz w:val="21"/>
                <w:szCs w:val="20"/>
                <w:lang w:eastAsia="zh-CN"/>
              </w:rPr>
              <w:t>溶液生产废树脂（</w:t>
            </w:r>
            <w:r>
              <w:rPr>
                <w:rFonts w:hint="eastAsia" w:ascii="Times New Roman" w:hAnsi="Times New Roman"/>
                <w:spacing w:val="-6"/>
                <w:w w:val="90"/>
                <w:sz w:val="21"/>
                <w:szCs w:val="20"/>
                <w:lang w:val="en-US" w:eastAsia="zh-CN"/>
              </w:rPr>
              <w:t>900</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015</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13</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委托有资质的单位处理</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spacing w:val="-6"/>
                <w:w w:val="90"/>
                <w:sz w:val="21"/>
                <w:szCs w:val="20"/>
                <w:lang w:eastAsia="zh-CN"/>
              </w:rPr>
              <w:t>实为过滤膜，危险废物贮存库暂存，委托有资质的单位处理，验收期未产生</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pacing w:val="-6"/>
                <w:w w:val="90"/>
                <w:kern w:val="2"/>
                <w:sz w:val="21"/>
                <w:szCs w:val="20"/>
                <w:lang w:val="en-US" w:eastAsia="zh-CN" w:bidi="ar-SA"/>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eastAsia="zh-CN"/>
              </w:rPr>
              <w:t>危险废物贮存库暂存，委托新疆沃森环保科技有限责任公司处理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絮凝剂煅烧灰渣</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外运综合利用</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煅烧装置未运营，无絮凝剂煅烧灰渣</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pacing w:val="-6"/>
                <w:w w:val="90"/>
                <w:kern w:val="2"/>
                <w:sz w:val="21"/>
                <w:szCs w:val="20"/>
                <w:lang w:val="en-US" w:eastAsia="zh-CN" w:bidi="ar-SA"/>
              </w:rPr>
            </w:pPr>
            <w:r>
              <w:rPr>
                <w:rFonts w:hint="eastAsia"/>
                <w:spacing w:val="-6"/>
                <w:w w:val="90"/>
                <w:sz w:val="21"/>
                <w:szCs w:val="20"/>
                <w:lang w:val="en-US" w:eastAsia="zh-CN"/>
              </w:rPr>
              <w:t>有变化</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取消絮凝剂煅烧，不存在该部分固废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ascii="Times New Roman" w:hAnsi="Times New Roman"/>
                <w:spacing w:val="-6"/>
                <w:w w:val="90"/>
                <w:sz w:val="21"/>
                <w:szCs w:val="20"/>
                <w:lang w:eastAsia="zh-CN"/>
              </w:rPr>
              <w:t>DN</w:t>
            </w:r>
            <w:r>
              <w:rPr>
                <w:rFonts w:hint="eastAsia"/>
                <w:spacing w:val="-6"/>
                <w:w w:val="90"/>
                <w:sz w:val="21"/>
                <w:szCs w:val="20"/>
                <w:lang w:eastAsia="zh-CN"/>
              </w:rPr>
              <w:t>溶液生产菌体污泥</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val="en-US" w:eastAsia="zh-CN"/>
              </w:rPr>
              <w:t>未提及</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r>
              <w:rPr>
                <w:rFonts w:hint="eastAsia"/>
                <w:spacing w:val="-6"/>
                <w:w w:val="90"/>
                <w:sz w:val="21"/>
                <w:szCs w:val="20"/>
                <w:lang w:eastAsia="zh-CN"/>
              </w:rPr>
              <w:t>未提及</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6"/>
                <w:w w:val="90"/>
                <w:sz w:val="21"/>
                <w:szCs w:val="20"/>
                <w:lang w:eastAsia="zh-CN"/>
              </w:rPr>
            </w:pPr>
            <w:r>
              <w:rPr>
                <w:rFonts w:hint="eastAsia"/>
                <w:spacing w:val="-6"/>
                <w:w w:val="90"/>
                <w:sz w:val="21"/>
                <w:szCs w:val="20"/>
                <w:lang w:val="en-US" w:eastAsia="zh-CN"/>
              </w:rPr>
              <w:t>有变化</w:t>
            </w: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r>
              <w:rPr>
                <w:rFonts w:hint="eastAsia"/>
                <w:spacing w:val="-6"/>
                <w:w w:val="90"/>
                <w:sz w:val="21"/>
                <w:szCs w:val="20"/>
                <w:lang w:eastAsia="zh-CN"/>
              </w:rPr>
              <w:t>厂内占地</w:t>
            </w:r>
            <w:r>
              <w:rPr>
                <w:rFonts w:hint="eastAsia" w:ascii="Times New Roman" w:hAnsi="Times New Roman"/>
                <w:spacing w:val="-6"/>
                <w:w w:val="90"/>
                <w:sz w:val="21"/>
                <w:szCs w:val="20"/>
                <w:lang w:val="en-US" w:eastAsia="zh-CN"/>
              </w:rPr>
              <w:t>2700</w:t>
            </w:r>
            <w:r>
              <w:rPr>
                <w:rFonts w:hint="eastAsia"/>
                <w:spacing w:val="-6"/>
                <w:w w:val="90"/>
                <w:sz w:val="21"/>
                <w:szCs w:val="20"/>
                <w:lang w:val="en-US" w:eastAsia="zh-CN"/>
              </w:rPr>
              <w:t>㎡</w:t>
            </w:r>
            <w:r>
              <w:rPr>
                <w:rFonts w:hint="eastAsia"/>
                <w:spacing w:val="-6"/>
                <w:w w:val="90"/>
                <w:sz w:val="21"/>
                <w:szCs w:val="20"/>
                <w:lang w:eastAsia="zh-CN"/>
              </w:rPr>
              <w:t>一般固废暂存库暂存（满足“三防”要求），送乌苏工业园区一般工业固废填埋场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废絮凝剂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val="en-US" w:eastAsia="zh-CN"/>
              </w:rPr>
              <w:t>送煅烧炉煅烧后，再利用</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r>
              <w:rPr>
                <w:rFonts w:hint="eastAsia"/>
                <w:spacing w:val="-6"/>
                <w:w w:val="90"/>
                <w:sz w:val="21"/>
                <w:szCs w:val="20"/>
                <w:lang w:eastAsia="zh-CN"/>
              </w:rPr>
              <w:t>库房暂存，后由煅烧炉煅烧后再生利用</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6"/>
                <w:w w:val="90"/>
                <w:sz w:val="21"/>
                <w:szCs w:val="20"/>
                <w:lang w:eastAsia="zh-CN"/>
              </w:rPr>
            </w:pPr>
            <w:r>
              <w:rPr>
                <w:rFonts w:hint="eastAsia"/>
                <w:spacing w:val="-6"/>
                <w:w w:val="90"/>
                <w:sz w:val="21"/>
                <w:szCs w:val="20"/>
                <w:lang w:val="en-US" w:eastAsia="zh-CN"/>
              </w:rPr>
              <w:t>有变化</w:t>
            </w: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聚酰胺制取</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废加氢催化剂（</w:t>
            </w:r>
            <w:r>
              <w:rPr>
                <w:rFonts w:hint="eastAsia" w:ascii="Times New Roman" w:hAnsi="Times New Roman"/>
                <w:spacing w:val="-6"/>
                <w:w w:val="90"/>
                <w:sz w:val="21"/>
                <w:szCs w:val="20"/>
                <w:lang w:val="en-US" w:eastAsia="zh-CN"/>
              </w:rPr>
              <w:t>900</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037</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46</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委托有资质的单位处理</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委托有资质的单位处理，验收期间未产生</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pacing w:val="-6"/>
                <w:w w:val="90"/>
                <w:kern w:val="2"/>
                <w:sz w:val="21"/>
                <w:szCs w:val="20"/>
                <w:lang w:val="en-US" w:eastAsia="zh-CN" w:bidi="ar-SA"/>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危险废物贮存库暂存，委托新疆沃森环保科技有限责任公司处理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除盐水站</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废树脂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spacing w:val="-6"/>
                <w:w w:val="90"/>
                <w:sz w:val="21"/>
                <w:szCs w:val="20"/>
                <w:lang w:eastAsia="zh-CN"/>
              </w:rPr>
              <w:t>委托有资质的单位处理</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委托有资质的单位处理，验收期未产生</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属于一般固废，送废品回收站回收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动力站锅炉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灰渣（</w:t>
            </w:r>
            <w:r>
              <w:rPr>
                <w:rFonts w:hint="eastAsia" w:ascii="Times New Roman" w:hAnsi="Times New Roman"/>
                <w:spacing w:val="-6"/>
                <w:w w:val="90"/>
                <w:sz w:val="21"/>
                <w:szCs w:val="20"/>
                <w:lang w:val="en-US" w:eastAsia="zh-CN"/>
              </w:rPr>
              <w:t>900</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999</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64</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沙湾县建友混凝土有限公司综合利用</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spacing w:val="-6"/>
                <w:w w:val="90"/>
                <w:sz w:val="21"/>
                <w:szCs w:val="20"/>
                <w:lang w:eastAsia="zh-CN"/>
              </w:rPr>
              <w:t>灰渣库暂存，交新疆易路通智慧物流有限公司清运</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eastAsia="zh-CN"/>
              </w:rPr>
              <w:t>送乌苏工业园区一般工业固废填埋场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废导热油（</w:t>
            </w:r>
            <w:r>
              <w:rPr>
                <w:rFonts w:hint="eastAsia" w:ascii="Times New Roman" w:hAnsi="Times New Roman"/>
                <w:spacing w:val="-6"/>
                <w:w w:val="90"/>
                <w:sz w:val="21"/>
                <w:szCs w:val="20"/>
                <w:lang w:val="en-US" w:eastAsia="zh-CN"/>
              </w:rPr>
              <w:t>900</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249</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08</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spacing w:val="-6"/>
                <w:w w:val="90"/>
                <w:sz w:val="21"/>
                <w:szCs w:val="20"/>
                <w:lang w:eastAsia="zh-CN"/>
              </w:rPr>
              <w:t>委托有资质的单位处理</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spacing w:val="-6"/>
                <w:w w:val="90"/>
                <w:sz w:val="21"/>
                <w:szCs w:val="20"/>
                <w:lang w:eastAsia="zh-CN"/>
              </w:rPr>
              <w:t>危险废物贮存库暂存，委托有资质的单位处理，验收期未产生</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危险废物贮存库暂存，委托新疆沃森环保科技有限责任公司处理，未产生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废脱硝催化剂（</w:t>
            </w:r>
            <w:r>
              <w:rPr>
                <w:rFonts w:hint="eastAsia" w:ascii="Times New Roman" w:hAnsi="Times New Roman"/>
                <w:spacing w:val="-6"/>
                <w:w w:val="90"/>
                <w:sz w:val="21"/>
                <w:szCs w:val="20"/>
                <w:lang w:val="en-US" w:eastAsia="zh-CN"/>
              </w:rPr>
              <w:t>772</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007</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50</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spacing w:val="-6"/>
                <w:w w:val="90"/>
                <w:sz w:val="21"/>
                <w:szCs w:val="20"/>
                <w:lang w:eastAsia="zh-CN"/>
              </w:rPr>
              <w:t>委托有资质的单位处理</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rFonts w:hint="eastAsia"/>
                <w:spacing w:val="-6"/>
                <w:w w:val="90"/>
                <w:sz w:val="21"/>
                <w:szCs w:val="20"/>
                <w:lang w:eastAsia="zh-CN"/>
              </w:rPr>
              <w:t>危险废物贮存库暂存，委托有资质的单位处理，验收期未产生</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eastAsia="zh-CN"/>
              </w:rPr>
              <w:t>危险废物贮存库暂存，委托新疆沃森环保科技有限责任公司处理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污水处理站</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蒸发盐（</w:t>
            </w:r>
            <w:r>
              <w:rPr>
                <w:rFonts w:hint="eastAsia" w:ascii="Times New Roman" w:hAnsi="Times New Roman"/>
                <w:spacing w:val="-6"/>
                <w:w w:val="90"/>
                <w:sz w:val="21"/>
                <w:szCs w:val="20"/>
                <w:lang w:val="en-US" w:eastAsia="zh-CN"/>
              </w:rPr>
              <w:t>MVR</w:t>
            </w:r>
            <w:r>
              <w:rPr>
                <w:rFonts w:hint="eastAsia"/>
                <w:spacing w:val="-6"/>
                <w:w w:val="90"/>
                <w:sz w:val="21"/>
                <w:szCs w:val="20"/>
                <w:lang w:val="en-US" w:eastAsia="zh-CN"/>
              </w:rPr>
              <w:t>盐</w:t>
            </w:r>
            <w:r>
              <w:rPr>
                <w:rFonts w:hint="eastAsia"/>
                <w:spacing w:val="-6"/>
                <w:w w:val="90"/>
                <w:sz w:val="21"/>
                <w:szCs w:val="20"/>
                <w:lang w:eastAsia="zh-CN"/>
              </w:rPr>
              <w:t>）（</w:t>
            </w:r>
            <w:r>
              <w:rPr>
                <w:rFonts w:hint="eastAsia" w:ascii="Times New Roman" w:hAnsi="Times New Roman"/>
                <w:spacing w:val="-6"/>
                <w:w w:val="90"/>
                <w:sz w:val="21"/>
                <w:szCs w:val="20"/>
                <w:lang w:val="en-US" w:eastAsia="zh-CN"/>
              </w:rPr>
              <w:t>265</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104</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13</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val="en-US" w:eastAsia="zh-CN"/>
              </w:rPr>
              <w:t>鉴定后再决定处置方式</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val="en-US" w:eastAsia="zh-CN"/>
              </w:rPr>
            </w:pPr>
            <w:r>
              <w:rPr>
                <w:rFonts w:hint="eastAsia"/>
                <w:spacing w:val="-6"/>
                <w:w w:val="90"/>
                <w:sz w:val="21"/>
                <w:szCs w:val="20"/>
                <w:lang w:val="en-US" w:eastAsia="zh-CN"/>
              </w:rPr>
              <w:t>鉴定后再决定处置方式，厂内按危废管理</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危险废物贮存库暂存，委托新疆沃森环保科技有限责任公司处理，未产生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r>
              <w:rPr>
                <w:rFonts w:hint="eastAsia"/>
                <w:spacing w:val="-6"/>
                <w:w w:val="90"/>
                <w:sz w:val="21"/>
                <w:szCs w:val="20"/>
                <w:lang w:eastAsia="zh-CN"/>
              </w:rPr>
              <w:t>在线监测设施废酸（</w:t>
            </w:r>
            <w:r>
              <w:rPr>
                <w:rFonts w:hint="eastAsia" w:ascii="Times New Roman" w:hAnsi="Times New Roman"/>
                <w:spacing w:val="-6"/>
                <w:w w:val="90"/>
                <w:sz w:val="21"/>
                <w:szCs w:val="20"/>
                <w:lang w:val="en-US" w:eastAsia="zh-CN"/>
              </w:rPr>
              <w:t>900</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402</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06</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val="en-US" w:eastAsia="zh-CN"/>
              </w:rPr>
            </w:pPr>
            <w:r>
              <w:rPr>
                <w:rFonts w:hint="eastAsia"/>
                <w:spacing w:val="-6"/>
                <w:w w:val="90"/>
                <w:sz w:val="21"/>
                <w:szCs w:val="20"/>
                <w:lang w:val="en-US" w:eastAsia="zh-CN"/>
              </w:rPr>
              <w:t>未提及</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val="en-US" w:eastAsia="zh-CN"/>
              </w:rPr>
            </w:pPr>
            <w:r>
              <w:rPr>
                <w:rFonts w:hint="eastAsia"/>
                <w:spacing w:val="-6"/>
                <w:w w:val="90"/>
                <w:sz w:val="21"/>
                <w:szCs w:val="20"/>
                <w:lang w:val="en-US" w:eastAsia="zh-CN"/>
              </w:rPr>
              <w:t>未提及</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6"/>
                <w:w w:val="90"/>
                <w:sz w:val="21"/>
                <w:szCs w:val="20"/>
                <w:lang w:val="en-US" w:eastAsia="zh-CN"/>
              </w:rPr>
            </w:pPr>
            <w:r>
              <w:rPr>
                <w:rFonts w:hint="eastAsia"/>
                <w:spacing w:val="-6"/>
                <w:w w:val="90"/>
                <w:sz w:val="21"/>
                <w:szCs w:val="20"/>
                <w:lang w:eastAsia="zh-CN"/>
              </w:rPr>
              <w:t>危险废物贮存库暂存，委托新疆沃森环保科技有限责任公司处理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污泥</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spacing w:val="-6"/>
                <w:w w:val="90"/>
                <w:sz w:val="21"/>
                <w:szCs w:val="20"/>
                <w:lang w:val="en-US" w:eastAsia="zh-CN"/>
              </w:rPr>
              <w:t>鉴定后再决定处置方式</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经鉴定属一般固废，定期</w:t>
            </w:r>
            <w:r>
              <w:rPr>
                <w:rFonts w:hint="eastAsia"/>
                <w:color w:val="auto"/>
                <w:spacing w:val="-6"/>
                <w:w w:val="90"/>
                <w:sz w:val="21"/>
                <w:szCs w:val="20"/>
                <w:lang w:eastAsia="zh-CN"/>
              </w:rPr>
              <w:t>清运至园区一般工业固废填埋场</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6"/>
                <w:w w:val="90"/>
                <w:sz w:val="21"/>
                <w:szCs w:val="20"/>
              </w:rPr>
            </w:pPr>
            <w:r>
              <w:rPr>
                <w:spacing w:val="-6"/>
                <w:w w:val="90"/>
                <w:sz w:val="21"/>
                <w:szCs w:val="20"/>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送乌苏工业园区一般工业固废填埋场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spacing w:val="-6"/>
                <w:w w:val="90"/>
                <w:sz w:val="21"/>
                <w:szCs w:val="20"/>
                <w:lang w:val="en-US" w:eastAsia="zh-CN"/>
              </w:rPr>
            </w:pPr>
            <w:r>
              <w:rPr>
                <w:rFonts w:hint="eastAsia" w:ascii="Times New Roman" w:hAnsi="Times New Roman"/>
                <w:spacing w:val="-6"/>
                <w:w w:val="90"/>
                <w:sz w:val="21"/>
                <w:szCs w:val="20"/>
                <w:lang w:val="en-US" w:eastAsia="zh-CN"/>
              </w:rPr>
              <w:t>MVR</w:t>
            </w:r>
            <w:r>
              <w:rPr>
                <w:rFonts w:hint="eastAsia"/>
                <w:spacing w:val="-6"/>
                <w:w w:val="90"/>
                <w:sz w:val="21"/>
                <w:szCs w:val="20"/>
                <w:lang w:val="en-US" w:eastAsia="zh-CN"/>
              </w:rPr>
              <w:t>盐（</w:t>
            </w:r>
            <w:r>
              <w:rPr>
                <w:rFonts w:hint="eastAsia" w:ascii="Times New Roman" w:hAnsi="Times New Roman"/>
                <w:spacing w:val="-6"/>
                <w:w w:val="90"/>
                <w:sz w:val="21"/>
                <w:szCs w:val="20"/>
                <w:lang w:val="en-US" w:eastAsia="zh-CN"/>
              </w:rPr>
              <w:t>265</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104</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13</w:t>
            </w:r>
            <w:r>
              <w:rPr>
                <w:rFonts w:hint="eastAsia"/>
                <w:spacing w:val="-6"/>
                <w:w w:val="90"/>
                <w:sz w:val="21"/>
                <w:szCs w:val="20"/>
                <w:lang w:val="en-US" w:eastAsia="zh-CN"/>
              </w:rPr>
              <w:t>）</w:t>
            </w:r>
          </w:p>
        </w:tc>
        <w:tc>
          <w:tcPr>
            <w:tcW w:w="27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0"/>
                <w:lang w:val="en-US" w:eastAsia="zh-CN"/>
              </w:rPr>
            </w:pPr>
            <w:r>
              <w:rPr>
                <w:rFonts w:hint="eastAsia"/>
                <w:spacing w:val="-6"/>
                <w:w w:val="90"/>
                <w:sz w:val="21"/>
                <w:szCs w:val="20"/>
                <w:lang w:val="en-US" w:eastAsia="zh-CN"/>
              </w:rPr>
              <w:t>未提及</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6"/>
                <w:w w:val="90"/>
                <w:sz w:val="21"/>
                <w:szCs w:val="20"/>
                <w:lang w:val="en-US" w:eastAsia="zh-CN"/>
              </w:rPr>
            </w:pPr>
            <w:r>
              <w:rPr>
                <w:rFonts w:hint="eastAsia"/>
                <w:spacing w:val="-6"/>
                <w:w w:val="90"/>
                <w:sz w:val="21"/>
                <w:szCs w:val="20"/>
                <w:lang w:val="en-US" w:eastAsia="zh-CN"/>
              </w:rPr>
              <w:t>未提及</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r>
              <w:rPr>
                <w:rFonts w:hint="eastAsia"/>
                <w:spacing w:val="-6"/>
                <w:w w:val="90"/>
                <w:sz w:val="21"/>
                <w:szCs w:val="20"/>
                <w:lang w:eastAsia="zh-CN"/>
              </w:rPr>
              <w:t>危险废物贮存库暂存，委托新疆沃森环保科技有限责任公司处理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eastAsia="宋体"/>
                <w:spacing w:val="-6"/>
                <w:w w:val="90"/>
                <w:sz w:val="21"/>
                <w:szCs w:val="20"/>
                <w:lang w:val="en-US" w:eastAsia="zh-CN"/>
              </w:rPr>
            </w:pPr>
            <w:r>
              <w:rPr>
                <w:rFonts w:hint="eastAsia" w:ascii="Times New Roman" w:hAnsi="Times New Roman"/>
                <w:spacing w:val="-6"/>
                <w:w w:val="90"/>
                <w:sz w:val="21"/>
                <w:szCs w:val="20"/>
                <w:lang w:val="en-US" w:eastAsia="zh-CN"/>
              </w:rPr>
              <w:t>RO</w:t>
            </w:r>
            <w:r>
              <w:rPr>
                <w:rFonts w:hint="eastAsia"/>
                <w:spacing w:val="-6"/>
                <w:w w:val="90"/>
                <w:sz w:val="21"/>
                <w:szCs w:val="20"/>
                <w:lang w:val="en-US" w:eastAsia="zh-CN"/>
              </w:rPr>
              <w:t>废膜（</w:t>
            </w:r>
            <w:r>
              <w:rPr>
                <w:rFonts w:hint="eastAsia" w:ascii="Times New Roman" w:hAnsi="Times New Roman"/>
                <w:spacing w:val="-6"/>
                <w:w w:val="90"/>
                <w:sz w:val="21"/>
                <w:szCs w:val="20"/>
                <w:lang w:val="en-US" w:eastAsia="zh-CN"/>
              </w:rPr>
              <w:t>265</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101</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13</w:t>
            </w:r>
            <w:r>
              <w:rPr>
                <w:rFonts w:hint="eastAsia"/>
                <w:spacing w:val="-6"/>
                <w:w w:val="90"/>
                <w:sz w:val="21"/>
                <w:szCs w:val="20"/>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委托有资质的单位处理</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val="en-US" w:eastAsia="zh-CN"/>
              </w:rPr>
              <w:t>废</w:t>
            </w:r>
            <w:r>
              <w:rPr>
                <w:rFonts w:hint="eastAsia" w:ascii="Times New Roman" w:hAnsi="Times New Roman"/>
                <w:spacing w:val="-6"/>
                <w:w w:val="90"/>
                <w:sz w:val="21"/>
                <w:szCs w:val="20"/>
                <w:lang w:val="en-US" w:eastAsia="zh-CN"/>
              </w:rPr>
              <w:t>RO</w:t>
            </w:r>
            <w:r>
              <w:rPr>
                <w:rFonts w:hint="eastAsia"/>
                <w:spacing w:val="-6"/>
                <w:w w:val="90"/>
                <w:sz w:val="21"/>
                <w:szCs w:val="20"/>
                <w:lang w:val="en-US" w:eastAsia="zh-CN"/>
              </w:rPr>
              <w:t>膜委托有资质的单位处理，验收期间未产生</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val="en-US"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6"/>
                <w:w w:val="90"/>
                <w:sz w:val="21"/>
                <w:szCs w:val="20"/>
                <w:lang w:val="en-US" w:eastAsia="zh-CN"/>
              </w:rPr>
            </w:pPr>
            <w:r>
              <w:rPr>
                <w:rFonts w:hint="eastAsia"/>
                <w:spacing w:val="-6"/>
                <w:w w:val="90"/>
                <w:sz w:val="21"/>
                <w:szCs w:val="20"/>
                <w:lang w:eastAsia="zh-CN"/>
              </w:rPr>
              <w:t>更换后，委托新疆沃森环保科技有限责任公司处理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spacing w:val="-6"/>
                <w:w w:val="90"/>
                <w:sz w:val="21"/>
                <w:szCs w:val="20"/>
                <w:lang w:eastAsia="zh-CN"/>
              </w:rPr>
            </w:pPr>
            <w:r>
              <w:rPr>
                <w:rFonts w:hint="eastAsia"/>
                <w:spacing w:val="-6"/>
                <w:w w:val="90"/>
                <w:sz w:val="21"/>
                <w:szCs w:val="20"/>
                <w:lang w:eastAsia="zh-CN"/>
              </w:rPr>
              <w:t>公用辅助工程</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spacing w:val="-6"/>
                <w:w w:val="90"/>
                <w:kern w:val="2"/>
                <w:sz w:val="21"/>
                <w:szCs w:val="20"/>
                <w:lang w:val="en-US" w:eastAsia="zh-CN" w:bidi="ar-SA"/>
              </w:rPr>
            </w:pPr>
            <w:r>
              <w:rPr>
                <w:spacing w:val="-6"/>
                <w:w w:val="90"/>
                <w:sz w:val="21"/>
                <w:szCs w:val="20"/>
              </w:rPr>
              <w:t>生活垃圾</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pacing w:val="-6"/>
                <w:w w:val="90"/>
                <w:kern w:val="2"/>
                <w:sz w:val="21"/>
                <w:szCs w:val="20"/>
                <w:lang w:val="en-US" w:eastAsia="zh-CN" w:bidi="ar-SA"/>
              </w:rPr>
            </w:pPr>
            <w:r>
              <w:rPr>
                <w:spacing w:val="-6"/>
                <w:w w:val="90"/>
                <w:sz w:val="21"/>
                <w:szCs w:val="20"/>
              </w:rPr>
              <w:t>定点收集</w:t>
            </w:r>
            <w:r>
              <w:rPr>
                <w:rFonts w:hint="eastAsia"/>
                <w:spacing w:val="-6"/>
                <w:w w:val="90"/>
                <w:sz w:val="21"/>
                <w:szCs w:val="20"/>
                <w:lang w:eastAsia="zh-CN"/>
              </w:rPr>
              <w:t>，定期清运</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val="en-US" w:eastAsia="zh-CN"/>
              </w:rPr>
            </w:pPr>
            <w:r>
              <w:rPr>
                <w:rFonts w:hint="eastAsia"/>
                <w:spacing w:val="-6"/>
                <w:w w:val="90"/>
                <w:sz w:val="21"/>
                <w:szCs w:val="20"/>
                <w:lang w:val="en-US" w:eastAsia="zh-CN"/>
              </w:rPr>
              <w:t>由园区环卫清运</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同验收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spacing w:val="-6"/>
                <w:w w:val="90"/>
                <w:sz w:val="21"/>
                <w:szCs w:val="20"/>
              </w:rPr>
            </w:pPr>
          </w:p>
        </w:tc>
        <w:tc>
          <w:tcPr>
            <w:tcW w:w="7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spacing w:val="-6"/>
                <w:w w:val="90"/>
                <w:sz w:val="21"/>
                <w:szCs w:val="20"/>
                <w:lang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pacing w:val="-6"/>
                <w:w w:val="90"/>
                <w:sz w:val="21"/>
                <w:szCs w:val="20"/>
                <w:lang w:eastAsia="zh-CN"/>
              </w:rPr>
            </w:pPr>
            <w:r>
              <w:rPr>
                <w:rFonts w:hint="eastAsia"/>
                <w:spacing w:val="-6"/>
                <w:w w:val="90"/>
                <w:sz w:val="21"/>
                <w:szCs w:val="20"/>
                <w:lang w:eastAsia="zh-CN"/>
              </w:rPr>
              <w:t>废机油（</w:t>
            </w:r>
            <w:r>
              <w:rPr>
                <w:rFonts w:hint="eastAsia" w:ascii="Times New Roman" w:hAnsi="Times New Roman"/>
                <w:spacing w:val="-6"/>
                <w:w w:val="90"/>
                <w:sz w:val="21"/>
                <w:szCs w:val="20"/>
                <w:lang w:val="en-US" w:eastAsia="zh-CN"/>
              </w:rPr>
              <w:t>900</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214</w:t>
            </w:r>
            <w:r>
              <w:rPr>
                <w:rFonts w:hint="eastAsia"/>
                <w:spacing w:val="-6"/>
                <w:w w:val="90"/>
                <w:sz w:val="21"/>
                <w:szCs w:val="20"/>
                <w:lang w:val="en-US" w:eastAsia="zh-CN"/>
              </w:rPr>
              <w:t>-</w:t>
            </w:r>
            <w:r>
              <w:rPr>
                <w:rFonts w:hint="eastAsia" w:ascii="Times New Roman" w:hAnsi="Times New Roman"/>
                <w:spacing w:val="-6"/>
                <w:w w:val="90"/>
                <w:sz w:val="21"/>
                <w:szCs w:val="20"/>
                <w:lang w:val="en-US" w:eastAsia="zh-CN"/>
              </w:rPr>
              <w:t>08</w:t>
            </w:r>
            <w:r>
              <w:rPr>
                <w:rFonts w:hint="eastAsia"/>
                <w:spacing w:val="-6"/>
                <w:w w:val="90"/>
                <w:sz w:val="21"/>
                <w:szCs w:val="20"/>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6"/>
                <w:w w:val="90"/>
                <w:sz w:val="21"/>
                <w:szCs w:val="20"/>
                <w:lang w:val="en-US" w:eastAsia="zh-CN"/>
              </w:rPr>
            </w:pPr>
            <w:r>
              <w:rPr>
                <w:rFonts w:hint="eastAsia"/>
                <w:spacing w:val="-6"/>
                <w:w w:val="90"/>
                <w:sz w:val="21"/>
                <w:szCs w:val="20"/>
                <w:lang w:val="en-US" w:eastAsia="zh-CN"/>
              </w:rPr>
              <w:t>未提及</w:t>
            </w:r>
          </w:p>
        </w:tc>
        <w:tc>
          <w:tcPr>
            <w:tcW w:w="31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val="en-US" w:eastAsia="zh-CN"/>
              </w:rPr>
            </w:pPr>
            <w:r>
              <w:rPr>
                <w:rFonts w:hint="eastAsia"/>
                <w:spacing w:val="-6"/>
                <w:w w:val="90"/>
                <w:sz w:val="21"/>
                <w:szCs w:val="20"/>
                <w:lang w:eastAsia="zh-CN"/>
              </w:rPr>
              <w:t>危险废物贮存库暂存，定期委托处理，</w:t>
            </w:r>
            <w:r>
              <w:rPr>
                <w:rFonts w:hint="eastAsia"/>
                <w:spacing w:val="-6"/>
                <w:w w:val="90"/>
                <w:sz w:val="21"/>
                <w:szCs w:val="20"/>
                <w:lang w:val="en-US" w:eastAsia="zh-CN"/>
              </w:rPr>
              <w:t>验收期间未产生</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6"/>
                <w:w w:val="90"/>
                <w:sz w:val="21"/>
                <w:szCs w:val="20"/>
                <w:lang w:eastAsia="zh-CN"/>
              </w:rPr>
            </w:pPr>
            <w:r>
              <w:rPr>
                <w:rFonts w:hint="eastAsia"/>
                <w:spacing w:val="-6"/>
                <w:w w:val="90"/>
                <w:sz w:val="21"/>
                <w:szCs w:val="20"/>
                <w:lang w:eastAsia="zh-CN"/>
              </w:rPr>
              <w:t>已落实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6"/>
                <w:w w:val="90"/>
                <w:sz w:val="21"/>
                <w:szCs w:val="20"/>
                <w:lang w:eastAsia="zh-CN"/>
              </w:rPr>
            </w:pPr>
            <w:r>
              <w:rPr>
                <w:rFonts w:hint="eastAsia"/>
                <w:spacing w:val="-6"/>
                <w:w w:val="90"/>
                <w:sz w:val="21"/>
                <w:szCs w:val="20"/>
                <w:lang w:eastAsia="zh-CN"/>
              </w:rPr>
              <w:t>桶装暂存于危险废物贮存库，委托新疆沃森环保科技有限责任公司处理</w:t>
            </w:r>
          </w:p>
        </w:tc>
      </w:tr>
    </w:tbl>
    <w:p>
      <w:pPr>
        <w:rPr>
          <w:rFonts w:hint="eastAsia"/>
          <w:lang w:val="en-US" w:eastAsia="zh-CN"/>
        </w:rPr>
      </w:pPr>
      <w:r>
        <w:rPr>
          <w:rFonts w:hint="eastAsia" w:ascii="Times New Roman" w:hAnsi="Times New Roman"/>
          <w:lang w:val="en-US" w:eastAsia="zh-CN"/>
        </w:rPr>
        <w:t>2021</w:t>
      </w:r>
      <w:r>
        <w:rPr>
          <w:rFonts w:hint="eastAsia"/>
          <w:lang w:val="en-US" w:eastAsia="zh-CN"/>
        </w:rPr>
        <w:t>年，建设单位开展了凯赛（乌苏）生物材料有限公司年产</w:t>
      </w:r>
      <w:r>
        <w:rPr>
          <w:rFonts w:hint="eastAsia" w:ascii="Times New Roman" w:hAnsi="Times New Roman"/>
          <w:lang w:val="en-US" w:eastAsia="zh-CN"/>
        </w:rPr>
        <w:t>10</w:t>
      </w:r>
      <w:r>
        <w:rPr>
          <w:rFonts w:hint="eastAsia"/>
          <w:lang w:val="en-US" w:eastAsia="zh-CN"/>
        </w:rPr>
        <w:t>万吨生物基聚酰胺项目环境影响后评价，并取得了新疆维吾尔自治区生态环境厅《关于凯赛（乌苏）生物材料有限公司年产</w:t>
      </w:r>
      <w:r>
        <w:rPr>
          <w:rFonts w:hint="eastAsia" w:ascii="Times New Roman" w:hAnsi="Times New Roman"/>
          <w:lang w:val="en-US" w:eastAsia="zh-CN"/>
        </w:rPr>
        <w:t>10</w:t>
      </w:r>
      <w:r>
        <w:rPr>
          <w:rFonts w:hint="eastAsia"/>
          <w:lang w:val="en-US" w:eastAsia="zh-CN"/>
        </w:rPr>
        <w:t>万吨生物基聚酰胺项目环境影响后评价报告书备案意见的函》（新环环评函[</w:t>
      </w:r>
      <w:r>
        <w:rPr>
          <w:rFonts w:hint="eastAsia" w:ascii="Times New Roman" w:hAnsi="Times New Roman"/>
          <w:lang w:val="en-US" w:eastAsia="zh-CN"/>
        </w:rPr>
        <w:t>2021</w:t>
      </w:r>
      <w:r>
        <w:rPr>
          <w:rFonts w:hint="eastAsia"/>
          <w:lang w:val="en-US" w:eastAsia="zh-CN"/>
        </w:rPr>
        <w:t>]</w:t>
      </w:r>
      <w:r>
        <w:rPr>
          <w:rFonts w:hint="eastAsia" w:ascii="Times New Roman" w:hAnsi="Times New Roman"/>
          <w:lang w:val="en-US" w:eastAsia="zh-CN"/>
        </w:rPr>
        <w:t>1350</w:t>
      </w:r>
      <w:r>
        <w:rPr>
          <w:rFonts w:hint="eastAsia"/>
          <w:lang w:val="en-US" w:eastAsia="zh-CN"/>
        </w:rPr>
        <w:t>号），根据后评价分析，厂内各项污染物措施符合环评批复文件的要求。</w:t>
      </w:r>
    </w:p>
    <w:p>
      <w:pPr>
        <w:bidi w:val="0"/>
        <w:rPr>
          <w:rFonts w:hint="eastAsia"/>
          <w:lang w:val="en-US" w:eastAsia="zh-CN"/>
        </w:rPr>
        <w:sectPr>
          <w:pgSz w:w="16838" w:h="11906" w:orient="landscape"/>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根据与建设单位核实，厂内已完成了后评价提出的导热油炉煤改气改造（暂未验收），对于危化品库房设置了空调等控温设施，能确保库内温度、湿度适宜，危化品库房设立了应急物资存放点。现有工程已完成了后评价期间提出的环境风险隐患整改措施。</w:t>
      </w:r>
    </w:p>
    <w:p>
      <w:pPr>
        <w:pStyle w:val="5"/>
        <w:bidi w:val="0"/>
        <w:rPr>
          <w:rFonts w:hint="default"/>
          <w:lang w:val="en-US" w:eastAsia="zh-CN"/>
        </w:rPr>
      </w:pP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2</w:t>
      </w:r>
      <w:r>
        <w:rPr>
          <w:rFonts w:hint="eastAsia"/>
          <w:lang w:val="en-US" w:eastAsia="zh-CN"/>
        </w:rPr>
        <w:t>补充增加的相关措施</w:t>
      </w:r>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）导热油炉煤改气工程</w:t>
      </w:r>
    </w:p>
    <w:p>
      <w:pPr>
        <w:bidi w:val="0"/>
        <w:rPr>
          <w:rFonts w:hint="eastAsia"/>
          <w:lang w:val="en-US" w:eastAsia="zh-CN"/>
        </w:rPr>
      </w:pPr>
      <w:r>
        <w:rPr>
          <w:rFonts w:hint="eastAsia" w:ascii="Times New Roman" w:hAnsi="Times New Roman"/>
          <w:lang w:val="en-US" w:eastAsia="zh-CN"/>
        </w:rPr>
        <w:t>2023</w:t>
      </w:r>
      <w:r>
        <w:rPr>
          <w:rFonts w:hint="eastAsia"/>
          <w:lang w:val="en-US" w:eastAsia="zh-CN"/>
        </w:rPr>
        <w:t>年通过煤改气，将厂内原有</w:t>
      </w:r>
      <w:r>
        <w:rPr>
          <w:rFonts w:hint="eastAsia" w:ascii="Times New Roman" w:hAnsi="Times New Roman"/>
          <w:lang w:val="en-US" w:eastAsia="zh-CN"/>
        </w:rPr>
        <w:t>3</w:t>
      </w:r>
      <w:r>
        <w:rPr>
          <w:rFonts w:hint="eastAsia"/>
          <w:lang w:val="en-US" w:eastAsia="zh-CN"/>
        </w:rPr>
        <w:t>台</w:t>
      </w:r>
      <w:r>
        <w:rPr>
          <w:rFonts w:hint="eastAsia" w:ascii="Times New Roman" w:hAnsi="Times New Roman"/>
          <w:lang w:val="en-US" w:eastAsia="zh-CN"/>
        </w:rPr>
        <w:t>600</w:t>
      </w:r>
      <w:r>
        <w:rPr>
          <w:rFonts w:hint="eastAsia"/>
          <w:lang w:val="en-US" w:eastAsia="zh-CN"/>
        </w:rPr>
        <w:t>万大卡燃煤导热油炉更换为</w:t>
      </w:r>
      <w:r>
        <w:rPr>
          <w:rFonts w:hint="eastAsia" w:ascii="Times New Roman" w:hAnsi="Times New Roman"/>
          <w:lang w:val="en-US" w:eastAsia="zh-CN"/>
        </w:rPr>
        <w:t>2</w:t>
      </w:r>
      <w:r>
        <w:rPr>
          <w:rFonts w:hint="eastAsia"/>
          <w:lang w:val="en-US" w:eastAsia="zh-CN"/>
        </w:rPr>
        <w:t>台</w:t>
      </w:r>
      <w:r>
        <w:rPr>
          <w:rFonts w:hint="eastAsia" w:ascii="Times New Roman" w:hAnsi="Times New Roman"/>
          <w:lang w:val="en-US" w:eastAsia="zh-CN"/>
        </w:rPr>
        <w:t>8100kW</w:t>
      </w:r>
      <w:r>
        <w:rPr>
          <w:rFonts w:hint="eastAsia"/>
          <w:lang w:val="en-US" w:eastAsia="zh-CN"/>
        </w:rPr>
        <w:t>燃气导热油炉并配套余热蒸汽发生器，优化了厂内供热系统的同时进一步减少了厂内污染物排放。</w:t>
      </w:r>
    </w:p>
    <w:p>
      <w:pPr>
        <w:numPr>
          <w:ilvl w:val="0"/>
          <w:numId w:val="6"/>
        </w:numPr>
        <w:bidi w:val="0"/>
        <w:rPr>
          <w:rFonts w:hint="eastAsia"/>
          <w:lang w:val="en-US" w:eastAsia="zh-CN"/>
        </w:rPr>
      </w:pPr>
      <w:r>
        <w:rPr>
          <w:rFonts w:hint="eastAsia"/>
          <w:lang w:val="en-US" w:eastAsia="zh-CN"/>
        </w:rPr>
        <w:t>污水处理站深度处理膜改造工程</w:t>
      </w:r>
    </w:p>
    <w:p>
      <w:pPr>
        <w:bidi w:val="0"/>
        <w:rPr>
          <w:rFonts w:hint="eastAsia"/>
          <w:lang w:val="en-US" w:eastAsia="zh-CN"/>
        </w:rPr>
      </w:pPr>
      <w:r>
        <w:rPr>
          <w:rFonts w:hint="eastAsia" w:ascii="Times New Roman" w:hAnsi="Times New Roman"/>
          <w:lang w:val="en-US" w:eastAsia="zh-CN"/>
        </w:rPr>
        <w:t>2022</w:t>
      </w:r>
      <w:r>
        <w:rPr>
          <w:rFonts w:hint="eastAsia"/>
          <w:lang w:val="en-US" w:eastAsia="zh-CN"/>
        </w:rPr>
        <w:t>年，建设单位开展了污水站深度处理膜改造工程，该工程是考虑到</w:t>
      </w:r>
      <w:r>
        <w:rPr>
          <w:rFonts w:hint="eastAsia" w:ascii="Times New Roman" w:hAnsi="Times New Roman"/>
          <w:lang w:val="en-US" w:eastAsia="zh-CN"/>
        </w:rPr>
        <w:t>2022</w:t>
      </w:r>
      <w:r>
        <w:rPr>
          <w:rFonts w:hint="eastAsia"/>
          <w:lang w:val="en-US" w:eastAsia="zh-CN"/>
        </w:rPr>
        <w:t>年污水站浸没式膜使用年限已达到设计年限，为了满足污水处理的需要，对现有</w:t>
      </w:r>
      <w:r>
        <w:rPr>
          <w:rFonts w:hint="eastAsia" w:ascii="Times New Roman" w:hAnsi="Times New Roman"/>
          <w:lang w:val="en-US" w:eastAsia="zh-CN"/>
        </w:rPr>
        <w:t>MBR</w:t>
      </w:r>
      <w:r>
        <w:rPr>
          <w:rFonts w:hint="eastAsia"/>
          <w:lang w:val="en-US" w:eastAsia="zh-CN"/>
        </w:rPr>
        <w:t>膜系统进行改造，提升其处理能力，目前已改造完毕。</w:t>
      </w:r>
    </w:p>
    <w:p>
      <w:pPr>
        <w:bidi w:val="0"/>
        <w:rPr>
          <w:rFonts w:hint="default"/>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）危险化学品库建设</w:t>
      </w:r>
    </w:p>
    <w:p>
      <w:pPr>
        <w:bidi w:val="0"/>
        <w:rPr>
          <w:rFonts w:hint="eastAsia"/>
          <w:lang w:val="en-US" w:eastAsia="zh-CN"/>
        </w:rPr>
      </w:pPr>
      <w:r>
        <w:rPr>
          <w:rFonts w:hint="eastAsia"/>
          <w:lang w:val="en-US" w:eastAsia="zh-CN"/>
        </w:rPr>
        <w:t xml:space="preserve"> </w:t>
      </w:r>
      <w:r>
        <w:rPr>
          <w:rFonts w:hint="eastAsia" w:ascii="Times New Roman" w:hAnsi="Times New Roman"/>
          <w:lang w:val="en-US" w:eastAsia="zh-CN"/>
        </w:rPr>
        <w:t>2022</w:t>
      </w:r>
      <w:r>
        <w:rPr>
          <w:rFonts w:hint="eastAsia"/>
          <w:lang w:val="en-US" w:eastAsia="zh-CN"/>
        </w:rPr>
        <w:t>年，建设单位在厂区西南角设置了一座占地</w:t>
      </w:r>
      <w:r>
        <w:rPr>
          <w:rFonts w:hint="eastAsia" w:ascii="Times New Roman" w:hAnsi="Times New Roman"/>
          <w:lang w:val="en-US" w:eastAsia="zh-CN"/>
        </w:rPr>
        <w:t>2000</w:t>
      </w:r>
      <w:r>
        <w:rPr>
          <w:rFonts w:hint="eastAsia"/>
          <w:lang w:val="en-US" w:eastAsia="zh-CN"/>
        </w:rPr>
        <w:t>㎡的危险化学品库，用于存放辅助材料，目前已建成投运。</w:t>
      </w:r>
    </w:p>
    <w:p>
      <w:pPr>
        <w:bidi w:val="0"/>
        <w:rPr>
          <w:rFonts w:hint="eastAsia"/>
          <w:lang w:val="en-US" w:eastAsia="zh-CN"/>
        </w:rPr>
      </w:pPr>
      <w:r>
        <w:rPr>
          <w:rFonts w:hint="eastAsia"/>
          <w:lang w:val="en-US" w:eastAsia="zh-CN"/>
        </w:rPr>
        <w:t>（</w:t>
      </w:r>
      <w:r>
        <w:rPr>
          <w:rFonts w:hint="eastAsia" w:ascii="Times New Roman" w:hAnsi="Times New Roman"/>
          <w:lang w:val="en-US" w:eastAsia="zh-CN"/>
        </w:rPr>
        <w:t>4</w:t>
      </w:r>
      <w:r>
        <w:rPr>
          <w:rFonts w:hint="eastAsia"/>
          <w:lang w:val="en-US" w:eastAsia="zh-CN"/>
        </w:rPr>
        <w:t>）现有工程取消废絮凝剂煅烧工艺后，</w:t>
      </w:r>
      <w:r>
        <w:rPr>
          <w:rFonts w:hint="eastAsia"/>
          <w:color w:val="auto"/>
          <w:lang w:val="en-US" w:eastAsia="zh-CN"/>
        </w:rPr>
        <w:t>废絮凝剂通过干燥设施干燥后厂区暂存外运填埋。发酵罐罐底残渣（</w:t>
      </w:r>
      <w:r>
        <w:rPr>
          <w:rFonts w:hint="eastAsia" w:ascii="Times New Roman" w:hAnsi="Times New Roman"/>
          <w:color w:val="auto"/>
          <w:lang w:val="en-US" w:eastAsia="zh-CN"/>
        </w:rPr>
        <w:t>DN</w:t>
      </w:r>
      <w:r>
        <w:rPr>
          <w:rFonts w:hint="eastAsia"/>
          <w:color w:val="auto"/>
          <w:lang w:val="en-US" w:eastAsia="zh-CN"/>
        </w:rPr>
        <w:t>溶液生产菌体污泥）增设干燥车间，增加一套板框压滤机和五套废渣干燥处理装置，板框压滤机上方设置废气收集口+二级水洗措施，增加滤渣处理装置配套</w:t>
      </w:r>
      <w:r>
        <w:rPr>
          <w:rFonts w:hint="eastAsia" w:ascii="Times New Roman" w:hAnsi="Times New Roman"/>
          <w:color w:val="auto"/>
          <w:lang w:val="en-US" w:eastAsia="zh-CN"/>
        </w:rPr>
        <w:t>30m</w:t>
      </w:r>
      <w:r>
        <w:rPr>
          <w:rFonts w:hint="eastAsia"/>
          <w:color w:val="auto"/>
          <w:lang w:val="en-US" w:eastAsia="zh-CN"/>
        </w:rPr>
        <w:t>高排气筒，将无组织废气变有组织废气处理后排放，该工程已于</w:t>
      </w:r>
      <w:r>
        <w:rPr>
          <w:rFonts w:hint="eastAsia" w:ascii="Times New Roman" w:hAnsi="Times New Roman"/>
          <w:color w:val="auto"/>
          <w:lang w:val="en-US" w:eastAsia="zh-CN"/>
        </w:rPr>
        <w:t>2022</w:t>
      </w:r>
      <w:r>
        <w:rPr>
          <w:rFonts w:hint="eastAsia"/>
          <w:color w:val="auto"/>
          <w:lang w:val="en-US" w:eastAsia="zh-CN"/>
        </w:rPr>
        <w:t>年建成。</w:t>
      </w:r>
      <w:r>
        <w:rPr>
          <w:rFonts w:hint="eastAsia" w:ascii="Times New Roman" w:hAnsi="Times New Roman"/>
          <w:color w:val="auto"/>
          <w:lang w:val="en-US" w:eastAsia="zh-CN"/>
        </w:rPr>
        <w:t>DN</w:t>
      </w:r>
      <w:r>
        <w:rPr>
          <w:rFonts w:hint="eastAsia"/>
          <w:color w:val="auto"/>
          <w:lang w:val="en-US" w:eastAsia="zh-CN"/>
        </w:rPr>
        <w:t>溶液生产菌体污泥与废絮凝剂干燥处理后，在</w:t>
      </w:r>
      <w:r>
        <w:rPr>
          <w:rFonts w:hint="eastAsia" w:ascii="Times New Roman" w:hAnsi="Times New Roman"/>
          <w:color w:val="auto"/>
          <w:lang w:val="en-US" w:eastAsia="zh-CN"/>
        </w:rPr>
        <w:t>2700</w:t>
      </w:r>
      <w:r>
        <w:rPr>
          <w:rFonts w:hint="eastAsia"/>
          <w:color w:val="auto"/>
          <w:lang w:val="en-US" w:eastAsia="zh-CN"/>
        </w:rPr>
        <w:t>㎡一般固废暂存库暂存，定期清运至乌苏工业园区一般工业固废填埋场。</w:t>
      </w:r>
    </w:p>
    <w:p>
      <w:pPr>
        <w:pStyle w:val="4"/>
        <w:bidi w:val="0"/>
        <w:rPr>
          <w:rFonts w:hint="default"/>
          <w:lang w:val="en-US" w:eastAsia="zh-CN"/>
        </w:rPr>
      </w:pPr>
      <w:bookmarkStart w:id="107" w:name="_Toc31527"/>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6</w:t>
      </w:r>
      <w:r>
        <w:rPr>
          <w:rFonts w:hint="eastAsia"/>
          <w:lang w:val="en-US" w:eastAsia="zh-CN"/>
        </w:rPr>
        <w:t>现有工程主要环境问题</w:t>
      </w:r>
      <w:bookmarkEnd w:id="107"/>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）现有工程动力锅炉在线监测统计报表显示，</w:t>
      </w:r>
      <w:r>
        <w:rPr>
          <w:rFonts w:hint="eastAsia" w:ascii="Times New Roman" w:hAnsi="Times New Roman"/>
          <w:lang w:val="en-US" w:eastAsia="zh-CN"/>
        </w:rPr>
        <w:t>2022</w:t>
      </w:r>
      <w:r>
        <w:rPr>
          <w:rFonts w:hint="eastAsia"/>
          <w:lang w:val="en-US" w:eastAsia="zh-CN"/>
        </w:rPr>
        <w:t>年厂内动力锅炉烟气排口在线监测统计数据中，个别时段出现排放浓度超标现象。</w:t>
      </w:r>
    </w:p>
    <w:p>
      <w:pPr>
        <w:bidi w:val="0"/>
        <w:rPr>
          <w:rFonts w:hint="default"/>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）根据现有工程污水总排放口在线监测统计报表显示，</w:t>
      </w:r>
      <w:r>
        <w:rPr>
          <w:rFonts w:hint="eastAsia" w:ascii="Times New Roman" w:hAnsi="Times New Roman"/>
          <w:lang w:val="en-US" w:eastAsia="zh-CN"/>
        </w:rPr>
        <w:t>2022</w:t>
      </w:r>
      <w:r>
        <w:rPr>
          <w:rFonts w:hint="eastAsia"/>
          <w:lang w:val="en-US" w:eastAsia="zh-CN"/>
        </w:rPr>
        <w:t>年中，总氮在</w:t>
      </w:r>
      <w:r>
        <w:rPr>
          <w:rFonts w:hint="eastAsia" w:ascii="Times New Roman" w:hAnsi="Times New Roman"/>
          <w:lang w:val="en-US" w:eastAsia="zh-CN"/>
        </w:rPr>
        <w:t>6</w:t>
      </w:r>
      <w:r>
        <w:rPr>
          <w:rFonts w:hint="eastAsia"/>
          <w:lang w:val="en-US" w:eastAsia="zh-CN"/>
        </w:rPr>
        <w:t>月、</w:t>
      </w:r>
      <w:r>
        <w:rPr>
          <w:rFonts w:hint="eastAsia" w:ascii="Times New Roman" w:hAnsi="Times New Roman"/>
          <w:lang w:val="en-US" w:eastAsia="zh-CN"/>
        </w:rPr>
        <w:t>7</w:t>
      </w:r>
      <w:r>
        <w:rPr>
          <w:rFonts w:hint="eastAsia"/>
          <w:lang w:val="en-US" w:eastAsia="zh-CN"/>
        </w:rPr>
        <w:t>月出现超标现象。</w:t>
      </w:r>
    </w:p>
    <w:p>
      <w:pPr>
        <w:bidi w:val="0"/>
        <w:rPr>
          <w:rFonts w:hint="default"/>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）现有工程</w:t>
      </w:r>
      <w:r>
        <w:rPr>
          <w:rFonts w:hint="eastAsia" w:ascii="Times New Roman" w:hAnsi="Times New Roman"/>
          <w:lang w:val="en-US" w:eastAsia="zh-CN"/>
        </w:rPr>
        <w:t>PA</w:t>
      </w:r>
      <w:r>
        <w:rPr>
          <w:rFonts w:hint="eastAsia"/>
          <w:lang w:val="en-US" w:eastAsia="zh-CN"/>
        </w:rPr>
        <w:t>聚合车间采取连续聚合工艺生产聚酰胺，车间内设置有反应器、聚合器、闪蒸器、直纺装置等，由于原料中含未反应完全的氨且物料加热至</w:t>
      </w:r>
      <w:r>
        <w:rPr>
          <w:rFonts w:hint="eastAsia" w:ascii="Times New Roman" w:hAnsi="Times New Roman"/>
          <w:lang w:val="en-US" w:eastAsia="zh-CN"/>
        </w:rPr>
        <w:t>250</w:t>
      </w:r>
      <w:r>
        <w:rPr>
          <w:rFonts w:hint="eastAsia"/>
          <w:lang w:val="en-US" w:eastAsia="zh-CN"/>
        </w:rPr>
        <w:t>℃左右，因此车间内主要废气污染物为</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和</w:t>
      </w:r>
      <w:r>
        <w:rPr>
          <w:rFonts w:hint="eastAsia" w:ascii="Times New Roman" w:hAnsi="Times New Roman"/>
          <w:lang w:val="en-US" w:eastAsia="zh-CN"/>
        </w:rPr>
        <w:t>NMHC</w:t>
      </w:r>
      <w:r>
        <w:rPr>
          <w:rFonts w:hint="eastAsia"/>
          <w:lang w:val="en-US" w:eastAsia="zh-CN"/>
        </w:rPr>
        <w:t>，建设单位设置风机收集</w:t>
      </w:r>
      <w:r>
        <w:rPr>
          <w:rFonts w:hint="eastAsia" w:ascii="Times New Roman" w:hAnsi="Times New Roman"/>
          <w:lang w:val="en-US" w:eastAsia="zh-CN"/>
        </w:rPr>
        <w:t>PA</w:t>
      </w:r>
      <w:r>
        <w:rPr>
          <w:rFonts w:hint="eastAsia"/>
          <w:lang w:val="en-US" w:eastAsia="zh-CN"/>
        </w:rPr>
        <w:t>聚合车间内无组织废气，采用二级水膜+碱喷淋处理后，通过一根</w:t>
      </w:r>
      <w:r>
        <w:rPr>
          <w:rFonts w:hint="eastAsia" w:ascii="Times New Roman" w:hAnsi="Times New Roman"/>
          <w:lang w:val="en-US" w:eastAsia="zh-CN"/>
        </w:rPr>
        <w:t>40m</w:t>
      </w:r>
      <w:r>
        <w:rPr>
          <w:rFonts w:hint="eastAsia"/>
          <w:lang w:val="en-US" w:eastAsia="zh-CN"/>
        </w:rPr>
        <w:t>高排气筒排放，该废气污染源排口未纳入排污许可管理且没有设置执行的排放标准。现有工程取消了絮凝剂和菌体污泥煅烧工艺后，为了处理絮凝剂和菌体污泥，厂内设置了干燥车间负责该部分固废的干燥处理，絮凝剂与菌体污泥中含未反应的氨，因此干燥车间存在较大氨味，建设单位在干燥车间压滤机上部设置设置集气罩，采用二级水喷淋处理后，废气通过</w:t>
      </w:r>
      <w:r>
        <w:rPr>
          <w:rFonts w:hint="eastAsia" w:ascii="Times New Roman" w:hAnsi="Times New Roman"/>
          <w:lang w:val="en-US" w:eastAsia="zh-CN"/>
        </w:rPr>
        <w:t>30m</w:t>
      </w:r>
      <w:r>
        <w:rPr>
          <w:rFonts w:hint="eastAsia"/>
          <w:lang w:val="en-US" w:eastAsia="zh-CN"/>
        </w:rPr>
        <w:t>高排气筒排放。该废气污染源排口未纳入排污许可管理且没有设置执行的排放标准。</w:t>
      </w:r>
    </w:p>
    <w:p>
      <w:pPr>
        <w:pStyle w:val="4"/>
        <w:bidi w:val="0"/>
        <w:rPr>
          <w:rFonts w:hint="default"/>
          <w:lang w:val="en-US" w:eastAsia="zh-CN"/>
        </w:rPr>
      </w:pPr>
      <w:bookmarkStart w:id="108" w:name="_Toc31366"/>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7</w:t>
      </w:r>
      <w:r>
        <w:rPr>
          <w:rFonts w:hint="eastAsia"/>
          <w:lang w:val="en-US" w:eastAsia="zh-CN"/>
        </w:rPr>
        <w:t>“以新代老”环保措施</w:t>
      </w:r>
      <w:bookmarkEnd w:id="108"/>
    </w:p>
    <w:p>
      <w:pPr>
        <w:numPr>
          <w:ilvl w:val="0"/>
          <w:numId w:val="7"/>
        </w:numPr>
        <w:bidi w:val="0"/>
        <w:rPr>
          <w:rFonts w:hint="eastAsia"/>
          <w:lang w:eastAsia="zh-CN"/>
        </w:rPr>
      </w:pPr>
      <w:r>
        <w:rPr>
          <w:rFonts w:hint="eastAsia"/>
          <w:lang w:eastAsia="zh-CN"/>
        </w:rPr>
        <w:t>根据执行报告，动力锅炉出现锅炉烟气污染物排放浓度超标现象主要原因包括：①启停炉，负荷不稳定；②脱硫塔</w:t>
      </w:r>
      <w:r>
        <w:rPr>
          <w:rFonts w:hint="eastAsia" w:ascii="Times New Roman" w:hAnsi="Times New Roman"/>
          <w:lang w:val="en-US" w:eastAsia="zh-CN"/>
        </w:rPr>
        <w:t>pH</w:t>
      </w:r>
      <w:r>
        <w:rPr>
          <w:rFonts w:hint="eastAsia"/>
          <w:lang w:val="en-US" w:eastAsia="zh-CN"/>
        </w:rPr>
        <w:t>仪表卡死，无法判断</w:t>
      </w:r>
      <w:r>
        <w:rPr>
          <w:rFonts w:hint="eastAsia" w:ascii="Times New Roman" w:hAnsi="Times New Roman"/>
          <w:lang w:val="en-US" w:eastAsia="zh-CN"/>
        </w:rPr>
        <w:t>pH</w:t>
      </w:r>
      <w:r>
        <w:rPr>
          <w:rFonts w:hint="eastAsia"/>
          <w:lang w:val="en-US" w:eastAsia="zh-CN"/>
        </w:rPr>
        <w:t>值，导致氨水加多或加少，氨逃逸造成颗粒物超标，氨加少导致</w:t>
      </w:r>
      <w:r>
        <w:rPr>
          <w:rFonts w:hint="eastAsia" w:ascii="Times New Roman" w:hAnsi="Times New Roman"/>
          <w:lang w:val="en-US" w:eastAsia="zh-CN"/>
        </w:rPr>
        <w:t>SO</w:t>
      </w:r>
      <w:r>
        <w:rPr>
          <w:rFonts w:hint="eastAsia" w:ascii="Times New Roman" w:hAnsi="Times New Roman"/>
          <w:vertAlign w:val="subscript"/>
          <w:lang w:val="en-US" w:eastAsia="zh-CN"/>
        </w:rPr>
        <w:t>2</w:t>
      </w:r>
      <w:r>
        <w:rPr>
          <w:rFonts w:hint="eastAsia"/>
          <w:lang w:val="en-US" w:eastAsia="zh-CN"/>
        </w:rPr>
        <w:t>超标；③</w:t>
      </w:r>
      <w:r>
        <w:rPr>
          <w:rFonts w:hint="eastAsia"/>
          <w:lang w:eastAsia="zh-CN"/>
        </w:rPr>
        <w:t>粉尘仪反吹时进入异物导致超标；④更换采样探头滤芯时含氧量高导致超标；⑤炉膛内结焦，启停转换炉时导致超标。</w:t>
      </w:r>
    </w:p>
    <w:p>
      <w:pPr>
        <w:bidi w:val="0"/>
        <w:rPr>
          <w:rFonts w:hint="eastAsia"/>
          <w:lang w:eastAsia="zh-CN"/>
        </w:rPr>
      </w:pPr>
      <w:r>
        <w:rPr>
          <w:rFonts w:hint="eastAsia"/>
          <w:lang w:eastAsia="zh-CN"/>
        </w:rPr>
        <w:t>根据以上动力锅炉烟气污染物浓度超标原因，本次评价提出应加强动力锅炉的管理和人员培训，做到精细化操作，防止锅炉烟气出现污染物排放浓度超标现象。</w:t>
      </w:r>
    </w:p>
    <w:p>
      <w:pPr>
        <w:bidi w:val="0"/>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）针对污水站存在总氮在个别时段存在超标的现象，建设单位应加强污水站管理和设备维护，及时更换滤膜和相关药剂。</w:t>
      </w:r>
    </w:p>
    <w:p>
      <w:pPr>
        <w:bidi w:val="0"/>
        <w:rPr>
          <w:rFonts w:hint="default"/>
          <w:lang w:val="en-US" w:eastAsia="zh-CN"/>
        </w:rPr>
      </w:pPr>
      <w:r>
        <w:rPr>
          <w:rFonts w:hint="eastAsia"/>
          <w:lang w:eastAsia="zh-CN"/>
        </w:rPr>
        <w:t>（</w:t>
      </w:r>
      <w:r>
        <w:rPr>
          <w:rFonts w:hint="eastAsia" w:ascii="Times New Roman" w:hAnsi="Times New Roman"/>
          <w:lang w:val="en-US" w:eastAsia="zh-CN"/>
        </w:rPr>
        <w:t>3</w:t>
      </w:r>
      <w:r>
        <w:rPr>
          <w:rFonts w:hint="eastAsia"/>
          <w:lang w:eastAsia="zh-CN"/>
        </w:rPr>
        <w:t>）根据《排污许可证申请与核发技术规范</w:t>
      </w:r>
      <w:r>
        <w:rPr>
          <w:rFonts w:hint="eastAsia"/>
          <w:lang w:val="en-US" w:eastAsia="zh-CN"/>
        </w:rPr>
        <w:t xml:space="preserve"> 化学纤维制造业</w:t>
      </w:r>
      <w:r>
        <w:rPr>
          <w:rFonts w:hint="eastAsia"/>
          <w:lang w:eastAsia="zh-CN"/>
        </w:rPr>
        <w:t>》（</w:t>
      </w:r>
      <w:r>
        <w:rPr>
          <w:rFonts w:hint="eastAsia" w:ascii="Times New Roman" w:hAnsi="Times New Roman"/>
          <w:lang w:val="en-US" w:eastAsia="zh-CN"/>
        </w:rPr>
        <w:t>HJ1102</w:t>
      </w:r>
      <w:r>
        <w:rPr>
          <w:rFonts w:hint="eastAsia"/>
          <w:lang w:val="en-US" w:eastAsia="zh-CN"/>
        </w:rPr>
        <w:t>-</w:t>
      </w:r>
      <w:r>
        <w:rPr>
          <w:rFonts w:hint="eastAsia" w:ascii="Times New Roman" w:hAnsi="Times New Roman"/>
          <w:lang w:val="en-US" w:eastAsia="zh-CN"/>
        </w:rPr>
        <w:t>2020</w:t>
      </w:r>
      <w:r>
        <w:rPr>
          <w:rFonts w:hint="eastAsia"/>
          <w:lang w:eastAsia="zh-CN"/>
        </w:rPr>
        <w:t>）表</w:t>
      </w:r>
      <w:r>
        <w:rPr>
          <w:rFonts w:hint="eastAsia" w:ascii="Times New Roman" w:hAnsi="Times New Roman"/>
          <w:lang w:val="en-US" w:eastAsia="zh-CN"/>
        </w:rPr>
        <w:t>21</w:t>
      </w:r>
      <w:r>
        <w:rPr>
          <w:rFonts w:hint="eastAsia"/>
          <w:lang w:val="en-US" w:eastAsia="zh-CN"/>
        </w:rPr>
        <w:t>其他合成纤维排污单位废气产污环节、污染控制项目表。</w:t>
      </w:r>
      <w:r>
        <w:rPr>
          <w:rFonts w:hint="eastAsia" w:ascii="Times New Roman" w:hAnsi="Times New Roman"/>
          <w:lang w:val="en-US" w:eastAsia="zh-CN"/>
        </w:rPr>
        <w:t>PA</w:t>
      </w:r>
      <w:r>
        <w:rPr>
          <w:rFonts w:hint="eastAsia"/>
          <w:lang w:val="en-US" w:eastAsia="zh-CN"/>
        </w:rPr>
        <w:t>聚合车间工艺废气中主要污染物</w:t>
      </w:r>
      <w:r>
        <w:rPr>
          <w:rFonts w:hint="eastAsia" w:ascii="Times New Roman" w:hAnsi="Times New Roman"/>
          <w:lang w:val="en-US" w:eastAsia="zh-CN"/>
        </w:rPr>
        <w:t>NMHC</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执行《合成树脂工业污染物排放标准》（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5</w:t>
      </w:r>
      <w:r>
        <w:rPr>
          <w:rFonts w:hint="eastAsia"/>
          <w:lang w:val="en-US" w:eastAsia="zh-CN"/>
        </w:rPr>
        <w:t>大气污染物特别排放限值（</w:t>
      </w:r>
      <w:r>
        <w:rPr>
          <w:rFonts w:hint="eastAsia" w:ascii="Times New Roman" w:hAnsi="Times New Roman"/>
          <w:lang w:val="en-US" w:eastAsia="zh-CN"/>
        </w:rPr>
        <w:t>NMHC</w:t>
      </w:r>
      <w:r>
        <w:rPr>
          <w:rFonts w:hint="eastAsia"/>
          <w:lang w:val="en-US" w:eastAsia="zh-CN"/>
        </w:rPr>
        <w:t>：</w:t>
      </w:r>
      <w:r>
        <w:rPr>
          <w:rFonts w:hint="eastAsia" w:ascii="Times New Roman" w:hAnsi="Times New Roman"/>
          <w:lang w:val="en-US" w:eastAsia="zh-CN"/>
        </w:rPr>
        <w:t>60mg</w:t>
      </w:r>
      <w:r>
        <w:rPr>
          <w:rFonts w:hint="eastAsia"/>
          <w:lang w:val="en-US" w:eastAsia="zh-CN"/>
        </w:rPr>
        <w:t>/</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20mg</w:t>
      </w:r>
      <w:r>
        <w:rPr>
          <w:rFonts w:hint="eastAsia"/>
          <w:lang w:val="en-US" w:eastAsia="zh-CN"/>
        </w:rPr>
        <w:t>/</w:t>
      </w:r>
      <w:r>
        <w:rPr>
          <w:rFonts w:hint="eastAsia" w:ascii="Times New Roman" w:hAnsi="Times New Roman"/>
          <w:lang w:val="en-US" w:eastAsia="zh-CN"/>
        </w:rPr>
        <w:t>m</w:t>
      </w:r>
      <w:r>
        <w:rPr>
          <w:rFonts w:hint="eastAsia"/>
          <w:lang w:val="en-US" w:eastAsia="zh-CN"/>
        </w:rPr>
        <w:t>³）。根据</w:t>
      </w:r>
      <w:r>
        <w:rPr>
          <w:rFonts w:hint="eastAsia" w:ascii="Times New Roman" w:hAnsi="Times New Roman"/>
          <w:lang w:val="en-US" w:eastAsia="zh-CN"/>
        </w:rPr>
        <w:t>2023</w:t>
      </w:r>
      <w:r>
        <w:rPr>
          <w:rFonts w:hint="eastAsia"/>
          <w:lang w:val="en-US" w:eastAsia="zh-CN"/>
        </w:rPr>
        <w:t>年例行监测，</w:t>
      </w:r>
      <w:r>
        <w:rPr>
          <w:rFonts w:hint="eastAsia" w:ascii="Times New Roman" w:hAnsi="Times New Roman"/>
          <w:lang w:val="en-US" w:eastAsia="zh-CN"/>
        </w:rPr>
        <w:t>PA</w:t>
      </w:r>
      <w:r>
        <w:rPr>
          <w:rFonts w:hint="eastAsia"/>
          <w:lang w:val="en-US" w:eastAsia="zh-CN"/>
        </w:rPr>
        <w:t>聚合车间主要污染物排放浓度为：</w:t>
      </w:r>
      <w:r>
        <w:rPr>
          <w:rFonts w:hint="eastAsia" w:ascii="Times New Roman" w:hAnsi="Times New Roman"/>
          <w:lang w:val="en-US" w:eastAsia="zh-CN"/>
        </w:rPr>
        <w:t>NMHC</w:t>
      </w:r>
      <w:r>
        <w:rPr>
          <w:rFonts w:hint="eastAsia"/>
          <w:lang w:val="en-US" w:eastAsia="zh-CN"/>
        </w:rPr>
        <w:t>：</w:t>
      </w:r>
      <w:r>
        <w:rPr>
          <w:rFonts w:hint="eastAsia" w:ascii="Times New Roman" w:hAnsi="Times New Roman"/>
          <w:lang w:val="en-US" w:eastAsia="zh-CN"/>
        </w:rPr>
        <w:t>23</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28</w:t>
      </w:r>
      <w:r>
        <w:rPr>
          <w:rFonts w:hint="eastAsia"/>
          <w:lang w:val="en-US" w:eastAsia="zh-CN"/>
        </w:rPr>
        <w:t>.</w:t>
      </w:r>
      <w:r>
        <w:rPr>
          <w:rFonts w:hint="eastAsia" w:ascii="Times New Roman" w:hAnsi="Times New Roman"/>
          <w:lang w:val="en-US" w:eastAsia="zh-CN"/>
        </w:rPr>
        <w:t>3mg</w:t>
      </w:r>
      <w:r>
        <w:rPr>
          <w:rFonts w:hint="eastAsia"/>
          <w:lang w:val="en-US" w:eastAsia="zh-CN"/>
        </w:rPr>
        <w:t>/</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25</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95mg</w:t>
      </w:r>
      <w:r>
        <w:rPr>
          <w:rFonts w:hint="eastAsia"/>
          <w:lang w:val="en-US" w:eastAsia="zh-CN"/>
        </w:rPr>
        <w:t>/</w:t>
      </w:r>
      <w:r>
        <w:rPr>
          <w:rFonts w:hint="eastAsia" w:ascii="Times New Roman" w:hAnsi="Times New Roman"/>
          <w:lang w:val="en-US" w:eastAsia="zh-CN"/>
        </w:rPr>
        <w:t>m</w:t>
      </w:r>
      <w:r>
        <w:rPr>
          <w:rFonts w:hint="eastAsia"/>
          <w:lang w:val="en-US" w:eastAsia="zh-CN"/>
        </w:rPr>
        <w:t>³，满足排放标准要求。建设单位应将该污染源纳入排污许可证和例行监测计划。</w:t>
      </w:r>
    </w:p>
    <w:p>
      <w:pPr>
        <w:bidi w:val="0"/>
        <w:rPr>
          <w:rFonts w:hint="default"/>
          <w:lang w:val="en-US" w:eastAsia="zh-CN"/>
        </w:rPr>
      </w:pPr>
      <w:r>
        <w:rPr>
          <w:rFonts w:hint="eastAsia"/>
          <w:lang w:eastAsia="zh-CN"/>
        </w:rPr>
        <w:t>干燥车间压滤机废气主要污染物为</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、臭气浓度，执行《恶臭污染物排放标准》（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恶臭污染物排放限值（</w:t>
      </w:r>
      <w:r>
        <w:rPr>
          <w:rFonts w:hint="eastAsia" w:ascii="Times New Roman" w:hAnsi="Times New Roman"/>
          <w:lang w:val="en-US" w:eastAsia="zh-CN"/>
        </w:rPr>
        <w:t>30m</w:t>
      </w:r>
      <w:r>
        <w:rPr>
          <w:rFonts w:hint="eastAsia"/>
          <w:lang w:val="en-US" w:eastAsia="zh-CN"/>
        </w:rPr>
        <w:t>高度排气筒）。建设单位应将该污染源纳入排污许可证和例行监测计划。</w: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rPr>
      </w:pPr>
      <w:r>
        <w:rPr>
          <w:rFonts w:hint="eastAsia"/>
        </w:rPr>
        <w:br w:type="page"/>
      </w:r>
    </w:p>
    <w:p>
      <w:pPr>
        <w:pStyle w:val="3"/>
        <w:numPr>
          <w:ilvl w:val="0"/>
          <w:numId w:val="0"/>
        </w:numPr>
        <w:rPr>
          <w:rFonts w:hint="eastAsia" w:eastAsia="楷体_GB2312"/>
          <w:lang w:eastAsia="zh-CN"/>
        </w:rPr>
      </w:pPr>
      <w:bookmarkStart w:id="109" w:name="_Toc27344"/>
      <w:r>
        <w:rPr>
          <w:rFonts w:hint="eastAsia" w:ascii="Times New Roman" w:hAnsi="Times New Roman"/>
          <w:lang w:val="en-US" w:eastAsia="zh-CN"/>
        </w:rPr>
        <w:t>4</w:t>
      </w:r>
      <w:r>
        <w:rPr>
          <w:rFonts w:hint="eastAsia"/>
        </w:rPr>
        <w:t>建设项目</w:t>
      </w:r>
      <w:bookmarkEnd w:id="101"/>
      <w:r>
        <w:rPr>
          <w:rFonts w:hint="eastAsia"/>
          <w:lang w:eastAsia="zh-CN"/>
        </w:rPr>
        <w:t>工程分析</w:t>
      </w:r>
      <w:bookmarkEnd w:id="109"/>
    </w:p>
    <w:p>
      <w:pPr>
        <w:pStyle w:val="4"/>
        <w:spacing w:before="156" w:after="156"/>
        <w:rPr>
          <w:rFonts w:hint="eastAsia" w:ascii="Times New Roman" w:hAnsi="Times New Roman" w:eastAsia="楷体_GB2312"/>
          <w:lang w:val="en-US" w:eastAsia="zh-CN"/>
        </w:rPr>
      </w:pPr>
      <w:bookmarkStart w:id="110" w:name="_Toc31664"/>
      <w:bookmarkStart w:id="111" w:name="_Toc31834"/>
      <w:r>
        <w:rPr>
          <w:rFonts w:hint="eastAsia" w:ascii="Times New Roman" w:hAnsi="Times New Roman"/>
          <w:lang w:val="en-US" w:eastAsia="zh-CN"/>
        </w:rPr>
        <w:t>4</w:t>
      </w:r>
      <w:r>
        <w:rPr>
          <w:rFonts w:hint="eastAsia"/>
        </w:rPr>
        <w:t>.</w:t>
      </w:r>
      <w:r>
        <w:rPr>
          <w:rFonts w:hint="eastAsia" w:ascii="Times New Roman" w:hAnsi="Times New Roman"/>
        </w:rPr>
        <w:t>1</w:t>
      </w:r>
      <w:r>
        <w:rPr>
          <w:rFonts w:hint="eastAsia" w:ascii="Times New Roman" w:hAnsi="Times New Roman"/>
          <w:lang w:eastAsia="zh-CN"/>
        </w:rPr>
        <w:t>建设项目概况</w:t>
      </w:r>
      <w:bookmarkEnd w:id="110"/>
    </w:p>
    <w:p>
      <w:pPr>
        <w:pStyle w:val="5"/>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基本情况</w:t>
      </w:r>
    </w:p>
    <w:p>
      <w:pPr>
        <w:bidi w:val="0"/>
        <w:rPr>
          <w:rFonts w:hint="default"/>
        </w:rPr>
      </w:pPr>
      <w:r>
        <w:rPr>
          <w:rFonts w:hint="default"/>
        </w:rPr>
        <w:t>项目名称：</w:t>
      </w:r>
      <w:r>
        <w:rPr>
          <w:rFonts w:hint="eastAsia"/>
          <w:lang w:eastAsia="zh-CN"/>
        </w:rPr>
        <w:t>凯赛（乌苏）生物材料有限公司年产</w:t>
      </w:r>
      <w:r>
        <w:rPr>
          <w:rFonts w:hint="eastAsia" w:ascii="Times New Roman" w:hAnsi="Times New Roman"/>
          <w:lang w:val="en-US" w:eastAsia="zh-CN"/>
        </w:rPr>
        <w:t>10000</w:t>
      </w:r>
      <w:r>
        <w:rPr>
          <w:rFonts w:hint="eastAsia"/>
          <w:lang w:val="en-US" w:eastAsia="zh-CN"/>
        </w:rPr>
        <w:t>吨</w:t>
      </w:r>
      <w:r>
        <w:rPr>
          <w:rFonts w:hint="eastAsia" w:ascii="Times New Roman" w:hAnsi="Times New Roman"/>
          <w:lang w:val="en-US" w:eastAsia="zh-CN"/>
        </w:rPr>
        <w:t>PD</w:t>
      </w:r>
      <w:r>
        <w:rPr>
          <w:rFonts w:hint="eastAsia"/>
          <w:lang w:eastAsia="zh-CN"/>
        </w:rPr>
        <w:t>项目</w:t>
      </w:r>
    </w:p>
    <w:p>
      <w:pPr>
        <w:bidi w:val="0"/>
        <w:rPr>
          <w:rFonts w:hint="eastAsia"/>
          <w:lang w:eastAsia="zh-CN"/>
        </w:rPr>
      </w:pPr>
      <w:r>
        <w:rPr>
          <w:rFonts w:hint="default"/>
        </w:rPr>
        <w:t>建设单位：</w:t>
      </w:r>
      <w:r>
        <w:rPr>
          <w:rFonts w:hint="eastAsia"/>
          <w:lang w:eastAsia="zh-CN"/>
        </w:rPr>
        <w:t>凯赛（乌苏）生物材料有限公司</w:t>
      </w:r>
    </w:p>
    <w:p>
      <w:pPr>
        <w:bidi w:val="0"/>
        <w:rPr>
          <w:rFonts w:hint="eastAsia"/>
          <w:lang w:eastAsia="zh-CN"/>
        </w:rPr>
      </w:pPr>
      <w:r>
        <w:rPr>
          <w:rFonts w:hint="default"/>
        </w:rPr>
        <w:t>建设性质：</w:t>
      </w:r>
      <w:r>
        <w:rPr>
          <w:rFonts w:hint="eastAsia"/>
          <w:lang w:eastAsia="zh-CN"/>
        </w:rPr>
        <w:t>改扩建</w:t>
      </w:r>
    </w:p>
    <w:p>
      <w:pPr>
        <w:bidi w:val="0"/>
        <w:rPr>
          <w:rFonts w:hint="default"/>
        </w:rPr>
      </w:pPr>
      <w:r>
        <w:rPr>
          <w:rFonts w:hint="default"/>
        </w:rPr>
        <w:t>建设地点：本项目位于</w:t>
      </w:r>
      <w:r>
        <w:rPr>
          <w:rFonts w:hint="eastAsia"/>
          <w:lang w:eastAsia="zh-CN"/>
        </w:rPr>
        <w:t>乌苏工业园区西区（马吉克工业园区）</w:t>
      </w:r>
      <w:r>
        <w:rPr>
          <w:rFonts w:hint="default"/>
        </w:rPr>
        <w:t>，</w:t>
      </w:r>
      <w:r>
        <w:rPr>
          <w:rFonts w:hint="eastAsia"/>
          <w:lang w:eastAsia="zh-CN"/>
        </w:rPr>
        <w:t>经五路与纬八路南侧，凯赛（乌苏）生物材料有限公司厂内</w:t>
      </w:r>
      <w:r>
        <w:rPr>
          <w:rFonts w:hint="default"/>
        </w:rPr>
        <w:t>。</w:t>
      </w:r>
    </w:p>
    <w:p>
      <w:pPr>
        <w:bidi w:val="0"/>
        <w:rPr>
          <w:rFonts w:hint="default"/>
        </w:rPr>
      </w:pPr>
      <w:r>
        <w:rPr>
          <w:rFonts w:hint="default"/>
        </w:rPr>
        <w:t>项目</w:t>
      </w:r>
      <w:r>
        <w:rPr>
          <w:rFonts w:hint="eastAsia"/>
          <w:lang w:eastAsia="zh-CN"/>
        </w:rPr>
        <w:t>总</w:t>
      </w:r>
      <w:r>
        <w:rPr>
          <w:rFonts w:hint="default"/>
        </w:rPr>
        <w:t>投资：</w:t>
      </w:r>
      <w:r>
        <w:rPr>
          <w:rFonts w:hint="eastAsia" w:ascii="Times New Roman" w:hAnsi="Times New Roman"/>
          <w:lang w:val="en-US" w:eastAsia="zh-CN"/>
        </w:rPr>
        <w:t>1373</w:t>
      </w:r>
      <w:r>
        <w:rPr>
          <w:rFonts w:hint="eastAsia"/>
          <w:lang w:val="en-US" w:eastAsia="zh-CN"/>
        </w:rPr>
        <w:t>.</w:t>
      </w:r>
      <w:r>
        <w:rPr>
          <w:rFonts w:hint="eastAsia" w:ascii="Times New Roman" w:hAnsi="Times New Roman"/>
          <w:lang w:val="en-US" w:eastAsia="zh-CN"/>
        </w:rPr>
        <w:t>63</w:t>
      </w:r>
      <w:r>
        <w:rPr>
          <w:rFonts w:hint="eastAsia"/>
          <w:lang w:val="en-US" w:eastAsia="zh-CN"/>
        </w:rPr>
        <w:t>万元，其中环保投资</w:t>
      </w:r>
      <w:r>
        <w:rPr>
          <w:rFonts w:hint="eastAsia" w:ascii="Times New Roman" w:hAnsi="Times New Roman"/>
          <w:lang w:val="en-US" w:eastAsia="zh-CN"/>
        </w:rPr>
        <w:t>105</w:t>
      </w:r>
      <w:r>
        <w:rPr>
          <w:rFonts w:hint="eastAsia"/>
          <w:lang w:val="en-US" w:eastAsia="zh-CN"/>
        </w:rPr>
        <w:t>万元，占总投资的</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64</w:t>
      </w:r>
      <w:r>
        <w:rPr>
          <w:rFonts w:hint="eastAsia"/>
          <w:lang w:val="en-US" w:eastAsia="zh-CN"/>
        </w:rPr>
        <w:t>%</w:t>
      </w:r>
      <w:r>
        <w:rPr>
          <w:rFonts w:hint="default"/>
        </w:rPr>
        <w:t>。</w:t>
      </w:r>
    </w:p>
    <w:p>
      <w:pPr>
        <w:bidi w:val="0"/>
        <w:rPr>
          <w:rFonts w:hint="eastAsia"/>
          <w:lang w:val="en-US" w:eastAsia="zh-CN"/>
        </w:rPr>
      </w:pPr>
      <w:r>
        <w:rPr>
          <w:rFonts w:hint="default"/>
        </w:rPr>
        <w:t>占地面积：</w:t>
      </w:r>
      <w:r>
        <w:rPr>
          <w:rFonts w:hint="eastAsia" w:ascii="Times New Roman" w:hAnsi="Times New Roman"/>
          <w:lang w:val="en-US" w:eastAsia="zh-CN"/>
        </w:rPr>
        <w:t>3400</w:t>
      </w:r>
      <w:r>
        <w:rPr>
          <w:rFonts w:hint="eastAsia"/>
          <w:lang w:val="en-US" w:eastAsia="zh-CN"/>
        </w:rPr>
        <w:t>.</w:t>
      </w:r>
      <w:r>
        <w:rPr>
          <w:rFonts w:hint="eastAsia" w:ascii="Times New Roman" w:hAnsi="Times New Roman"/>
          <w:lang w:val="en-US" w:eastAsia="zh-CN"/>
        </w:rPr>
        <w:t>1</w:t>
      </w:r>
      <w:r>
        <w:rPr>
          <w:rFonts w:hint="eastAsia"/>
          <w:lang w:eastAsia="zh-CN"/>
        </w:rPr>
        <w:t>㎡</w:t>
      </w:r>
    </w:p>
    <w:p>
      <w:pPr>
        <w:bidi w:val="0"/>
        <w:rPr>
          <w:rFonts w:hint="default"/>
          <w:lang w:val="en-US" w:eastAsia="zh-CN"/>
        </w:rPr>
      </w:pPr>
      <w:r>
        <w:rPr>
          <w:rFonts w:hint="default"/>
        </w:rPr>
        <w:t>劳动定员</w:t>
      </w:r>
      <w:r>
        <w:rPr>
          <w:rFonts w:hint="eastAsia"/>
          <w:lang w:eastAsia="zh-CN"/>
        </w:rPr>
        <w:t>与工作制度</w:t>
      </w:r>
      <w:r>
        <w:rPr>
          <w:rFonts w:hint="default"/>
        </w:rPr>
        <w:t>：</w:t>
      </w:r>
      <w:r>
        <w:rPr>
          <w:rFonts w:hint="eastAsia"/>
          <w:lang w:eastAsia="zh-CN"/>
        </w:rPr>
        <w:t>项目劳动定员</w:t>
      </w:r>
      <w:r>
        <w:rPr>
          <w:rFonts w:hint="eastAsia" w:ascii="Times New Roman" w:hAnsi="Times New Roman"/>
          <w:lang w:val="en-US" w:eastAsia="zh-CN"/>
        </w:rPr>
        <w:t>8</w:t>
      </w:r>
      <w:r>
        <w:rPr>
          <w:rFonts w:hint="eastAsia"/>
          <w:lang w:val="en-US" w:eastAsia="zh-CN"/>
        </w:rPr>
        <w:t>人</w:t>
      </w:r>
      <w:r>
        <w:rPr>
          <w:rFonts w:hint="eastAsia"/>
          <w:lang w:eastAsia="zh-CN"/>
        </w:rPr>
        <w:t>，四班三运转制，</w:t>
      </w:r>
      <w:r>
        <w:rPr>
          <w:rFonts w:hint="default"/>
        </w:rPr>
        <w:t>年</w:t>
      </w:r>
      <w:r>
        <w:rPr>
          <w:rFonts w:hint="eastAsia"/>
          <w:lang w:eastAsia="zh-CN"/>
        </w:rPr>
        <w:t>操作时间</w:t>
      </w:r>
      <w:r>
        <w:rPr>
          <w:rFonts w:hint="eastAsia" w:ascii="Times New Roman" w:hAnsi="Times New Roman"/>
          <w:lang w:val="en-US" w:eastAsia="zh-CN"/>
        </w:rPr>
        <w:t>8000</w:t>
      </w:r>
      <w:r>
        <w:rPr>
          <w:rFonts w:hint="default" w:ascii="Times New Roman" w:hAnsi="Times New Roman"/>
        </w:rPr>
        <w:t>h</w:t>
      </w:r>
      <w:r>
        <w:rPr>
          <w:rFonts w:hint="default"/>
        </w:rPr>
        <w:t>/</w:t>
      </w:r>
      <w:r>
        <w:rPr>
          <w:rFonts w:hint="default" w:ascii="Times New Roman" w:hAnsi="Times New Roman"/>
        </w:rPr>
        <w:t>a</w:t>
      </w:r>
      <w:r>
        <w:rPr>
          <w:rFonts w:hint="default"/>
        </w:rPr>
        <w:t>。</w:t>
      </w:r>
    </w:p>
    <w:bookmarkEnd w:id="111"/>
    <w:p>
      <w:pPr>
        <w:pStyle w:val="6"/>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1</w:t>
      </w:r>
      <w:r>
        <w:rPr>
          <w:rFonts w:hint="eastAsia"/>
        </w:rPr>
        <w:t>.</w:t>
      </w:r>
      <w:r>
        <w:rPr>
          <w:rFonts w:hint="eastAsia" w:ascii="Times New Roman" w:hAnsi="Times New Roman"/>
        </w:rPr>
        <w:t>1</w:t>
      </w:r>
      <w:r>
        <w:rPr>
          <w:rFonts w:hint="eastAsia"/>
        </w:rPr>
        <w:t>建设规模和产品方案</w:t>
      </w:r>
    </w:p>
    <w:p>
      <w:pPr>
        <w:bidi w:val="0"/>
        <w:rPr>
          <w:rFonts w:hint="default"/>
        </w:rPr>
      </w:pPr>
      <w:r>
        <w:rPr>
          <w:rFonts w:hint="eastAsia"/>
          <w:lang w:eastAsia="zh-CN"/>
        </w:rPr>
        <w:t>本项目依托现有工程的中间产品</w:t>
      </w:r>
      <w:r>
        <w:rPr>
          <w:rFonts w:hint="eastAsia" w:ascii="Times New Roman" w:hAnsi="Times New Roman"/>
          <w:lang w:val="en-US" w:eastAsia="zh-CN"/>
        </w:rPr>
        <w:t>DN</w:t>
      </w:r>
      <w:r>
        <w:rPr>
          <w:rFonts w:hint="eastAsia"/>
          <w:lang w:val="en-US" w:eastAsia="zh-CN"/>
        </w:rPr>
        <w:t>溶液</w:t>
      </w:r>
      <w:r>
        <w:rPr>
          <w:rFonts w:hint="eastAsia"/>
          <w:lang w:eastAsia="zh-CN"/>
        </w:rPr>
        <w:t>为原料，在厂区内建设年产</w:t>
      </w:r>
      <w:r>
        <w:rPr>
          <w:rFonts w:hint="eastAsia" w:ascii="Times New Roman" w:hAnsi="Times New Roman"/>
          <w:lang w:val="en-US" w:eastAsia="zh-CN"/>
        </w:rPr>
        <w:t>10000</w:t>
      </w:r>
      <w:r>
        <w:rPr>
          <w:rFonts w:hint="eastAsia"/>
          <w:lang w:val="en-US" w:eastAsia="zh-CN"/>
        </w:rPr>
        <w:t>吨</w:t>
      </w:r>
      <w:r>
        <w:rPr>
          <w:rFonts w:hint="eastAsia" w:ascii="Times New Roman" w:hAnsi="Times New Roman"/>
          <w:lang w:val="en-US" w:eastAsia="zh-CN"/>
        </w:rPr>
        <w:t>PD</w:t>
      </w:r>
      <w:r>
        <w:rPr>
          <w:rFonts w:hint="eastAsia"/>
          <w:lang w:val="en-US" w:eastAsia="zh-CN"/>
        </w:rPr>
        <w:t>生产线，项目主要原料、给排水、供电、蒸汽等均依托厂内现有工程。</w:t>
      </w:r>
      <w:r>
        <w:rPr>
          <w:rFonts w:hint="eastAsia"/>
          <w:lang w:eastAsia="zh-CN"/>
        </w:rPr>
        <w:t>本项目建设规模见表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default"/>
        </w:rPr>
        <w:t>产品方案见表</w:t>
      </w:r>
      <w:r>
        <w:rPr>
          <w:rFonts w:hint="eastAsia" w:ascii="Times New Roman" w:hAnsi="Times New Roman"/>
          <w:lang w:val="en-US" w:eastAsia="zh-CN"/>
        </w:rPr>
        <w:t>4</w:t>
      </w:r>
      <w:r>
        <w:rPr>
          <w:rFonts w:hint="eastAsia"/>
          <w:lang w:eastAsia="zh-CN"/>
        </w:rPr>
        <w:t>.</w:t>
      </w:r>
      <w:r>
        <w:rPr>
          <w:rFonts w:hint="eastAsia" w:ascii="Times New Roman" w:hAnsi="Times New Roman"/>
          <w:lang w:eastAsia="zh-CN"/>
        </w:rPr>
        <w:t>1</w:t>
      </w:r>
      <w:r>
        <w:rPr>
          <w:rFonts w:hint="default"/>
        </w:rPr>
        <w:t>-</w:t>
      </w:r>
      <w:r>
        <w:rPr>
          <w:rFonts w:hint="eastAsia" w:ascii="Times New Roman" w:hAnsi="Times New Roman"/>
          <w:lang w:val="en-US" w:eastAsia="zh-CN"/>
        </w:rPr>
        <w:t>2</w:t>
      </w:r>
      <w:r>
        <w:rPr>
          <w:rFonts w:hint="default"/>
        </w:rPr>
        <w:t>。</w:t>
      </w:r>
    </w:p>
    <w:p>
      <w:pPr>
        <w:pStyle w:val="20"/>
        <w:spacing w:before="156"/>
        <w:rPr>
          <w:color w:val="auto"/>
        </w:rPr>
      </w:pPr>
      <w:r>
        <w:rPr>
          <w:color w:val="auto"/>
        </w:rPr>
        <w:t>表</w:t>
      </w:r>
      <w:r>
        <w:rPr>
          <w:rFonts w:hint="eastAsia" w:ascii="Times New Roman" w:hAnsi="Times New Roman" w:cs="Times New Roman"/>
          <w:color w:val="auto"/>
          <w:lang w:val="en-US" w:eastAsia="zh-CN"/>
        </w:rPr>
        <w:t>4</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1</w:t>
      </w:r>
      <w:r>
        <w:rPr>
          <w:rFonts w:hint="eastAsia"/>
          <w:color w:val="auto"/>
        </w:rPr>
        <w:t>-</w:t>
      </w:r>
      <w:r>
        <w:rPr>
          <w:rFonts w:hint="eastAsia" w:ascii="Times New Roman" w:hAnsi="Times New Roman" w:cs="Times New Roman"/>
          <w:color w:val="auto"/>
        </w:rPr>
        <w:t>1</w:t>
      </w:r>
      <w:r>
        <w:rPr>
          <w:rFonts w:hint="eastAsia"/>
          <w:color w:val="auto"/>
        </w:rPr>
        <w:t xml:space="preserve">  </w:t>
      </w:r>
      <w:r>
        <w:rPr>
          <w:rFonts w:hint="eastAsia"/>
          <w:color w:val="auto"/>
          <w:lang w:val="en-US" w:eastAsia="zh-CN"/>
        </w:rPr>
        <w:t>装置建设规模</w:t>
      </w:r>
      <w:r>
        <w:rPr>
          <w:color w:val="auto"/>
        </w:rPr>
        <w:t>一览表</w:t>
      </w:r>
    </w:p>
    <w:tbl>
      <w:tblPr>
        <w:tblStyle w:val="80"/>
        <w:tblW w:w="4996"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30" w:type="dxa"/>
          <w:bottom w:w="0" w:type="dxa"/>
          <w:right w:w="30" w:type="dxa"/>
        </w:tblCellMar>
      </w:tblPr>
      <w:tblGrid>
        <w:gridCol w:w="642"/>
        <w:gridCol w:w="1486"/>
        <w:gridCol w:w="2463"/>
        <w:gridCol w:w="45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tblHeader/>
          <w:jc w:val="center"/>
        </w:trPr>
        <w:tc>
          <w:tcPr>
            <w:tcW w:w="350" w:type="pct"/>
            <w:tcBorders>
              <w:top w:val="single" w:color="auto" w:sz="12" w:space="0"/>
              <w:left w:val="single" w:color="auto" w:sz="12" w:space="0"/>
              <w:bottom w:val="single" w:color="auto" w:sz="4" w:space="0"/>
              <w:right w:val="single" w:color="auto" w:sz="4" w:space="0"/>
            </w:tcBorders>
            <w:tcMar>
              <w:left w:w="108" w:type="dxa"/>
              <w:right w:w="108" w:type="dxa"/>
            </w:tcMar>
            <w:vAlign w:val="center"/>
          </w:tcPr>
          <w:p>
            <w:pPr>
              <w:spacing w:line="240" w:lineRule="auto"/>
              <w:ind w:firstLine="0"/>
              <w:jc w:val="center"/>
              <w:rPr>
                <w:color w:val="auto"/>
                <w:spacing w:val="-11"/>
                <w:sz w:val="21"/>
                <w:szCs w:val="21"/>
              </w:rPr>
            </w:pPr>
            <w:r>
              <w:rPr>
                <w:color w:val="auto"/>
                <w:spacing w:val="-11"/>
                <w:sz w:val="21"/>
                <w:szCs w:val="21"/>
              </w:rPr>
              <w:t>序号</w:t>
            </w:r>
          </w:p>
        </w:tc>
        <w:tc>
          <w:tcPr>
            <w:tcW w:w="810" w:type="pct"/>
            <w:tcBorders>
              <w:top w:val="single" w:color="auto" w:sz="12"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color w:val="auto"/>
                <w:spacing w:val="-11"/>
                <w:sz w:val="21"/>
                <w:szCs w:val="21"/>
              </w:rPr>
            </w:pPr>
            <w:r>
              <w:rPr>
                <w:rFonts w:hint="eastAsia"/>
                <w:color w:val="auto"/>
                <w:spacing w:val="-11"/>
                <w:sz w:val="21"/>
                <w:szCs w:val="21"/>
                <w:lang w:val="en-US" w:eastAsia="zh-CN"/>
              </w:rPr>
              <w:t>装置/工程</w:t>
            </w:r>
            <w:r>
              <w:rPr>
                <w:color w:val="auto"/>
                <w:spacing w:val="-11"/>
                <w:sz w:val="21"/>
                <w:szCs w:val="21"/>
              </w:rPr>
              <w:t>名称</w:t>
            </w:r>
          </w:p>
        </w:tc>
        <w:tc>
          <w:tcPr>
            <w:tcW w:w="1343" w:type="pct"/>
            <w:tcBorders>
              <w:top w:val="single" w:color="auto" w:sz="12" w:space="0"/>
              <w:left w:val="single" w:color="auto" w:sz="4" w:space="0"/>
              <w:bottom w:val="single" w:color="auto" w:sz="4" w:space="0"/>
              <w:right w:val="single" w:color="auto" w:sz="4" w:space="0"/>
            </w:tcBorders>
            <w:tcMar>
              <w:left w:w="108" w:type="dxa"/>
              <w:right w:w="108" w:type="dxa"/>
            </w:tcMar>
            <w:vAlign w:val="center"/>
          </w:tcPr>
          <w:p>
            <w:pPr>
              <w:spacing w:line="240" w:lineRule="auto"/>
              <w:ind w:firstLine="0"/>
              <w:jc w:val="center"/>
              <w:rPr>
                <w:rFonts w:hint="default" w:eastAsia="宋体"/>
                <w:color w:val="auto"/>
                <w:spacing w:val="-11"/>
                <w:sz w:val="21"/>
                <w:szCs w:val="21"/>
                <w:lang w:val="en-US" w:eastAsia="zh-CN"/>
              </w:rPr>
            </w:pPr>
            <w:r>
              <w:rPr>
                <w:rFonts w:hint="eastAsia"/>
                <w:color w:val="auto"/>
                <w:spacing w:val="-11"/>
                <w:sz w:val="21"/>
                <w:szCs w:val="21"/>
                <w:lang w:val="en-US" w:eastAsia="zh-CN"/>
              </w:rPr>
              <w:t>设计装置规模</w:t>
            </w:r>
          </w:p>
        </w:tc>
        <w:tc>
          <w:tcPr>
            <w:tcW w:w="2495" w:type="pct"/>
            <w:tcBorders>
              <w:top w:val="single" w:color="auto" w:sz="12" w:space="0"/>
              <w:left w:val="single" w:color="auto" w:sz="4" w:space="0"/>
              <w:bottom w:val="single" w:color="auto" w:sz="4" w:space="0"/>
              <w:right w:val="single" w:color="auto" w:sz="12" w:space="0"/>
            </w:tcBorders>
            <w:tcMar>
              <w:left w:w="108" w:type="dxa"/>
              <w:right w:w="108" w:type="dxa"/>
            </w:tcMar>
            <w:vAlign w:val="center"/>
          </w:tcPr>
          <w:p>
            <w:pPr>
              <w:spacing w:line="240" w:lineRule="auto"/>
              <w:ind w:firstLine="0"/>
              <w:jc w:val="center"/>
              <w:rPr>
                <w:color w:val="auto"/>
                <w:spacing w:val="-11"/>
                <w:sz w:val="21"/>
                <w:szCs w:val="21"/>
              </w:rPr>
            </w:pPr>
            <w:r>
              <w:rPr>
                <w:color w:val="auto"/>
                <w:spacing w:val="-11"/>
                <w:sz w:val="21"/>
                <w:szCs w:val="21"/>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30" w:type="dxa"/>
            <w:bottom w:w="0" w:type="dxa"/>
            <w:right w:w="30" w:type="dxa"/>
          </w:tblCellMar>
        </w:tblPrEx>
        <w:trPr>
          <w:jc w:val="center"/>
        </w:trPr>
        <w:tc>
          <w:tcPr>
            <w:tcW w:w="350" w:type="pct"/>
            <w:tcBorders>
              <w:top w:val="single" w:color="auto" w:sz="4" w:space="0"/>
              <w:left w:val="single" w:color="auto" w:sz="12" w:space="0"/>
              <w:bottom w:val="single" w:color="auto" w:sz="12" w:space="0"/>
              <w:right w:val="single" w:color="auto" w:sz="4" w:space="0"/>
            </w:tcBorders>
            <w:tcMar>
              <w:left w:w="108" w:type="dxa"/>
              <w:right w:w="108" w:type="dxa"/>
            </w:tcMar>
            <w:vAlign w:val="center"/>
          </w:tcPr>
          <w:p>
            <w:pPr>
              <w:spacing w:line="240" w:lineRule="auto"/>
              <w:ind w:firstLine="0"/>
              <w:jc w:val="center"/>
              <w:rPr>
                <w:color w:val="auto"/>
                <w:spacing w:val="-11"/>
                <w:sz w:val="21"/>
                <w:szCs w:val="21"/>
              </w:rPr>
            </w:pPr>
            <w:r>
              <w:rPr>
                <w:rFonts w:ascii="Times New Roman" w:hAnsi="Times New Roman" w:cs="Times New Roman"/>
                <w:color w:val="auto"/>
                <w:spacing w:val="-11"/>
                <w:sz w:val="21"/>
                <w:szCs w:val="21"/>
              </w:rPr>
              <w:t>1</w:t>
            </w:r>
          </w:p>
        </w:tc>
        <w:tc>
          <w:tcPr>
            <w:tcW w:w="810" w:type="pct"/>
            <w:tcBorders>
              <w:top w:val="single" w:color="auto" w:sz="4" w:space="0"/>
              <w:left w:val="single" w:color="auto" w:sz="4" w:space="0"/>
              <w:bottom w:val="single" w:color="auto" w:sz="12" w:space="0"/>
              <w:right w:val="single" w:color="auto" w:sz="4" w:space="0"/>
            </w:tcBorders>
            <w:tcMar>
              <w:left w:w="108" w:type="dxa"/>
              <w:right w:w="108" w:type="dxa"/>
            </w:tcMar>
            <w:vAlign w:val="center"/>
          </w:tcPr>
          <w:p>
            <w:pPr>
              <w:spacing w:line="240" w:lineRule="auto"/>
              <w:ind w:firstLine="0"/>
              <w:jc w:val="center"/>
              <w:rPr>
                <w:rFonts w:hint="default" w:eastAsia="宋体"/>
                <w:color w:val="auto"/>
                <w:spacing w:val="-11"/>
                <w:sz w:val="21"/>
                <w:szCs w:val="21"/>
                <w:lang w:val="en-US" w:eastAsia="zh-CN"/>
              </w:rPr>
            </w:pPr>
            <w:r>
              <w:rPr>
                <w:rFonts w:hint="eastAsia" w:ascii="Times New Roman" w:hAnsi="Times New Roman"/>
                <w:color w:val="auto"/>
                <w:spacing w:val="-11"/>
                <w:sz w:val="21"/>
                <w:szCs w:val="21"/>
                <w:lang w:val="en-US" w:eastAsia="zh-CN"/>
              </w:rPr>
              <w:t>PD</w:t>
            </w:r>
            <w:r>
              <w:rPr>
                <w:rFonts w:hint="eastAsia"/>
                <w:color w:val="auto"/>
                <w:spacing w:val="-11"/>
                <w:sz w:val="21"/>
                <w:szCs w:val="21"/>
                <w:lang w:val="en-US" w:eastAsia="zh-CN"/>
              </w:rPr>
              <w:t>生产线</w:t>
            </w:r>
          </w:p>
        </w:tc>
        <w:tc>
          <w:tcPr>
            <w:tcW w:w="1343" w:type="pct"/>
            <w:tcBorders>
              <w:top w:val="single" w:color="auto" w:sz="4" w:space="0"/>
              <w:left w:val="single" w:color="auto" w:sz="4" w:space="0"/>
              <w:bottom w:val="single" w:color="auto" w:sz="12" w:space="0"/>
              <w:right w:val="single" w:color="auto" w:sz="4" w:space="0"/>
            </w:tcBorders>
            <w:tcMar>
              <w:left w:w="108" w:type="dxa"/>
              <w:right w:w="108" w:type="dxa"/>
            </w:tcMar>
            <w:vAlign w:val="center"/>
          </w:tcPr>
          <w:p>
            <w:pPr>
              <w:spacing w:line="240" w:lineRule="auto"/>
              <w:ind w:firstLine="0"/>
              <w:jc w:val="center"/>
              <w:rPr>
                <w:rFonts w:hint="eastAsia" w:ascii="Times New Roman" w:hAnsi="Times New Roman" w:eastAsia="宋体"/>
                <w:color w:val="auto"/>
                <w:spacing w:val="-11"/>
                <w:sz w:val="21"/>
                <w:szCs w:val="21"/>
                <w:lang w:val="en-US" w:eastAsia="zh-CN"/>
              </w:rPr>
            </w:pPr>
            <w:r>
              <w:rPr>
                <w:rFonts w:hint="eastAsia" w:ascii="Times New Roman" w:hAnsi="Times New Roman"/>
                <w:color w:val="auto"/>
                <w:spacing w:val="-11"/>
                <w:sz w:val="21"/>
                <w:szCs w:val="21"/>
                <w:lang w:val="en-US" w:eastAsia="zh-CN"/>
              </w:rPr>
              <w:t>16976t</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aDN</w:t>
            </w:r>
            <w:r>
              <w:rPr>
                <w:rFonts w:hint="eastAsia" w:ascii="Times New Roman" w:hAnsi="Times New Roman"/>
                <w:color w:val="auto"/>
                <w:spacing w:val="-11"/>
                <w:sz w:val="21"/>
                <w:szCs w:val="21"/>
                <w:lang w:val="en-US" w:eastAsia="zh-CN"/>
              </w:rPr>
              <w:t>溶液处理能力</w:t>
            </w:r>
          </w:p>
        </w:tc>
        <w:tc>
          <w:tcPr>
            <w:tcW w:w="2495" w:type="pct"/>
            <w:tcBorders>
              <w:top w:val="single" w:color="auto" w:sz="4" w:space="0"/>
              <w:left w:val="single" w:color="auto" w:sz="4" w:space="0"/>
              <w:bottom w:val="single" w:color="auto" w:sz="12" w:space="0"/>
              <w:right w:val="single" w:color="auto" w:sz="12" w:space="0"/>
            </w:tcBorders>
            <w:tcMar>
              <w:left w:w="108" w:type="dxa"/>
              <w:right w:w="108" w:type="dxa"/>
            </w:tcMar>
            <w:vAlign w:val="center"/>
          </w:tcPr>
          <w:p>
            <w:pPr>
              <w:spacing w:line="240" w:lineRule="auto"/>
              <w:ind w:firstLine="0"/>
              <w:jc w:val="center"/>
              <w:rPr>
                <w:rFonts w:hint="default" w:eastAsia="宋体"/>
                <w:color w:val="auto"/>
                <w:spacing w:val="-11"/>
                <w:sz w:val="21"/>
                <w:szCs w:val="21"/>
                <w:lang w:val="en-US" w:eastAsia="zh-CN"/>
              </w:rPr>
            </w:pPr>
            <w:r>
              <w:rPr>
                <w:rFonts w:hint="eastAsia"/>
                <w:color w:val="auto"/>
                <w:spacing w:val="-11"/>
                <w:sz w:val="21"/>
                <w:szCs w:val="21"/>
                <w:lang w:eastAsia="zh-CN"/>
              </w:rPr>
              <w:t>包括</w:t>
            </w:r>
            <w:r>
              <w:rPr>
                <w:rFonts w:hint="eastAsia" w:ascii="Times New Roman" w:hAnsi="Times New Roman"/>
                <w:color w:val="auto"/>
                <w:spacing w:val="-11"/>
                <w:sz w:val="21"/>
                <w:szCs w:val="21"/>
                <w:lang w:val="en-US" w:eastAsia="zh-CN"/>
              </w:rPr>
              <w:t>PD</w:t>
            </w:r>
            <w:r>
              <w:rPr>
                <w:rFonts w:hint="eastAsia"/>
                <w:color w:val="auto"/>
                <w:spacing w:val="-11"/>
                <w:sz w:val="21"/>
                <w:szCs w:val="21"/>
                <w:lang w:val="en-US" w:eastAsia="zh-CN"/>
              </w:rPr>
              <w:t>反应器、回流罐、中间产品罐、气液分离器、成品塔、冷凝器、再沸器等</w:t>
            </w:r>
          </w:p>
        </w:tc>
      </w:tr>
    </w:tbl>
    <w:p>
      <w:pPr>
        <w:autoSpaceDE w:val="0"/>
        <w:autoSpaceDN w:val="0"/>
        <w:adjustRightInd w:val="0"/>
        <w:ind w:left="0" w:leftChars="0" w:firstLine="0" w:firstLineChars="0"/>
        <w:jc w:val="center"/>
        <w:rPr>
          <w:rFonts w:hint="eastAsia"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hint="eastAsia" w:ascii="Times New Roman" w:hAnsi="Times New Roman" w:eastAsia="宋体" w:cs="Times New Roman"/>
          <w:b/>
          <w:bCs/>
          <w:color w:val="000000"/>
          <w:sz w:val="21"/>
          <w:szCs w:val="21"/>
          <w:lang w:val="en-US" w:eastAsia="zh-CN"/>
        </w:rPr>
        <w:t>.</w:t>
      </w:r>
      <w:r>
        <w:rPr>
          <w:rFonts w:hint="eastAsia" w:ascii="Times New Roman" w:hAnsi="Times New Roman" w:eastAsia="宋体" w:cs="Times New Roman"/>
          <w:b/>
          <w:bCs/>
          <w:color w:val="000000"/>
          <w:sz w:val="21"/>
          <w:szCs w:val="21"/>
          <w:lang w:val="en-US" w:eastAsia="zh-CN"/>
        </w:rPr>
        <w:t>1</w:t>
      </w:r>
      <w:r>
        <w:rPr>
          <w:rFonts w:hint="eastAsia"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2</w:t>
      </w:r>
      <w:r>
        <w:rPr>
          <w:rFonts w:hint="eastAsia"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产品方案表</w:t>
      </w:r>
    </w:p>
    <w:tbl>
      <w:tblPr>
        <w:tblStyle w:val="8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2851"/>
        <w:gridCol w:w="2615"/>
        <w:gridCol w:w="26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3" w:type="pct"/>
            <w:tcBorders>
              <w:top w:val="single" w:color="auto" w:sz="12" w:space="0"/>
              <w:left w:val="single" w:color="auto" w:sz="12" w:space="0"/>
              <w:bottom w:val="single" w:color="auto" w:sz="4" w:space="0"/>
              <w:right w:val="single" w:color="auto" w:sz="4"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zh-CN"/>
              </w:rPr>
            </w:pPr>
            <w:r>
              <w:rPr>
                <w:rFonts w:hint="default" w:ascii="Times New Roman" w:hAnsi="Times New Roman" w:eastAsia="宋体" w:cs="Times New Roman"/>
                <w:color w:val="000000"/>
                <w:sz w:val="21"/>
                <w:lang w:val="zh-CN"/>
              </w:rPr>
              <w:t>序号</w:t>
            </w:r>
          </w:p>
        </w:tc>
        <w:tc>
          <w:tcPr>
            <w:tcW w:w="1554" w:type="pct"/>
            <w:tcBorders>
              <w:top w:val="single" w:color="auto" w:sz="12" w:space="0"/>
              <w:left w:val="single" w:color="auto" w:sz="4" w:space="0"/>
              <w:bottom w:val="single" w:color="auto" w:sz="4" w:space="0"/>
              <w:right w:val="single" w:color="auto" w:sz="4"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zh-CN"/>
              </w:rPr>
            </w:pPr>
            <w:r>
              <w:rPr>
                <w:rFonts w:hint="default" w:ascii="Times New Roman" w:hAnsi="Times New Roman" w:eastAsia="宋体" w:cs="Times New Roman"/>
                <w:color w:val="000000"/>
                <w:sz w:val="21"/>
                <w:lang w:val="zh-CN"/>
              </w:rPr>
              <w:t>产品名称</w:t>
            </w:r>
          </w:p>
        </w:tc>
        <w:tc>
          <w:tcPr>
            <w:tcW w:w="1425" w:type="pct"/>
            <w:tcBorders>
              <w:top w:val="single" w:color="auto" w:sz="12" w:space="0"/>
              <w:left w:val="single" w:color="auto" w:sz="4" w:space="0"/>
              <w:bottom w:val="single" w:color="auto" w:sz="4" w:space="0"/>
              <w:right w:val="single" w:color="auto" w:sz="4"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zh-CN"/>
              </w:rPr>
            </w:pPr>
            <w:r>
              <w:rPr>
                <w:rFonts w:hint="default" w:ascii="Times New Roman" w:hAnsi="Times New Roman" w:eastAsia="宋体" w:cs="Times New Roman"/>
                <w:color w:val="000000"/>
                <w:sz w:val="21"/>
                <w:lang w:val="zh-CN"/>
              </w:rPr>
              <w:t>数量（</w:t>
            </w:r>
            <w:r>
              <w:rPr>
                <w:rFonts w:hint="default" w:ascii="Times New Roman" w:hAnsi="Times New Roman" w:eastAsia="宋体" w:cs="Times New Roman"/>
                <w:color w:val="000000"/>
                <w:sz w:val="21"/>
                <w:lang w:val="zh-CN"/>
              </w:rPr>
              <w:t>t</w:t>
            </w:r>
            <w:r>
              <w:rPr>
                <w:rFonts w:hint="default" w:ascii="Times New Roman" w:hAnsi="Times New Roman" w:eastAsia="宋体" w:cs="Times New Roman"/>
                <w:color w:val="000000"/>
                <w:sz w:val="21"/>
                <w:lang w:val="zh-CN"/>
              </w:rPr>
              <w:t>/</w:t>
            </w:r>
            <w:r>
              <w:rPr>
                <w:rFonts w:hint="default" w:ascii="Times New Roman" w:hAnsi="Times New Roman" w:eastAsia="宋体" w:cs="Times New Roman"/>
                <w:color w:val="000000"/>
                <w:sz w:val="21"/>
                <w:lang w:val="zh-CN"/>
              </w:rPr>
              <w:t>a</w:t>
            </w:r>
            <w:r>
              <w:rPr>
                <w:rFonts w:hint="default" w:ascii="Times New Roman" w:hAnsi="Times New Roman" w:eastAsia="宋体" w:cs="Times New Roman"/>
                <w:color w:val="000000"/>
                <w:sz w:val="21"/>
                <w:lang w:val="zh-CN"/>
              </w:rPr>
              <w:t>）</w:t>
            </w:r>
          </w:p>
        </w:tc>
        <w:tc>
          <w:tcPr>
            <w:tcW w:w="1425" w:type="pct"/>
            <w:tcBorders>
              <w:top w:val="single" w:color="auto" w:sz="12" w:space="0"/>
              <w:left w:val="single" w:color="auto" w:sz="4" w:space="0"/>
              <w:bottom w:val="single" w:color="auto" w:sz="4" w:space="0"/>
              <w:right w:val="single" w:color="auto" w:sz="12"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zh-CN"/>
              </w:rPr>
            </w:pPr>
            <w:r>
              <w:rPr>
                <w:rFonts w:hint="eastAsia" w:ascii="Times New Roman" w:hAnsi="Times New Roman" w:cs="Times New Roman"/>
                <w:color w:val="000000"/>
                <w:sz w:val="21"/>
                <w:lang w:val="zh-CN"/>
              </w:rPr>
              <w:t>包装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9" w:hRule="atLeast"/>
          <w:jc w:val="center"/>
        </w:trPr>
        <w:tc>
          <w:tcPr>
            <w:tcW w:w="593" w:type="pct"/>
            <w:tcBorders>
              <w:top w:val="single" w:color="auto" w:sz="4" w:space="0"/>
              <w:left w:val="single" w:color="auto" w:sz="12" w:space="0"/>
              <w:bottom w:val="single" w:color="auto" w:sz="4" w:space="0"/>
              <w:right w:val="single" w:color="auto" w:sz="4"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zh-CN"/>
              </w:rPr>
            </w:pPr>
            <w:r>
              <w:rPr>
                <w:rFonts w:hint="default" w:ascii="Times New Roman" w:hAnsi="Times New Roman" w:eastAsia="宋体" w:cs="Times New Roman"/>
                <w:color w:val="000000"/>
                <w:sz w:val="21"/>
                <w:lang w:val="zh-CN"/>
              </w:rPr>
              <w:t>1</w:t>
            </w:r>
          </w:p>
        </w:tc>
        <w:tc>
          <w:tcPr>
            <w:tcW w:w="1554" w:type="pct"/>
            <w:tcBorders>
              <w:top w:val="single" w:color="auto" w:sz="4" w:space="0"/>
              <w:left w:val="single" w:color="auto" w:sz="4" w:space="0"/>
              <w:bottom w:val="single" w:color="auto" w:sz="4" w:space="0"/>
              <w:right w:val="single" w:color="auto" w:sz="4"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zh-CN"/>
              </w:rPr>
            </w:pPr>
            <w:r>
              <w:rPr>
                <w:rFonts w:hint="eastAsia" w:ascii="Times New Roman" w:hAnsi="Times New Roman" w:cs="Times New Roman"/>
                <w:color w:val="000000"/>
                <w:sz w:val="21"/>
                <w:lang w:val="zh-CN"/>
              </w:rPr>
              <w:t>PD</w:t>
            </w:r>
          </w:p>
        </w:tc>
        <w:tc>
          <w:tcPr>
            <w:tcW w:w="1425" w:type="pct"/>
            <w:tcBorders>
              <w:top w:val="single" w:color="auto" w:sz="4" w:space="0"/>
              <w:left w:val="single" w:color="auto" w:sz="4" w:space="0"/>
              <w:bottom w:val="single" w:color="auto" w:sz="4" w:space="0"/>
              <w:right w:val="single" w:color="auto" w:sz="4"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en-US" w:eastAsia="zh-CN"/>
              </w:rPr>
            </w:pPr>
            <w:r>
              <w:rPr>
                <w:rFonts w:hint="eastAsia" w:ascii="Times New Roman" w:hAnsi="Times New Roman" w:cs="Times New Roman"/>
                <w:color w:val="000000"/>
                <w:sz w:val="21"/>
                <w:lang w:val="en-US" w:eastAsia="zh-CN"/>
              </w:rPr>
              <w:t>10000</w:t>
            </w:r>
          </w:p>
        </w:tc>
        <w:tc>
          <w:tcPr>
            <w:tcW w:w="1425" w:type="pct"/>
            <w:tcBorders>
              <w:top w:val="single" w:color="auto" w:sz="4" w:space="0"/>
              <w:left w:val="single" w:color="auto" w:sz="4" w:space="0"/>
              <w:bottom w:val="single" w:color="auto" w:sz="4" w:space="0"/>
              <w:right w:val="single" w:color="auto" w:sz="12" w:space="0"/>
            </w:tcBorders>
            <w:noWrap w:val="0"/>
            <w:vAlign w:val="center"/>
          </w:tcPr>
          <w:p>
            <w:pPr>
              <w:pStyle w:val="1096"/>
              <w:spacing w:line="240" w:lineRule="auto"/>
              <w:ind w:firstLine="0" w:firstLineChars="0"/>
              <w:rPr>
                <w:rFonts w:hint="default" w:ascii="Times New Roman" w:hAnsi="Times New Roman" w:eastAsia="宋体" w:cs="Times New Roman"/>
                <w:color w:val="000000"/>
                <w:sz w:val="21"/>
                <w:lang w:val="zh-CN"/>
              </w:rPr>
            </w:pPr>
            <w:r>
              <w:rPr>
                <w:rFonts w:hint="eastAsia" w:ascii="Times New Roman" w:hAnsi="Times New Roman" w:cs="Times New Roman"/>
                <w:color w:val="000000"/>
                <w:sz w:val="21"/>
                <w:lang w:val="zh-CN"/>
              </w:rPr>
              <w:t>液态散装（专用储罐）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9" w:hRule="atLeast"/>
          <w:jc w:val="center"/>
        </w:trPr>
        <w:tc>
          <w:tcPr>
            <w:tcW w:w="593" w:type="pct"/>
            <w:tcBorders>
              <w:top w:val="single" w:color="auto" w:sz="4" w:space="0"/>
              <w:left w:val="single" w:color="auto" w:sz="12" w:space="0"/>
              <w:bottom w:val="single" w:color="auto" w:sz="12" w:space="0"/>
              <w:right w:val="single" w:color="auto" w:sz="4" w:space="0"/>
            </w:tcBorders>
            <w:noWrap w:val="0"/>
            <w:vAlign w:val="center"/>
          </w:tcPr>
          <w:p>
            <w:pPr>
              <w:pStyle w:val="1096"/>
              <w:spacing w:line="240" w:lineRule="auto"/>
              <w:ind w:firstLine="0" w:firstLineChars="0"/>
              <w:rPr>
                <w:rFonts w:hint="eastAsia" w:ascii="Times New Roman" w:hAnsi="Times New Roman" w:eastAsia="宋体" w:cs="Times New Roman"/>
                <w:color w:val="000000"/>
                <w:sz w:val="21"/>
                <w:lang w:val="en-US" w:eastAsia="zh-CN"/>
              </w:rPr>
            </w:pPr>
            <w:r>
              <w:rPr>
                <w:rFonts w:hint="eastAsia" w:ascii="Times New Roman" w:hAnsi="Times New Roman" w:cs="Times New Roman"/>
                <w:color w:val="000000"/>
                <w:sz w:val="21"/>
                <w:lang w:val="en-US" w:eastAsia="zh-CN"/>
              </w:rPr>
              <w:t>2</w:t>
            </w:r>
          </w:p>
        </w:tc>
        <w:tc>
          <w:tcPr>
            <w:tcW w:w="1554" w:type="pct"/>
            <w:tcBorders>
              <w:top w:val="single" w:color="auto" w:sz="4" w:space="0"/>
              <w:left w:val="single" w:color="auto" w:sz="4" w:space="0"/>
              <w:bottom w:val="single" w:color="auto" w:sz="12" w:space="0"/>
              <w:right w:val="single" w:color="auto" w:sz="4" w:space="0"/>
            </w:tcBorders>
            <w:noWrap w:val="0"/>
            <w:vAlign w:val="center"/>
          </w:tcPr>
          <w:p>
            <w:pPr>
              <w:pStyle w:val="1096"/>
              <w:spacing w:line="240" w:lineRule="auto"/>
              <w:ind w:firstLine="0" w:firstLineChars="0"/>
              <w:rPr>
                <w:rFonts w:hint="eastAsia" w:ascii="Times New Roman" w:hAnsi="Times New Roman" w:cs="Times New Roman"/>
                <w:color w:val="000000"/>
                <w:sz w:val="21"/>
                <w:lang w:val="zh-CN"/>
              </w:rPr>
            </w:pPr>
            <w:r>
              <w:rPr>
                <w:rFonts w:hint="eastAsia" w:ascii="Times New Roman" w:hAnsi="Times New Roman" w:cs="Times New Roman"/>
                <w:color w:val="000000"/>
                <w:sz w:val="21"/>
                <w:lang w:val="zh-CN"/>
              </w:rPr>
              <w:t>粗</w:t>
            </w:r>
            <w:r>
              <w:rPr>
                <w:rFonts w:hint="eastAsia" w:ascii="Times New Roman" w:hAnsi="Times New Roman" w:cs="Times New Roman"/>
                <w:color w:val="000000"/>
                <w:sz w:val="21"/>
                <w:lang w:val="zh-CN"/>
              </w:rPr>
              <w:t>PD</w:t>
            </w:r>
          </w:p>
        </w:tc>
        <w:tc>
          <w:tcPr>
            <w:tcW w:w="1425" w:type="pct"/>
            <w:tcBorders>
              <w:top w:val="single" w:color="auto" w:sz="4" w:space="0"/>
              <w:left w:val="single" w:color="auto" w:sz="4" w:space="0"/>
              <w:bottom w:val="single" w:color="auto" w:sz="12" w:space="0"/>
              <w:right w:val="single" w:color="auto" w:sz="4" w:space="0"/>
            </w:tcBorders>
            <w:noWrap w:val="0"/>
            <w:vAlign w:val="center"/>
          </w:tcPr>
          <w:p>
            <w:pPr>
              <w:pStyle w:val="1096"/>
              <w:spacing w:line="240" w:lineRule="auto"/>
              <w:ind w:firstLine="0" w:firstLineChars="0"/>
              <w:rPr>
                <w:rFonts w:hint="default" w:ascii="Times New Roman" w:hAnsi="Times New Roman" w:cs="Times New Roman"/>
                <w:color w:val="000000"/>
                <w:sz w:val="21"/>
                <w:lang w:val="en-US" w:eastAsia="zh-CN"/>
              </w:rPr>
            </w:pPr>
            <w:r>
              <w:rPr>
                <w:rFonts w:hint="eastAsia" w:ascii="Times New Roman" w:hAnsi="Times New Roman" w:cs="Times New Roman"/>
                <w:color w:val="000000"/>
                <w:sz w:val="21"/>
                <w:lang w:val="en-US" w:eastAsia="zh-CN"/>
              </w:rPr>
              <w:t>2000</w:t>
            </w:r>
          </w:p>
        </w:tc>
        <w:tc>
          <w:tcPr>
            <w:tcW w:w="1425" w:type="pct"/>
            <w:tcBorders>
              <w:top w:val="single" w:color="auto" w:sz="4" w:space="0"/>
              <w:left w:val="single" w:color="auto" w:sz="4" w:space="0"/>
              <w:bottom w:val="single" w:color="auto" w:sz="12" w:space="0"/>
              <w:right w:val="single" w:color="auto" w:sz="12" w:space="0"/>
            </w:tcBorders>
            <w:noWrap w:val="0"/>
            <w:vAlign w:val="center"/>
          </w:tcPr>
          <w:p>
            <w:pPr>
              <w:pStyle w:val="1096"/>
              <w:spacing w:line="240" w:lineRule="auto"/>
              <w:ind w:firstLine="0" w:firstLineChars="0"/>
              <w:rPr>
                <w:rFonts w:hint="eastAsia" w:ascii="Times New Roman" w:hAnsi="Times New Roman" w:cs="Times New Roman"/>
                <w:color w:val="000000"/>
                <w:sz w:val="21"/>
                <w:lang w:val="zh-CN"/>
              </w:rPr>
            </w:pPr>
            <w:r>
              <w:rPr>
                <w:rFonts w:hint="eastAsia" w:ascii="Times New Roman" w:hAnsi="Times New Roman" w:cs="Times New Roman"/>
                <w:color w:val="000000"/>
                <w:sz w:val="21"/>
                <w:lang w:val="zh-CN"/>
              </w:rPr>
              <w:t>液态散装（专用储罐）</w:t>
            </w:r>
          </w:p>
        </w:tc>
      </w:tr>
    </w:tbl>
    <w:p>
      <w:pPr>
        <w:pStyle w:val="6"/>
        <w:spacing w:before="156" w:after="156"/>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1</w:t>
      </w:r>
      <w:r>
        <w:rPr>
          <w:rFonts w:hint="eastAsia"/>
        </w:rPr>
        <w:t>.</w:t>
      </w:r>
      <w:r>
        <w:rPr>
          <w:rFonts w:hint="eastAsia" w:ascii="Times New Roman" w:hAnsi="Times New Roman"/>
        </w:rPr>
        <w:t>2</w:t>
      </w:r>
      <w:r>
        <w:rPr>
          <w:rFonts w:hint="eastAsia"/>
        </w:rPr>
        <w:t>产品规格及标准</w:t>
      </w:r>
    </w:p>
    <w:p>
      <w:pPr>
        <w:rPr>
          <w:rFonts w:hint="eastAsia"/>
        </w:rPr>
      </w:pPr>
      <w:r>
        <w:rPr>
          <w:rFonts w:hint="eastAsia"/>
          <w:lang w:eastAsia="zh-CN"/>
        </w:rPr>
        <w:t>本项目</w:t>
      </w:r>
      <w:r>
        <w:rPr>
          <w:rFonts w:hint="eastAsia"/>
          <w:color w:val="auto"/>
          <w:lang w:eastAsia="zh-CN"/>
        </w:rPr>
        <w:t>采用二级反应制备产品</w:t>
      </w:r>
      <w:r>
        <w:rPr>
          <w:rFonts w:hint="eastAsia" w:ascii="Times New Roman" w:hAnsi="Times New Roman"/>
          <w:color w:val="auto"/>
          <w:lang w:eastAsia="zh-CN"/>
        </w:rPr>
        <w:t>PD</w:t>
      </w:r>
      <w:r>
        <w:rPr>
          <w:rFonts w:hint="eastAsia"/>
          <w:color w:val="auto"/>
          <w:lang w:eastAsia="zh-CN"/>
        </w:rPr>
        <w:t>。生产过程剩余的含</w:t>
      </w:r>
      <w:r>
        <w:rPr>
          <w:rFonts w:hint="eastAsia" w:ascii="Times New Roman" w:hAnsi="Times New Roman"/>
          <w:color w:val="auto"/>
          <w:lang w:eastAsia="zh-CN"/>
        </w:rPr>
        <w:t>PD</w:t>
      </w:r>
      <w:r>
        <w:rPr>
          <w:rFonts w:hint="eastAsia"/>
          <w:color w:val="auto"/>
          <w:lang w:eastAsia="zh-CN"/>
        </w:rPr>
        <w:t>溶液均作为粗</w:t>
      </w:r>
      <w:r>
        <w:rPr>
          <w:rFonts w:hint="eastAsia" w:ascii="Times New Roman" w:hAnsi="Times New Roman"/>
          <w:color w:val="auto"/>
          <w:lang w:eastAsia="zh-CN"/>
        </w:rPr>
        <w:t>PD</w:t>
      </w:r>
      <w:r>
        <w:rPr>
          <w:rFonts w:hint="eastAsia"/>
          <w:color w:val="auto"/>
          <w:lang w:eastAsia="zh-CN"/>
        </w:rPr>
        <w:t>产品外售。本项目主要产品</w:t>
      </w:r>
      <w:r>
        <w:rPr>
          <w:rFonts w:hint="eastAsia" w:ascii="Times New Roman" w:hAnsi="Times New Roman"/>
          <w:color w:val="auto"/>
          <w:lang w:eastAsia="zh-CN"/>
        </w:rPr>
        <w:t>PD</w:t>
      </w:r>
      <w:r>
        <w:rPr>
          <w:rFonts w:hint="eastAsia"/>
          <w:color w:val="auto"/>
          <w:lang w:eastAsia="zh-CN"/>
        </w:rPr>
        <w:t>指标</w:t>
      </w:r>
      <w:r>
        <w:rPr>
          <w:rFonts w:hint="eastAsia"/>
        </w:rPr>
        <w:t>见表</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1</w:t>
      </w:r>
      <w:r>
        <w:rPr>
          <w:rFonts w:hint="eastAsia" w:ascii="Times New Roman"/>
          <w:lang w:val="en-US" w:eastAsia="zh-CN"/>
        </w:rPr>
        <w:t>-</w:t>
      </w:r>
      <w:r>
        <w:rPr>
          <w:rFonts w:hint="eastAsia" w:ascii="Times New Roman" w:hAnsi="Times New Roman"/>
          <w:lang w:val="en-US" w:eastAsia="zh-CN"/>
        </w:rPr>
        <w:t>3</w:t>
      </w:r>
      <w:r>
        <w:rPr>
          <w:rFonts w:hint="eastAsia" w:ascii="Times New Roman" w:hAnsi="Times New Roman"/>
          <w:lang w:val="en-US" w:eastAsia="zh-CN"/>
        </w:rPr>
        <w:t>，粗</w:t>
      </w:r>
      <w:r>
        <w:rPr>
          <w:rFonts w:hint="eastAsia" w:ascii="Times New Roman" w:hAnsi="Times New Roman"/>
          <w:lang w:val="en-US" w:eastAsia="zh-CN"/>
        </w:rPr>
        <w:t>PD</w:t>
      </w:r>
      <w:r>
        <w:rPr>
          <w:rFonts w:hint="eastAsia" w:ascii="Times New Roman" w:hAnsi="Times New Roman"/>
          <w:lang w:val="en-US" w:eastAsia="zh-CN"/>
        </w:rPr>
        <w:t>产品将在实际运行后根据产品参数设置企业标准</w:t>
      </w:r>
      <w:r>
        <w:rPr>
          <w:rFonts w:hint="eastAsia"/>
        </w:rPr>
        <w:t>。</w:t>
      </w:r>
    </w:p>
    <w:p>
      <w:pPr>
        <w:pStyle w:val="20"/>
        <w:spacing w:before="156"/>
        <w:rPr>
          <w:rFonts w:hint="eastAsia" w:eastAsia="宋体"/>
          <w:lang w:eastAsia="zh-CN"/>
        </w:rPr>
      </w:pPr>
      <w:r>
        <w:rPr>
          <w:rFonts w:hint="eastAsia"/>
        </w:rPr>
        <w:t>表</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3</w:t>
      </w:r>
      <w:r>
        <w:rPr>
          <w:rFonts w:hint="eastAsia"/>
        </w:rPr>
        <w:t xml:space="preserve">  </w:t>
      </w:r>
      <w:r>
        <w:rPr>
          <w:rFonts w:hint="eastAsia" w:ascii="Times New Roman" w:hAnsi="Times New Roman"/>
          <w:lang w:eastAsia="zh-CN"/>
        </w:rPr>
        <w:t>PD</w:t>
      </w:r>
      <w:r>
        <w:rPr>
          <w:rFonts w:hint="eastAsia"/>
          <w:lang w:eastAsia="zh-CN"/>
        </w:rPr>
        <w:t>产品</w:t>
      </w:r>
      <w:r>
        <w:rPr>
          <w:rFonts w:hint="eastAsia"/>
        </w:rPr>
        <w:t>质量</w:t>
      </w:r>
      <w:r>
        <w:rPr>
          <w:rFonts w:hint="eastAsia"/>
          <w:lang w:eastAsia="zh-CN"/>
        </w:rPr>
        <w:t>标准（</w:t>
      </w:r>
      <w:r>
        <w:rPr>
          <w:rFonts w:hint="eastAsia" w:ascii="Times New Roman" w:hAnsi="Times New Roman"/>
          <w:lang w:val="en-US" w:eastAsia="zh-CN"/>
        </w:rPr>
        <w:t>HG</w:t>
      </w:r>
      <w:r>
        <w:rPr>
          <w:rFonts w:hint="eastAsia"/>
          <w:lang w:val="en-US" w:eastAsia="zh-CN"/>
        </w:rPr>
        <w:t>/</w:t>
      </w:r>
      <w:r>
        <w:rPr>
          <w:rFonts w:hint="eastAsia" w:ascii="Times New Roman" w:hAnsi="Times New Roman"/>
          <w:lang w:val="en-US" w:eastAsia="zh-CN"/>
        </w:rPr>
        <w:t>T4485</w:t>
      </w:r>
      <w:r>
        <w:rPr>
          <w:rFonts w:hint="eastAsia"/>
          <w:lang w:val="en-US" w:eastAsia="zh-CN"/>
        </w:rPr>
        <w:t>-</w:t>
      </w:r>
      <w:r>
        <w:rPr>
          <w:rFonts w:hint="eastAsia" w:ascii="Times New Roman" w:hAnsi="Times New Roman"/>
          <w:lang w:val="en-US" w:eastAsia="zh-CN"/>
        </w:rPr>
        <w:t>2012</w:t>
      </w:r>
      <w:r>
        <w:rPr>
          <w:rFonts w:hint="eastAsia"/>
          <w:lang w:eastAsia="zh-CN"/>
        </w:rPr>
        <w:t>）</w:t>
      </w:r>
    </w:p>
    <w:tbl>
      <w:tblPr>
        <w:tblStyle w:val="8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5644"/>
        <w:gridCol w:w="2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09" w:type="pct"/>
            <w:noWrap w:val="0"/>
            <w:vAlign w:val="center"/>
          </w:tcPr>
          <w:p>
            <w:pPr>
              <w:spacing w:line="240" w:lineRule="auto"/>
              <w:ind w:firstLine="0"/>
              <w:jc w:val="center"/>
              <w:rPr>
                <w:rFonts w:hint="eastAsia" w:eastAsia="宋体"/>
                <w:sz w:val="21"/>
                <w:szCs w:val="21"/>
                <w:lang w:eastAsia="zh-CN"/>
              </w:rPr>
            </w:pPr>
            <w:r>
              <w:rPr>
                <w:rFonts w:hint="eastAsia"/>
                <w:sz w:val="21"/>
                <w:szCs w:val="21"/>
                <w:lang w:eastAsia="zh-CN"/>
              </w:rPr>
              <w:t>序号</w:t>
            </w:r>
          </w:p>
        </w:tc>
        <w:tc>
          <w:tcPr>
            <w:tcW w:w="3076" w:type="pct"/>
            <w:noWrap w:val="0"/>
            <w:vAlign w:val="center"/>
          </w:tcPr>
          <w:p>
            <w:pPr>
              <w:spacing w:line="240" w:lineRule="auto"/>
              <w:ind w:firstLine="0"/>
              <w:jc w:val="center"/>
              <w:rPr>
                <w:rFonts w:hint="eastAsia"/>
                <w:sz w:val="21"/>
                <w:szCs w:val="21"/>
              </w:rPr>
            </w:pPr>
            <w:r>
              <w:rPr>
                <w:rFonts w:hint="eastAsia"/>
                <w:sz w:val="21"/>
                <w:szCs w:val="21"/>
              </w:rPr>
              <w:t>项目</w:t>
            </w:r>
          </w:p>
        </w:tc>
        <w:tc>
          <w:tcPr>
            <w:tcW w:w="1314" w:type="pct"/>
            <w:noWrap w:val="0"/>
            <w:vAlign w:val="center"/>
          </w:tcPr>
          <w:p>
            <w:pPr>
              <w:spacing w:line="240" w:lineRule="auto"/>
              <w:ind w:firstLine="0"/>
              <w:jc w:val="center"/>
              <w:rPr>
                <w:rFonts w:hint="eastAsia"/>
                <w:sz w:val="21"/>
                <w:szCs w:val="21"/>
              </w:rPr>
            </w:pPr>
            <w:r>
              <w:rPr>
                <w:rFonts w:hint="eastAsia"/>
                <w:sz w:val="21"/>
                <w:szCs w:val="21"/>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09" w:type="pct"/>
            <w:noWrap w:val="0"/>
            <w:vAlign w:val="center"/>
          </w:tcPr>
          <w:p>
            <w:pPr>
              <w:spacing w:line="240" w:lineRule="auto"/>
              <w:ind w:firstLine="0"/>
              <w:jc w:val="center"/>
              <w:rPr>
                <w:rFonts w:hint="default"/>
                <w:sz w:val="21"/>
                <w:szCs w:val="21"/>
                <w:lang w:val="en-US" w:eastAsia="zh-CN"/>
              </w:rPr>
            </w:pPr>
            <w:r>
              <w:rPr>
                <w:rFonts w:hint="eastAsia" w:ascii="Times New Roman" w:hAnsi="Times New Roman"/>
                <w:sz w:val="21"/>
                <w:szCs w:val="21"/>
                <w:lang w:val="en-US" w:eastAsia="zh-CN"/>
              </w:rPr>
              <w:t>1</w:t>
            </w:r>
          </w:p>
        </w:tc>
        <w:tc>
          <w:tcPr>
            <w:tcW w:w="3076" w:type="pct"/>
            <w:noWrap w:val="0"/>
            <w:vAlign w:val="center"/>
          </w:tcPr>
          <w:p>
            <w:pPr>
              <w:spacing w:line="240" w:lineRule="auto"/>
              <w:ind w:firstLine="0"/>
              <w:jc w:val="center"/>
              <w:rPr>
                <w:rFonts w:hint="default"/>
                <w:sz w:val="21"/>
                <w:szCs w:val="21"/>
                <w:lang w:val="en-US"/>
              </w:rPr>
            </w:pPr>
            <w:r>
              <w:rPr>
                <w:rFonts w:hint="eastAsia" w:ascii="Times New Roman" w:hAnsi="Times New Roman"/>
                <w:sz w:val="21"/>
                <w:szCs w:val="21"/>
                <w:lang w:eastAsia="zh-CN"/>
              </w:rPr>
              <w:t>PD</w:t>
            </w:r>
            <w:r>
              <w:rPr>
                <w:rFonts w:hint="eastAsia"/>
                <w:sz w:val="21"/>
                <w:szCs w:val="21"/>
                <w:lang w:eastAsia="zh-CN"/>
              </w:rPr>
              <w:t>，</w:t>
            </w:r>
            <w:r>
              <w:rPr>
                <w:rFonts w:hint="eastAsia" w:ascii="Times New Roman" w:hAnsi="Times New Roman"/>
                <w:sz w:val="21"/>
                <w:szCs w:val="21"/>
                <w:lang w:val="en-US" w:eastAsia="zh-CN"/>
              </w:rPr>
              <w:t>w</w:t>
            </w:r>
            <w:r>
              <w:rPr>
                <w:rFonts w:hint="eastAsia"/>
                <w:sz w:val="21"/>
                <w:szCs w:val="21"/>
                <w:lang w:val="en-US" w:eastAsia="zh-CN"/>
              </w:rPr>
              <w:t>/%</w:t>
            </w:r>
          </w:p>
        </w:tc>
        <w:tc>
          <w:tcPr>
            <w:tcW w:w="1314" w:type="pct"/>
            <w:noWrap w:val="0"/>
            <w:vAlign w:val="center"/>
          </w:tcPr>
          <w:p>
            <w:pPr>
              <w:spacing w:line="240" w:lineRule="auto"/>
              <w:ind w:firstLine="0"/>
              <w:jc w:val="center"/>
              <w:rPr>
                <w:rFonts w:hint="default" w:ascii="Times New Roman" w:eastAsia="宋体"/>
                <w:sz w:val="21"/>
                <w:szCs w:val="21"/>
                <w:lang w:val="en-US" w:eastAsia="zh-CN"/>
              </w:rPr>
            </w:pPr>
            <w:r>
              <w:rPr>
                <w:rFonts w:hint="default" w:ascii="Times New Roman"/>
                <w:sz w:val="21"/>
                <w:szCs w:val="21"/>
                <w:lang w:val="en-US"/>
              </w:rPr>
              <w:t>≥</w:t>
            </w:r>
            <w:r>
              <w:rPr>
                <w:rFonts w:hint="eastAsia" w:ascii="Times New Roman" w:hAnsi="Times New Roman"/>
                <w:sz w:val="21"/>
                <w:szCs w:val="21"/>
                <w:lang w:val="en-US" w:eastAsia="zh-CN"/>
              </w:rPr>
              <w:t>99</w:t>
            </w:r>
            <w:r>
              <w:rPr>
                <w:rFonts w:hint="eastAsia" w:ascii="Times New Roman"/>
                <w:sz w:val="21"/>
                <w:szCs w:val="21"/>
                <w:lang w:val="en-US" w:eastAsia="zh-CN"/>
              </w:rPr>
              <w:t>.</w:t>
            </w:r>
            <w:r>
              <w:rPr>
                <w:rFonts w:hint="eastAsia" w:ascii="Times New Roman" w:hAnsi="Times New Roman"/>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09" w:type="pct"/>
            <w:noWrap w:val="0"/>
            <w:vAlign w:val="center"/>
          </w:tcPr>
          <w:p>
            <w:pPr>
              <w:spacing w:line="240" w:lineRule="auto"/>
              <w:ind w:firstLine="0"/>
              <w:jc w:val="center"/>
              <w:rPr>
                <w:rFonts w:hint="default"/>
                <w:sz w:val="21"/>
                <w:szCs w:val="21"/>
                <w:lang w:val="en-US" w:eastAsia="zh-CN"/>
              </w:rPr>
            </w:pPr>
            <w:r>
              <w:rPr>
                <w:rFonts w:hint="eastAsia" w:ascii="Times New Roman" w:hAnsi="Times New Roman"/>
                <w:sz w:val="21"/>
                <w:szCs w:val="21"/>
                <w:lang w:val="en-US" w:eastAsia="zh-CN"/>
              </w:rPr>
              <w:t>2</w:t>
            </w:r>
          </w:p>
        </w:tc>
        <w:tc>
          <w:tcPr>
            <w:tcW w:w="3076" w:type="pct"/>
            <w:noWrap w:val="0"/>
            <w:vAlign w:val="center"/>
          </w:tcPr>
          <w:p>
            <w:pPr>
              <w:spacing w:line="240" w:lineRule="auto"/>
              <w:ind w:firstLine="0"/>
              <w:jc w:val="center"/>
              <w:rPr>
                <w:rFonts w:hint="default"/>
                <w:sz w:val="21"/>
                <w:szCs w:val="21"/>
                <w:lang w:val="en-US" w:eastAsia="zh-CN"/>
              </w:rPr>
            </w:pPr>
            <w:r>
              <w:rPr>
                <w:rFonts w:hint="eastAsia"/>
                <w:sz w:val="21"/>
                <w:szCs w:val="21"/>
                <w:lang w:eastAsia="zh-CN"/>
              </w:rPr>
              <w:t>色度，</w:t>
            </w:r>
            <w:r>
              <w:rPr>
                <w:rFonts w:hint="eastAsia" w:ascii="Times New Roman" w:hAnsi="Times New Roman"/>
                <w:sz w:val="21"/>
                <w:szCs w:val="21"/>
                <w:lang w:val="en-US" w:eastAsia="zh-CN"/>
              </w:rPr>
              <w:t>Hazen</w:t>
            </w:r>
            <w:r>
              <w:rPr>
                <w:rFonts w:hint="eastAsia"/>
                <w:sz w:val="21"/>
                <w:szCs w:val="21"/>
                <w:lang w:val="en-US" w:eastAsia="zh-CN"/>
              </w:rPr>
              <w:t>单位（铂-钴色号）</w:t>
            </w:r>
          </w:p>
        </w:tc>
        <w:tc>
          <w:tcPr>
            <w:tcW w:w="1314" w:type="pct"/>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sz w:val="21"/>
                <w:szCs w:val="21"/>
                <w:lang w:val="en-US" w:eastAsia="zh-CN"/>
              </w:rPr>
              <w:t>≤</w:t>
            </w:r>
            <w:r>
              <w:rPr>
                <w:rFonts w:hint="eastAsia" w:ascii="Times New Roman" w:hAnsi="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09" w:type="pct"/>
            <w:noWrap w:val="0"/>
            <w:vAlign w:val="center"/>
          </w:tcPr>
          <w:p>
            <w:pPr>
              <w:spacing w:line="240" w:lineRule="auto"/>
              <w:ind w:firstLine="0"/>
              <w:jc w:val="center"/>
              <w:rPr>
                <w:rFonts w:hint="default"/>
                <w:sz w:val="21"/>
                <w:szCs w:val="21"/>
                <w:lang w:val="en-US" w:eastAsia="zh-CN"/>
              </w:rPr>
            </w:pPr>
            <w:r>
              <w:rPr>
                <w:rFonts w:hint="eastAsia" w:ascii="Times New Roman" w:hAnsi="Times New Roman"/>
                <w:sz w:val="21"/>
                <w:szCs w:val="21"/>
                <w:lang w:val="en-US" w:eastAsia="zh-CN"/>
              </w:rPr>
              <w:t>3</w:t>
            </w:r>
          </w:p>
        </w:tc>
        <w:tc>
          <w:tcPr>
            <w:tcW w:w="3076" w:type="pct"/>
            <w:noWrap w:val="0"/>
            <w:vAlign w:val="center"/>
          </w:tcPr>
          <w:p>
            <w:pPr>
              <w:spacing w:line="240" w:lineRule="auto"/>
              <w:ind w:firstLine="0"/>
              <w:jc w:val="center"/>
              <w:rPr>
                <w:rFonts w:hint="default"/>
                <w:sz w:val="21"/>
                <w:szCs w:val="21"/>
                <w:lang w:val="en-US" w:eastAsia="zh-CN"/>
              </w:rPr>
            </w:pPr>
            <w:r>
              <w:rPr>
                <w:rFonts w:hint="eastAsia"/>
                <w:sz w:val="21"/>
                <w:szCs w:val="21"/>
                <w:lang w:eastAsia="zh-CN"/>
              </w:rPr>
              <w:t>水，</w:t>
            </w:r>
            <w:r>
              <w:rPr>
                <w:rFonts w:hint="eastAsia" w:ascii="Times New Roman" w:hAnsi="Times New Roman"/>
                <w:sz w:val="21"/>
                <w:szCs w:val="21"/>
                <w:lang w:val="en-US" w:eastAsia="zh-CN"/>
              </w:rPr>
              <w:t>w</w:t>
            </w:r>
            <w:r>
              <w:rPr>
                <w:rFonts w:hint="eastAsia"/>
                <w:sz w:val="21"/>
                <w:szCs w:val="21"/>
                <w:lang w:val="en-US" w:eastAsia="zh-CN"/>
              </w:rPr>
              <w:t>/%</w:t>
            </w:r>
          </w:p>
        </w:tc>
        <w:tc>
          <w:tcPr>
            <w:tcW w:w="1314" w:type="pct"/>
            <w:noWrap w:val="0"/>
            <w:vAlign w:val="center"/>
          </w:tcPr>
          <w:p>
            <w:pPr>
              <w:spacing w:line="240" w:lineRule="auto"/>
              <w:ind w:firstLine="0"/>
              <w:jc w:val="center"/>
              <w:rPr>
                <w:rFonts w:hint="default" w:ascii="Times New Roman" w:eastAsia="宋体"/>
                <w:sz w:val="21"/>
                <w:szCs w:val="21"/>
                <w:lang w:val="en-US" w:eastAsia="zh-CN"/>
              </w:rPr>
            </w:pPr>
            <w:r>
              <w:rPr>
                <w:rFonts w:hint="eastAsia"/>
                <w:sz w:val="21"/>
                <w:szCs w:val="21"/>
                <w:lang w:val="en-US" w:eastAsia="zh-CN"/>
              </w:rPr>
              <w:t>≤</w:t>
            </w: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09" w:type="pct"/>
            <w:noWrap w:val="0"/>
            <w:vAlign w:val="center"/>
          </w:tcPr>
          <w:p>
            <w:pPr>
              <w:spacing w:line="240" w:lineRule="auto"/>
              <w:ind w:firstLine="0"/>
              <w:jc w:val="center"/>
              <w:rPr>
                <w:rFonts w:hint="default"/>
                <w:sz w:val="21"/>
                <w:szCs w:val="21"/>
                <w:lang w:val="en-US" w:eastAsia="zh-CN"/>
              </w:rPr>
            </w:pPr>
            <w:r>
              <w:rPr>
                <w:rFonts w:hint="eastAsia" w:ascii="Times New Roman" w:hAnsi="Times New Roman"/>
                <w:sz w:val="21"/>
                <w:szCs w:val="21"/>
                <w:lang w:val="en-US" w:eastAsia="zh-CN"/>
              </w:rPr>
              <w:t>4</w:t>
            </w:r>
          </w:p>
        </w:tc>
        <w:tc>
          <w:tcPr>
            <w:tcW w:w="3076" w:type="pct"/>
            <w:noWrap w:val="0"/>
            <w:vAlign w:val="center"/>
          </w:tcPr>
          <w:p>
            <w:pPr>
              <w:spacing w:line="240" w:lineRule="auto"/>
              <w:ind w:firstLine="0"/>
              <w:jc w:val="center"/>
              <w:rPr>
                <w:rFonts w:hint="eastAsia"/>
                <w:sz w:val="21"/>
                <w:szCs w:val="21"/>
              </w:rPr>
            </w:pPr>
            <w:r>
              <w:rPr>
                <w:rFonts w:hint="eastAsia" w:ascii="Times New Roman" w:hAnsi="Times New Roman"/>
                <w:sz w:val="21"/>
                <w:szCs w:val="21"/>
                <w:lang w:eastAsia="zh-CN"/>
              </w:rPr>
              <w:t>BD</w:t>
            </w:r>
            <w:r>
              <w:rPr>
                <w:rFonts w:hint="eastAsia"/>
                <w:sz w:val="21"/>
                <w:szCs w:val="21"/>
                <w:lang w:eastAsia="zh-CN"/>
              </w:rPr>
              <w:t>，</w:t>
            </w:r>
            <w:r>
              <w:rPr>
                <w:rFonts w:hint="eastAsia" w:ascii="Times New Roman" w:hAnsi="Times New Roman"/>
                <w:sz w:val="21"/>
                <w:szCs w:val="21"/>
                <w:lang w:val="en-US" w:eastAsia="zh-CN"/>
              </w:rPr>
              <w:t>w</w:t>
            </w:r>
            <w:r>
              <w:rPr>
                <w:rFonts w:hint="eastAsia"/>
                <w:sz w:val="21"/>
                <w:szCs w:val="21"/>
                <w:lang w:val="en-US" w:eastAsia="zh-CN"/>
              </w:rPr>
              <w:t>/%</w:t>
            </w:r>
          </w:p>
        </w:tc>
        <w:tc>
          <w:tcPr>
            <w:tcW w:w="1314" w:type="pct"/>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sz w:val="21"/>
                <w:szCs w:val="21"/>
                <w:lang w:val="en-US" w:eastAsia="zh-CN"/>
              </w:rPr>
              <w:t>≤</w:t>
            </w: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09" w:type="pct"/>
            <w:noWrap w:val="0"/>
            <w:vAlign w:val="center"/>
          </w:tcPr>
          <w:p>
            <w:pPr>
              <w:spacing w:line="240" w:lineRule="auto"/>
              <w:ind w:firstLine="0"/>
              <w:jc w:val="center"/>
              <w:rPr>
                <w:rFonts w:hint="default"/>
                <w:sz w:val="21"/>
                <w:szCs w:val="21"/>
                <w:lang w:val="en-US" w:eastAsia="zh-CN"/>
              </w:rPr>
            </w:pPr>
            <w:r>
              <w:rPr>
                <w:rFonts w:hint="eastAsia" w:ascii="Times New Roman" w:hAnsi="Times New Roman"/>
                <w:sz w:val="21"/>
                <w:szCs w:val="21"/>
                <w:lang w:val="en-US" w:eastAsia="zh-CN"/>
              </w:rPr>
              <w:t>5</w:t>
            </w:r>
          </w:p>
        </w:tc>
        <w:tc>
          <w:tcPr>
            <w:tcW w:w="3076" w:type="pct"/>
            <w:noWrap w:val="0"/>
            <w:vAlign w:val="center"/>
          </w:tcPr>
          <w:p>
            <w:pPr>
              <w:spacing w:line="240" w:lineRule="auto"/>
              <w:ind w:firstLine="0"/>
              <w:jc w:val="center"/>
              <w:rPr>
                <w:rFonts w:hint="default"/>
                <w:sz w:val="21"/>
                <w:szCs w:val="21"/>
                <w:lang w:val="en-US" w:eastAsia="zh-CN"/>
              </w:rPr>
            </w:pPr>
            <w:r>
              <w:rPr>
                <w:rFonts w:hint="eastAsia"/>
                <w:sz w:val="21"/>
                <w:szCs w:val="21"/>
                <w:lang w:eastAsia="zh-CN"/>
              </w:rPr>
              <w:t>密度，</w:t>
            </w:r>
            <w:r>
              <w:rPr>
                <w:rFonts w:hint="eastAsia" w:ascii="Times New Roman" w:hAnsi="Times New Roman"/>
                <w:sz w:val="21"/>
                <w:szCs w:val="21"/>
                <w:lang w:eastAsia="zh-CN"/>
              </w:rPr>
              <w:t>ρ</w:t>
            </w:r>
            <w:r>
              <w:rPr>
                <w:rFonts w:hint="eastAsia" w:ascii="Times New Roman" w:hAnsi="Times New Roman"/>
                <w:sz w:val="21"/>
                <w:szCs w:val="21"/>
                <w:vertAlign w:val="subscript"/>
                <w:lang w:val="en-US" w:eastAsia="zh-CN"/>
              </w:rPr>
              <w:t>20</w:t>
            </w:r>
            <w:r>
              <w:rPr>
                <w:rFonts w:hint="eastAsia"/>
                <w:sz w:val="21"/>
                <w:szCs w:val="21"/>
                <w:lang w:val="en-US" w:eastAsia="zh-CN"/>
              </w:rPr>
              <w:t>/（</w:t>
            </w:r>
            <w:r>
              <w:rPr>
                <w:rFonts w:hint="eastAsia" w:ascii="Times New Roman" w:hAnsi="Times New Roman"/>
                <w:sz w:val="21"/>
                <w:szCs w:val="21"/>
                <w:lang w:val="en-US" w:eastAsia="zh-CN"/>
              </w:rPr>
              <w:t>g</w:t>
            </w:r>
            <w:r>
              <w:rPr>
                <w:rFonts w:hint="eastAsia"/>
                <w:sz w:val="21"/>
                <w:szCs w:val="21"/>
                <w:lang w:val="en-US" w:eastAsia="zh-CN"/>
              </w:rPr>
              <w:t>/</w:t>
            </w:r>
            <w:r>
              <w:rPr>
                <w:rFonts w:hint="eastAsia" w:ascii="Times New Roman" w:hAnsi="Times New Roman"/>
                <w:sz w:val="21"/>
                <w:szCs w:val="21"/>
                <w:lang w:val="en-US" w:eastAsia="zh-CN"/>
              </w:rPr>
              <w:t>cm</w:t>
            </w:r>
            <w:r>
              <w:rPr>
                <w:rFonts w:hint="eastAsia"/>
                <w:sz w:val="21"/>
                <w:szCs w:val="21"/>
                <w:lang w:val="en-US" w:eastAsia="zh-CN"/>
              </w:rPr>
              <w:t>³）</w:t>
            </w:r>
          </w:p>
        </w:tc>
        <w:tc>
          <w:tcPr>
            <w:tcW w:w="1314" w:type="pct"/>
            <w:noWrap w:val="0"/>
            <w:vAlign w:val="center"/>
          </w:tcPr>
          <w:p>
            <w:pPr>
              <w:spacing w:line="240" w:lineRule="auto"/>
              <w:ind w:firstLine="0"/>
              <w:jc w:val="center"/>
              <w:rPr>
                <w:rFonts w:hint="default" w:ascii="Times New Roman"/>
                <w:sz w:val="21"/>
                <w:szCs w:val="21"/>
                <w:lang w:val="en-US" w:eastAsia="zh-CN"/>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859</w:t>
            </w:r>
            <w:r>
              <w:rPr>
                <w:rFonts w:hint="eastAsia" w:ascii="Times New Roman"/>
                <w:sz w:val="21"/>
                <w:szCs w:val="21"/>
                <w:lang w:val="en-US" w:eastAsia="zh-CN"/>
              </w:rPr>
              <w:t>～</w:t>
            </w: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867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09" w:type="pct"/>
            <w:noWrap w:val="0"/>
            <w:vAlign w:val="center"/>
          </w:tcPr>
          <w:p>
            <w:pPr>
              <w:spacing w:line="240" w:lineRule="auto"/>
              <w:ind w:firstLine="0"/>
              <w:jc w:val="center"/>
              <w:rPr>
                <w:rFonts w:hint="default"/>
                <w:sz w:val="21"/>
                <w:szCs w:val="21"/>
                <w:lang w:val="en-US" w:eastAsia="zh-CN"/>
              </w:rPr>
            </w:pPr>
            <w:r>
              <w:rPr>
                <w:rFonts w:hint="eastAsia" w:ascii="Times New Roman" w:hAnsi="Times New Roman"/>
                <w:sz w:val="21"/>
                <w:szCs w:val="21"/>
                <w:lang w:val="en-US" w:eastAsia="zh-CN"/>
              </w:rPr>
              <w:t>6</w:t>
            </w:r>
          </w:p>
        </w:tc>
        <w:tc>
          <w:tcPr>
            <w:tcW w:w="3076" w:type="pct"/>
            <w:noWrap w:val="0"/>
            <w:vAlign w:val="center"/>
          </w:tcPr>
          <w:p>
            <w:pPr>
              <w:spacing w:line="240" w:lineRule="auto"/>
              <w:ind w:firstLine="0"/>
              <w:jc w:val="center"/>
              <w:rPr>
                <w:rFonts w:hint="eastAsia" w:eastAsia="宋体"/>
                <w:sz w:val="21"/>
                <w:szCs w:val="21"/>
                <w:lang w:eastAsia="zh-CN"/>
              </w:rPr>
            </w:pPr>
            <w:r>
              <w:rPr>
                <w:rFonts w:hint="eastAsia"/>
                <w:sz w:val="21"/>
                <w:szCs w:val="21"/>
                <w:lang w:eastAsia="zh-CN"/>
              </w:rPr>
              <w:t>与水混合试验</w:t>
            </w:r>
          </w:p>
        </w:tc>
        <w:tc>
          <w:tcPr>
            <w:tcW w:w="1314" w:type="pct"/>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sz w:val="21"/>
                <w:szCs w:val="21"/>
                <w:lang w:val="en-US" w:eastAsia="zh-CN"/>
              </w:rPr>
              <w:t>通过试验</w:t>
            </w:r>
          </w:p>
        </w:tc>
      </w:tr>
    </w:tbl>
    <w:p>
      <w:pPr>
        <w:pStyle w:val="5"/>
        <w:spacing w:before="156"/>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2</w:t>
      </w:r>
      <w:r>
        <w:rPr>
          <w:rFonts w:hint="eastAsia"/>
        </w:rPr>
        <w:t>项目组成</w:t>
      </w:r>
    </w:p>
    <w:p>
      <w:pPr>
        <w:rPr>
          <w:rFonts w:hint="eastAsia"/>
        </w:rPr>
      </w:pPr>
      <w:r>
        <w:rPr>
          <w:rFonts w:hint="eastAsia"/>
          <w:lang w:val="en-US" w:eastAsia="zh-CN"/>
        </w:rPr>
        <w:t>本项目</w:t>
      </w:r>
      <w:r>
        <w:rPr>
          <w:rFonts w:hint="eastAsia" w:ascii="Times New Roman"/>
          <w:lang w:val="en-US" w:eastAsia="zh-CN"/>
        </w:rPr>
        <w:t>建设组成见表</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1</w:t>
      </w:r>
      <w:r>
        <w:rPr>
          <w:rFonts w:hint="eastAsia" w:ascii="Times New Roman"/>
          <w:lang w:val="en-US" w:eastAsia="zh-CN"/>
        </w:rPr>
        <w:t>-</w:t>
      </w:r>
      <w:r>
        <w:rPr>
          <w:rFonts w:hint="eastAsia" w:ascii="Times New Roman" w:hAnsi="Times New Roman"/>
          <w:lang w:val="en-US" w:eastAsia="zh-CN"/>
        </w:rPr>
        <w:t>5</w:t>
      </w:r>
      <w:r>
        <w:rPr>
          <w:rFonts w:hint="eastAsia" w:ascii="Times New Roman"/>
          <w:lang w:val="en-US" w:eastAsia="zh-CN"/>
        </w:rPr>
        <w:t>。</w:t>
      </w:r>
    </w:p>
    <w:p>
      <w:pPr>
        <w:pStyle w:val="20"/>
        <w:spacing w:before="156"/>
        <w:rPr>
          <w:rFonts w:hint="eastAsia" w:eastAsia="宋体"/>
          <w:lang w:eastAsia="zh-CN"/>
        </w:rPr>
      </w:pPr>
      <w:r>
        <w:rPr>
          <w:rFonts w:hint="eastAsia"/>
        </w:rPr>
        <w:t>表</w:t>
      </w:r>
      <w:r>
        <w:rPr>
          <w:rFonts w:hint="eastAsia" w:ascii="Times New Roman" w:hAnsi="Times New Roman"/>
          <w:lang w:val="en-US" w:eastAsia="zh-CN"/>
        </w:rPr>
        <w:t>4</w:t>
      </w:r>
      <w:r>
        <w:rPr>
          <w:rFonts w:hint="eastAsia"/>
        </w:rPr>
        <w:t>.</w:t>
      </w:r>
      <w:r>
        <w:rPr>
          <w:rFonts w:hint="eastAsia" w:ascii="Times New Roman" w:hAnsi="Times New Roman"/>
          <w:color w:val="auto"/>
          <w:lang w:val="en-US" w:eastAsia="zh-CN"/>
        </w:rPr>
        <w:t>1</w:t>
      </w:r>
      <w:r>
        <w:rPr>
          <w:rFonts w:hint="eastAsia"/>
          <w:color w:val="auto"/>
        </w:rPr>
        <w:t>-</w:t>
      </w:r>
      <w:r>
        <w:rPr>
          <w:rFonts w:hint="eastAsia" w:ascii="Times New Roman" w:hAnsi="Times New Roman"/>
          <w:color w:val="auto"/>
          <w:lang w:val="en-US" w:eastAsia="zh-CN"/>
        </w:rPr>
        <w:t>5</w:t>
      </w:r>
      <w:r>
        <w:rPr>
          <w:rFonts w:hint="eastAsia"/>
          <w:color w:val="auto"/>
        </w:rPr>
        <w:t xml:space="preserve">  </w:t>
      </w:r>
      <w:r>
        <w:rPr>
          <w:rFonts w:hint="eastAsia"/>
          <w:color w:val="auto"/>
          <w:lang w:eastAsia="zh-CN"/>
        </w:rPr>
        <w:t>项目</w:t>
      </w:r>
      <w:r>
        <w:rPr>
          <w:rFonts w:hint="eastAsia"/>
          <w:color w:val="auto"/>
        </w:rPr>
        <w:t>建设组成一</w:t>
      </w:r>
      <w:r>
        <w:rPr>
          <w:rFonts w:hint="eastAsia"/>
        </w:rPr>
        <w:t>览表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598"/>
        <w:gridCol w:w="993"/>
        <w:gridCol w:w="6169"/>
        <w:gridCol w:w="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71"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工程</w:t>
            </w:r>
          </w:p>
          <w:p>
            <w:pPr>
              <w:spacing w:line="240" w:lineRule="auto"/>
              <w:ind w:firstLine="0"/>
              <w:jc w:val="center"/>
              <w:rPr>
                <w:rFonts w:hint="eastAsia" w:hAnsi="宋体" w:cs="宋体"/>
                <w:spacing w:val="-11"/>
                <w:sz w:val="21"/>
                <w:szCs w:val="21"/>
              </w:rPr>
            </w:pPr>
            <w:r>
              <w:rPr>
                <w:rFonts w:hint="eastAsia" w:hAnsi="宋体" w:cs="宋体"/>
                <w:spacing w:val="-11"/>
                <w:sz w:val="21"/>
                <w:szCs w:val="21"/>
              </w:rPr>
              <w:t>类别</w:t>
            </w:r>
          </w:p>
        </w:tc>
        <w:tc>
          <w:tcPr>
            <w:tcW w:w="1591" w:type="dxa"/>
            <w:gridSpan w:val="2"/>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工程名称</w:t>
            </w:r>
          </w:p>
        </w:tc>
        <w:tc>
          <w:tcPr>
            <w:tcW w:w="6169"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工程内容</w:t>
            </w:r>
          </w:p>
        </w:tc>
        <w:tc>
          <w:tcPr>
            <w:tcW w:w="74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主体</w:t>
            </w:r>
          </w:p>
          <w:p>
            <w:pPr>
              <w:spacing w:line="240" w:lineRule="auto"/>
              <w:ind w:firstLine="0"/>
              <w:jc w:val="center"/>
              <w:rPr>
                <w:rFonts w:hint="eastAsia" w:hAnsi="宋体" w:cs="宋体"/>
                <w:spacing w:val="-11"/>
                <w:sz w:val="21"/>
                <w:szCs w:val="21"/>
              </w:rPr>
            </w:pPr>
            <w:r>
              <w:rPr>
                <w:rFonts w:hint="eastAsia" w:hAnsi="宋体" w:cs="宋体"/>
                <w:spacing w:val="-11"/>
                <w:sz w:val="21"/>
                <w:szCs w:val="21"/>
              </w:rPr>
              <w:t>工程</w:t>
            </w: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ascii="Times New Roman" w:hAnsi="Times New Roman" w:cs="宋体"/>
                <w:spacing w:val="-11"/>
                <w:sz w:val="21"/>
                <w:szCs w:val="21"/>
                <w:lang w:eastAsia="zh-CN"/>
              </w:rPr>
              <w:t>PD</w:t>
            </w:r>
            <w:r>
              <w:rPr>
                <w:rFonts w:hint="eastAsia" w:cs="宋体"/>
                <w:spacing w:val="-11"/>
                <w:sz w:val="21"/>
                <w:szCs w:val="21"/>
                <w:lang w:eastAsia="zh-CN"/>
              </w:rPr>
              <w:t>生产装置</w:t>
            </w:r>
          </w:p>
        </w:tc>
        <w:tc>
          <w:tcPr>
            <w:tcW w:w="6169" w:type="dxa"/>
            <w:noWrap w:val="0"/>
            <w:vAlign w:val="center"/>
          </w:tcPr>
          <w:p>
            <w:pPr>
              <w:spacing w:line="240" w:lineRule="auto"/>
              <w:ind w:firstLine="0"/>
              <w:jc w:val="center"/>
              <w:rPr>
                <w:rFonts w:hint="default" w:hAnsi="宋体" w:cs="宋体"/>
                <w:spacing w:val="-11"/>
                <w:sz w:val="21"/>
                <w:szCs w:val="21"/>
                <w:lang w:val="en-US"/>
              </w:rPr>
            </w:pPr>
            <w:r>
              <w:rPr>
                <w:rFonts w:hint="eastAsia" w:cs="宋体"/>
                <w:color w:val="auto"/>
                <w:spacing w:val="-11"/>
                <w:sz w:val="21"/>
                <w:szCs w:val="21"/>
                <w:lang w:val="en-US" w:eastAsia="zh-CN"/>
              </w:rPr>
              <w:t>包括</w:t>
            </w:r>
            <w:r>
              <w:rPr>
                <w:rFonts w:hint="eastAsia" w:ascii="Times New Roman" w:hAnsi="Times New Roman" w:cs="宋体"/>
                <w:color w:val="auto"/>
                <w:spacing w:val="-11"/>
                <w:sz w:val="21"/>
                <w:szCs w:val="21"/>
                <w:lang w:val="en-US" w:eastAsia="zh-CN"/>
              </w:rPr>
              <w:t>PD</w:t>
            </w:r>
            <w:r>
              <w:rPr>
                <w:rFonts w:hint="eastAsia" w:cs="宋体"/>
                <w:color w:val="auto"/>
                <w:spacing w:val="-11"/>
                <w:sz w:val="21"/>
                <w:szCs w:val="21"/>
                <w:lang w:val="en-US" w:eastAsia="zh-CN"/>
              </w:rPr>
              <w:t>反应器、回流罐、中间产品罐、气液分离器、</w:t>
            </w:r>
            <w:r>
              <w:rPr>
                <w:rFonts w:hint="eastAsia" w:ascii="Times New Roman" w:hAnsi="Times New Roman" w:cs="宋体"/>
                <w:color w:val="auto"/>
                <w:spacing w:val="-11"/>
                <w:sz w:val="21"/>
                <w:szCs w:val="21"/>
                <w:lang w:val="en-US" w:eastAsia="zh-CN"/>
              </w:rPr>
              <w:t>PD</w:t>
            </w:r>
            <w:r>
              <w:rPr>
                <w:rFonts w:hint="eastAsia" w:cs="宋体"/>
                <w:color w:val="auto"/>
                <w:spacing w:val="-11"/>
                <w:sz w:val="21"/>
                <w:szCs w:val="21"/>
                <w:lang w:val="en-US" w:eastAsia="zh-CN"/>
              </w:rPr>
              <w:t>成品塔、冷凝器、塔底再沸器等相关设备，形成一条</w:t>
            </w:r>
            <w:r>
              <w:rPr>
                <w:rFonts w:hint="eastAsia" w:ascii="Times New Roman" w:hAnsi="Times New Roman" w:cs="宋体"/>
                <w:color w:val="auto"/>
                <w:spacing w:val="-11"/>
                <w:sz w:val="21"/>
                <w:szCs w:val="21"/>
                <w:lang w:val="en-US" w:eastAsia="zh-CN"/>
              </w:rPr>
              <w:t>PD</w:t>
            </w:r>
            <w:r>
              <w:rPr>
                <w:rFonts w:hint="eastAsia" w:cs="宋体"/>
                <w:color w:val="auto"/>
                <w:spacing w:val="-11"/>
                <w:sz w:val="21"/>
                <w:szCs w:val="21"/>
                <w:lang w:val="en-US" w:eastAsia="zh-CN"/>
              </w:rPr>
              <w:t>生产线</w:t>
            </w:r>
          </w:p>
        </w:tc>
        <w:tc>
          <w:tcPr>
            <w:tcW w:w="743" w:type="dxa"/>
            <w:noWrap w:val="0"/>
            <w:vAlign w:val="center"/>
          </w:tcPr>
          <w:p>
            <w:pPr>
              <w:spacing w:line="240" w:lineRule="auto"/>
              <w:ind w:firstLine="0"/>
              <w:jc w:val="center"/>
              <w:rPr>
                <w:rFonts w:hint="eastAsia" w:cs="宋体"/>
                <w:color w:val="auto"/>
                <w:spacing w:val="-11"/>
                <w:sz w:val="21"/>
                <w:szCs w:val="21"/>
                <w:lang w:val="en-US" w:eastAsia="zh-CN"/>
              </w:rPr>
            </w:pPr>
            <w:r>
              <w:rPr>
                <w:rFonts w:hint="eastAsia" w:cs="宋体"/>
                <w:color w:val="auto"/>
                <w:spacing w:val="-1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71" w:type="dxa"/>
            <w:vMerge w:val="restar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辅助</w:t>
            </w:r>
          </w:p>
          <w:p>
            <w:pPr>
              <w:spacing w:line="240" w:lineRule="auto"/>
              <w:ind w:firstLine="0"/>
              <w:jc w:val="center"/>
              <w:rPr>
                <w:rFonts w:hint="eastAsia" w:hAnsi="宋体" w:cs="宋体"/>
                <w:spacing w:val="-11"/>
                <w:sz w:val="21"/>
                <w:szCs w:val="21"/>
              </w:rPr>
            </w:pPr>
            <w:r>
              <w:rPr>
                <w:rFonts w:hint="eastAsia" w:hAnsi="宋体" w:cs="宋体"/>
                <w:spacing w:val="-11"/>
                <w:sz w:val="21"/>
                <w:szCs w:val="21"/>
              </w:rPr>
              <w:t>工程</w:t>
            </w:r>
          </w:p>
        </w:tc>
        <w:tc>
          <w:tcPr>
            <w:tcW w:w="1591" w:type="dxa"/>
            <w:gridSpan w:val="2"/>
            <w:noWrap w:val="0"/>
            <w:vAlign w:val="center"/>
          </w:tcPr>
          <w:p>
            <w:pPr>
              <w:spacing w:line="240" w:lineRule="auto"/>
              <w:ind w:firstLine="0" w:firstLineChars="0"/>
              <w:jc w:val="center"/>
              <w:rPr>
                <w:rFonts w:hint="eastAsia" w:ascii="宋体" w:hAnsi="宋体" w:eastAsia="宋体" w:cs="宋体"/>
                <w:color w:val="auto"/>
                <w:spacing w:val="-11"/>
                <w:sz w:val="21"/>
                <w:szCs w:val="21"/>
                <w:lang w:val="en-US" w:eastAsia="zh-CN" w:bidi="ar-SA"/>
              </w:rPr>
            </w:pPr>
            <w:r>
              <w:rPr>
                <w:rFonts w:hint="eastAsia" w:cs="宋体"/>
                <w:color w:val="auto"/>
                <w:spacing w:val="-11"/>
                <w:sz w:val="21"/>
                <w:szCs w:val="21"/>
                <w:lang w:eastAsia="zh-CN"/>
              </w:rPr>
              <w:t>循环水站</w:t>
            </w:r>
          </w:p>
        </w:tc>
        <w:tc>
          <w:tcPr>
            <w:tcW w:w="6169" w:type="dxa"/>
            <w:noWrap w:val="0"/>
            <w:vAlign w:val="center"/>
          </w:tcPr>
          <w:p>
            <w:pPr>
              <w:spacing w:line="240" w:lineRule="auto"/>
              <w:ind w:firstLine="0" w:firstLineChars="0"/>
              <w:jc w:val="center"/>
              <w:rPr>
                <w:rFonts w:hint="default" w:ascii="宋体" w:hAnsi="宋体" w:eastAsia="宋体" w:cs="宋体"/>
                <w:color w:val="auto"/>
                <w:spacing w:val="-11"/>
                <w:sz w:val="21"/>
                <w:szCs w:val="21"/>
                <w:lang w:val="en-US" w:eastAsia="zh-CN" w:bidi="ar-SA"/>
              </w:rPr>
            </w:pPr>
            <w:r>
              <w:rPr>
                <w:rFonts w:hint="eastAsia" w:cs="宋体"/>
                <w:color w:val="auto"/>
                <w:spacing w:val="-11"/>
                <w:sz w:val="21"/>
                <w:szCs w:val="21"/>
                <w:lang w:val="en-US" w:eastAsia="zh-CN"/>
              </w:rPr>
              <w:t>依托现有工程</w:t>
            </w:r>
            <w:r>
              <w:rPr>
                <w:rFonts w:hint="eastAsia" w:ascii="Times New Roman" w:hAnsi="Times New Roman" w:cs="宋体"/>
                <w:color w:val="auto"/>
                <w:spacing w:val="-11"/>
                <w:sz w:val="21"/>
                <w:szCs w:val="21"/>
                <w:lang w:val="en-US" w:eastAsia="zh-CN"/>
              </w:rPr>
              <w:t>3</w:t>
            </w:r>
            <w:r>
              <w:rPr>
                <w:rFonts w:hint="eastAsia" w:cs="宋体"/>
                <w:color w:val="auto"/>
                <w:spacing w:val="-11"/>
                <w:sz w:val="21"/>
                <w:szCs w:val="21"/>
                <w:lang w:val="en-US" w:eastAsia="zh-CN"/>
              </w:rPr>
              <w:t>#动力站设置的</w:t>
            </w:r>
            <w:r>
              <w:rPr>
                <w:rFonts w:hint="eastAsia" w:ascii="Times New Roman" w:hAnsi="Times New Roman" w:cs="宋体"/>
                <w:color w:val="auto"/>
                <w:spacing w:val="-11"/>
                <w:sz w:val="21"/>
                <w:szCs w:val="21"/>
                <w:lang w:val="en-US" w:eastAsia="zh-CN"/>
              </w:rPr>
              <w:t>12000t</w:t>
            </w:r>
            <w:r>
              <w:rPr>
                <w:rFonts w:hint="eastAsia" w:cs="宋体"/>
                <w:color w:val="auto"/>
                <w:spacing w:val="-11"/>
                <w:sz w:val="21"/>
                <w:szCs w:val="21"/>
                <w:lang w:val="en-US" w:eastAsia="zh-CN"/>
              </w:rPr>
              <w:t>/</w:t>
            </w:r>
            <w:r>
              <w:rPr>
                <w:rFonts w:hint="eastAsia" w:ascii="Times New Roman" w:hAnsi="Times New Roman" w:cs="宋体"/>
                <w:color w:val="auto"/>
                <w:spacing w:val="-11"/>
                <w:sz w:val="21"/>
                <w:szCs w:val="21"/>
                <w:lang w:val="en-US" w:eastAsia="zh-CN"/>
              </w:rPr>
              <w:t>h</w:t>
            </w:r>
            <w:r>
              <w:rPr>
                <w:rFonts w:hint="eastAsia" w:cs="宋体"/>
                <w:color w:val="auto"/>
                <w:spacing w:val="-11"/>
                <w:sz w:val="21"/>
                <w:szCs w:val="21"/>
                <w:lang w:val="en-US" w:eastAsia="zh-CN"/>
              </w:rPr>
              <w:t>循环水系统及配套的加药设施</w:t>
            </w:r>
          </w:p>
        </w:tc>
        <w:tc>
          <w:tcPr>
            <w:tcW w:w="743" w:type="dxa"/>
            <w:noWrap w:val="0"/>
            <w:vAlign w:val="center"/>
          </w:tcPr>
          <w:p>
            <w:pPr>
              <w:spacing w:line="240" w:lineRule="auto"/>
              <w:ind w:firstLine="0" w:firstLineChars="0"/>
              <w:jc w:val="center"/>
              <w:rPr>
                <w:rFonts w:hint="eastAsia" w:hAnsi="宋体" w:cs="宋体"/>
                <w:color w:val="auto"/>
                <w:spacing w:val="-11"/>
                <w:sz w:val="21"/>
                <w:szCs w:val="21"/>
                <w:lang w:val="en-US" w:eastAsia="zh-CN"/>
              </w:rPr>
            </w:pPr>
            <w:r>
              <w:rPr>
                <w:rFonts w:hint="eastAsia" w:cs="宋体"/>
                <w:color w:val="auto"/>
                <w:spacing w:val="-11"/>
                <w:sz w:val="21"/>
                <w:szCs w:val="21"/>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eastAsia="宋体" w:cs="宋体"/>
                <w:color w:val="auto"/>
                <w:spacing w:val="-11"/>
                <w:sz w:val="21"/>
                <w:szCs w:val="21"/>
                <w:lang w:eastAsia="zh-CN"/>
              </w:rPr>
            </w:pPr>
            <w:r>
              <w:rPr>
                <w:rFonts w:hint="eastAsia" w:cs="宋体"/>
                <w:color w:val="auto"/>
                <w:spacing w:val="-11"/>
                <w:sz w:val="21"/>
                <w:szCs w:val="21"/>
                <w:lang w:eastAsia="zh-CN"/>
              </w:rPr>
              <w:t>纯水系统</w:t>
            </w:r>
          </w:p>
        </w:tc>
        <w:tc>
          <w:tcPr>
            <w:tcW w:w="6169" w:type="dxa"/>
            <w:noWrap w:val="0"/>
            <w:vAlign w:val="center"/>
          </w:tcPr>
          <w:p>
            <w:pPr>
              <w:spacing w:line="240" w:lineRule="auto"/>
              <w:ind w:firstLine="0"/>
              <w:jc w:val="center"/>
              <w:rPr>
                <w:rFonts w:hint="eastAsia" w:hAnsi="宋体" w:cs="宋体"/>
                <w:color w:val="auto"/>
                <w:spacing w:val="-11"/>
                <w:sz w:val="21"/>
                <w:szCs w:val="21"/>
              </w:rPr>
            </w:pPr>
            <w:r>
              <w:rPr>
                <w:rFonts w:hint="eastAsia" w:cs="宋体"/>
                <w:color w:val="auto"/>
                <w:spacing w:val="-11"/>
                <w:sz w:val="21"/>
                <w:szCs w:val="21"/>
                <w:lang w:eastAsia="zh-CN"/>
              </w:rPr>
              <w:t>依托凯赛（乌苏）生物技术有限公司年产</w:t>
            </w:r>
            <w:r>
              <w:rPr>
                <w:rFonts w:hint="eastAsia" w:ascii="Times New Roman" w:hAnsi="Times New Roman" w:cs="宋体"/>
                <w:color w:val="auto"/>
                <w:spacing w:val="-11"/>
                <w:sz w:val="21"/>
                <w:szCs w:val="21"/>
                <w:lang w:val="en-US" w:eastAsia="zh-CN"/>
              </w:rPr>
              <w:t>3</w:t>
            </w:r>
            <w:r>
              <w:rPr>
                <w:rFonts w:hint="eastAsia" w:cs="宋体"/>
                <w:color w:val="auto"/>
                <w:spacing w:val="-11"/>
                <w:sz w:val="21"/>
                <w:szCs w:val="21"/>
                <w:lang w:val="en-US" w:eastAsia="zh-CN"/>
              </w:rPr>
              <w:t>万吨长链二元酸和</w:t>
            </w:r>
            <w:r>
              <w:rPr>
                <w:rFonts w:hint="eastAsia" w:ascii="Times New Roman" w:hAnsi="Times New Roman" w:cs="宋体"/>
                <w:color w:val="auto"/>
                <w:spacing w:val="-11"/>
                <w:sz w:val="21"/>
                <w:szCs w:val="21"/>
                <w:lang w:val="en-US" w:eastAsia="zh-CN"/>
              </w:rPr>
              <w:t>2</w:t>
            </w:r>
            <w:r>
              <w:rPr>
                <w:rFonts w:hint="eastAsia" w:cs="宋体"/>
                <w:color w:val="auto"/>
                <w:spacing w:val="-11"/>
                <w:sz w:val="21"/>
                <w:szCs w:val="21"/>
                <w:lang w:val="en-US" w:eastAsia="zh-CN"/>
              </w:rPr>
              <w:t>万吨长链聚酰胺项目的纯水系统，</w:t>
            </w:r>
            <w:r>
              <w:rPr>
                <w:rFonts w:hint="eastAsia" w:cs="宋体"/>
                <w:color w:val="auto"/>
                <w:spacing w:val="-11"/>
                <w:sz w:val="21"/>
                <w:szCs w:val="21"/>
                <w:lang w:eastAsia="zh-CN"/>
              </w:rPr>
              <w:t>为本项目仪表提供纯水，输送管道采用碳钢管道</w:t>
            </w:r>
          </w:p>
        </w:tc>
        <w:tc>
          <w:tcPr>
            <w:tcW w:w="743" w:type="dxa"/>
            <w:noWrap w:val="0"/>
            <w:vAlign w:val="center"/>
          </w:tcPr>
          <w:p>
            <w:pPr>
              <w:spacing w:line="240" w:lineRule="auto"/>
              <w:ind w:firstLine="0"/>
              <w:jc w:val="center"/>
              <w:rPr>
                <w:rFonts w:hint="eastAsia" w:hAnsi="宋体" w:cs="宋体"/>
                <w:color w:val="auto"/>
                <w:spacing w:val="-11"/>
                <w:sz w:val="21"/>
                <w:szCs w:val="21"/>
                <w:lang w:eastAsia="zh-CN"/>
              </w:rPr>
            </w:pPr>
            <w:r>
              <w:rPr>
                <w:rFonts w:hint="eastAsia" w:cs="宋体"/>
                <w:color w:val="auto"/>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蒸汽系统</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eastAsia="zh-CN"/>
              </w:rPr>
              <w:t>蒸汽由厂内动力锅炉提供，其中</w:t>
            </w:r>
            <w:r>
              <w:rPr>
                <w:rFonts w:hint="eastAsia" w:ascii="Times New Roman" w:hAnsi="Times New Roman" w:cs="宋体"/>
                <w:spacing w:val="-11"/>
                <w:sz w:val="21"/>
                <w:szCs w:val="21"/>
                <w:lang w:val="en-US" w:eastAsia="zh-CN"/>
              </w:rPr>
              <w:t>0</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6MPa</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G</w:t>
            </w:r>
            <w:r>
              <w:rPr>
                <w:rFonts w:hint="eastAsia" w:cs="宋体"/>
                <w:spacing w:val="-11"/>
                <w:sz w:val="21"/>
                <w:szCs w:val="21"/>
                <w:lang w:val="en-US" w:eastAsia="zh-CN"/>
              </w:rPr>
              <w:t>）蒸汽提供装置用热，</w:t>
            </w:r>
            <w:r>
              <w:rPr>
                <w:rFonts w:hint="eastAsia" w:ascii="Times New Roman" w:hAnsi="Times New Roman" w:cs="宋体"/>
                <w:spacing w:val="-11"/>
                <w:sz w:val="21"/>
                <w:szCs w:val="21"/>
                <w:lang w:val="en-US" w:eastAsia="zh-CN"/>
              </w:rPr>
              <w:t>0</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3MPa</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G</w:t>
            </w:r>
            <w:r>
              <w:rPr>
                <w:rFonts w:hint="eastAsia" w:cs="宋体"/>
                <w:spacing w:val="-11"/>
                <w:sz w:val="21"/>
                <w:szCs w:val="21"/>
                <w:lang w:val="en-US" w:eastAsia="zh-CN"/>
              </w:rPr>
              <w:t>）蒸汽为本项目管道伴热使用</w:t>
            </w:r>
          </w:p>
        </w:tc>
        <w:tc>
          <w:tcPr>
            <w:tcW w:w="74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一次水系统</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val="en-US" w:eastAsia="zh-CN"/>
              </w:rPr>
              <w:t>供水来源为园区净水厂，由厂内新鲜水系统提供，最大供水能力</w:t>
            </w:r>
            <w:r>
              <w:rPr>
                <w:rFonts w:hint="eastAsia" w:ascii="Times New Roman" w:hAnsi="Times New Roman" w:cs="宋体"/>
                <w:spacing w:val="-11"/>
                <w:sz w:val="21"/>
                <w:szCs w:val="21"/>
                <w:lang w:val="en-US" w:eastAsia="zh-CN"/>
              </w:rPr>
              <w:t>700m</w:t>
            </w:r>
            <w:r>
              <w:rPr>
                <w:rFonts w:hint="eastAsia" w:cs="宋体"/>
                <w:spacing w:val="-11"/>
                <w:sz w:val="21"/>
                <w:szCs w:val="21"/>
                <w:lang w:val="en-US" w:eastAsia="zh-CN"/>
              </w:rPr>
              <w:t>³/</w:t>
            </w:r>
            <w:r>
              <w:rPr>
                <w:rFonts w:hint="eastAsia" w:ascii="Times New Roman" w:hAnsi="Times New Roman" w:cs="宋体"/>
                <w:spacing w:val="-11"/>
                <w:sz w:val="21"/>
                <w:szCs w:val="21"/>
                <w:lang w:val="en-US" w:eastAsia="zh-CN"/>
              </w:rPr>
              <w:t>h</w:t>
            </w:r>
            <w:r>
              <w:rPr>
                <w:rFonts w:hint="eastAsia" w:cs="宋体"/>
                <w:spacing w:val="-11"/>
                <w:sz w:val="21"/>
                <w:szCs w:val="21"/>
                <w:lang w:val="en-US" w:eastAsia="zh-CN"/>
              </w:rPr>
              <w:t>，本项目主要用于装置地面清洗使用</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控制室</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val="en-US" w:eastAsia="zh-CN"/>
              </w:rPr>
              <w:t>改造现有的控制室，增加本项目</w:t>
            </w:r>
            <w:r>
              <w:rPr>
                <w:rFonts w:hint="eastAsia" w:ascii="Times New Roman" w:hAnsi="Times New Roman" w:cs="宋体"/>
                <w:spacing w:val="-11"/>
                <w:sz w:val="21"/>
                <w:szCs w:val="21"/>
                <w:lang w:val="en-US" w:eastAsia="zh-CN"/>
              </w:rPr>
              <w:t>PD</w:t>
            </w:r>
            <w:r>
              <w:rPr>
                <w:rFonts w:hint="eastAsia" w:cs="宋体"/>
                <w:spacing w:val="-11"/>
                <w:sz w:val="21"/>
                <w:szCs w:val="21"/>
                <w:lang w:val="en-US" w:eastAsia="zh-CN"/>
              </w:rPr>
              <w:t>生产线</w:t>
            </w:r>
            <w:r>
              <w:rPr>
                <w:rFonts w:hint="eastAsia" w:ascii="Times New Roman" w:hAnsi="Times New Roman" w:cs="宋体"/>
                <w:spacing w:val="-11"/>
                <w:sz w:val="21"/>
                <w:szCs w:val="21"/>
                <w:lang w:val="en-US" w:eastAsia="zh-CN"/>
              </w:rPr>
              <w:t>DCS</w:t>
            </w:r>
            <w:r>
              <w:rPr>
                <w:rFonts w:hint="eastAsia" w:cs="宋体"/>
                <w:spacing w:val="-11"/>
                <w:sz w:val="21"/>
                <w:szCs w:val="21"/>
                <w:lang w:val="en-US" w:eastAsia="zh-CN"/>
              </w:rPr>
              <w:t>控制系统</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改建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氮气系统</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val="en-US" w:eastAsia="zh-CN"/>
              </w:rPr>
              <w:t>仪表用</w:t>
            </w:r>
            <w:r>
              <w:rPr>
                <w:rFonts w:hint="eastAsia" w:ascii="Times New Roman" w:hAnsi="Times New Roman" w:cs="宋体"/>
                <w:spacing w:val="-11"/>
                <w:sz w:val="21"/>
                <w:szCs w:val="21"/>
                <w:lang w:val="en-US" w:eastAsia="zh-CN"/>
              </w:rPr>
              <w:t>1</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6MPa</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G</w:t>
            </w:r>
            <w:r>
              <w:rPr>
                <w:rFonts w:hint="eastAsia" w:cs="宋体"/>
                <w:spacing w:val="-11"/>
                <w:sz w:val="21"/>
                <w:szCs w:val="21"/>
                <w:lang w:val="en-US" w:eastAsia="zh-CN"/>
              </w:rPr>
              <w:t>）仪表空气，</w:t>
            </w:r>
            <w:r>
              <w:rPr>
                <w:rFonts w:hint="eastAsia" w:ascii="Times New Roman" w:hAnsi="Times New Roman" w:cs="宋体"/>
                <w:spacing w:val="-11"/>
                <w:sz w:val="21"/>
                <w:szCs w:val="21"/>
                <w:lang w:val="en-US" w:eastAsia="zh-CN"/>
              </w:rPr>
              <w:t>1</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6MPa</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G</w:t>
            </w:r>
            <w:r>
              <w:rPr>
                <w:rFonts w:hint="eastAsia" w:cs="宋体"/>
                <w:spacing w:val="-11"/>
                <w:sz w:val="21"/>
                <w:szCs w:val="21"/>
                <w:lang w:val="en-US" w:eastAsia="zh-CN"/>
              </w:rPr>
              <w:t>）氮气，均由厂区气源管网提供，现有工程空压站设置有</w:t>
            </w:r>
            <w:r>
              <w:rPr>
                <w:rFonts w:hint="eastAsia" w:ascii="Times New Roman" w:hAnsi="Times New Roman" w:cs="宋体"/>
                <w:spacing w:val="-11"/>
                <w:sz w:val="21"/>
                <w:szCs w:val="21"/>
                <w:lang w:val="en-US" w:eastAsia="zh-CN"/>
              </w:rPr>
              <w:t>2</w:t>
            </w:r>
            <w:r>
              <w:rPr>
                <w:rFonts w:hint="eastAsia" w:cs="宋体"/>
                <w:spacing w:val="-11"/>
                <w:sz w:val="21"/>
                <w:szCs w:val="21"/>
                <w:lang w:val="en-US" w:eastAsia="zh-CN"/>
              </w:rPr>
              <w:t>台轴流空压机，单台流量</w:t>
            </w:r>
            <w:r>
              <w:rPr>
                <w:rFonts w:hint="eastAsia" w:ascii="Times New Roman" w:hAnsi="Times New Roman" w:cs="宋体"/>
                <w:spacing w:val="-11"/>
                <w:sz w:val="21"/>
                <w:szCs w:val="21"/>
                <w:lang w:val="en-US" w:eastAsia="zh-CN"/>
              </w:rPr>
              <w:t>92000Nm</w:t>
            </w:r>
            <w:r>
              <w:rPr>
                <w:rFonts w:hint="eastAsia" w:cs="宋体"/>
                <w:spacing w:val="-11"/>
                <w:sz w:val="21"/>
                <w:szCs w:val="21"/>
                <w:lang w:val="en-US" w:eastAsia="zh-CN"/>
              </w:rPr>
              <w:t>³/</w:t>
            </w:r>
            <w:r>
              <w:rPr>
                <w:rFonts w:hint="eastAsia" w:ascii="Times New Roman" w:hAnsi="Times New Roman" w:cs="宋体"/>
                <w:spacing w:val="-11"/>
                <w:sz w:val="21"/>
                <w:szCs w:val="21"/>
                <w:lang w:val="en-US" w:eastAsia="zh-CN"/>
              </w:rPr>
              <w:t>h</w:t>
            </w:r>
            <w:r>
              <w:rPr>
                <w:rFonts w:hint="eastAsia" w:cs="宋体"/>
                <w:spacing w:val="-11"/>
                <w:sz w:val="21"/>
                <w:szCs w:val="21"/>
                <w:lang w:val="en-US" w:eastAsia="zh-CN"/>
              </w:rPr>
              <w:t>，氮气站设有</w:t>
            </w:r>
            <w:r>
              <w:rPr>
                <w:rFonts w:hint="eastAsia" w:ascii="Times New Roman" w:hAnsi="Times New Roman" w:cs="宋体"/>
                <w:spacing w:val="-11"/>
                <w:sz w:val="21"/>
                <w:szCs w:val="21"/>
                <w:lang w:val="en-US" w:eastAsia="zh-CN"/>
              </w:rPr>
              <w:t>2</w:t>
            </w:r>
            <w:r>
              <w:rPr>
                <w:rFonts w:hint="eastAsia" w:cs="宋体"/>
                <w:spacing w:val="-11"/>
                <w:sz w:val="21"/>
                <w:szCs w:val="21"/>
                <w:lang w:val="en-US" w:eastAsia="zh-CN"/>
              </w:rPr>
              <w:t>套</w:t>
            </w:r>
            <w:r>
              <w:rPr>
                <w:rFonts w:hint="eastAsia" w:ascii="Times New Roman" w:hAnsi="Times New Roman" w:cs="宋体"/>
                <w:spacing w:val="-11"/>
                <w:sz w:val="21"/>
                <w:szCs w:val="21"/>
                <w:lang w:val="en-US" w:eastAsia="zh-CN"/>
              </w:rPr>
              <w:t>PSA</w:t>
            </w:r>
            <w:r>
              <w:rPr>
                <w:rFonts w:hint="eastAsia" w:cs="宋体"/>
                <w:spacing w:val="-11"/>
                <w:sz w:val="21"/>
                <w:szCs w:val="21"/>
                <w:lang w:val="en-US" w:eastAsia="zh-CN"/>
              </w:rPr>
              <w:t>制氮设备，单台送风量</w:t>
            </w:r>
            <w:r>
              <w:rPr>
                <w:rFonts w:hint="eastAsia" w:ascii="Times New Roman" w:hAnsi="Times New Roman" w:cs="宋体"/>
                <w:spacing w:val="-11"/>
                <w:sz w:val="21"/>
                <w:szCs w:val="21"/>
                <w:lang w:val="en-US" w:eastAsia="zh-CN"/>
              </w:rPr>
              <w:t>1500Nm</w:t>
            </w:r>
            <w:r>
              <w:rPr>
                <w:rFonts w:hint="eastAsia" w:cs="宋体"/>
                <w:spacing w:val="-11"/>
                <w:sz w:val="21"/>
                <w:szCs w:val="21"/>
                <w:lang w:val="en-US" w:eastAsia="zh-CN"/>
              </w:rPr>
              <w:t>³/</w:t>
            </w:r>
            <w:r>
              <w:rPr>
                <w:rFonts w:hint="eastAsia" w:ascii="Times New Roman" w:hAnsi="Times New Roman" w:cs="宋体"/>
                <w:spacing w:val="-11"/>
                <w:sz w:val="21"/>
                <w:szCs w:val="21"/>
                <w:lang w:val="en-US" w:eastAsia="zh-CN"/>
              </w:rPr>
              <w:t>h</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备品备料及维修仓库</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val="en-US" w:eastAsia="zh-CN"/>
              </w:rPr>
              <w:t>设备、仪表等维修依托现有占地面积</w:t>
            </w:r>
            <w:r>
              <w:rPr>
                <w:rFonts w:hint="eastAsia" w:ascii="Times New Roman" w:hAnsi="Times New Roman" w:cs="宋体"/>
                <w:spacing w:val="-11"/>
                <w:sz w:val="21"/>
                <w:szCs w:val="21"/>
                <w:lang w:val="en-US" w:eastAsia="zh-CN"/>
              </w:rPr>
              <w:t>3600</w:t>
            </w:r>
            <w:r>
              <w:rPr>
                <w:rFonts w:hint="eastAsia" w:cs="宋体"/>
                <w:spacing w:val="-11"/>
                <w:sz w:val="21"/>
                <w:szCs w:val="21"/>
                <w:lang w:val="en-US" w:eastAsia="zh-CN"/>
              </w:rPr>
              <w:t>㎡的备品备料及维修仓库</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泵房</w:t>
            </w:r>
          </w:p>
        </w:tc>
        <w:tc>
          <w:tcPr>
            <w:tcW w:w="6169" w:type="dxa"/>
            <w:noWrap w:val="0"/>
            <w:vAlign w:val="center"/>
          </w:tcPr>
          <w:p>
            <w:pPr>
              <w:spacing w:line="240" w:lineRule="auto"/>
              <w:ind w:firstLine="0"/>
              <w:jc w:val="center"/>
              <w:rPr>
                <w:rFonts w:hint="default" w:cs="宋体"/>
                <w:spacing w:val="-11"/>
                <w:sz w:val="21"/>
                <w:szCs w:val="21"/>
                <w:lang w:val="en-US" w:eastAsia="zh-CN"/>
              </w:rPr>
            </w:pPr>
            <w:r>
              <w:rPr>
                <w:rFonts w:hint="eastAsia" w:cs="宋体"/>
                <w:spacing w:val="-11"/>
                <w:sz w:val="21"/>
                <w:szCs w:val="21"/>
                <w:lang w:val="en-US" w:eastAsia="zh-CN"/>
              </w:rPr>
              <w:t>设占地面积</w:t>
            </w:r>
            <w:r>
              <w:rPr>
                <w:rFonts w:hint="eastAsia" w:ascii="Times New Roman" w:hAnsi="Times New Roman" w:cs="宋体"/>
                <w:spacing w:val="-11"/>
                <w:sz w:val="21"/>
                <w:szCs w:val="21"/>
                <w:lang w:val="en-US" w:eastAsia="zh-CN"/>
              </w:rPr>
              <w:t>252</w:t>
            </w:r>
            <w:r>
              <w:rPr>
                <w:rFonts w:hint="eastAsia" w:cs="宋体"/>
                <w:spacing w:val="-11"/>
                <w:sz w:val="21"/>
                <w:szCs w:val="21"/>
                <w:lang w:val="en-US" w:eastAsia="zh-CN"/>
              </w:rPr>
              <w:t>㎡的泵房，单层钢框架结构，负责本项目的物料输送</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671" w:type="dxa"/>
            <w:vMerge w:val="restar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公用</w:t>
            </w:r>
          </w:p>
          <w:p>
            <w:pPr>
              <w:spacing w:line="240" w:lineRule="auto"/>
              <w:ind w:firstLine="0"/>
              <w:jc w:val="center"/>
              <w:rPr>
                <w:rFonts w:hint="eastAsia" w:hAnsi="宋体" w:cs="宋体"/>
                <w:spacing w:val="-11"/>
                <w:sz w:val="21"/>
                <w:szCs w:val="21"/>
              </w:rPr>
            </w:pPr>
            <w:r>
              <w:rPr>
                <w:rFonts w:hint="eastAsia" w:hAnsi="宋体" w:cs="宋体"/>
                <w:spacing w:val="-11"/>
                <w:sz w:val="21"/>
                <w:szCs w:val="21"/>
              </w:rPr>
              <w:t>工程</w:t>
            </w:r>
          </w:p>
        </w:tc>
        <w:tc>
          <w:tcPr>
            <w:tcW w:w="1591" w:type="dxa"/>
            <w:gridSpan w:val="2"/>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给水系统</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val="en-US" w:eastAsia="zh-CN"/>
              </w:rPr>
              <w:t>依托厂内现有给水系统，分为新鲜水系统、纯水系统和循环冷却水系统，本项目配套建设相关管网设施</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排水系统</w:t>
            </w:r>
          </w:p>
        </w:tc>
        <w:tc>
          <w:tcPr>
            <w:tcW w:w="6169" w:type="dxa"/>
            <w:noWrap w:val="0"/>
            <w:vAlign w:val="center"/>
          </w:tcPr>
          <w:p>
            <w:pPr>
              <w:spacing w:line="240" w:lineRule="auto"/>
              <w:ind w:firstLine="0"/>
              <w:jc w:val="center"/>
              <w:rPr>
                <w:rFonts w:hint="eastAsia" w:hAnsi="宋体" w:cs="宋体"/>
                <w:spacing w:val="-11"/>
                <w:sz w:val="21"/>
                <w:szCs w:val="21"/>
              </w:rPr>
            </w:pPr>
            <w:r>
              <w:rPr>
                <w:rFonts w:hint="eastAsia" w:cs="宋体"/>
                <w:spacing w:val="-11"/>
                <w:sz w:val="21"/>
                <w:szCs w:val="21"/>
                <w:lang w:eastAsia="zh-CN"/>
              </w:rPr>
              <w:t>设备地面冲洗废水</w:t>
            </w:r>
            <w:r>
              <w:rPr>
                <w:rFonts w:hint="eastAsia" w:hAnsi="宋体" w:cs="宋体"/>
                <w:spacing w:val="-11"/>
                <w:sz w:val="21"/>
                <w:szCs w:val="21"/>
                <w:lang w:eastAsia="zh-CN"/>
              </w:rPr>
              <w:t>经</w:t>
            </w:r>
            <w:r>
              <w:rPr>
                <w:rFonts w:hint="eastAsia" w:cs="宋体"/>
                <w:spacing w:val="-11"/>
                <w:sz w:val="21"/>
                <w:szCs w:val="21"/>
                <w:lang w:eastAsia="zh-CN"/>
              </w:rPr>
              <w:t>截水沟收集，</w:t>
            </w:r>
            <w:r>
              <w:rPr>
                <w:rFonts w:hint="eastAsia" w:hAnsi="宋体" w:cs="宋体"/>
                <w:spacing w:val="-11"/>
                <w:sz w:val="21"/>
                <w:szCs w:val="21"/>
              </w:rPr>
              <w:t>厂内污水站</w:t>
            </w:r>
            <w:r>
              <w:rPr>
                <w:rFonts w:hint="eastAsia" w:hAnsi="宋体" w:cs="宋体"/>
                <w:spacing w:val="-11"/>
                <w:sz w:val="21"/>
                <w:szCs w:val="21"/>
                <w:lang w:eastAsia="zh-CN"/>
              </w:rPr>
              <w:t>处理后排入园区管网；</w:t>
            </w:r>
            <w:r>
              <w:rPr>
                <w:rFonts w:hint="eastAsia" w:cs="宋体"/>
                <w:spacing w:val="-11"/>
                <w:sz w:val="21"/>
                <w:szCs w:val="21"/>
                <w:lang w:eastAsia="zh-CN"/>
              </w:rPr>
              <w:t>新增</w:t>
            </w:r>
            <w:r>
              <w:rPr>
                <w:rFonts w:hint="eastAsia" w:hAnsi="宋体" w:cs="宋体"/>
                <w:spacing w:val="-11"/>
                <w:sz w:val="21"/>
                <w:szCs w:val="21"/>
                <w:lang w:eastAsia="zh-CN"/>
              </w:rPr>
              <w:t>生活污水</w:t>
            </w:r>
            <w:r>
              <w:rPr>
                <w:rFonts w:hint="eastAsia" w:cs="宋体"/>
                <w:spacing w:val="-11"/>
                <w:sz w:val="21"/>
                <w:szCs w:val="21"/>
                <w:lang w:eastAsia="zh-CN"/>
              </w:rPr>
              <w:t>进入厂内现有污水站处理后</w:t>
            </w:r>
            <w:r>
              <w:rPr>
                <w:rFonts w:hint="eastAsia" w:hAnsi="宋体" w:cs="宋体"/>
                <w:spacing w:val="-11"/>
                <w:sz w:val="21"/>
                <w:szCs w:val="21"/>
                <w:lang w:eastAsia="zh-CN"/>
              </w:rPr>
              <w:t>排入园区管网</w:t>
            </w:r>
            <w:r>
              <w:rPr>
                <w:rFonts w:hint="eastAsia" w:cs="宋体"/>
                <w:spacing w:val="-11"/>
                <w:sz w:val="21"/>
                <w:szCs w:val="21"/>
                <w:lang w:eastAsia="zh-CN"/>
              </w:rPr>
              <w:t>，本项目配套建设相关排水设施</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供</w:t>
            </w:r>
            <w:r>
              <w:rPr>
                <w:rFonts w:hint="eastAsia" w:hAnsi="宋体" w:cs="宋体"/>
                <w:spacing w:val="-11"/>
                <w:sz w:val="21"/>
                <w:szCs w:val="21"/>
                <w:lang w:eastAsia="zh-CN"/>
              </w:rPr>
              <w:t>电</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val="en-US" w:eastAsia="zh-CN"/>
              </w:rPr>
              <w:t>本项目在锅炉高压变频室东侧新建预制舱室配电室一座，两路</w:t>
            </w:r>
            <w:r>
              <w:rPr>
                <w:rFonts w:hint="eastAsia" w:ascii="Times New Roman" w:hAnsi="Times New Roman" w:cs="宋体"/>
                <w:spacing w:val="-11"/>
                <w:sz w:val="21"/>
                <w:szCs w:val="21"/>
                <w:lang w:val="en-US" w:eastAsia="zh-CN"/>
              </w:rPr>
              <w:t>0</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4kV</w:t>
            </w:r>
            <w:r>
              <w:rPr>
                <w:rFonts w:hint="eastAsia" w:cs="宋体"/>
                <w:spacing w:val="-11"/>
                <w:sz w:val="21"/>
                <w:szCs w:val="21"/>
                <w:lang w:val="en-US" w:eastAsia="zh-CN"/>
              </w:rPr>
              <w:t>电源分别来自锅炉低压配电室</w:t>
            </w:r>
            <w:r>
              <w:rPr>
                <w:rFonts w:hint="eastAsia" w:ascii="Times New Roman" w:hAnsi="Times New Roman" w:cs="宋体"/>
                <w:spacing w:val="-11"/>
                <w:sz w:val="21"/>
                <w:szCs w:val="21"/>
                <w:lang w:val="en-US" w:eastAsia="zh-CN"/>
              </w:rPr>
              <w:t>1</w:t>
            </w:r>
            <w:r>
              <w:rPr>
                <w:rFonts w:hint="eastAsia" w:cs="宋体"/>
                <w:spacing w:val="-11"/>
                <w:sz w:val="21"/>
                <w:szCs w:val="21"/>
                <w:lang w:val="en-US" w:eastAsia="zh-CN"/>
              </w:rPr>
              <w:t>号</w:t>
            </w:r>
            <w:r>
              <w:rPr>
                <w:rFonts w:hint="eastAsia" w:ascii="Times New Roman" w:hAnsi="Times New Roman" w:cs="宋体"/>
                <w:spacing w:val="-11"/>
                <w:sz w:val="21"/>
                <w:szCs w:val="21"/>
                <w:lang w:val="en-US" w:eastAsia="zh-CN"/>
              </w:rPr>
              <w:t>800A</w:t>
            </w:r>
            <w:r>
              <w:rPr>
                <w:rFonts w:hint="eastAsia" w:cs="宋体"/>
                <w:spacing w:val="-11"/>
                <w:sz w:val="21"/>
                <w:szCs w:val="21"/>
                <w:lang w:val="en-US" w:eastAsia="zh-CN"/>
              </w:rPr>
              <w:t>空开与</w:t>
            </w:r>
            <w:r>
              <w:rPr>
                <w:rFonts w:hint="eastAsia" w:ascii="Times New Roman" w:hAnsi="Times New Roman" w:cs="宋体"/>
                <w:spacing w:val="-11"/>
                <w:sz w:val="21"/>
                <w:szCs w:val="21"/>
                <w:lang w:val="en-US" w:eastAsia="zh-CN"/>
              </w:rPr>
              <w:t>6</w:t>
            </w:r>
            <w:r>
              <w:rPr>
                <w:rFonts w:hint="eastAsia" w:cs="宋体"/>
                <w:spacing w:val="-11"/>
                <w:sz w:val="21"/>
                <w:szCs w:val="21"/>
                <w:lang w:val="en-US" w:eastAsia="zh-CN"/>
              </w:rPr>
              <w:t>号变</w:t>
            </w:r>
            <w:r>
              <w:rPr>
                <w:rFonts w:hint="eastAsia" w:ascii="Times New Roman" w:hAnsi="Times New Roman" w:cs="宋体"/>
                <w:spacing w:val="-11"/>
                <w:sz w:val="21"/>
                <w:szCs w:val="21"/>
                <w:lang w:val="en-US" w:eastAsia="zh-CN"/>
              </w:rPr>
              <w:t>1000A</w:t>
            </w:r>
            <w:r>
              <w:rPr>
                <w:rFonts w:hint="eastAsia" w:cs="宋体"/>
                <w:spacing w:val="-11"/>
                <w:sz w:val="21"/>
                <w:szCs w:val="21"/>
                <w:lang w:val="en-US" w:eastAsia="zh-CN"/>
              </w:rPr>
              <w:t>空开，工艺用电设备及应急疏散照明为二级负荷，</w:t>
            </w:r>
            <w:r>
              <w:rPr>
                <w:rFonts w:hint="eastAsia" w:ascii="Times New Roman" w:hAnsi="Times New Roman" w:cs="宋体"/>
                <w:spacing w:val="-11"/>
                <w:sz w:val="21"/>
                <w:szCs w:val="21"/>
                <w:lang w:val="en-US" w:eastAsia="zh-CN"/>
              </w:rPr>
              <w:t>DCS</w:t>
            </w:r>
            <w:r>
              <w:rPr>
                <w:rFonts w:hint="eastAsia" w:cs="宋体"/>
                <w:spacing w:val="-11"/>
                <w:sz w:val="21"/>
                <w:szCs w:val="21"/>
                <w:lang w:val="en-US" w:eastAsia="zh-CN"/>
              </w:rPr>
              <w:t>系统用电为一级负荷，照明及检维修用电负荷为三级负荷</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hAnsi="宋体" w:eastAsia="宋体" w:cs="宋体"/>
                <w:spacing w:val="-11"/>
                <w:sz w:val="21"/>
                <w:szCs w:val="21"/>
                <w:lang w:eastAsia="zh-CN"/>
              </w:rPr>
              <w:t>采暖</w:t>
            </w:r>
            <w:r>
              <w:rPr>
                <w:rFonts w:hint="eastAsia" w:cs="宋体"/>
                <w:spacing w:val="-11"/>
                <w:sz w:val="21"/>
                <w:szCs w:val="21"/>
                <w:lang w:eastAsia="zh-CN"/>
              </w:rPr>
              <w:t>通风</w:t>
            </w:r>
          </w:p>
        </w:tc>
        <w:tc>
          <w:tcPr>
            <w:tcW w:w="6169" w:type="dxa"/>
            <w:noWrap w:val="0"/>
            <w:vAlign w:val="center"/>
          </w:tcPr>
          <w:p>
            <w:pPr>
              <w:spacing w:line="240" w:lineRule="auto"/>
              <w:ind w:firstLine="0"/>
              <w:jc w:val="center"/>
              <w:rPr>
                <w:rFonts w:hint="default" w:hAnsi="宋体" w:cs="宋体"/>
                <w:spacing w:val="-11"/>
                <w:sz w:val="21"/>
                <w:szCs w:val="21"/>
                <w:lang w:val="en-US"/>
              </w:rPr>
            </w:pPr>
            <w:r>
              <w:rPr>
                <w:rFonts w:hint="eastAsia" w:cs="宋体"/>
                <w:spacing w:val="-11"/>
                <w:sz w:val="21"/>
                <w:szCs w:val="21"/>
                <w:lang w:val="en-US" w:eastAsia="zh-CN"/>
              </w:rPr>
              <w:t>对散发爆炸危险介质的建筑，选择防爆风机。通风、空调风管穿防火分区、楼板及通风设备机房处设防火阀。</w:t>
            </w:r>
          </w:p>
        </w:tc>
        <w:tc>
          <w:tcPr>
            <w:tcW w:w="743" w:type="dxa"/>
            <w:noWrap w:val="0"/>
            <w:vAlign w:val="center"/>
          </w:tcPr>
          <w:p>
            <w:pPr>
              <w:spacing w:line="240" w:lineRule="auto"/>
              <w:ind w:firstLine="0"/>
              <w:jc w:val="center"/>
              <w:rPr>
                <w:rFonts w:hint="eastAsia" w:hAnsi="宋体" w:cs="宋体"/>
                <w:spacing w:val="-11"/>
                <w:sz w:val="21"/>
                <w:szCs w:val="21"/>
                <w:lang w:val="en-US" w:eastAsia="zh-CN"/>
              </w:rPr>
            </w:pPr>
            <w:r>
              <w:rPr>
                <w:rFonts w:hint="eastAsia" w:cs="宋体"/>
                <w:spacing w:val="-1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hAnsi="宋体" w:cs="宋体"/>
                <w:spacing w:val="-11"/>
                <w:sz w:val="21"/>
                <w:szCs w:val="21"/>
              </w:rPr>
              <w:t>消防</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eastAsia="zh-CN"/>
              </w:rPr>
              <w:t>本项目东侧路边现有消防管道南北侧各接出一支</w:t>
            </w:r>
            <w:r>
              <w:rPr>
                <w:rFonts w:hint="eastAsia" w:ascii="Times New Roman" w:hAnsi="Times New Roman" w:cs="宋体"/>
                <w:spacing w:val="-11"/>
                <w:sz w:val="21"/>
                <w:szCs w:val="21"/>
                <w:lang w:val="en-US" w:eastAsia="zh-CN"/>
              </w:rPr>
              <w:t>DN300</w:t>
            </w:r>
            <w:r>
              <w:rPr>
                <w:rFonts w:hint="eastAsia" w:cs="宋体"/>
                <w:spacing w:val="-11"/>
                <w:sz w:val="21"/>
                <w:szCs w:val="21"/>
                <w:lang w:val="en-US" w:eastAsia="zh-CN"/>
              </w:rPr>
              <w:t>消防管线，沿本项目装置周围做环状消防给水管道，管材采用无缝钢管。在沿线布置室外消火栓，室外消火栓考虑防冻措施。消火栓间距不大于</w:t>
            </w:r>
            <w:r>
              <w:rPr>
                <w:rFonts w:hint="eastAsia" w:ascii="Times New Roman" w:hAnsi="Times New Roman" w:cs="宋体"/>
                <w:spacing w:val="-11"/>
                <w:sz w:val="21"/>
                <w:szCs w:val="21"/>
                <w:lang w:val="en-US" w:eastAsia="zh-CN"/>
              </w:rPr>
              <w:t>60m</w:t>
            </w:r>
            <w:r>
              <w:rPr>
                <w:rFonts w:hint="eastAsia" w:cs="宋体"/>
                <w:spacing w:val="-11"/>
                <w:sz w:val="21"/>
                <w:szCs w:val="21"/>
                <w:lang w:val="en-US" w:eastAsia="zh-CN"/>
              </w:rPr>
              <w:t>，另在本项目装置区框架和设备群设置消防水炮保护。</w:t>
            </w:r>
          </w:p>
        </w:tc>
        <w:tc>
          <w:tcPr>
            <w:tcW w:w="743" w:type="dxa"/>
            <w:noWrap w:val="0"/>
            <w:vAlign w:val="center"/>
          </w:tcPr>
          <w:p>
            <w:pPr>
              <w:spacing w:line="240" w:lineRule="auto"/>
              <w:ind w:firstLine="0"/>
              <w:jc w:val="center"/>
              <w:rPr>
                <w:rFonts w:hint="default" w:hAnsi="宋体" w:cs="宋体"/>
                <w:spacing w:val="-11"/>
                <w:sz w:val="21"/>
                <w:szCs w:val="21"/>
                <w:lang w:val="en-US" w:eastAsia="zh-CN"/>
              </w:rPr>
            </w:pPr>
            <w:r>
              <w:rPr>
                <w:rFonts w:hint="eastAsia" w:cs="宋体"/>
                <w:spacing w:val="-11"/>
                <w:sz w:val="21"/>
                <w:szCs w:val="21"/>
                <w:lang w:eastAsia="zh-CN"/>
              </w:rPr>
              <w:t>依托</w:t>
            </w:r>
            <w:r>
              <w:rPr>
                <w:rFonts w:hint="eastAsia" w:cs="宋体"/>
                <w:spacing w:val="-1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71" w:type="dxa"/>
            <w:vMerge w:val="restar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储运</w:t>
            </w:r>
          </w:p>
          <w:p>
            <w:pPr>
              <w:spacing w:line="240" w:lineRule="auto"/>
              <w:ind w:firstLine="0"/>
              <w:jc w:val="center"/>
              <w:rPr>
                <w:rFonts w:hint="eastAsia" w:hAnsi="宋体" w:cs="宋体"/>
                <w:spacing w:val="-11"/>
                <w:sz w:val="21"/>
                <w:szCs w:val="21"/>
              </w:rPr>
            </w:pPr>
            <w:r>
              <w:rPr>
                <w:rFonts w:hint="eastAsia" w:hAnsi="宋体" w:cs="宋体"/>
                <w:spacing w:val="-11"/>
                <w:sz w:val="21"/>
                <w:szCs w:val="21"/>
              </w:rPr>
              <w:t>工程</w:t>
            </w:r>
          </w:p>
        </w:tc>
        <w:tc>
          <w:tcPr>
            <w:tcW w:w="1591" w:type="dxa"/>
            <w:gridSpan w:val="2"/>
            <w:noWrap w:val="0"/>
            <w:vAlign w:val="center"/>
          </w:tcPr>
          <w:p>
            <w:pPr>
              <w:spacing w:line="240" w:lineRule="auto"/>
              <w:ind w:firstLine="0"/>
              <w:jc w:val="center"/>
              <w:rPr>
                <w:rFonts w:hint="eastAsia" w:hAnsi="宋体" w:eastAsia="宋体" w:cs="宋体"/>
                <w:color w:val="auto"/>
                <w:spacing w:val="-11"/>
                <w:sz w:val="21"/>
                <w:szCs w:val="21"/>
                <w:lang w:eastAsia="zh-CN"/>
              </w:rPr>
            </w:pPr>
            <w:r>
              <w:rPr>
                <w:rFonts w:hint="eastAsia" w:cs="宋体"/>
                <w:color w:val="auto"/>
                <w:spacing w:val="-11"/>
                <w:sz w:val="21"/>
                <w:szCs w:val="21"/>
                <w:lang w:eastAsia="zh-CN"/>
              </w:rPr>
              <w:t>产品罐区</w:t>
            </w:r>
          </w:p>
        </w:tc>
        <w:tc>
          <w:tcPr>
            <w:tcW w:w="6169" w:type="dxa"/>
            <w:noWrap w:val="0"/>
            <w:vAlign w:val="center"/>
          </w:tcPr>
          <w:p>
            <w:pPr>
              <w:spacing w:line="240" w:lineRule="auto"/>
              <w:ind w:firstLine="0"/>
              <w:jc w:val="center"/>
              <w:rPr>
                <w:rFonts w:hint="default" w:hAnsi="宋体" w:eastAsia="宋体" w:cs="宋体"/>
                <w:color w:val="auto"/>
                <w:spacing w:val="-11"/>
                <w:sz w:val="21"/>
                <w:szCs w:val="21"/>
                <w:lang w:val="en-US" w:eastAsia="zh-CN"/>
              </w:rPr>
            </w:pPr>
            <w:r>
              <w:rPr>
                <w:rFonts w:hint="eastAsia" w:hAnsi="宋体" w:cs="宋体"/>
                <w:color w:val="auto"/>
                <w:spacing w:val="-11"/>
                <w:sz w:val="21"/>
                <w:szCs w:val="21"/>
              </w:rPr>
              <w:t>占地面积</w:t>
            </w:r>
            <w:r>
              <w:rPr>
                <w:rFonts w:hint="eastAsia" w:ascii="Times New Roman" w:hAnsi="Times New Roman"/>
                <w:color w:val="auto"/>
                <w:spacing w:val="-11"/>
                <w:sz w:val="21"/>
                <w:szCs w:val="21"/>
                <w:lang w:val="en-US" w:eastAsia="zh-CN"/>
              </w:rPr>
              <w:t>704</w:t>
            </w:r>
            <w:r>
              <w:rPr>
                <w:rFonts w:hint="eastAsia" w:hAnsi="宋体" w:cs="宋体"/>
                <w:color w:val="auto"/>
                <w:spacing w:val="-11"/>
                <w:sz w:val="21"/>
                <w:szCs w:val="21"/>
              </w:rPr>
              <w:t>㎡</w:t>
            </w:r>
            <w:r>
              <w:rPr>
                <w:rFonts w:hint="eastAsia" w:hAnsi="宋体" w:cs="宋体"/>
                <w:color w:val="auto"/>
                <w:spacing w:val="-11"/>
                <w:sz w:val="21"/>
                <w:szCs w:val="21"/>
                <w:lang w:eastAsia="zh-CN"/>
              </w:rPr>
              <w:t>，</w:t>
            </w:r>
            <w:r>
              <w:rPr>
                <w:rFonts w:hint="eastAsia" w:cs="宋体"/>
                <w:color w:val="auto"/>
                <w:spacing w:val="-11"/>
                <w:sz w:val="21"/>
                <w:szCs w:val="21"/>
                <w:lang w:eastAsia="zh-CN"/>
              </w:rPr>
              <w:t>设置</w:t>
            </w:r>
            <w:r>
              <w:rPr>
                <w:rFonts w:hint="eastAsia" w:ascii="Times New Roman" w:hAnsi="Times New Roman" w:cs="宋体"/>
                <w:color w:val="auto"/>
                <w:spacing w:val="-11"/>
                <w:sz w:val="21"/>
                <w:szCs w:val="21"/>
                <w:lang w:val="en-US" w:eastAsia="zh-CN"/>
              </w:rPr>
              <w:t>1</w:t>
            </w:r>
            <w:r>
              <w:rPr>
                <w:rFonts w:hint="eastAsia" w:cs="宋体"/>
                <w:color w:val="auto"/>
                <w:spacing w:val="-11"/>
                <w:sz w:val="21"/>
                <w:szCs w:val="21"/>
                <w:lang w:val="en-US" w:eastAsia="zh-CN"/>
              </w:rPr>
              <w:t>×</w:t>
            </w:r>
            <w:r>
              <w:rPr>
                <w:rFonts w:hint="eastAsia" w:ascii="Times New Roman" w:hAnsi="Times New Roman" w:cs="宋体"/>
                <w:color w:val="auto"/>
                <w:spacing w:val="-11"/>
                <w:sz w:val="21"/>
                <w:szCs w:val="21"/>
                <w:lang w:val="en-US" w:eastAsia="zh-CN"/>
              </w:rPr>
              <w:t>831m</w:t>
            </w:r>
            <w:r>
              <w:rPr>
                <w:rFonts w:hint="eastAsia" w:cs="宋体"/>
                <w:color w:val="auto"/>
                <w:spacing w:val="-11"/>
                <w:sz w:val="21"/>
                <w:szCs w:val="21"/>
                <w:lang w:val="en-US" w:eastAsia="zh-CN"/>
              </w:rPr>
              <w:t>³</w:t>
            </w:r>
            <w:r>
              <w:rPr>
                <w:rFonts w:hint="eastAsia" w:ascii="Times New Roman" w:hAnsi="Times New Roman" w:cs="宋体"/>
                <w:color w:val="auto"/>
                <w:spacing w:val="-11"/>
                <w:sz w:val="21"/>
                <w:szCs w:val="21"/>
                <w:lang w:val="en-US" w:eastAsia="zh-CN"/>
              </w:rPr>
              <w:t>PD</w:t>
            </w:r>
            <w:r>
              <w:rPr>
                <w:rFonts w:hint="eastAsia" w:cs="宋体"/>
                <w:color w:val="auto"/>
                <w:spacing w:val="-11"/>
                <w:sz w:val="21"/>
                <w:szCs w:val="21"/>
                <w:lang w:val="en-US" w:eastAsia="zh-CN"/>
              </w:rPr>
              <w:t>成品储罐和</w:t>
            </w:r>
            <w:r>
              <w:rPr>
                <w:rFonts w:hint="eastAsia" w:ascii="Times New Roman" w:hAnsi="Times New Roman" w:cs="宋体"/>
                <w:color w:val="auto"/>
                <w:spacing w:val="-11"/>
                <w:sz w:val="21"/>
                <w:szCs w:val="21"/>
                <w:lang w:val="en-US" w:eastAsia="zh-CN"/>
              </w:rPr>
              <w:t>1</w:t>
            </w:r>
            <w:r>
              <w:rPr>
                <w:rFonts w:hint="eastAsia" w:cs="宋体"/>
                <w:color w:val="auto"/>
                <w:spacing w:val="-11"/>
                <w:sz w:val="21"/>
                <w:szCs w:val="21"/>
                <w:lang w:val="en-US" w:eastAsia="zh-CN"/>
              </w:rPr>
              <w:t>×</w:t>
            </w:r>
            <w:r>
              <w:rPr>
                <w:rFonts w:hint="eastAsia" w:ascii="Times New Roman" w:hAnsi="Times New Roman" w:cs="宋体"/>
                <w:color w:val="auto"/>
                <w:spacing w:val="-11"/>
                <w:sz w:val="21"/>
                <w:szCs w:val="21"/>
                <w:lang w:val="en-US" w:eastAsia="zh-CN"/>
              </w:rPr>
              <w:t>15m</w:t>
            </w:r>
            <w:r>
              <w:rPr>
                <w:rFonts w:hint="eastAsia" w:cs="宋体"/>
                <w:color w:val="auto"/>
                <w:spacing w:val="-11"/>
                <w:sz w:val="21"/>
                <w:szCs w:val="21"/>
                <w:lang w:val="en-US" w:eastAsia="zh-CN"/>
              </w:rPr>
              <w:t>³粗</w:t>
            </w:r>
            <w:r>
              <w:rPr>
                <w:rFonts w:hint="eastAsia" w:ascii="Times New Roman" w:hAnsi="Times New Roman" w:cs="宋体"/>
                <w:color w:val="auto"/>
                <w:spacing w:val="-11"/>
                <w:sz w:val="21"/>
                <w:szCs w:val="21"/>
                <w:lang w:val="en-US" w:eastAsia="zh-CN"/>
              </w:rPr>
              <w:t>PD</w:t>
            </w:r>
            <w:r>
              <w:rPr>
                <w:rFonts w:hint="eastAsia" w:cs="宋体"/>
                <w:color w:val="auto"/>
                <w:spacing w:val="-11"/>
                <w:sz w:val="21"/>
                <w:szCs w:val="21"/>
                <w:lang w:val="en-US" w:eastAsia="zh-CN"/>
              </w:rPr>
              <w:t>储罐。罐区设置</w:t>
            </w:r>
            <w:r>
              <w:rPr>
                <w:rFonts w:hint="eastAsia" w:ascii="Times New Roman" w:hAnsi="Times New Roman" w:cs="宋体"/>
                <w:color w:val="auto"/>
                <w:spacing w:val="-11"/>
                <w:sz w:val="21"/>
                <w:szCs w:val="21"/>
                <w:lang w:val="en-US" w:eastAsia="zh-CN"/>
              </w:rPr>
              <w:t>1</w:t>
            </w:r>
            <w:r>
              <w:rPr>
                <w:rFonts w:hint="eastAsia" w:cs="宋体"/>
                <w:color w:val="auto"/>
                <w:spacing w:val="-11"/>
                <w:sz w:val="21"/>
                <w:szCs w:val="21"/>
                <w:lang w:val="en-US" w:eastAsia="zh-CN"/>
              </w:rPr>
              <w:t>.</w:t>
            </w:r>
            <w:r>
              <w:rPr>
                <w:rFonts w:hint="eastAsia" w:ascii="Times New Roman" w:hAnsi="Times New Roman" w:cs="宋体"/>
                <w:color w:val="auto"/>
                <w:spacing w:val="-11"/>
                <w:sz w:val="21"/>
                <w:szCs w:val="21"/>
                <w:lang w:val="en-US" w:eastAsia="zh-CN"/>
              </w:rPr>
              <w:t>2m</w:t>
            </w:r>
            <w:r>
              <w:rPr>
                <w:rFonts w:hint="eastAsia" w:cs="宋体"/>
                <w:color w:val="auto"/>
                <w:spacing w:val="-11"/>
                <w:sz w:val="21"/>
                <w:szCs w:val="21"/>
                <w:lang w:val="en-US" w:eastAsia="zh-CN"/>
              </w:rPr>
              <w:t>罐区围堰，配套装车区及</w:t>
            </w:r>
            <w:r>
              <w:rPr>
                <w:rFonts w:hint="eastAsia" w:ascii="Times New Roman" w:hAnsi="Times New Roman" w:cs="宋体"/>
                <w:color w:val="auto"/>
                <w:spacing w:val="-11"/>
                <w:sz w:val="21"/>
                <w:szCs w:val="21"/>
                <w:lang w:val="en-US" w:eastAsia="zh-CN"/>
              </w:rPr>
              <w:t>2</w:t>
            </w:r>
            <w:r>
              <w:rPr>
                <w:rFonts w:hint="eastAsia" w:cs="宋体"/>
                <w:color w:val="auto"/>
                <w:spacing w:val="-11"/>
                <w:sz w:val="21"/>
                <w:szCs w:val="21"/>
                <w:lang w:val="en-US" w:eastAsia="zh-CN"/>
              </w:rPr>
              <w:t>套装车鹤位。</w:t>
            </w:r>
          </w:p>
        </w:tc>
        <w:tc>
          <w:tcPr>
            <w:tcW w:w="74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cs="宋体"/>
                <w:color w:val="auto"/>
                <w:spacing w:val="-11"/>
                <w:sz w:val="21"/>
                <w:szCs w:val="21"/>
                <w:lang w:eastAsia="zh-CN"/>
              </w:rPr>
            </w:pPr>
            <w:r>
              <w:rPr>
                <w:rFonts w:hint="eastAsia" w:cs="宋体"/>
                <w:color w:val="auto"/>
                <w:spacing w:val="-11"/>
                <w:sz w:val="21"/>
                <w:szCs w:val="21"/>
                <w:lang w:eastAsia="zh-CN"/>
              </w:rPr>
              <w:t>输送管线</w:t>
            </w:r>
          </w:p>
        </w:tc>
        <w:tc>
          <w:tcPr>
            <w:tcW w:w="6169" w:type="dxa"/>
            <w:noWrap w:val="0"/>
            <w:vAlign w:val="center"/>
          </w:tcPr>
          <w:p>
            <w:pPr>
              <w:spacing w:line="240" w:lineRule="auto"/>
              <w:ind w:firstLine="0"/>
              <w:jc w:val="center"/>
              <w:rPr>
                <w:rFonts w:hint="default" w:cs="宋体"/>
                <w:color w:val="auto"/>
                <w:spacing w:val="-11"/>
                <w:sz w:val="21"/>
                <w:szCs w:val="21"/>
                <w:lang w:val="en-US" w:eastAsia="zh-CN"/>
              </w:rPr>
            </w:pPr>
            <w:r>
              <w:rPr>
                <w:rFonts w:hint="eastAsia" w:cs="宋体"/>
                <w:color w:val="auto"/>
                <w:spacing w:val="-11"/>
                <w:sz w:val="21"/>
                <w:szCs w:val="21"/>
                <w:lang w:val="en-US" w:eastAsia="zh-CN"/>
              </w:rPr>
              <w:t>本项目的原料</w:t>
            </w:r>
            <w:r>
              <w:rPr>
                <w:rFonts w:hint="eastAsia" w:ascii="Times New Roman" w:hAnsi="Times New Roman" w:cs="宋体"/>
                <w:color w:val="auto"/>
                <w:spacing w:val="-11"/>
                <w:sz w:val="21"/>
                <w:szCs w:val="21"/>
                <w:lang w:val="en-US" w:eastAsia="zh-CN"/>
              </w:rPr>
              <w:t>DN</w:t>
            </w:r>
            <w:r>
              <w:rPr>
                <w:rFonts w:hint="eastAsia" w:cs="宋体"/>
                <w:color w:val="auto"/>
                <w:spacing w:val="-11"/>
                <w:sz w:val="21"/>
                <w:szCs w:val="21"/>
                <w:lang w:val="en-US" w:eastAsia="zh-CN"/>
              </w:rPr>
              <w:t>溶液来自现有工程，配套建设原料输送管网设施</w:t>
            </w:r>
          </w:p>
        </w:tc>
        <w:tc>
          <w:tcPr>
            <w:tcW w:w="743" w:type="dxa"/>
            <w:noWrap w:val="0"/>
            <w:vAlign w:val="center"/>
          </w:tcPr>
          <w:p>
            <w:pPr>
              <w:spacing w:line="240" w:lineRule="auto"/>
              <w:ind w:firstLine="0"/>
              <w:jc w:val="center"/>
              <w:rPr>
                <w:rFonts w:hint="eastAsia" w:cs="宋体"/>
                <w:spacing w:val="-11"/>
                <w:sz w:val="21"/>
                <w:szCs w:val="21"/>
                <w:lang w:val="en-US" w:eastAsia="zh-CN"/>
              </w:rPr>
            </w:pPr>
            <w:r>
              <w:rPr>
                <w:rFonts w:hint="eastAsia" w:cs="宋体"/>
                <w:spacing w:val="-1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71" w:type="dxa"/>
            <w:vMerge w:val="restar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环保工程</w:t>
            </w:r>
          </w:p>
        </w:tc>
        <w:tc>
          <w:tcPr>
            <w:tcW w:w="598" w:type="dxa"/>
            <w:vMerge w:val="restar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废水</w:t>
            </w:r>
          </w:p>
        </w:tc>
        <w:tc>
          <w:tcPr>
            <w:tcW w:w="993"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生产废水</w:t>
            </w:r>
          </w:p>
        </w:tc>
        <w:tc>
          <w:tcPr>
            <w:tcW w:w="6169" w:type="dxa"/>
            <w:noWrap w:val="0"/>
            <w:vAlign w:val="center"/>
          </w:tcPr>
          <w:p>
            <w:pPr>
              <w:spacing w:line="240" w:lineRule="auto"/>
              <w:ind w:firstLine="0"/>
              <w:jc w:val="center"/>
              <w:rPr>
                <w:rFonts w:hint="eastAsia" w:hAnsi="宋体" w:cs="宋体"/>
                <w:spacing w:val="-11"/>
                <w:sz w:val="21"/>
                <w:szCs w:val="21"/>
              </w:rPr>
            </w:pPr>
            <w:r>
              <w:rPr>
                <w:rFonts w:hint="eastAsia" w:cs="宋体"/>
                <w:spacing w:val="-11"/>
                <w:sz w:val="21"/>
                <w:szCs w:val="21"/>
                <w:lang w:eastAsia="zh-CN"/>
              </w:rPr>
              <w:t>装置地面冲洗废水</w:t>
            </w:r>
            <w:r>
              <w:rPr>
                <w:rFonts w:hint="eastAsia" w:hAnsi="宋体" w:cs="宋体"/>
                <w:spacing w:val="-11"/>
                <w:sz w:val="21"/>
                <w:szCs w:val="21"/>
                <w:lang w:eastAsia="zh-CN"/>
              </w:rPr>
              <w:t>经</w:t>
            </w:r>
            <w:r>
              <w:rPr>
                <w:rFonts w:hint="eastAsia" w:hAnsi="宋体" w:cs="宋体"/>
                <w:spacing w:val="-11"/>
                <w:sz w:val="21"/>
                <w:szCs w:val="21"/>
              </w:rPr>
              <w:t>厂内污水站处理</w:t>
            </w:r>
            <w:r>
              <w:rPr>
                <w:rFonts w:hint="eastAsia" w:hAnsi="宋体" w:cs="宋体"/>
                <w:spacing w:val="-11"/>
                <w:sz w:val="21"/>
                <w:szCs w:val="21"/>
                <w:lang w:eastAsia="zh-CN"/>
              </w:rPr>
              <w:t>后排园区管网</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598" w:type="dxa"/>
            <w:vMerge w:val="continue"/>
            <w:noWrap w:val="0"/>
            <w:vAlign w:val="center"/>
          </w:tcPr>
          <w:p>
            <w:pPr>
              <w:spacing w:line="240" w:lineRule="auto"/>
              <w:ind w:firstLine="0"/>
              <w:jc w:val="center"/>
              <w:rPr>
                <w:rFonts w:hint="eastAsia" w:hAnsi="宋体" w:cs="宋体"/>
                <w:spacing w:val="-11"/>
                <w:sz w:val="21"/>
                <w:szCs w:val="21"/>
              </w:rPr>
            </w:pPr>
          </w:p>
        </w:tc>
        <w:tc>
          <w:tcPr>
            <w:tcW w:w="99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hAnsi="宋体" w:cs="宋体"/>
                <w:spacing w:val="-11"/>
                <w:sz w:val="21"/>
                <w:szCs w:val="21"/>
              </w:rPr>
              <w:t>生活污水</w:t>
            </w:r>
          </w:p>
        </w:tc>
        <w:tc>
          <w:tcPr>
            <w:tcW w:w="6169"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依托现有设施收集，</w:t>
            </w:r>
            <w:r>
              <w:rPr>
                <w:rFonts w:hint="eastAsia" w:hAnsi="宋体" w:cs="宋体"/>
                <w:spacing w:val="-11"/>
                <w:sz w:val="21"/>
                <w:szCs w:val="21"/>
              </w:rPr>
              <w:t>厂内污水站处理</w:t>
            </w:r>
            <w:r>
              <w:rPr>
                <w:rFonts w:hint="eastAsia" w:hAnsi="宋体" w:cs="宋体"/>
                <w:spacing w:val="-11"/>
                <w:sz w:val="21"/>
                <w:szCs w:val="21"/>
                <w:lang w:eastAsia="zh-CN"/>
              </w:rPr>
              <w:t>后排园区管网</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598" w:type="dxa"/>
            <w:vMerge w:val="continue"/>
            <w:noWrap w:val="0"/>
            <w:vAlign w:val="center"/>
          </w:tcPr>
          <w:p>
            <w:pPr>
              <w:spacing w:line="240" w:lineRule="auto"/>
              <w:ind w:firstLine="0"/>
              <w:jc w:val="center"/>
              <w:rPr>
                <w:rFonts w:hint="eastAsia" w:hAnsi="宋体" w:cs="宋体"/>
                <w:spacing w:val="-11"/>
                <w:sz w:val="21"/>
                <w:szCs w:val="21"/>
              </w:rPr>
            </w:pPr>
          </w:p>
        </w:tc>
        <w:tc>
          <w:tcPr>
            <w:tcW w:w="993"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污水处理站</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eastAsia="zh-CN"/>
              </w:rPr>
              <w:t>依托现有工程处理规模</w:t>
            </w:r>
            <w:r>
              <w:rPr>
                <w:rFonts w:hint="eastAsia" w:ascii="Times New Roman" w:hAnsi="Times New Roman"/>
                <w:spacing w:val="-11"/>
                <w:sz w:val="21"/>
                <w:szCs w:val="21"/>
                <w:lang w:val="en-US" w:eastAsia="zh-CN"/>
              </w:rPr>
              <w:t>1</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1</w:t>
            </w:r>
            <w:r>
              <w:rPr>
                <w:rFonts w:hint="eastAsia" w:ascii="Times New Roman"/>
                <w:spacing w:val="-11"/>
                <w:sz w:val="21"/>
                <w:szCs w:val="21"/>
                <w:lang w:val="en-US" w:eastAsia="zh-CN"/>
              </w:rPr>
              <w:t>万</w:t>
            </w:r>
            <w:r>
              <w:rPr>
                <w:rFonts w:hint="eastAsia" w:ascii="Times New Roman" w:hAnsi="Times New Roman"/>
                <w:spacing w:val="-11"/>
                <w:sz w:val="21"/>
                <w:szCs w:val="21"/>
              </w:rPr>
              <w:t>m</w:t>
            </w:r>
            <w:r>
              <w:rPr>
                <w:rFonts w:hint="eastAsia" w:hAnsi="宋体" w:cs="宋体"/>
                <w:spacing w:val="-11"/>
                <w:sz w:val="21"/>
                <w:szCs w:val="21"/>
              </w:rPr>
              <w:t>³/</w:t>
            </w:r>
            <w:r>
              <w:rPr>
                <w:rFonts w:hint="eastAsia" w:ascii="Times New Roman" w:hAnsi="Times New Roman"/>
                <w:spacing w:val="-11"/>
                <w:sz w:val="21"/>
                <w:szCs w:val="21"/>
                <w:lang w:val="en-US" w:eastAsia="zh-CN"/>
              </w:rPr>
              <w:t>d</w:t>
            </w:r>
            <w:r>
              <w:rPr>
                <w:rFonts w:hint="eastAsia" w:ascii="Times New Roman" w:hAnsi="Times New Roman"/>
                <w:spacing w:val="-11"/>
                <w:sz w:val="21"/>
                <w:szCs w:val="21"/>
                <w:lang w:val="en-US" w:eastAsia="zh-CN"/>
              </w:rPr>
              <w:t>污水处理站处理</w:t>
            </w:r>
            <w:r>
              <w:rPr>
                <w:rFonts w:hint="eastAsia" w:hAnsi="宋体" w:cs="宋体"/>
                <w:spacing w:val="-11"/>
                <w:sz w:val="21"/>
                <w:szCs w:val="21"/>
              </w:rPr>
              <w:t>，采用</w:t>
            </w:r>
            <w:r>
              <w:rPr>
                <w:rFonts w:hint="eastAsia" w:cs="宋体"/>
                <w:spacing w:val="-11"/>
                <w:sz w:val="21"/>
                <w:szCs w:val="21"/>
                <w:lang w:eastAsia="zh-CN"/>
              </w:rPr>
              <w:t>水解酸化池</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A2O</w:t>
            </w:r>
            <w:r>
              <w:rPr>
                <w:rFonts w:hint="eastAsia" w:cs="宋体"/>
                <w:spacing w:val="-11"/>
                <w:sz w:val="21"/>
                <w:szCs w:val="21"/>
                <w:lang w:eastAsia="zh-CN"/>
              </w:rPr>
              <w:t>生化</w:t>
            </w:r>
            <w:r>
              <w:rPr>
                <w:rFonts w:hint="eastAsia" w:hAnsi="宋体" w:cs="宋体"/>
                <w:spacing w:val="-11"/>
                <w:sz w:val="21"/>
                <w:szCs w:val="21"/>
                <w:lang w:val="en-US" w:eastAsia="zh-CN"/>
              </w:rPr>
              <w:t>处理</w:t>
            </w:r>
            <w:r>
              <w:rPr>
                <w:rFonts w:hint="eastAsia" w:hAnsi="宋体" w:cs="宋体"/>
                <w:spacing w:val="-11"/>
                <w:sz w:val="21"/>
                <w:szCs w:val="21"/>
                <w:lang w:eastAsia="zh-CN"/>
              </w:rPr>
              <w:t>工艺</w:t>
            </w:r>
            <w:r>
              <w:rPr>
                <w:rFonts w:hint="eastAsia" w:cs="宋体"/>
                <w:spacing w:val="-11"/>
                <w:sz w:val="21"/>
                <w:szCs w:val="21"/>
                <w:lang w:eastAsia="zh-CN"/>
              </w:rPr>
              <w:t>，废水处理满足《污水排入城镇下水道水质标准》（</w:t>
            </w:r>
            <w:r>
              <w:rPr>
                <w:rFonts w:hint="eastAsia" w:ascii="Times New Roman" w:hAnsi="Times New Roman" w:cs="宋体"/>
                <w:spacing w:val="-11"/>
                <w:sz w:val="21"/>
                <w:szCs w:val="21"/>
                <w:lang w:val="en-US" w:eastAsia="zh-CN"/>
              </w:rPr>
              <w:t>GB</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T31962</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2015</w:t>
            </w:r>
            <w:r>
              <w:rPr>
                <w:rFonts w:hint="eastAsia" w:cs="宋体"/>
                <w:spacing w:val="-11"/>
                <w:sz w:val="21"/>
                <w:szCs w:val="21"/>
                <w:lang w:eastAsia="zh-CN"/>
              </w:rPr>
              <w:t>）表</w:t>
            </w:r>
            <w:r>
              <w:rPr>
                <w:rFonts w:hint="eastAsia" w:ascii="Times New Roman" w:hAnsi="Times New Roman" w:cs="宋体"/>
                <w:spacing w:val="-11"/>
                <w:sz w:val="21"/>
                <w:szCs w:val="21"/>
                <w:lang w:val="en-US" w:eastAsia="zh-CN"/>
              </w:rPr>
              <w:t>1B</w:t>
            </w:r>
            <w:r>
              <w:rPr>
                <w:rFonts w:hint="eastAsia" w:cs="宋体"/>
                <w:spacing w:val="-11"/>
                <w:sz w:val="21"/>
                <w:szCs w:val="21"/>
                <w:lang w:val="en-US" w:eastAsia="zh-CN"/>
              </w:rPr>
              <w:t>级限值，可吸附有机卤化物满足《合成树脂工业污染物排放标准》（</w:t>
            </w:r>
            <w:r>
              <w:rPr>
                <w:rFonts w:hint="eastAsia" w:ascii="Times New Roman" w:hAnsi="Times New Roman" w:cs="宋体"/>
                <w:spacing w:val="-11"/>
                <w:sz w:val="21"/>
                <w:szCs w:val="21"/>
                <w:lang w:val="en-US" w:eastAsia="zh-CN"/>
              </w:rPr>
              <w:t>GB31572</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2015</w:t>
            </w:r>
            <w:r>
              <w:rPr>
                <w:rFonts w:hint="eastAsia" w:cs="宋体"/>
                <w:spacing w:val="-11"/>
                <w:sz w:val="21"/>
                <w:szCs w:val="21"/>
                <w:lang w:val="en-US" w:eastAsia="zh-CN"/>
              </w:rPr>
              <w:t>）表</w:t>
            </w:r>
            <w:r>
              <w:rPr>
                <w:rFonts w:hint="eastAsia" w:ascii="Times New Roman" w:hAnsi="Times New Roman" w:cs="宋体"/>
                <w:spacing w:val="-11"/>
                <w:sz w:val="21"/>
                <w:szCs w:val="21"/>
                <w:lang w:val="en-US" w:eastAsia="zh-CN"/>
              </w:rPr>
              <w:t>1</w:t>
            </w:r>
            <w:r>
              <w:rPr>
                <w:rFonts w:hint="eastAsia" w:cs="宋体"/>
                <w:spacing w:val="-11"/>
                <w:sz w:val="21"/>
                <w:szCs w:val="21"/>
                <w:lang w:val="en-US" w:eastAsia="zh-CN"/>
              </w:rPr>
              <w:t>间接标准，排园区下水管网</w:t>
            </w:r>
          </w:p>
        </w:tc>
        <w:tc>
          <w:tcPr>
            <w:tcW w:w="74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598"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废气</w:t>
            </w:r>
          </w:p>
        </w:tc>
        <w:tc>
          <w:tcPr>
            <w:tcW w:w="993" w:type="dxa"/>
            <w:noWrap w:val="0"/>
            <w:vAlign w:val="center"/>
          </w:tcPr>
          <w:p>
            <w:pPr>
              <w:spacing w:line="240" w:lineRule="auto"/>
              <w:ind w:firstLine="0"/>
              <w:jc w:val="center"/>
              <w:rPr>
                <w:rFonts w:hint="eastAsia" w:hAnsi="宋体" w:eastAsia="宋体" w:cs="宋体"/>
                <w:color w:val="auto"/>
                <w:spacing w:val="-11"/>
                <w:sz w:val="21"/>
                <w:szCs w:val="21"/>
                <w:lang w:eastAsia="zh-CN"/>
              </w:rPr>
            </w:pPr>
            <w:r>
              <w:rPr>
                <w:rFonts w:hint="eastAsia" w:ascii="Times New Roman"/>
                <w:color w:val="auto"/>
                <w:spacing w:val="-11"/>
                <w:sz w:val="21"/>
                <w:szCs w:val="21"/>
                <w:lang w:eastAsia="zh-CN"/>
              </w:rPr>
              <w:t>生产工艺废气处理系统</w:t>
            </w:r>
          </w:p>
        </w:tc>
        <w:tc>
          <w:tcPr>
            <w:tcW w:w="6169" w:type="dxa"/>
            <w:noWrap w:val="0"/>
            <w:vAlign w:val="center"/>
          </w:tcPr>
          <w:p>
            <w:pPr>
              <w:spacing w:line="240" w:lineRule="auto"/>
              <w:ind w:firstLine="0"/>
              <w:jc w:val="center"/>
              <w:rPr>
                <w:rFonts w:hint="default" w:hAnsi="宋体" w:eastAsia="宋体" w:cs="宋体"/>
                <w:color w:val="auto"/>
                <w:spacing w:val="-11"/>
                <w:sz w:val="21"/>
                <w:szCs w:val="21"/>
                <w:lang w:val="en-US" w:eastAsia="zh-CN"/>
              </w:rPr>
            </w:pPr>
            <w:r>
              <w:rPr>
                <w:rFonts w:hint="eastAsia" w:hAnsi="宋体" w:cs="宋体"/>
                <w:color w:val="auto"/>
                <w:spacing w:val="-11"/>
                <w:sz w:val="21"/>
                <w:szCs w:val="21"/>
              </w:rPr>
              <w:t>位于</w:t>
            </w:r>
            <w:r>
              <w:rPr>
                <w:rFonts w:hint="eastAsia" w:cs="宋体"/>
                <w:color w:val="auto"/>
                <w:spacing w:val="-11"/>
                <w:sz w:val="21"/>
                <w:szCs w:val="21"/>
                <w:lang w:eastAsia="zh-CN"/>
              </w:rPr>
              <w:t>装置区东北角</w:t>
            </w:r>
            <w:r>
              <w:rPr>
                <w:rFonts w:hint="eastAsia" w:hAnsi="宋体" w:cs="宋体"/>
                <w:color w:val="auto"/>
                <w:spacing w:val="-11"/>
                <w:sz w:val="21"/>
                <w:szCs w:val="21"/>
              </w:rPr>
              <w:t>，负责</w:t>
            </w:r>
            <w:r>
              <w:rPr>
                <w:rFonts w:hint="eastAsia" w:hAnsi="宋体" w:cs="宋体"/>
                <w:color w:val="auto"/>
                <w:spacing w:val="-11"/>
                <w:sz w:val="21"/>
                <w:szCs w:val="21"/>
                <w:lang w:eastAsia="zh-CN"/>
              </w:rPr>
              <w:t>处理</w:t>
            </w:r>
            <w:r>
              <w:rPr>
                <w:rFonts w:hint="eastAsia" w:cs="宋体"/>
                <w:color w:val="auto"/>
                <w:spacing w:val="-11"/>
                <w:sz w:val="21"/>
                <w:szCs w:val="21"/>
                <w:lang w:eastAsia="zh-CN"/>
              </w:rPr>
              <w:t>工艺装置冷凝后的不凝</w:t>
            </w:r>
            <w:r>
              <w:rPr>
                <w:rFonts w:hint="eastAsia" w:hAnsi="宋体" w:cs="宋体"/>
                <w:color w:val="auto"/>
                <w:spacing w:val="-11"/>
                <w:sz w:val="21"/>
                <w:szCs w:val="21"/>
              </w:rPr>
              <w:t>气</w:t>
            </w:r>
            <w:r>
              <w:rPr>
                <w:rFonts w:hint="eastAsia" w:hAnsi="宋体" w:cs="宋体"/>
                <w:color w:val="auto"/>
                <w:spacing w:val="-11"/>
                <w:sz w:val="21"/>
                <w:szCs w:val="21"/>
                <w:lang w:eastAsia="zh-CN"/>
              </w:rPr>
              <w:t>，</w:t>
            </w:r>
            <w:r>
              <w:rPr>
                <w:rFonts w:hint="eastAsia" w:cs="宋体"/>
                <w:color w:val="auto"/>
                <w:spacing w:val="-11"/>
                <w:sz w:val="21"/>
                <w:szCs w:val="21"/>
                <w:lang w:eastAsia="zh-CN"/>
              </w:rPr>
              <w:t>包括一级水吸收塔和二级酸吸收塔</w:t>
            </w:r>
            <w:r>
              <w:rPr>
                <w:rFonts w:hint="eastAsia" w:cs="宋体"/>
                <w:color w:val="auto"/>
                <w:spacing w:val="-11"/>
                <w:sz w:val="21"/>
                <w:szCs w:val="21"/>
                <w:lang w:val="en-US" w:eastAsia="zh-CN"/>
              </w:rPr>
              <w:t>，</w:t>
            </w:r>
            <w:r>
              <w:rPr>
                <w:rFonts w:hint="eastAsia" w:cs="宋体"/>
                <w:color w:val="auto"/>
                <w:spacing w:val="-11"/>
                <w:sz w:val="21"/>
                <w:szCs w:val="21"/>
                <w:lang w:eastAsia="zh-CN"/>
              </w:rPr>
              <w:t>处理后的尾气通过</w:t>
            </w:r>
            <w:r>
              <w:rPr>
                <w:rFonts w:hint="eastAsia" w:ascii="Times New Roman" w:hAnsi="Times New Roman" w:cs="宋体"/>
                <w:color w:val="auto"/>
                <w:spacing w:val="-11"/>
                <w:sz w:val="21"/>
                <w:szCs w:val="21"/>
                <w:lang w:val="en-US" w:eastAsia="zh-CN"/>
              </w:rPr>
              <w:t>15m</w:t>
            </w:r>
            <w:r>
              <w:rPr>
                <w:rFonts w:hint="eastAsia" w:hAnsi="宋体" w:cs="宋体"/>
                <w:color w:val="auto"/>
                <w:spacing w:val="-11"/>
                <w:sz w:val="21"/>
                <w:szCs w:val="21"/>
                <w:lang w:val="en-US" w:eastAsia="zh-CN"/>
              </w:rPr>
              <w:t>高排气筒排放</w:t>
            </w:r>
            <w:r>
              <w:rPr>
                <w:rFonts w:hint="eastAsia" w:cs="宋体"/>
                <w:color w:val="auto"/>
                <w:spacing w:val="-11"/>
                <w:sz w:val="21"/>
                <w:szCs w:val="21"/>
                <w:lang w:val="en-US" w:eastAsia="zh-CN"/>
              </w:rPr>
              <w:t>，酸洗采用的硫酸来自现有工程硫酸储罐，经配置后使用，水洗液回用于动力站配置脱硫剂利用，酸吸收液（主要成份硫酸铵）回用于现有工程发酵工序利用</w:t>
            </w:r>
          </w:p>
        </w:tc>
        <w:tc>
          <w:tcPr>
            <w:tcW w:w="743" w:type="dxa"/>
            <w:noWrap w:val="0"/>
            <w:vAlign w:val="center"/>
          </w:tcPr>
          <w:p>
            <w:pPr>
              <w:spacing w:line="240" w:lineRule="auto"/>
              <w:ind w:firstLine="0"/>
              <w:jc w:val="center"/>
              <w:rPr>
                <w:rFonts w:hint="eastAsia" w:hAnsi="宋体" w:eastAsia="宋体" w:cs="宋体"/>
                <w:color w:val="auto"/>
                <w:spacing w:val="-11"/>
                <w:sz w:val="21"/>
                <w:szCs w:val="21"/>
                <w:lang w:eastAsia="zh-CN"/>
              </w:rPr>
            </w:pPr>
            <w:r>
              <w:rPr>
                <w:rFonts w:hint="eastAsia" w:cs="宋体"/>
                <w:color w:val="auto"/>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598"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噪声</w:t>
            </w:r>
          </w:p>
        </w:tc>
        <w:tc>
          <w:tcPr>
            <w:tcW w:w="993" w:type="dxa"/>
            <w:noWrap w:val="0"/>
            <w:vAlign w:val="center"/>
          </w:tcPr>
          <w:p>
            <w:pPr>
              <w:spacing w:line="240" w:lineRule="auto"/>
              <w:ind w:firstLine="0"/>
              <w:jc w:val="center"/>
              <w:rPr>
                <w:rFonts w:hint="eastAsia" w:hAnsi="宋体" w:cs="宋体"/>
                <w:spacing w:val="-11"/>
                <w:sz w:val="21"/>
                <w:szCs w:val="21"/>
              </w:rPr>
            </w:pPr>
            <w:r>
              <w:rPr>
                <w:rFonts w:hint="eastAsia" w:cs="宋体"/>
                <w:spacing w:val="-11"/>
                <w:sz w:val="21"/>
                <w:szCs w:val="21"/>
                <w:lang w:eastAsia="zh-CN"/>
              </w:rPr>
              <w:t>冷凝器</w:t>
            </w:r>
            <w:r>
              <w:rPr>
                <w:rFonts w:hint="eastAsia" w:hAnsi="宋体" w:cs="宋体"/>
                <w:spacing w:val="-11"/>
                <w:sz w:val="21"/>
                <w:szCs w:val="21"/>
              </w:rPr>
              <w:t>、</w:t>
            </w:r>
            <w:r>
              <w:rPr>
                <w:rFonts w:hint="eastAsia" w:cs="宋体"/>
                <w:spacing w:val="-11"/>
                <w:sz w:val="21"/>
                <w:szCs w:val="21"/>
                <w:lang w:eastAsia="zh-CN"/>
              </w:rPr>
              <w:t>泵机</w:t>
            </w:r>
            <w:r>
              <w:rPr>
                <w:rFonts w:hint="eastAsia" w:hAnsi="宋体" w:cs="宋体"/>
                <w:spacing w:val="-11"/>
                <w:sz w:val="21"/>
                <w:szCs w:val="21"/>
              </w:rPr>
              <w:t>等</w:t>
            </w:r>
          </w:p>
        </w:tc>
        <w:tc>
          <w:tcPr>
            <w:tcW w:w="6169"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hAnsi="宋体" w:cs="宋体"/>
                <w:spacing w:val="-11"/>
                <w:sz w:val="21"/>
                <w:szCs w:val="21"/>
              </w:rPr>
              <w:t>基础减振、周边绿化</w:t>
            </w:r>
            <w:r>
              <w:rPr>
                <w:rFonts w:hint="eastAsia" w:cs="宋体"/>
                <w:spacing w:val="-11"/>
                <w:sz w:val="21"/>
                <w:szCs w:val="21"/>
                <w:lang w:eastAsia="zh-CN"/>
              </w:rPr>
              <w:t>、泵机设置于泵房中</w:t>
            </w:r>
          </w:p>
        </w:tc>
        <w:tc>
          <w:tcPr>
            <w:tcW w:w="74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598" w:type="dxa"/>
            <w:vMerge w:val="restar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固废</w:t>
            </w:r>
          </w:p>
        </w:tc>
        <w:tc>
          <w:tcPr>
            <w:tcW w:w="99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hAnsi="宋体" w:cs="宋体"/>
                <w:spacing w:val="-11"/>
                <w:sz w:val="21"/>
                <w:szCs w:val="21"/>
              </w:rPr>
              <w:t>废</w:t>
            </w:r>
            <w:r>
              <w:rPr>
                <w:rFonts w:hint="eastAsia" w:cs="宋体"/>
                <w:spacing w:val="-11"/>
                <w:sz w:val="21"/>
                <w:szCs w:val="21"/>
                <w:lang w:eastAsia="zh-CN"/>
              </w:rPr>
              <w:t>催化剂</w:t>
            </w:r>
          </w:p>
        </w:tc>
        <w:tc>
          <w:tcPr>
            <w:tcW w:w="6169"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hAnsi="宋体" w:cs="宋体"/>
                <w:spacing w:val="-11"/>
                <w:sz w:val="21"/>
                <w:szCs w:val="21"/>
                <w:lang w:eastAsia="zh-CN"/>
              </w:rPr>
              <w:t>一般</w:t>
            </w:r>
            <w:r>
              <w:rPr>
                <w:rFonts w:hint="eastAsia" w:ascii="Times New Roman" w:hAnsi="Times New Roman" w:cs="宋体"/>
                <w:spacing w:val="-11"/>
                <w:sz w:val="21"/>
                <w:szCs w:val="21"/>
                <w:lang w:val="en-US" w:eastAsia="zh-CN"/>
              </w:rPr>
              <w:t>5a</w:t>
            </w:r>
            <w:r>
              <w:rPr>
                <w:rFonts w:hint="eastAsia" w:hAnsi="宋体" w:cs="宋体"/>
                <w:spacing w:val="-11"/>
                <w:sz w:val="21"/>
                <w:szCs w:val="21"/>
                <w:lang w:val="en-US" w:eastAsia="zh-CN"/>
              </w:rPr>
              <w:t>更换一次，</w:t>
            </w:r>
            <w:r>
              <w:rPr>
                <w:rFonts w:hint="eastAsia" w:cs="宋体"/>
                <w:spacing w:val="-11"/>
                <w:sz w:val="21"/>
                <w:szCs w:val="21"/>
                <w:lang w:val="en-US" w:eastAsia="zh-CN"/>
              </w:rPr>
              <w:t>规范收集，</w:t>
            </w:r>
            <w:r>
              <w:rPr>
                <w:rFonts w:hint="eastAsia" w:cs="宋体"/>
                <w:spacing w:val="-11"/>
                <w:sz w:val="21"/>
                <w:szCs w:val="21"/>
                <w:lang w:eastAsia="zh-CN"/>
              </w:rPr>
              <w:t>危险废物贮存库暂存，定期委托处理</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598" w:type="dxa"/>
            <w:vMerge w:val="continue"/>
            <w:noWrap w:val="0"/>
            <w:vAlign w:val="center"/>
          </w:tcPr>
          <w:p>
            <w:pPr>
              <w:spacing w:line="240" w:lineRule="auto"/>
              <w:ind w:firstLine="0"/>
              <w:jc w:val="center"/>
              <w:rPr>
                <w:rFonts w:hint="eastAsia" w:hAnsi="宋体" w:cs="宋体"/>
                <w:spacing w:val="-11"/>
                <w:sz w:val="21"/>
                <w:szCs w:val="21"/>
              </w:rPr>
            </w:pPr>
          </w:p>
        </w:tc>
        <w:tc>
          <w:tcPr>
            <w:tcW w:w="993"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污水站污泥</w:t>
            </w:r>
          </w:p>
        </w:tc>
        <w:tc>
          <w:tcPr>
            <w:tcW w:w="6169" w:type="dxa"/>
            <w:noWrap w:val="0"/>
            <w:vAlign w:val="center"/>
          </w:tcPr>
          <w:p>
            <w:pPr>
              <w:spacing w:line="240" w:lineRule="auto"/>
              <w:ind w:firstLine="0"/>
              <w:jc w:val="center"/>
              <w:rPr>
                <w:rFonts w:hint="eastAsia" w:ascii="Times New Roman" w:eastAsia="宋体" w:cs="宋体"/>
                <w:spacing w:val="-11"/>
                <w:sz w:val="21"/>
                <w:szCs w:val="21"/>
                <w:lang w:eastAsia="zh-CN"/>
              </w:rPr>
            </w:pPr>
            <w:r>
              <w:rPr>
                <w:rFonts w:hint="eastAsia" w:cs="宋体"/>
                <w:spacing w:val="-11"/>
                <w:sz w:val="21"/>
                <w:szCs w:val="21"/>
                <w:lang w:eastAsia="zh-CN"/>
              </w:rPr>
              <w:t>新增少量污水站生化污泥，属于一般工业固体废物，纳入现有固废管理，定期清运至当地工业固废填埋场</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598" w:type="dxa"/>
            <w:vMerge w:val="continue"/>
            <w:noWrap w:val="0"/>
            <w:vAlign w:val="center"/>
          </w:tcPr>
          <w:p>
            <w:pPr>
              <w:spacing w:line="240" w:lineRule="auto"/>
              <w:ind w:firstLine="0"/>
              <w:jc w:val="center"/>
              <w:rPr>
                <w:rFonts w:hint="eastAsia" w:hAnsi="宋体" w:cs="宋体"/>
                <w:spacing w:val="-11"/>
                <w:sz w:val="21"/>
                <w:szCs w:val="21"/>
              </w:rPr>
            </w:pPr>
          </w:p>
        </w:tc>
        <w:tc>
          <w:tcPr>
            <w:tcW w:w="993" w:type="dxa"/>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生活垃圾</w:t>
            </w:r>
          </w:p>
        </w:tc>
        <w:tc>
          <w:tcPr>
            <w:tcW w:w="6169" w:type="dxa"/>
            <w:noWrap w:val="0"/>
            <w:vAlign w:val="center"/>
          </w:tcPr>
          <w:p>
            <w:pPr>
              <w:spacing w:line="240" w:lineRule="auto"/>
              <w:ind w:firstLine="0"/>
              <w:jc w:val="center"/>
              <w:rPr>
                <w:rFonts w:hint="eastAsia" w:hAnsi="宋体" w:cs="宋体"/>
                <w:spacing w:val="-11"/>
                <w:sz w:val="21"/>
                <w:szCs w:val="21"/>
              </w:rPr>
            </w:pPr>
            <w:r>
              <w:rPr>
                <w:rFonts w:hint="eastAsia" w:cs="宋体"/>
                <w:spacing w:val="-11"/>
                <w:sz w:val="21"/>
                <w:szCs w:val="21"/>
                <w:lang w:eastAsia="zh-CN"/>
              </w:rPr>
              <w:t>新增少量</w:t>
            </w:r>
            <w:r>
              <w:rPr>
                <w:rFonts w:hint="eastAsia" w:hAnsi="宋体" w:cs="宋体"/>
                <w:spacing w:val="-11"/>
                <w:sz w:val="21"/>
                <w:szCs w:val="21"/>
              </w:rPr>
              <w:t>生活垃圾</w:t>
            </w:r>
            <w:r>
              <w:rPr>
                <w:rFonts w:hint="eastAsia" w:cs="宋体"/>
                <w:spacing w:val="-11"/>
                <w:sz w:val="21"/>
                <w:szCs w:val="21"/>
                <w:lang w:eastAsia="zh-CN"/>
              </w:rPr>
              <w:t>，依托现有设施分类收集</w:t>
            </w:r>
            <w:r>
              <w:rPr>
                <w:rFonts w:hint="eastAsia" w:hAnsi="宋体" w:cs="宋体"/>
                <w:spacing w:val="-11"/>
                <w:sz w:val="21"/>
                <w:szCs w:val="21"/>
              </w:rPr>
              <w:t>，委托园区环卫定期清运</w:t>
            </w:r>
          </w:p>
        </w:tc>
        <w:tc>
          <w:tcPr>
            <w:tcW w:w="743"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1" w:type="dxa"/>
            <w:vMerge w:val="restar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环境风险</w:t>
            </w: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三级防控措施</w:t>
            </w:r>
          </w:p>
        </w:tc>
        <w:tc>
          <w:tcPr>
            <w:tcW w:w="6169" w:type="dxa"/>
            <w:noWrap w:val="0"/>
            <w:vAlign w:val="center"/>
          </w:tcPr>
          <w:p>
            <w:pPr>
              <w:spacing w:line="240" w:lineRule="auto"/>
              <w:ind w:firstLine="0"/>
              <w:jc w:val="center"/>
              <w:rPr>
                <w:rFonts w:hint="eastAsia" w:hAnsi="宋体" w:eastAsia="宋体" w:cs="宋体"/>
                <w:spacing w:val="-11"/>
                <w:sz w:val="21"/>
                <w:szCs w:val="21"/>
                <w:lang w:eastAsia="zh-CN"/>
              </w:rPr>
            </w:pPr>
            <w:r>
              <w:rPr>
                <w:rFonts w:hint="eastAsia" w:cs="宋体"/>
                <w:spacing w:val="-11"/>
                <w:sz w:val="21"/>
                <w:szCs w:val="21"/>
                <w:lang w:eastAsia="zh-CN"/>
              </w:rPr>
              <w:t>本项目完善厂内三级防控措施，其中一级防控体系由罐区围堰、有毒气体检测装置、消防报警系统等组成；二级防控体系主要由事故应急池、排污沟、导雨管等组成；三级防控体系由厂区污水站和事故池组成。</w:t>
            </w:r>
          </w:p>
        </w:tc>
        <w:tc>
          <w:tcPr>
            <w:tcW w:w="743"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eastAsia="zh-CN"/>
              </w:rPr>
              <w:t>依托</w:t>
            </w:r>
            <w:r>
              <w:rPr>
                <w:rFonts w:hint="eastAsia" w:cs="宋体"/>
                <w:spacing w:val="-11"/>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储罐区围堰</w:t>
            </w:r>
          </w:p>
        </w:tc>
        <w:tc>
          <w:tcPr>
            <w:tcW w:w="6169" w:type="dxa"/>
            <w:noWrap w:val="0"/>
            <w:vAlign w:val="center"/>
          </w:tcPr>
          <w:p>
            <w:pPr>
              <w:spacing w:line="240" w:lineRule="auto"/>
              <w:ind w:firstLine="0"/>
              <w:jc w:val="center"/>
              <w:rPr>
                <w:rFonts w:hint="default" w:hAnsi="宋体" w:eastAsia="宋体" w:cs="宋体"/>
                <w:spacing w:val="-11"/>
                <w:sz w:val="21"/>
                <w:szCs w:val="21"/>
                <w:lang w:val="en-US" w:eastAsia="zh-CN"/>
              </w:rPr>
            </w:pPr>
            <w:r>
              <w:rPr>
                <w:rFonts w:hint="eastAsia" w:cs="宋体"/>
                <w:spacing w:val="-11"/>
                <w:sz w:val="21"/>
                <w:szCs w:val="21"/>
                <w:lang w:eastAsia="zh-CN"/>
              </w:rPr>
              <w:t>储罐区周边设置不低于</w:t>
            </w:r>
            <w:r>
              <w:rPr>
                <w:rFonts w:hint="eastAsia" w:ascii="Times New Roman" w:hAnsi="Times New Roman" w:cs="宋体"/>
                <w:spacing w:val="-11"/>
                <w:sz w:val="21"/>
                <w:szCs w:val="21"/>
                <w:lang w:val="en-US" w:eastAsia="zh-CN"/>
              </w:rPr>
              <w:t>1</w:t>
            </w:r>
            <w:r>
              <w:rPr>
                <w:rFonts w:hint="eastAsia" w:cs="宋体"/>
                <w:spacing w:val="-11"/>
                <w:sz w:val="21"/>
                <w:szCs w:val="21"/>
                <w:lang w:val="en-US" w:eastAsia="zh-CN"/>
              </w:rPr>
              <w:t>.</w:t>
            </w:r>
            <w:r>
              <w:rPr>
                <w:rFonts w:hint="eastAsia" w:ascii="Times New Roman" w:hAnsi="Times New Roman" w:cs="宋体"/>
                <w:spacing w:val="-11"/>
                <w:sz w:val="21"/>
                <w:szCs w:val="21"/>
                <w:lang w:val="en-US" w:eastAsia="zh-CN"/>
              </w:rPr>
              <w:t>2m</w:t>
            </w:r>
            <w:r>
              <w:rPr>
                <w:rFonts w:hint="eastAsia" w:cs="宋体"/>
                <w:spacing w:val="-11"/>
                <w:sz w:val="21"/>
                <w:szCs w:val="21"/>
                <w:lang w:val="en-US" w:eastAsia="zh-CN"/>
              </w:rPr>
              <w:t>围堰，设排水设施通往事故池</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装置区导流</w:t>
            </w:r>
          </w:p>
        </w:tc>
        <w:tc>
          <w:tcPr>
            <w:tcW w:w="6169"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装置区周边设置截水沟和集水设施，可将事故废水和消防废水通入事故池</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firstLineChars="0"/>
              <w:jc w:val="center"/>
              <w:rPr>
                <w:rFonts w:hint="eastAsia" w:ascii="宋体" w:hAnsi="宋体" w:eastAsia="宋体" w:cs="宋体"/>
                <w:spacing w:val="-11"/>
                <w:sz w:val="21"/>
                <w:szCs w:val="21"/>
                <w:lang w:val="en-US" w:eastAsia="zh-CN" w:bidi="ar-SA"/>
              </w:rPr>
            </w:pPr>
            <w:r>
              <w:rPr>
                <w:rFonts w:hint="eastAsia" w:cs="宋体"/>
                <w:spacing w:val="-11"/>
                <w:sz w:val="21"/>
                <w:szCs w:val="21"/>
                <w:lang w:eastAsia="zh-CN"/>
              </w:rPr>
              <w:t>分区防渗</w:t>
            </w:r>
          </w:p>
        </w:tc>
        <w:tc>
          <w:tcPr>
            <w:tcW w:w="6169" w:type="dxa"/>
            <w:noWrap w:val="0"/>
            <w:vAlign w:val="center"/>
          </w:tcPr>
          <w:p>
            <w:pPr>
              <w:spacing w:line="240" w:lineRule="auto"/>
              <w:ind w:firstLine="0" w:firstLineChars="0"/>
              <w:jc w:val="center"/>
              <w:rPr>
                <w:rFonts w:hint="eastAsia" w:ascii="宋体" w:hAnsi="宋体" w:eastAsia="宋体" w:cs="宋体"/>
                <w:spacing w:val="-11"/>
                <w:sz w:val="21"/>
                <w:szCs w:val="21"/>
                <w:lang w:val="en-US" w:eastAsia="zh-CN" w:bidi="ar-SA"/>
              </w:rPr>
            </w:pPr>
            <w:r>
              <w:rPr>
                <w:rFonts w:hint="eastAsia" w:cs="宋体"/>
                <w:spacing w:val="-11"/>
                <w:sz w:val="21"/>
                <w:szCs w:val="21"/>
                <w:lang w:eastAsia="zh-CN"/>
              </w:rPr>
              <w:t>本项目储罐区基础、吸收塔基础</w:t>
            </w:r>
            <w:r>
              <w:rPr>
                <w:rFonts w:hint="eastAsia" w:hAnsi="宋体" w:cs="宋体"/>
                <w:spacing w:val="-11"/>
                <w:sz w:val="21"/>
                <w:szCs w:val="21"/>
                <w:lang w:eastAsia="zh-CN"/>
              </w:rPr>
              <w:t>设</w:t>
            </w:r>
            <w:r>
              <w:rPr>
                <w:rFonts w:hint="eastAsia" w:cs="宋体"/>
                <w:spacing w:val="-11"/>
                <w:sz w:val="21"/>
                <w:szCs w:val="21"/>
                <w:lang w:eastAsia="zh-CN"/>
              </w:rPr>
              <w:t>为</w:t>
            </w:r>
            <w:r>
              <w:rPr>
                <w:rFonts w:hint="eastAsia" w:hAnsi="宋体" w:cs="宋体"/>
                <w:spacing w:val="-11"/>
                <w:sz w:val="21"/>
                <w:szCs w:val="21"/>
                <w:lang w:eastAsia="zh-CN"/>
              </w:rPr>
              <w:t>重点防渗</w:t>
            </w:r>
            <w:r>
              <w:rPr>
                <w:rFonts w:hint="eastAsia" w:cs="宋体"/>
                <w:spacing w:val="-11"/>
                <w:sz w:val="21"/>
                <w:szCs w:val="21"/>
                <w:lang w:eastAsia="zh-CN"/>
              </w:rPr>
              <w:t>区，装置区为一般防渗区</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eastAsia="宋体" w:cs="宋体"/>
                <w:spacing w:val="-11"/>
                <w:sz w:val="21"/>
                <w:szCs w:val="21"/>
                <w:lang w:eastAsia="zh-CN"/>
              </w:rPr>
            </w:pPr>
            <w:r>
              <w:rPr>
                <w:rFonts w:hint="eastAsia" w:hAnsi="宋体" w:cs="宋体"/>
                <w:spacing w:val="-11"/>
                <w:sz w:val="21"/>
                <w:szCs w:val="21"/>
                <w:lang w:eastAsia="zh-CN"/>
              </w:rPr>
              <w:t>事故池</w:t>
            </w:r>
          </w:p>
        </w:tc>
        <w:tc>
          <w:tcPr>
            <w:tcW w:w="6169" w:type="dxa"/>
            <w:noWrap w:val="0"/>
            <w:vAlign w:val="center"/>
          </w:tcPr>
          <w:p>
            <w:pPr>
              <w:spacing w:line="240" w:lineRule="auto"/>
              <w:ind w:firstLine="0"/>
              <w:jc w:val="center"/>
              <w:rPr>
                <w:rFonts w:hint="eastAsia" w:hAnsi="宋体" w:cs="宋体"/>
                <w:spacing w:val="-11"/>
                <w:sz w:val="21"/>
                <w:szCs w:val="21"/>
              </w:rPr>
            </w:pPr>
            <w:r>
              <w:rPr>
                <w:rFonts w:hint="eastAsia" w:cs="宋体"/>
                <w:spacing w:val="-11"/>
                <w:sz w:val="21"/>
                <w:szCs w:val="21"/>
                <w:lang w:eastAsia="zh-CN"/>
              </w:rPr>
              <w:t>依托厂内现有一座</w:t>
            </w:r>
            <w:r>
              <w:rPr>
                <w:rFonts w:hint="eastAsia" w:ascii="Times New Roman" w:hAnsi="Times New Roman" w:cs="宋体"/>
                <w:spacing w:val="-11"/>
                <w:sz w:val="21"/>
                <w:szCs w:val="21"/>
                <w:lang w:val="en-US" w:eastAsia="zh-CN"/>
              </w:rPr>
              <w:t>6000m</w:t>
            </w:r>
            <w:r>
              <w:rPr>
                <w:rFonts w:hint="eastAsia" w:cs="宋体"/>
                <w:spacing w:val="-11"/>
                <w:sz w:val="21"/>
                <w:szCs w:val="21"/>
                <w:lang w:val="en-US" w:eastAsia="zh-CN"/>
              </w:rPr>
              <w:t>³</w:t>
            </w:r>
            <w:r>
              <w:rPr>
                <w:rFonts w:hint="eastAsia" w:hAnsi="宋体" w:cs="宋体"/>
                <w:color w:val="auto"/>
                <w:spacing w:val="-11"/>
                <w:sz w:val="21"/>
                <w:szCs w:val="21"/>
              </w:rPr>
              <w:t>事</w:t>
            </w:r>
            <w:r>
              <w:rPr>
                <w:rFonts w:hint="eastAsia" w:hAnsi="宋体" w:cs="宋体"/>
                <w:spacing w:val="-11"/>
                <w:sz w:val="21"/>
                <w:szCs w:val="21"/>
              </w:rPr>
              <w:t>故池，用于紧急情况下收纳</w:t>
            </w:r>
            <w:r>
              <w:rPr>
                <w:rFonts w:hint="eastAsia" w:hAnsi="宋体" w:cs="宋体"/>
                <w:spacing w:val="-11"/>
                <w:sz w:val="21"/>
                <w:szCs w:val="21"/>
                <w:lang w:eastAsia="zh-CN"/>
              </w:rPr>
              <w:t>泄漏</w:t>
            </w:r>
            <w:r>
              <w:rPr>
                <w:rFonts w:hint="eastAsia" w:cs="宋体"/>
                <w:spacing w:val="-11"/>
                <w:sz w:val="21"/>
                <w:szCs w:val="21"/>
                <w:lang w:eastAsia="zh-CN"/>
              </w:rPr>
              <w:t>废液</w:t>
            </w:r>
            <w:r>
              <w:rPr>
                <w:rFonts w:hint="eastAsia" w:hAnsi="宋体" w:cs="宋体"/>
                <w:spacing w:val="-11"/>
                <w:sz w:val="21"/>
                <w:szCs w:val="21"/>
              </w:rPr>
              <w:t>和消防废水</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危险废物贮存库</w:t>
            </w:r>
          </w:p>
        </w:tc>
        <w:tc>
          <w:tcPr>
            <w:tcW w:w="6169" w:type="dxa"/>
            <w:noWrap w:val="0"/>
            <w:vAlign w:val="center"/>
          </w:tcPr>
          <w:p>
            <w:pPr>
              <w:spacing w:line="240" w:lineRule="auto"/>
              <w:ind w:firstLine="0"/>
              <w:jc w:val="center"/>
              <w:rPr>
                <w:rFonts w:hint="default" w:cs="宋体"/>
                <w:spacing w:val="-11"/>
                <w:sz w:val="21"/>
                <w:szCs w:val="21"/>
                <w:lang w:val="en-US" w:eastAsia="zh-CN"/>
              </w:rPr>
            </w:pPr>
            <w:r>
              <w:rPr>
                <w:rFonts w:hint="eastAsia" w:cs="宋体"/>
                <w:spacing w:val="-11"/>
                <w:sz w:val="21"/>
                <w:szCs w:val="21"/>
                <w:lang w:eastAsia="zh-CN"/>
              </w:rPr>
              <w:t>本项目产生的废催化剂等危险废物，依托现有占地</w:t>
            </w:r>
            <w:r>
              <w:rPr>
                <w:rFonts w:hint="eastAsia" w:ascii="Times New Roman" w:hAnsi="Times New Roman" w:cs="宋体"/>
                <w:spacing w:val="-11"/>
                <w:sz w:val="21"/>
                <w:szCs w:val="21"/>
                <w:lang w:val="en-US" w:eastAsia="zh-CN"/>
              </w:rPr>
              <w:t>800</w:t>
            </w:r>
            <w:r>
              <w:rPr>
                <w:rFonts w:hint="eastAsia" w:cs="宋体"/>
                <w:spacing w:val="-11"/>
                <w:sz w:val="21"/>
                <w:szCs w:val="21"/>
                <w:lang w:val="en-US" w:eastAsia="zh-CN"/>
              </w:rPr>
              <w:t>㎡的危险废物贮存库暂存，定期委托有资质的单位处理</w:t>
            </w:r>
          </w:p>
        </w:tc>
        <w:tc>
          <w:tcPr>
            <w:tcW w:w="743" w:type="dxa"/>
            <w:noWrap w:val="0"/>
            <w:vAlign w:val="center"/>
          </w:tcPr>
          <w:p>
            <w:pPr>
              <w:spacing w:line="240" w:lineRule="auto"/>
              <w:ind w:firstLine="0"/>
              <w:jc w:val="center"/>
              <w:rPr>
                <w:rFonts w:hint="eastAsia" w:cs="宋体"/>
                <w:spacing w:val="-11"/>
                <w:sz w:val="21"/>
                <w:szCs w:val="21"/>
                <w:lang w:eastAsia="zh-CN"/>
              </w:rPr>
            </w:pPr>
            <w:r>
              <w:rPr>
                <w:rFonts w:hint="eastAsia" w:cs="宋体"/>
                <w:spacing w:val="-11"/>
                <w:sz w:val="21"/>
                <w:szCs w:val="21"/>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71" w:type="dxa"/>
            <w:vMerge w:val="continue"/>
            <w:noWrap w:val="0"/>
            <w:vAlign w:val="center"/>
          </w:tcPr>
          <w:p>
            <w:pPr>
              <w:spacing w:line="240" w:lineRule="auto"/>
              <w:ind w:firstLine="0"/>
              <w:jc w:val="center"/>
              <w:rPr>
                <w:rFonts w:hint="eastAsia" w:hAnsi="宋体" w:cs="宋体"/>
                <w:spacing w:val="-11"/>
                <w:sz w:val="21"/>
                <w:szCs w:val="21"/>
              </w:rPr>
            </w:pPr>
          </w:p>
        </w:tc>
        <w:tc>
          <w:tcPr>
            <w:tcW w:w="1591" w:type="dxa"/>
            <w:gridSpan w:val="2"/>
            <w:noWrap w:val="0"/>
            <w:vAlign w:val="center"/>
          </w:tcPr>
          <w:p>
            <w:pPr>
              <w:spacing w:line="240" w:lineRule="auto"/>
              <w:ind w:firstLine="0"/>
              <w:jc w:val="center"/>
              <w:rPr>
                <w:rFonts w:hint="eastAsia" w:hAnsi="宋体" w:cs="宋体"/>
                <w:spacing w:val="-11"/>
                <w:sz w:val="21"/>
                <w:szCs w:val="21"/>
              </w:rPr>
            </w:pPr>
            <w:r>
              <w:rPr>
                <w:rFonts w:hint="eastAsia" w:cs="宋体"/>
                <w:spacing w:val="-11"/>
                <w:sz w:val="21"/>
                <w:szCs w:val="21"/>
                <w:lang w:eastAsia="zh-CN"/>
              </w:rPr>
              <w:t>火灾</w:t>
            </w:r>
            <w:r>
              <w:rPr>
                <w:rFonts w:hint="eastAsia" w:hAnsi="宋体" w:cs="宋体"/>
                <w:spacing w:val="-11"/>
                <w:sz w:val="21"/>
                <w:szCs w:val="21"/>
              </w:rPr>
              <w:t>报警</w:t>
            </w:r>
          </w:p>
        </w:tc>
        <w:tc>
          <w:tcPr>
            <w:tcW w:w="6169" w:type="dxa"/>
            <w:noWrap w:val="0"/>
            <w:vAlign w:val="center"/>
          </w:tcPr>
          <w:p>
            <w:pPr>
              <w:spacing w:line="240" w:lineRule="auto"/>
              <w:ind w:firstLine="0"/>
              <w:jc w:val="center"/>
              <w:rPr>
                <w:rFonts w:hint="eastAsia" w:hAnsi="宋体" w:cs="宋体"/>
                <w:spacing w:val="-11"/>
                <w:sz w:val="21"/>
                <w:szCs w:val="21"/>
              </w:rPr>
            </w:pPr>
            <w:r>
              <w:rPr>
                <w:rFonts w:hint="eastAsia" w:cs="宋体"/>
                <w:spacing w:val="-11"/>
                <w:sz w:val="21"/>
                <w:szCs w:val="21"/>
                <w:lang w:eastAsia="zh-CN"/>
              </w:rPr>
              <w:t>装置区</w:t>
            </w:r>
            <w:r>
              <w:rPr>
                <w:rFonts w:hint="eastAsia" w:hAnsi="宋体" w:cs="宋体"/>
                <w:spacing w:val="-11"/>
                <w:sz w:val="21"/>
                <w:szCs w:val="21"/>
              </w:rPr>
              <w:t>设置火灾自动报警系统</w:t>
            </w:r>
            <w:r>
              <w:rPr>
                <w:rFonts w:hint="eastAsia" w:cs="宋体"/>
                <w:spacing w:val="-11"/>
                <w:sz w:val="21"/>
                <w:szCs w:val="21"/>
                <w:lang w:eastAsia="zh-CN"/>
              </w:rPr>
              <w:t>、工业电视监控系统</w:t>
            </w:r>
          </w:p>
        </w:tc>
        <w:tc>
          <w:tcPr>
            <w:tcW w:w="743" w:type="dxa"/>
            <w:noWrap w:val="0"/>
            <w:vAlign w:val="center"/>
          </w:tcPr>
          <w:p>
            <w:pPr>
              <w:spacing w:line="240" w:lineRule="auto"/>
              <w:ind w:firstLine="0"/>
              <w:jc w:val="center"/>
              <w:rPr>
                <w:rFonts w:hint="eastAsia" w:hAnsi="宋体" w:cs="宋体"/>
                <w:spacing w:val="-11"/>
                <w:sz w:val="21"/>
                <w:szCs w:val="21"/>
                <w:lang w:eastAsia="zh-CN"/>
              </w:rPr>
            </w:pPr>
            <w:r>
              <w:rPr>
                <w:rFonts w:hint="eastAsia" w:cs="宋体"/>
                <w:spacing w:val="-11"/>
                <w:sz w:val="21"/>
                <w:szCs w:val="21"/>
                <w:lang w:eastAsia="zh-CN"/>
              </w:rPr>
              <w:t>新建</w:t>
            </w:r>
          </w:p>
        </w:tc>
      </w:tr>
    </w:tbl>
    <w:p>
      <w:pPr>
        <w:pStyle w:val="5"/>
        <w:spacing w:before="156"/>
        <w:rPr>
          <w:rFonts w:hint="eastAsia"/>
        </w:rPr>
      </w:pPr>
      <w:bookmarkStart w:id="112" w:name="_Toc341867059"/>
      <w:r>
        <w:rPr>
          <w:rFonts w:hint="eastAsia" w:ascii="Times New Roman" w:hAnsi="Times New Roman"/>
          <w:lang w:val="en-US" w:eastAsia="zh-CN"/>
        </w:rPr>
        <w:t>4</w:t>
      </w:r>
      <w:r>
        <w:rPr>
          <w:rFonts w:hint="eastAsia"/>
        </w:rPr>
        <w:t>.</w:t>
      </w:r>
      <w:bookmarkEnd w:id="112"/>
      <w:r>
        <w:rPr>
          <w:rFonts w:hint="eastAsia" w:ascii="Times New Roman" w:hAnsi="Times New Roman"/>
          <w:lang w:val="en-US" w:eastAsia="zh-CN"/>
        </w:rPr>
        <w:t>1</w:t>
      </w:r>
      <w:r>
        <w:rPr>
          <w:rFonts w:hint="eastAsia"/>
        </w:rPr>
        <w:t>.</w:t>
      </w:r>
      <w:r>
        <w:rPr>
          <w:rFonts w:hint="eastAsia" w:ascii="Times New Roman" w:hAnsi="Times New Roman"/>
        </w:rPr>
        <w:t>3</w:t>
      </w:r>
      <w:r>
        <w:rPr>
          <w:rFonts w:hint="eastAsia"/>
        </w:rPr>
        <w:t>公用及辅助工程</w:t>
      </w:r>
    </w:p>
    <w:p>
      <w:pPr>
        <w:pStyle w:val="6"/>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3</w:t>
      </w:r>
      <w:r>
        <w:rPr>
          <w:rFonts w:hint="eastAsia"/>
        </w:rPr>
        <w:t>.</w:t>
      </w:r>
      <w:r>
        <w:rPr>
          <w:rFonts w:hint="eastAsia" w:ascii="Times New Roman" w:hAnsi="Times New Roman"/>
        </w:rPr>
        <w:t>1</w:t>
      </w:r>
      <w:r>
        <w:rPr>
          <w:rFonts w:hint="eastAsia"/>
        </w:rPr>
        <w:t>给排水</w:t>
      </w:r>
    </w:p>
    <w:p>
      <w:pPr>
        <w:rPr>
          <w:rFonts w:hint="eastAsia"/>
        </w:rPr>
      </w:pPr>
      <w:r>
        <w:rPr>
          <w:rFonts w:hint="eastAsia" w:ascii="Times New Roman"/>
        </w:rPr>
        <w:t>（</w:t>
      </w:r>
      <w:r>
        <w:rPr>
          <w:rFonts w:hint="eastAsia" w:ascii="Times New Roman" w:hAnsi="Times New Roman"/>
        </w:rPr>
        <w:t>1</w:t>
      </w:r>
      <w:r>
        <w:rPr>
          <w:rFonts w:hint="eastAsia" w:ascii="Times New Roman"/>
        </w:rPr>
        <w:t>）</w:t>
      </w:r>
      <w:r>
        <w:rPr>
          <w:rFonts w:hint="eastAsia"/>
        </w:rPr>
        <w:t>给水</w:t>
      </w:r>
    </w:p>
    <w:p>
      <w:pPr>
        <w:rPr>
          <w:rFonts w:hint="default" w:eastAsia="宋体"/>
          <w:lang w:val="en-US" w:eastAsia="zh-CN"/>
        </w:rPr>
      </w:pPr>
      <w:r>
        <w:rPr>
          <w:rFonts w:hint="eastAsia" w:ascii="Times New Roman" w:hAnsi="Times New Roman"/>
          <w:color w:val="auto"/>
          <w:lang w:eastAsia="zh-CN"/>
        </w:rPr>
        <w:t>本项目水源引自厂内现有生产和生活给水系统，新鲜水管径为</w:t>
      </w:r>
      <w:r>
        <w:rPr>
          <w:rFonts w:hint="eastAsia" w:ascii="Times New Roman" w:hAnsi="Times New Roman"/>
          <w:color w:val="auto"/>
          <w:lang w:val="en-US" w:eastAsia="zh-CN"/>
        </w:rPr>
        <w:t>DN600</w:t>
      </w:r>
      <w:r>
        <w:rPr>
          <w:rFonts w:hint="eastAsia" w:ascii="Times New Roman" w:hAnsi="Times New Roman"/>
          <w:color w:val="auto"/>
          <w:lang w:val="en-US" w:eastAsia="zh-CN"/>
        </w:rPr>
        <w:t>，压力为</w:t>
      </w:r>
      <w:r>
        <w:rPr>
          <w:rFonts w:hint="eastAsia" w:ascii="Times New Roman" w:hAnsi="Times New Roman"/>
          <w:color w:val="auto"/>
          <w:lang w:val="en-US" w:eastAsia="zh-CN"/>
        </w:rPr>
        <w:t>0</w:t>
      </w:r>
      <w:r>
        <w:rPr>
          <w:rFonts w:hint="eastAsia" w:ascii="Times New Roman" w:hAnsi="Times New Roman"/>
          <w:color w:val="auto"/>
          <w:lang w:val="en-US" w:eastAsia="zh-CN"/>
        </w:rPr>
        <w:t>.</w:t>
      </w:r>
      <w:r>
        <w:rPr>
          <w:rFonts w:hint="eastAsia" w:ascii="Times New Roman" w:hAnsi="Times New Roman"/>
          <w:color w:val="auto"/>
          <w:lang w:val="en-US" w:eastAsia="zh-CN"/>
        </w:rPr>
        <w:t>4MPa</w:t>
      </w:r>
      <w:r>
        <w:rPr>
          <w:rFonts w:hint="eastAsia" w:ascii="Times New Roman" w:hAnsi="Times New Roman"/>
          <w:color w:val="auto"/>
          <w:lang w:val="en-US" w:eastAsia="zh-CN"/>
        </w:rPr>
        <w:t>，本项目新鲜水</w:t>
      </w:r>
      <w:r>
        <w:rPr>
          <w:rFonts w:hint="eastAsia"/>
          <w:lang w:eastAsia="zh-CN"/>
        </w:rPr>
        <w:t>用水量为</w:t>
      </w:r>
      <w:r>
        <w:rPr>
          <w:rFonts w:hint="eastAsia" w:ascii="Times New Roman" w:hAnsi="Times New Roman"/>
          <w:lang w:val="en-US" w:eastAsia="zh-CN"/>
        </w:rPr>
        <w:t>137198</w:t>
      </w:r>
      <w:r>
        <w:rPr>
          <w:rFonts w:hint="eastAsia" w:ascii="Times New Roman" w:hAnsi="Times New Roman"/>
          <w:lang w:val="en-US" w:eastAsia="zh-CN"/>
        </w:rPr>
        <w:t>.</w:t>
      </w:r>
      <w:r>
        <w:rPr>
          <w:rFonts w:hint="eastAsia" w:ascii="Times New Roman" w:hAnsi="Times New Roman"/>
          <w:lang w:val="en-US" w:eastAsia="zh-CN"/>
        </w:rPr>
        <w:t>48m</w:t>
      </w:r>
      <w:r>
        <w:rPr>
          <w:rFonts w:hint="eastAsia"/>
          <w:lang w:val="en-US" w:eastAsia="zh-CN"/>
        </w:rPr>
        <w:t>³/</w:t>
      </w:r>
      <w:r>
        <w:rPr>
          <w:rFonts w:hint="eastAsia" w:ascii="Times New Roman" w:hAnsi="Times New Roman"/>
          <w:lang w:val="en-US" w:eastAsia="zh-CN"/>
        </w:rPr>
        <w:t>a</w:t>
      </w:r>
      <w:r>
        <w:rPr>
          <w:rFonts w:hint="eastAsia"/>
          <w:lang w:val="en-US" w:eastAsia="zh-CN"/>
        </w:rPr>
        <w:t>，纯水用量为</w:t>
      </w:r>
      <w:r>
        <w:rPr>
          <w:rFonts w:hint="eastAsia" w:ascii="Times New Roman" w:hAnsi="Times New Roman"/>
          <w:lang w:val="en-US" w:eastAsia="zh-CN"/>
        </w:rPr>
        <w:t>3600m</w:t>
      </w:r>
      <w:r>
        <w:rPr>
          <w:rFonts w:hint="eastAsia"/>
          <w:lang w:val="en-US" w:eastAsia="zh-CN"/>
        </w:rPr>
        <w:t>³/</w:t>
      </w:r>
      <w:r>
        <w:rPr>
          <w:rFonts w:hint="eastAsia" w:ascii="Times New Roman" w:hAnsi="Times New Roman"/>
          <w:lang w:val="en-US" w:eastAsia="zh-CN"/>
        </w:rPr>
        <w:t>a</w:t>
      </w:r>
      <w:r>
        <w:rPr>
          <w:rFonts w:hint="eastAsia"/>
          <w:lang w:val="en-US" w:eastAsia="zh-CN"/>
        </w:rPr>
        <w:t>。</w:t>
      </w:r>
    </w:p>
    <w:p>
      <w:pPr>
        <w:spacing w:line="440" w:lineRule="exact"/>
        <w:ind w:firstLine="480"/>
        <w:rPr>
          <w:rFonts w:hint="eastAsia" w:eastAsia="宋体"/>
          <w:lang w:eastAsia="zh-CN"/>
        </w:rPr>
      </w:pPr>
      <w:r>
        <w:rPr>
          <w:rFonts w:hint="eastAsia"/>
          <w:lang w:eastAsia="zh-CN"/>
        </w:rPr>
        <w:t>①循环水系统</w:t>
      </w:r>
    </w:p>
    <w:p>
      <w:pPr>
        <w:spacing w:line="440" w:lineRule="exact"/>
        <w:ind w:firstLine="480"/>
        <w:rPr>
          <w:rFonts w:hint="eastAsia"/>
          <w:lang w:val="en-US" w:eastAsia="zh-CN"/>
        </w:rPr>
      </w:pPr>
      <w:r>
        <w:rPr>
          <w:rFonts w:hint="eastAsia"/>
          <w:lang w:val="en-US" w:eastAsia="zh-CN"/>
        </w:rPr>
        <w:t>本项目依托厂内</w:t>
      </w:r>
      <w:r>
        <w:rPr>
          <w:rFonts w:hint="eastAsia" w:ascii="Times New Roman" w:hAnsi="Times New Roman"/>
          <w:lang w:val="en-US" w:eastAsia="zh-CN"/>
        </w:rPr>
        <w:t>3</w:t>
      </w:r>
      <w:r>
        <w:rPr>
          <w:rFonts w:hint="eastAsia"/>
          <w:lang w:val="en-US" w:eastAsia="zh-CN"/>
        </w:rPr>
        <w:t>#动力站现有循环水系统提供循环水，本项目循环水系统新增循环量为：</w:t>
      </w:r>
      <w:r>
        <w:rPr>
          <w:rFonts w:hint="eastAsia" w:ascii="Times New Roman" w:hAnsi="Times New Roman"/>
          <w:lang w:val="en-US" w:eastAsia="zh-CN"/>
        </w:rPr>
        <w:t>900m</w:t>
      </w:r>
      <w:r>
        <w:rPr>
          <w:rFonts w:hint="eastAsia"/>
          <w:lang w:val="en-US" w:eastAsia="zh-CN"/>
        </w:rPr>
        <w:t>³/</w:t>
      </w:r>
      <w:r>
        <w:rPr>
          <w:rFonts w:hint="eastAsia" w:ascii="Times New Roman" w:hAnsi="Times New Roman"/>
          <w:lang w:val="en-US" w:eastAsia="zh-CN"/>
        </w:rPr>
        <w:t>h</w:t>
      </w:r>
      <w:r>
        <w:rPr>
          <w:rFonts w:hint="eastAsia"/>
          <w:lang w:val="en-US" w:eastAsia="zh-CN"/>
        </w:rPr>
        <w:t>，补水量</w:t>
      </w:r>
      <w:r>
        <w:rPr>
          <w:rFonts w:hint="eastAsia" w:ascii="Times New Roman" w:hAnsi="Times New Roman"/>
          <w:lang w:val="en-US" w:eastAsia="zh-CN"/>
        </w:rPr>
        <w:t>16</w:t>
      </w:r>
      <w:r>
        <w:rPr>
          <w:rFonts w:hint="eastAsia"/>
          <w:lang w:val="en-US" w:eastAsia="zh-CN"/>
        </w:rPr>
        <w:t>.</w:t>
      </w:r>
      <w:r>
        <w:rPr>
          <w:rFonts w:hint="eastAsia" w:ascii="Times New Roman" w:hAnsi="Times New Roman"/>
          <w:lang w:val="en-US" w:eastAsia="zh-CN"/>
        </w:rPr>
        <w:t>53m</w:t>
      </w:r>
      <w:r>
        <w:rPr>
          <w:rFonts w:hint="eastAsia"/>
          <w:lang w:val="en-US" w:eastAsia="zh-CN"/>
        </w:rPr>
        <w:t>³/</w:t>
      </w:r>
      <w:r>
        <w:rPr>
          <w:rFonts w:hint="eastAsia" w:ascii="Times New Roman" w:hAnsi="Times New Roman"/>
          <w:lang w:val="en-US" w:eastAsia="zh-CN"/>
        </w:rPr>
        <w:t>h</w:t>
      </w:r>
      <w:r>
        <w:rPr>
          <w:rFonts w:hint="eastAsia"/>
          <w:lang w:val="en-US" w:eastAsia="zh-CN"/>
        </w:rPr>
        <w:t>。本项目损失水量按下式计算：</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ascii="Times New Roman" w:hAnsi="Times New Roman"/>
          <w:lang w:val="en-US" w:eastAsia="zh-CN"/>
        </w:rPr>
        <w:t>1</w:t>
      </w:r>
      <w:r>
        <w:rPr>
          <w:rFonts w:hint="eastAsia"/>
          <w:lang w:val="en-US" w:eastAsia="zh-CN"/>
        </w:rPr>
        <w:t>）</w:t>
      </w:r>
      <w:r>
        <w:rPr>
          <w:rFonts w:hint="eastAsia"/>
          <w:color w:val="auto"/>
          <w:szCs w:val="24"/>
          <w:lang w:val="en-US" w:eastAsia="zh-CN"/>
        </w:rPr>
        <w:t>冷却系统蒸发损失水量（干球温度=</w:t>
      </w:r>
      <w:r>
        <w:rPr>
          <w:rFonts w:hint="eastAsia" w:ascii="Times New Roman" w:hAnsi="Times New Roman"/>
          <w:color w:val="auto"/>
          <w:szCs w:val="24"/>
          <w:lang w:val="en-US" w:eastAsia="zh-CN"/>
        </w:rPr>
        <w:t>27</w:t>
      </w:r>
      <w:r>
        <w:rPr>
          <w:rFonts w:hint="eastAsia"/>
          <w:color w:val="auto"/>
          <w:szCs w:val="24"/>
          <w:lang w:val="en-US" w:eastAsia="zh-CN"/>
        </w:rPr>
        <w:t>℃，</w:t>
      </w:r>
      <w:r>
        <w:rPr>
          <w:rFonts w:hint="eastAsia" w:ascii="Times New Roman" w:hAnsi="Times New Roman"/>
          <w:color w:val="auto"/>
          <w:szCs w:val="24"/>
          <w:lang w:val="en-US" w:eastAsia="zh-CN"/>
        </w:rPr>
        <w:t>K</w:t>
      </w:r>
      <w:r>
        <w:rPr>
          <w:rFonts w:hint="eastAsia"/>
          <w:color w:val="auto"/>
          <w:szCs w:val="24"/>
          <w:lang w:val="en-US" w:eastAsia="zh-CN"/>
        </w:rPr>
        <w:t>取</w:t>
      </w:r>
      <w:r>
        <w:rPr>
          <w:rFonts w:hint="eastAsia" w:ascii="Times New Roman" w:hAnsi="Times New Roman"/>
          <w:color w:val="auto"/>
          <w:szCs w:val="24"/>
          <w:lang w:val="en-US" w:eastAsia="zh-CN"/>
        </w:rPr>
        <w:t>0</w:t>
      </w:r>
      <w:r>
        <w:rPr>
          <w:rFonts w:hint="eastAsia"/>
          <w:color w:val="auto"/>
          <w:szCs w:val="24"/>
          <w:lang w:val="en-US" w:eastAsia="zh-CN"/>
        </w:rPr>
        <w:t>.</w:t>
      </w:r>
      <w:r>
        <w:rPr>
          <w:rFonts w:hint="eastAsia" w:ascii="Times New Roman" w:hAnsi="Times New Roman"/>
          <w:color w:val="auto"/>
          <w:szCs w:val="24"/>
          <w:lang w:val="en-US" w:eastAsia="zh-CN"/>
        </w:rPr>
        <w:t>147</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eastAsia"/>
          <w:color w:val="auto"/>
          <w:szCs w:val="24"/>
          <w:lang w:eastAsia="zh-CN"/>
        </w:rPr>
      </w:pPr>
      <w:r>
        <w:rPr>
          <w:rFonts w:hint="eastAsia"/>
          <w:color w:val="auto"/>
          <w:szCs w:val="24"/>
          <w:lang w:eastAsia="zh-CN"/>
        </w:rPr>
        <w:t>蒸发损失水量：</w:t>
      </w:r>
    </w:p>
    <w:p>
      <w:pPr>
        <w:keepNext w:val="0"/>
        <w:keepLines w:val="0"/>
        <w:pageBreakBefore w:val="0"/>
        <w:widowControl w:val="0"/>
        <w:kinsoku/>
        <w:wordWrap/>
        <w:overflowPunct/>
        <w:topLinePunct w:val="0"/>
        <w:bidi w:val="0"/>
        <w:spacing w:line="440" w:lineRule="exact"/>
        <w:jc w:val="center"/>
        <w:textAlignment w:val="auto"/>
        <w:rPr>
          <w:rFonts w:hint="eastAsia"/>
          <w:color w:val="auto"/>
          <w:szCs w:val="24"/>
          <w:lang w:val="en-US" w:eastAsia="zh-CN"/>
        </w:rPr>
      </w:pPr>
      <w:r>
        <w:rPr>
          <w:rFonts w:hint="eastAsia" w:ascii="Times New Roman" w:hAnsi="Times New Roman"/>
          <w:color w:val="auto"/>
          <w:szCs w:val="24"/>
          <w:lang w:val="en-US" w:eastAsia="zh-CN"/>
        </w:rPr>
        <w:t>Qc</w:t>
      </w:r>
      <w:r>
        <w:rPr>
          <w:rFonts w:hint="eastAsia"/>
          <w:color w:val="auto"/>
          <w:szCs w:val="24"/>
          <w:lang w:val="en-US" w:eastAsia="zh-CN"/>
        </w:rPr>
        <w:t>=</w:t>
      </w:r>
      <w:r>
        <w:rPr>
          <w:rFonts w:hint="eastAsia" w:ascii="Times New Roman" w:hAnsi="Times New Roman"/>
          <w:color w:val="auto"/>
          <w:szCs w:val="24"/>
          <w:lang w:val="en-US" w:eastAsia="zh-CN"/>
        </w:rPr>
        <w:t>Pc</w:t>
      </w:r>
      <w:r>
        <w:rPr>
          <w:rFonts w:hint="eastAsia"/>
          <w:color w:val="auto"/>
          <w:szCs w:val="24"/>
          <w:lang w:val="en-US" w:eastAsia="zh-CN"/>
        </w:rPr>
        <w:t>·</w:t>
      </w:r>
      <w:r>
        <w:rPr>
          <w:rFonts w:hint="eastAsia" w:ascii="Times New Roman" w:hAnsi="Times New Roman"/>
          <w:color w:val="auto"/>
          <w:szCs w:val="24"/>
          <w:lang w:val="en-US" w:eastAsia="zh-CN"/>
        </w:rPr>
        <w:t>Q</w:t>
      </w:r>
      <w:r>
        <w:rPr>
          <w:rFonts w:hint="eastAsia"/>
          <w:color w:val="auto"/>
          <w:szCs w:val="24"/>
          <w:lang w:val="en-US" w:eastAsia="zh-CN"/>
        </w:rPr>
        <w:t>/</w:t>
      </w:r>
      <w:r>
        <w:rPr>
          <w:rFonts w:hint="eastAsia" w:ascii="Times New Roman" w:hAnsi="Times New Roman"/>
          <w:color w:val="auto"/>
          <w:szCs w:val="24"/>
          <w:lang w:val="en-US" w:eastAsia="zh-CN"/>
        </w:rPr>
        <w:t>100</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jc w:val="center"/>
        <w:textAlignment w:val="auto"/>
        <w:rPr>
          <w:rFonts w:hint="default"/>
          <w:color w:val="auto"/>
          <w:szCs w:val="24"/>
          <w:lang w:val="en-US" w:eastAsia="zh-CN"/>
        </w:rPr>
      </w:pPr>
      <w:r>
        <w:rPr>
          <w:rFonts w:hint="eastAsia" w:ascii="Times New Roman" w:hAnsi="Times New Roman"/>
          <w:color w:val="auto"/>
          <w:szCs w:val="24"/>
          <w:lang w:val="en-US" w:eastAsia="zh-CN"/>
        </w:rPr>
        <w:t>Pc</w:t>
      </w:r>
      <w:r>
        <w:rPr>
          <w:rFonts w:hint="eastAsia"/>
          <w:color w:val="auto"/>
          <w:szCs w:val="24"/>
          <w:lang w:val="en-US" w:eastAsia="zh-CN"/>
        </w:rPr>
        <w:t>=</w:t>
      </w:r>
      <w:r>
        <w:rPr>
          <w:rFonts w:hint="eastAsia" w:ascii="Times New Roman" w:hAnsi="Times New Roman"/>
          <w:color w:val="auto"/>
          <w:szCs w:val="24"/>
          <w:lang w:val="en-US" w:eastAsia="zh-CN"/>
        </w:rPr>
        <w:t>K</w:t>
      </w:r>
      <w:r>
        <w:rPr>
          <w:rFonts w:hint="eastAsia"/>
          <w:color w:val="auto"/>
          <w:szCs w:val="24"/>
          <w:lang w:val="en-US" w:eastAsia="zh-CN"/>
        </w:rPr>
        <w:t>·</w:t>
      </w:r>
      <w:r>
        <w:rPr>
          <w:rFonts w:hint="eastAsia" w:ascii="Times New Roman" w:hAnsi="Times New Roman"/>
          <w:color w:val="auto"/>
          <w:szCs w:val="24"/>
          <w:lang w:val="en-US" w:eastAsia="zh-CN"/>
        </w:rPr>
        <w:t>Δt</w:t>
      </w:r>
      <w:r>
        <w:rPr>
          <w:rFonts w:hint="eastAsia"/>
          <w:color w:val="auto"/>
          <w:szCs w:val="24"/>
          <w:lang w:val="en-US" w:eastAsia="zh-CN"/>
        </w:rPr>
        <w:t>=</w:t>
      </w:r>
      <w:r>
        <w:rPr>
          <w:rFonts w:hint="eastAsia" w:ascii="Times New Roman" w:hAnsi="Times New Roman"/>
          <w:color w:val="auto"/>
          <w:szCs w:val="24"/>
          <w:lang w:val="en-US" w:eastAsia="zh-CN"/>
        </w:rPr>
        <w:t>0</w:t>
      </w:r>
      <w:r>
        <w:rPr>
          <w:rFonts w:hint="eastAsia"/>
          <w:color w:val="auto"/>
          <w:szCs w:val="24"/>
          <w:lang w:val="en-US" w:eastAsia="zh-CN"/>
        </w:rPr>
        <w:t>.</w:t>
      </w:r>
      <w:r>
        <w:rPr>
          <w:rFonts w:hint="eastAsia" w:ascii="Times New Roman" w:hAnsi="Times New Roman"/>
          <w:color w:val="auto"/>
          <w:szCs w:val="24"/>
          <w:lang w:val="en-US" w:eastAsia="zh-CN"/>
        </w:rPr>
        <w:t>147</w:t>
      </w:r>
      <w:r>
        <w:rPr>
          <w:rFonts w:hint="eastAsia"/>
          <w:color w:val="auto"/>
          <w:szCs w:val="24"/>
          <w:lang w:val="en-US" w:eastAsia="zh-CN"/>
        </w:rPr>
        <w:t>×</w:t>
      </w:r>
      <w:r>
        <w:rPr>
          <w:rFonts w:hint="eastAsia" w:ascii="Times New Roman" w:hAnsi="Times New Roman"/>
          <w:color w:val="auto"/>
          <w:szCs w:val="24"/>
          <w:lang w:val="en-US" w:eastAsia="zh-CN"/>
        </w:rPr>
        <w:t>10</w:t>
      </w:r>
      <w:r>
        <w:rPr>
          <w:rFonts w:hint="eastAsia"/>
          <w:color w:val="auto"/>
          <w:szCs w:val="24"/>
          <w:lang w:val="en-US" w:eastAsia="zh-CN"/>
        </w:rPr>
        <w:t>=</w:t>
      </w:r>
      <w:r>
        <w:rPr>
          <w:rFonts w:hint="eastAsia" w:ascii="Times New Roman" w:hAnsi="Times New Roman"/>
          <w:color w:val="auto"/>
          <w:szCs w:val="24"/>
          <w:lang w:val="en-US" w:eastAsia="zh-CN"/>
        </w:rPr>
        <w:t>1</w:t>
      </w:r>
      <w:r>
        <w:rPr>
          <w:rFonts w:hint="eastAsia"/>
          <w:color w:val="auto"/>
          <w:szCs w:val="24"/>
          <w:lang w:val="en-US" w:eastAsia="zh-CN"/>
        </w:rPr>
        <w:t>.</w:t>
      </w:r>
      <w:r>
        <w:rPr>
          <w:rFonts w:hint="eastAsia" w:ascii="Times New Roman" w:hAnsi="Times New Roman"/>
          <w:color w:val="auto"/>
          <w:szCs w:val="24"/>
          <w:lang w:val="en-US" w:eastAsia="zh-CN"/>
        </w:rPr>
        <w:t>47</w:t>
      </w:r>
    </w:p>
    <w:p>
      <w:pPr>
        <w:keepNext w:val="0"/>
        <w:keepLines w:val="0"/>
        <w:pageBreakBefore w:val="0"/>
        <w:widowControl w:val="0"/>
        <w:kinsoku/>
        <w:wordWrap/>
        <w:overflowPunct/>
        <w:topLinePunct w:val="0"/>
        <w:bidi w:val="0"/>
        <w:spacing w:line="440" w:lineRule="exact"/>
        <w:textAlignment w:val="auto"/>
        <w:rPr>
          <w:rFonts w:hint="eastAsia"/>
          <w:color w:val="auto"/>
          <w:szCs w:val="24"/>
          <w:lang w:val="en-US" w:eastAsia="zh-CN"/>
        </w:rPr>
      </w:pPr>
      <w:r>
        <w:rPr>
          <w:rFonts w:hint="eastAsia"/>
          <w:color w:val="auto"/>
          <w:szCs w:val="24"/>
          <w:lang w:val="en-US" w:eastAsia="zh-CN"/>
        </w:rPr>
        <w:t>式中：</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ascii="Times New Roman" w:hAnsi="Times New Roman"/>
          <w:color w:val="auto"/>
          <w:szCs w:val="24"/>
          <w:lang w:val="en-US" w:eastAsia="zh-CN"/>
        </w:rPr>
        <w:t>Pc</w:t>
      </w:r>
      <w:r>
        <w:rPr>
          <w:rFonts w:hint="eastAsia"/>
          <w:color w:val="auto"/>
          <w:szCs w:val="24"/>
          <w:lang w:val="en-US" w:eastAsia="zh-CN"/>
        </w:rPr>
        <w:t>：蒸发损失率（%）</w:t>
      </w:r>
    </w:p>
    <w:p>
      <w:pPr>
        <w:keepNext w:val="0"/>
        <w:keepLines w:val="0"/>
        <w:pageBreakBefore w:val="0"/>
        <w:widowControl w:val="0"/>
        <w:kinsoku/>
        <w:wordWrap/>
        <w:overflowPunct/>
        <w:topLinePunct w:val="0"/>
        <w:bidi w:val="0"/>
        <w:spacing w:line="440" w:lineRule="exact"/>
        <w:textAlignment w:val="auto"/>
        <w:rPr>
          <w:rFonts w:hint="eastAsia"/>
          <w:color w:val="auto"/>
          <w:szCs w:val="24"/>
          <w:lang w:eastAsia="zh-CN"/>
        </w:rPr>
      </w:pPr>
      <w:r>
        <w:rPr>
          <w:rFonts w:hint="eastAsia" w:ascii="Times New Roman" w:hAnsi="Times New Roman"/>
          <w:color w:val="auto"/>
          <w:szCs w:val="24"/>
          <w:lang w:val="en-US" w:eastAsia="zh-CN"/>
        </w:rPr>
        <w:t>Δt</w:t>
      </w:r>
      <w:r>
        <w:rPr>
          <w:rFonts w:hint="eastAsia"/>
          <w:color w:val="auto"/>
          <w:szCs w:val="24"/>
          <w:lang w:val="en-US" w:eastAsia="zh-CN"/>
        </w:rPr>
        <w:t>：冷却系统进出水温差（取</w:t>
      </w:r>
      <w:r>
        <w:rPr>
          <w:rFonts w:hint="eastAsia" w:ascii="Times New Roman" w:hAnsi="Times New Roman"/>
          <w:color w:val="auto"/>
          <w:szCs w:val="24"/>
          <w:lang w:val="en-US" w:eastAsia="zh-CN"/>
        </w:rPr>
        <w:t>10</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ascii="Times New Roman" w:hAnsi="Times New Roman"/>
          <w:color w:val="auto"/>
          <w:szCs w:val="24"/>
          <w:lang w:val="en-US" w:eastAsia="zh-CN"/>
        </w:rPr>
        <w:t>K</w:t>
      </w:r>
      <w:r>
        <w:rPr>
          <w:rFonts w:hint="eastAsia"/>
          <w:color w:val="auto"/>
          <w:szCs w:val="24"/>
          <w:lang w:val="en-US" w:eastAsia="zh-CN"/>
        </w:rPr>
        <w:t>：系数（</w:t>
      </w:r>
      <w:r>
        <w:rPr>
          <w:rFonts w:hint="eastAsia" w:ascii="Times New Roman" w:hAnsi="Times New Roman"/>
          <w:color w:val="auto"/>
          <w:szCs w:val="24"/>
          <w:lang w:val="en-US" w:eastAsia="zh-CN"/>
        </w:rPr>
        <w:t>1</w:t>
      </w:r>
      <w:r>
        <w:rPr>
          <w:rFonts w:hint="eastAsia"/>
          <w:color w:val="auto"/>
          <w:szCs w:val="24"/>
          <w:lang w:val="en-US" w:eastAsia="zh-CN"/>
        </w:rPr>
        <w:t>/℃），根据平均温度</w:t>
      </w:r>
      <w:r>
        <w:rPr>
          <w:rFonts w:hint="eastAsia" w:ascii="Times New Roman" w:hAnsi="Times New Roman"/>
          <w:color w:val="auto"/>
          <w:szCs w:val="24"/>
          <w:lang w:val="en-US" w:eastAsia="zh-CN"/>
        </w:rPr>
        <w:t>27</w:t>
      </w:r>
      <w:r>
        <w:rPr>
          <w:rFonts w:hint="eastAsia"/>
          <w:color w:val="auto"/>
          <w:szCs w:val="24"/>
          <w:lang w:val="en-US" w:eastAsia="zh-CN"/>
        </w:rPr>
        <w:t>℃，</w:t>
      </w:r>
      <w:r>
        <w:rPr>
          <w:rFonts w:hint="eastAsia" w:ascii="Times New Roman" w:hAnsi="Times New Roman"/>
          <w:color w:val="auto"/>
          <w:szCs w:val="24"/>
          <w:lang w:val="en-US" w:eastAsia="zh-CN"/>
        </w:rPr>
        <w:t>K</w:t>
      </w:r>
      <w:r>
        <w:rPr>
          <w:rFonts w:hint="eastAsia"/>
          <w:color w:val="auto"/>
          <w:szCs w:val="24"/>
          <w:lang w:val="en-US" w:eastAsia="zh-CN"/>
        </w:rPr>
        <w:t>=</w:t>
      </w:r>
      <w:r>
        <w:rPr>
          <w:rFonts w:hint="eastAsia" w:ascii="Times New Roman" w:hAnsi="Times New Roman"/>
          <w:color w:val="auto"/>
          <w:szCs w:val="24"/>
          <w:lang w:val="en-US" w:eastAsia="zh-CN"/>
        </w:rPr>
        <w:t>0</w:t>
      </w:r>
      <w:r>
        <w:rPr>
          <w:rFonts w:hint="eastAsia"/>
          <w:color w:val="auto"/>
          <w:szCs w:val="24"/>
          <w:lang w:val="en-US" w:eastAsia="zh-CN"/>
        </w:rPr>
        <w:t>.</w:t>
      </w:r>
      <w:r>
        <w:rPr>
          <w:rFonts w:hint="eastAsia" w:ascii="Times New Roman" w:hAnsi="Times New Roman"/>
          <w:color w:val="auto"/>
          <w:szCs w:val="24"/>
          <w:lang w:val="en-US" w:eastAsia="zh-CN"/>
        </w:rPr>
        <w:t>147</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color w:val="auto"/>
          <w:szCs w:val="24"/>
          <w:lang w:val="en-US" w:eastAsia="zh-CN"/>
        </w:rPr>
        <w:t>本项目</w:t>
      </w:r>
      <w:r>
        <w:rPr>
          <w:rFonts w:hint="eastAsia" w:ascii="Times New Roman" w:hAnsi="Times New Roman"/>
          <w:color w:val="auto"/>
          <w:szCs w:val="24"/>
          <w:lang w:val="en-US" w:eastAsia="zh-CN"/>
        </w:rPr>
        <w:t>Qc</w:t>
      </w:r>
      <w:r>
        <w:rPr>
          <w:rFonts w:hint="eastAsia"/>
          <w:color w:val="auto"/>
          <w:szCs w:val="24"/>
          <w:lang w:val="en-US" w:eastAsia="zh-CN"/>
        </w:rPr>
        <w:t>=</w:t>
      </w:r>
      <w:r>
        <w:rPr>
          <w:rFonts w:hint="eastAsia" w:ascii="Times New Roman" w:hAnsi="Times New Roman"/>
          <w:color w:val="auto"/>
          <w:szCs w:val="24"/>
          <w:lang w:val="en-US" w:eastAsia="zh-CN"/>
        </w:rPr>
        <w:t>1</w:t>
      </w:r>
      <w:r>
        <w:rPr>
          <w:rFonts w:hint="eastAsia"/>
          <w:color w:val="auto"/>
          <w:szCs w:val="24"/>
          <w:lang w:val="en-US" w:eastAsia="zh-CN"/>
        </w:rPr>
        <w:t>.</w:t>
      </w:r>
      <w:r>
        <w:rPr>
          <w:rFonts w:hint="eastAsia" w:ascii="Times New Roman" w:hAnsi="Times New Roman"/>
          <w:color w:val="auto"/>
          <w:szCs w:val="24"/>
          <w:lang w:val="en-US" w:eastAsia="zh-CN"/>
        </w:rPr>
        <w:t>47</w:t>
      </w:r>
      <w:r>
        <w:rPr>
          <w:rFonts w:hint="eastAsia"/>
          <w:color w:val="auto"/>
          <w:szCs w:val="24"/>
          <w:lang w:val="en-US" w:eastAsia="zh-CN"/>
        </w:rPr>
        <w:t>×</w:t>
      </w:r>
      <w:r>
        <w:rPr>
          <w:rFonts w:hint="eastAsia" w:ascii="Times New Roman" w:hAnsi="Times New Roman"/>
          <w:color w:val="auto"/>
          <w:szCs w:val="24"/>
          <w:lang w:val="en-US" w:eastAsia="zh-CN"/>
        </w:rPr>
        <w:t>900</w:t>
      </w:r>
      <w:r>
        <w:rPr>
          <w:rFonts w:hint="eastAsia"/>
          <w:color w:val="auto"/>
          <w:szCs w:val="24"/>
          <w:lang w:val="en-US" w:eastAsia="zh-CN"/>
        </w:rPr>
        <w:t>/</w:t>
      </w:r>
      <w:r>
        <w:rPr>
          <w:rFonts w:hint="eastAsia" w:ascii="Times New Roman" w:hAnsi="Times New Roman"/>
          <w:color w:val="auto"/>
          <w:szCs w:val="24"/>
          <w:lang w:val="en-US" w:eastAsia="zh-CN"/>
        </w:rPr>
        <w:t>100</w:t>
      </w:r>
      <w:r>
        <w:rPr>
          <w:rFonts w:hint="eastAsia"/>
          <w:color w:val="auto"/>
          <w:szCs w:val="24"/>
          <w:lang w:val="en-US" w:eastAsia="zh-CN"/>
        </w:rPr>
        <w:t>=</w:t>
      </w:r>
      <w:r>
        <w:rPr>
          <w:rFonts w:hint="eastAsia" w:ascii="Times New Roman" w:hAnsi="Times New Roman"/>
          <w:color w:val="auto"/>
          <w:szCs w:val="24"/>
          <w:lang w:val="en-US" w:eastAsia="zh-CN"/>
        </w:rPr>
        <w:t>13</w:t>
      </w:r>
      <w:r>
        <w:rPr>
          <w:rFonts w:hint="eastAsia"/>
          <w:color w:val="auto"/>
          <w:szCs w:val="24"/>
          <w:lang w:val="en-US" w:eastAsia="zh-CN"/>
        </w:rPr>
        <w:t>.</w:t>
      </w:r>
      <w:r>
        <w:rPr>
          <w:rFonts w:hint="eastAsia" w:ascii="Times New Roman" w:hAnsi="Times New Roman"/>
          <w:color w:val="auto"/>
          <w:szCs w:val="24"/>
          <w:lang w:val="en-US" w:eastAsia="zh-CN"/>
        </w:rPr>
        <w:t>23m</w:t>
      </w:r>
      <w:r>
        <w:rPr>
          <w:rFonts w:hint="eastAsia"/>
          <w:color w:val="auto"/>
          <w:szCs w:val="24"/>
          <w:lang w:val="en-US" w:eastAsia="zh-CN"/>
        </w:rPr>
        <w:t>³/</w:t>
      </w:r>
      <w:r>
        <w:rPr>
          <w:rFonts w:hint="eastAsia" w:ascii="Times New Roman" w:hAnsi="Times New Roman"/>
          <w:color w:val="auto"/>
          <w:szCs w:val="24"/>
          <w:lang w:val="en-US" w:eastAsia="zh-CN"/>
        </w:rPr>
        <w:t>h</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ascii="Times New Roman" w:hAnsi="Times New Roman"/>
          <w:color w:val="auto"/>
          <w:szCs w:val="24"/>
          <w:lang w:val="en-US" w:eastAsia="zh-CN"/>
        </w:rPr>
        <w:t>2</w:t>
      </w:r>
      <w:r>
        <w:rPr>
          <w:rFonts w:hint="eastAsia"/>
          <w:color w:val="auto"/>
          <w:szCs w:val="24"/>
          <w:lang w:val="en-US" w:eastAsia="zh-CN"/>
        </w:rPr>
        <w:t>）冷却塔风吹损失量：</w:t>
      </w:r>
    </w:p>
    <w:p>
      <w:pPr>
        <w:keepNext w:val="0"/>
        <w:keepLines w:val="0"/>
        <w:pageBreakBefore w:val="0"/>
        <w:widowControl w:val="0"/>
        <w:kinsoku/>
        <w:wordWrap/>
        <w:overflowPunct/>
        <w:topLinePunct w:val="0"/>
        <w:bidi w:val="0"/>
        <w:spacing w:line="440" w:lineRule="exact"/>
        <w:jc w:val="center"/>
        <w:textAlignment w:val="auto"/>
        <w:rPr>
          <w:rFonts w:hint="default"/>
          <w:color w:val="auto"/>
          <w:szCs w:val="24"/>
          <w:lang w:val="en-US" w:eastAsia="zh-CN"/>
        </w:rPr>
      </w:pPr>
      <w:r>
        <w:rPr>
          <w:rFonts w:hint="eastAsia" w:ascii="Times New Roman" w:hAnsi="Times New Roman"/>
          <w:color w:val="auto"/>
          <w:szCs w:val="24"/>
          <w:lang w:val="en-US" w:eastAsia="zh-CN"/>
        </w:rPr>
        <w:t>Qw</w:t>
      </w:r>
      <w:r>
        <w:rPr>
          <w:rFonts w:hint="eastAsia"/>
          <w:color w:val="auto"/>
          <w:szCs w:val="24"/>
          <w:lang w:val="en-US" w:eastAsia="zh-CN"/>
        </w:rPr>
        <w:t>=</w:t>
      </w:r>
      <w:r>
        <w:rPr>
          <w:rFonts w:hint="eastAsia" w:ascii="Times New Roman" w:hAnsi="Times New Roman"/>
          <w:color w:val="auto"/>
          <w:szCs w:val="24"/>
          <w:lang w:val="en-US" w:eastAsia="zh-CN"/>
        </w:rPr>
        <w:t>Pw</w:t>
      </w:r>
      <w:r>
        <w:rPr>
          <w:rFonts w:hint="eastAsia"/>
          <w:color w:val="auto"/>
          <w:szCs w:val="24"/>
          <w:lang w:val="en-US" w:eastAsia="zh-CN"/>
        </w:rPr>
        <w:t>·</w:t>
      </w:r>
      <w:r>
        <w:rPr>
          <w:rFonts w:hint="eastAsia" w:ascii="Times New Roman" w:hAnsi="Times New Roman"/>
          <w:color w:val="auto"/>
          <w:szCs w:val="24"/>
          <w:lang w:val="en-US" w:eastAsia="zh-CN"/>
        </w:rPr>
        <w:t>Q</w:t>
      </w:r>
      <w:r>
        <w:rPr>
          <w:rFonts w:hint="eastAsia"/>
          <w:color w:val="auto"/>
          <w:szCs w:val="24"/>
          <w:lang w:val="en-US" w:eastAsia="zh-CN"/>
        </w:rPr>
        <w:t>/</w:t>
      </w:r>
      <w:r>
        <w:rPr>
          <w:rFonts w:hint="eastAsia" w:ascii="Times New Roman" w:hAnsi="Times New Roman"/>
          <w:color w:val="auto"/>
          <w:szCs w:val="24"/>
          <w:lang w:val="en-US" w:eastAsia="zh-CN"/>
        </w:rPr>
        <w:t>100</w:t>
      </w:r>
    </w:p>
    <w:p>
      <w:pPr>
        <w:keepNext w:val="0"/>
        <w:keepLines w:val="0"/>
        <w:pageBreakBefore w:val="0"/>
        <w:widowControl w:val="0"/>
        <w:kinsoku/>
        <w:wordWrap/>
        <w:overflowPunct/>
        <w:topLinePunct w:val="0"/>
        <w:bidi w:val="0"/>
        <w:spacing w:line="440" w:lineRule="exact"/>
        <w:textAlignment w:val="auto"/>
        <w:rPr>
          <w:rFonts w:hint="eastAsia"/>
          <w:color w:val="auto"/>
          <w:szCs w:val="24"/>
          <w:lang w:eastAsia="zh-CN"/>
        </w:rPr>
      </w:pPr>
      <w:r>
        <w:rPr>
          <w:rFonts w:hint="eastAsia"/>
          <w:color w:val="auto"/>
          <w:szCs w:val="24"/>
          <w:lang w:eastAsia="zh-CN"/>
        </w:rPr>
        <w:t>式中：</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ascii="Times New Roman" w:hAnsi="Times New Roman"/>
          <w:color w:val="auto"/>
          <w:szCs w:val="24"/>
          <w:lang w:val="en-US" w:eastAsia="zh-CN"/>
        </w:rPr>
        <w:t>Pw</w:t>
      </w:r>
      <w:r>
        <w:rPr>
          <w:rFonts w:hint="eastAsia"/>
          <w:color w:val="auto"/>
          <w:szCs w:val="24"/>
          <w:lang w:val="en-US" w:eastAsia="zh-CN"/>
        </w:rPr>
        <w:t>：除水器的除水率，取</w:t>
      </w:r>
      <w:r>
        <w:rPr>
          <w:rFonts w:hint="eastAsia" w:ascii="Times New Roman" w:hAnsi="Times New Roman"/>
          <w:color w:val="auto"/>
          <w:szCs w:val="24"/>
          <w:lang w:val="en-US" w:eastAsia="zh-CN"/>
        </w:rPr>
        <w:t>0</w:t>
      </w:r>
      <w:r>
        <w:rPr>
          <w:rFonts w:hint="eastAsia"/>
          <w:color w:val="auto"/>
          <w:szCs w:val="24"/>
          <w:lang w:val="en-US" w:eastAsia="zh-CN"/>
        </w:rPr>
        <w:t>.</w:t>
      </w:r>
      <w:r>
        <w:rPr>
          <w:rFonts w:hint="eastAsia" w:ascii="Times New Roman" w:hAnsi="Times New Roman"/>
          <w:color w:val="auto"/>
          <w:szCs w:val="24"/>
          <w:lang w:val="en-US" w:eastAsia="zh-CN"/>
        </w:rPr>
        <w:t>10</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color w:val="auto"/>
          <w:szCs w:val="24"/>
          <w:lang w:val="en-US" w:eastAsia="zh-CN"/>
        </w:rPr>
        <w:t>本项目</w:t>
      </w:r>
      <w:r>
        <w:rPr>
          <w:rFonts w:hint="eastAsia" w:ascii="Times New Roman" w:hAnsi="Times New Roman"/>
          <w:color w:val="auto"/>
          <w:szCs w:val="24"/>
          <w:lang w:val="en-US" w:eastAsia="zh-CN"/>
        </w:rPr>
        <w:t>Qw</w:t>
      </w:r>
      <w:r>
        <w:rPr>
          <w:rFonts w:hint="eastAsia"/>
          <w:color w:val="auto"/>
          <w:szCs w:val="24"/>
          <w:lang w:val="en-US" w:eastAsia="zh-CN"/>
        </w:rPr>
        <w:t>=</w:t>
      </w:r>
      <w:r>
        <w:rPr>
          <w:rFonts w:hint="eastAsia" w:ascii="Times New Roman" w:hAnsi="Times New Roman"/>
          <w:color w:val="auto"/>
          <w:szCs w:val="24"/>
          <w:lang w:val="en-US" w:eastAsia="zh-CN"/>
        </w:rPr>
        <w:t>Pw</w:t>
      </w:r>
      <w:r>
        <w:rPr>
          <w:rFonts w:hint="eastAsia"/>
          <w:color w:val="auto"/>
          <w:szCs w:val="24"/>
          <w:lang w:val="en-US" w:eastAsia="zh-CN"/>
        </w:rPr>
        <w:t>·</w:t>
      </w:r>
      <w:r>
        <w:rPr>
          <w:rFonts w:hint="eastAsia" w:ascii="Times New Roman" w:hAnsi="Times New Roman"/>
          <w:color w:val="auto"/>
          <w:szCs w:val="24"/>
          <w:lang w:val="en-US" w:eastAsia="zh-CN"/>
        </w:rPr>
        <w:t>Q</w:t>
      </w:r>
      <w:r>
        <w:rPr>
          <w:rFonts w:hint="eastAsia"/>
          <w:color w:val="auto"/>
          <w:szCs w:val="24"/>
          <w:lang w:val="en-US" w:eastAsia="zh-CN"/>
        </w:rPr>
        <w:t>/</w:t>
      </w:r>
      <w:r>
        <w:rPr>
          <w:rFonts w:hint="eastAsia" w:ascii="Times New Roman" w:hAnsi="Times New Roman"/>
          <w:color w:val="auto"/>
          <w:szCs w:val="24"/>
          <w:lang w:val="en-US" w:eastAsia="zh-CN"/>
        </w:rPr>
        <w:t>100</w:t>
      </w:r>
      <w:r>
        <w:rPr>
          <w:rFonts w:hint="eastAsia"/>
          <w:color w:val="auto"/>
          <w:szCs w:val="24"/>
          <w:lang w:val="en-US" w:eastAsia="zh-CN"/>
        </w:rPr>
        <w:t>=</w:t>
      </w:r>
      <w:r>
        <w:rPr>
          <w:rFonts w:hint="eastAsia" w:ascii="Times New Roman" w:hAnsi="Times New Roman"/>
          <w:color w:val="auto"/>
          <w:szCs w:val="24"/>
          <w:lang w:val="en-US" w:eastAsia="zh-CN"/>
        </w:rPr>
        <w:t>0</w:t>
      </w:r>
      <w:r>
        <w:rPr>
          <w:rFonts w:hint="eastAsia"/>
          <w:color w:val="auto"/>
          <w:szCs w:val="24"/>
          <w:lang w:val="en-US" w:eastAsia="zh-CN"/>
        </w:rPr>
        <w:t>.</w:t>
      </w:r>
      <w:r>
        <w:rPr>
          <w:rFonts w:hint="eastAsia" w:ascii="Times New Roman" w:hAnsi="Times New Roman"/>
          <w:color w:val="auto"/>
          <w:szCs w:val="24"/>
          <w:lang w:val="en-US" w:eastAsia="zh-CN"/>
        </w:rPr>
        <w:t>1</w:t>
      </w:r>
      <w:r>
        <w:rPr>
          <w:rFonts w:hint="eastAsia"/>
          <w:color w:val="auto"/>
          <w:szCs w:val="24"/>
          <w:lang w:val="en-US" w:eastAsia="zh-CN"/>
        </w:rPr>
        <w:t>×</w:t>
      </w:r>
      <w:r>
        <w:rPr>
          <w:rFonts w:hint="eastAsia" w:ascii="Times New Roman" w:hAnsi="Times New Roman"/>
          <w:color w:val="auto"/>
          <w:szCs w:val="24"/>
          <w:lang w:val="en-US" w:eastAsia="zh-CN"/>
        </w:rPr>
        <w:t>900</w:t>
      </w:r>
      <w:r>
        <w:rPr>
          <w:rFonts w:hint="eastAsia"/>
          <w:color w:val="auto"/>
          <w:szCs w:val="24"/>
          <w:lang w:val="en-US" w:eastAsia="zh-CN"/>
        </w:rPr>
        <w:t>/</w:t>
      </w:r>
      <w:r>
        <w:rPr>
          <w:rFonts w:hint="eastAsia" w:ascii="Times New Roman" w:hAnsi="Times New Roman"/>
          <w:color w:val="auto"/>
          <w:szCs w:val="24"/>
          <w:lang w:val="en-US" w:eastAsia="zh-CN"/>
        </w:rPr>
        <w:t>100</w:t>
      </w:r>
      <w:r>
        <w:rPr>
          <w:rFonts w:hint="eastAsia"/>
          <w:color w:val="auto"/>
          <w:szCs w:val="24"/>
          <w:lang w:val="en-US" w:eastAsia="zh-CN"/>
        </w:rPr>
        <w:t>=</w:t>
      </w:r>
      <w:r>
        <w:rPr>
          <w:rFonts w:hint="eastAsia" w:ascii="Times New Roman" w:hAnsi="Times New Roman"/>
          <w:color w:val="auto"/>
          <w:szCs w:val="24"/>
          <w:lang w:val="en-US" w:eastAsia="zh-CN"/>
        </w:rPr>
        <w:t>0</w:t>
      </w:r>
      <w:r>
        <w:rPr>
          <w:rFonts w:hint="eastAsia"/>
          <w:color w:val="auto"/>
          <w:szCs w:val="24"/>
          <w:lang w:val="en-US" w:eastAsia="zh-CN"/>
        </w:rPr>
        <w:t>.</w:t>
      </w:r>
      <w:r>
        <w:rPr>
          <w:rFonts w:hint="eastAsia" w:ascii="Times New Roman" w:hAnsi="Times New Roman"/>
          <w:color w:val="auto"/>
          <w:szCs w:val="24"/>
          <w:lang w:val="en-US" w:eastAsia="zh-CN"/>
        </w:rPr>
        <w:t>9m</w:t>
      </w:r>
      <w:r>
        <w:rPr>
          <w:rFonts w:hint="eastAsia"/>
          <w:color w:val="auto"/>
          <w:szCs w:val="24"/>
          <w:lang w:val="en-US" w:eastAsia="zh-CN"/>
        </w:rPr>
        <w:t>³/</w:t>
      </w:r>
      <w:r>
        <w:rPr>
          <w:rFonts w:hint="eastAsia" w:ascii="Times New Roman" w:hAnsi="Times New Roman"/>
          <w:color w:val="auto"/>
          <w:szCs w:val="24"/>
          <w:lang w:val="en-US" w:eastAsia="zh-CN"/>
        </w:rPr>
        <w:t>h</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ascii="Times New Roman" w:hAnsi="Times New Roman"/>
          <w:color w:val="auto"/>
          <w:szCs w:val="24"/>
          <w:lang w:val="en-US" w:eastAsia="zh-CN"/>
        </w:rPr>
        <w:t>3</w:t>
      </w:r>
      <w:r>
        <w:rPr>
          <w:rFonts w:hint="eastAsia"/>
          <w:color w:val="auto"/>
          <w:szCs w:val="24"/>
          <w:lang w:val="en-US" w:eastAsia="zh-CN"/>
        </w:rPr>
        <w:t>）排污损失水量根据循环水水质要求和浓缩倍数确定</w:t>
      </w:r>
    </w:p>
    <w:p>
      <w:pPr>
        <w:keepNext w:val="0"/>
        <w:keepLines w:val="0"/>
        <w:pageBreakBefore w:val="0"/>
        <w:widowControl w:val="0"/>
        <w:kinsoku/>
        <w:wordWrap/>
        <w:overflowPunct/>
        <w:topLinePunct w:val="0"/>
        <w:bidi w:val="0"/>
        <w:spacing w:line="440" w:lineRule="exact"/>
        <w:jc w:val="center"/>
        <w:textAlignment w:val="auto"/>
        <w:rPr>
          <w:rFonts w:hint="default"/>
          <w:color w:val="auto"/>
          <w:szCs w:val="24"/>
          <w:lang w:val="en-US" w:eastAsia="zh-CN"/>
        </w:rPr>
      </w:pPr>
      <w:r>
        <w:rPr>
          <w:rFonts w:hint="eastAsia" w:ascii="Times New Roman" w:hAnsi="Times New Roman"/>
          <w:color w:val="auto"/>
          <w:szCs w:val="24"/>
          <w:lang w:val="en-US" w:eastAsia="zh-CN"/>
        </w:rPr>
        <w:t>Qb</w:t>
      </w:r>
      <w:r>
        <w:rPr>
          <w:rFonts w:hint="eastAsia"/>
          <w:color w:val="auto"/>
          <w:szCs w:val="24"/>
          <w:lang w:val="en-US" w:eastAsia="zh-CN"/>
        </w:rPr>
        <w:t>=</w:t>
      </w:r>
      <w:r>
        <w:rPr>
          <w:rFonts w:hint="eastAsia" w:ascii="Times New Roman" w:hAnsi="Times New Roman"/>
          <w:color w:val="auto"/>
          <w:szCs w:val="24"/>
          <w:lang w:val="en-US" w:eastAsia="zh-CN"/>
        </w:rPr>
        <w:t>Pb</w:t>
      </w:r>
      <w:r>
        <w:rPr>
          <w:rFonts w:hint="eastAsia"/>
          <w:color w:val="auto"/>
          <w:szCs w:val="24"/>
          <w:lang w:val="en-US" w:eastAsia="zh-CN"/>
        </w:rPr>
        <w:t>·</w:t>
      </w:r>
      <w:r>
        <w:rPr>
          <w:rFonts w:hint="eastAsia" w:ascii="Times New Roman" w:hAnsi="Times New Roman"/>
          <w:color w:val="auto"/>
          <w:szCs w:val="24"/>
          <w:lang w:val="en-US" w:eastAsia="zh-CN"/>
        </w:rPr>
        <w:t>Q</w:t>
      </w:r>
      <w:r>
        <w:rPr>
          <w:rFonts w:hint="eastAsia"/>
          <w:color w:val="auto"/>
          <w:szCs w:val="24"/>
          <w:lang w:val="en-US" w:eastAsia="zh-CN"/>
        </w:rPr>
        <w:t>/</w:t>
      </w:r>
      <w:r>
        <w:rPr>
          <w:rFonts w:hint="eastAsia" w:ascii="Times New Roman" w:hAnsi="Times New Roman"/>
          <w:color w:val="auto"/>
          <w:szCs w:val="24"/>
          <w:lang w:val="en-US" w:eastAsia="zh-CN"/>
        </w:rPr>
        <w:t>100</w:t>
      </w:r>
    </w:p>
    <w:p>
      <w:pPr>
        <w:keepNext w:val="0"/>
        <w:keepLines w:val="0"/>
        <w:pageBreakBefore w:val="0"/>
        <w:widowControl w:val="0"/>
        <w:kinsoku/>
        <w:wordWrap/>
        <w:overflowPunct/>
        <w:topLinePunct w:val="0"/>
        <w:bidi w:val="0"/>
        <w:spacing w:line="440" w:lineRule="exact"/>
        <w:jc w:val="center"/>
        <w:textAlignment w:val="auto"/>
        <w:rPr>
          <w:rFonts w:hint="default"/>
          <w:color w:val="auto"/>
          <w:szCs w:val="24"/>
          <w:lang w:val="en-US" w:eastAsia="zh-CN"/>
        </w:rPr>
      </w:pPr>
      <w:r>
        <w:rPr>
          <w:rFonts w:hint="eastAsia" w:ascii="Times New Roman" w:hAnsi="Times New Roman"/>
          <w:color w:val="auto"/>
          <w:szCs w:val="24"/>
          <w:lang w:val="en-US" w:eastAsia="zh-CN"/>
        </w:rPr>
        <w:t>Pb</w:t>
      </w:r>
      <w:r>
        <w:rPr>
          <w:rFonts w:hint="eastAsia"/>
          <w:color w:val="auto"/>
          <w:szCs w:val="24"/>
          <w:lang w:val="en-US" w:eastAsia="zh-CN"/>
        </w:rPr>
        <w:t>=</w:t>
      </w:r>
      <w:r>
        <w:rPr>
          <w:rFonts w:hint="eastAsia" w:ascii="Times New Roman" w:hAnsi="Times New Roman"/>
          <w:color w:val="auto"/>
          <w:szCs w:val="24"/>
          <w:lang w:val="en-US" w:eastAsia="zh-CN"/>
        </w:rPr>
        <w:t>Pr</w:t>
      </w:r>
      <w:r>
        <w:rPr>
          <w:rFonts w:hint="eastAsia"/>
          <w:color w:val="auto"/>
          <w:szCs w:val="24"/>
          <w:lang w:val="en-US" w:eastAsia="zh-CN"/>
        </w:rPr>
        <w:t>-</w:t>
      </w:r>
      <w:r>
        <w:rPr>
          <w:rFonts w:hint="eastAsia" w:ascii="Times New Roman" w:hAnsi="Times New Roman"/>
          <w:color w:val="auto"/>
          <w:szCs w:val="24"/>
          <w:lang w:val="en-US" w:eastAsia="zh-CN"/>
        </w:rPr>
        <w:t>Pw</w:t>
      </w:r>
      <w:r>
        <w:rPr>
          <w:rFonts w:hint="eastAsia"/>
          <w:color w:val="auto"/>
          <w:szCs w:val="24"/>
          <w:lang w:val="en-US" w:eastAsia="zh-CN"/>
        </w:rPr>
        <w:t>（</w:t>
      </w:r>
      <w:r>
        <w:rPr>
          <w:rFonts w:hint="eastAsia" w:ascii="Times New Roman" w:hAnsi="Times New Roman"/>
          <w:color w:val="auto"/>
          <w:szCs w:val="24"/>
          <w:lang w:val="en-US" w:eastAsia="zh-CN"/>
        </w:rPr>
        <w:t>C</w:t>
      </w:r>
      <w:r>
        <w:rPr>
          <w:rFonts w:hint="eastAsia"/>
          <w:color w:val="auto"/>
          <w:szCs w:val="24"/>
          <w:lang w:val="en-US" w:eastAsia="zh-CN"/>
        </w:rPr>
        <w:t>-</w:t>
      </w:r>
      <w:r>
        <w:rPr>
          <w:rFonts w:hint="eastAsia" w:ascii="Times New Roman" w:hAnsi="Times New Roman"/>
          <w:color w:val="auto"/>
          <w:szCs w:val="24"/>
          <w:lang w:val="en-US" w:eastAsia="zh-CN"/>
        </w:rPr>
        <w:t>1</w:t>
      </w:r>
      <w:r>
        <w:rPr>
          <w:rFonts w:hint="eastAsia"/>
          <w:color w:val="auto"/>
          <w:szCs w:val="24"/>
          <w:lang w:val="en-US" w:eastAsia="zh-CN"/>
        </w:rPr>
        <w:t>）/（</w:t>
      </w:r>
      <w:r>
        <w:rPr>
          <w:rFonts w:hint="eastAsia" w:ascii="Times New Roman" w:hAnsi="Times New Roman"/>
          <w:color w:val="auto"/>
          <w:szCs w:val="24"/>
          <w:lang w:val="en-US" w:eastAsia="zh-CN"/>
        </w:rPr>
        <w:t>C</w:t>
      </w:r>
      <w:r>
        <w:rPr>
          <w:rFonts w:hint="eastAsia"/>
          <w:color w:val="auto"/>
          <w:szCs w:val="24"/>
          <w:lang w:val="en-US" w:eastAsia="zh-CN"/>
        </w:rPr>
        <w:t>-</w:t>
      </w:r>
      <w:r>
        <w:rPr>
          <w:rFonts w:hint="eastAsia" w:ascii="Times New Roman" w:hAnsi="Times New Roman"/>
          <w:color w:val="auto"/>
          <w:szCs w:val="24"/>
          <w:lang w:val="en-US" w:eastAsia="zh-CN"/>
        </w:rPr>
        <w:t>1</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eastAsia"/>
          <w:color w:val="auto"/>
          <w:szCs w:val="24"/>
          <w:lang w:eastAsia="zh-CN"/>
        </w:rPr>
      </w:pPr>
      <w:r>
        <w:rPr>
          <w:rFonts w:hint="eastAsia"/>
          <w:color w:val="auto"/>
          <w:szCs w:val="24"/>
          <w:lang w:eastAsia="zh-CN"/>
        </w:rPr>
        <w:t>式中：</w:t>
      </w:r>
    </w:p>
    <w:p>
      <w:pPr>
        <w:keepNext w:val="0"/>
        <w:keepLines w:val="0"/>
        <w:pageBreakBefore w:val="0"/>
        <w:widowControl w:val="0"/>
        <w:kinsoku/>
        <w:wordWrap/>
        <w:overflowPunct/>
        <w:topLinePunct w:val="0"/>
        <w:bidi w:val="0"/>
        <w:spacing w:line="440" w:lineRule="exact"/>
        <w:textAlignment w:val="auto"/>
        <w:rPr>
          <w:rFonts w:hint="default"/>
          <w:color w:val="auto"/>
          <w:szCs w:val="24"/>
          <w:lang w:val="en-US" w:eastAsia="zh-CN"/>
        </w:rPr>
      </w:pPr>
      <w:r>
        <w:rPr>
          <w:rFonts w:hint="eastAsia" w:ascii="Times New Roman" w:hAnsi="Times New Roman"/>
          <w:color w:val="auto"/>
          <w:szCs w:val="24"/>
          <w:lang w:val="en-US" w:eastAsia="zh-CN"/>
        </w:rPr>
        <w:t>Pb</w:t>
      </w:r>
      <w:r>
        <w:rPr>
          <w:rFonts w:hint="eastAsia"/>
          <w:color w:val="auto"/>
          <w:szCs w:val="24"/>
          <w:lang w:val="en-US" w:eastAsia="zh-CN"/>
        </w:rPr>
        <w:t>：排污百分率；</w:t>
      </w:r>
      <w:r>
        <w:rPr>
          <w:rFonts w:hint="eastAsia" w:ascii="Times New Roman" w:hAnsi="Times New Roman"/>
          <w:color w:val="auto"/>
          <w:szCs w:val="24"/>
          <w:lang w:val="en-US" w:eastAsia="zh-CN"/>
        </w:rPr>
        <w:t>C</w:t>
      </w:r>
      <w:r>
        <w:rPr>
          <w:rFonts w:hint="eastAsia"/>
          <w:color w:val="auto"/>
          <w:szCs w:val="24"/>
          <w:lang w:val="en-US" w:eastAsia="zh-CN"/>
        </w:rPr>
        <w:t>：浓缩倍数取</w:t>
      </w:r>
      <w:r>
        <w:rPr>
          <w:rFonts w:hint="eastAsia" w:ascii="Times New Roman" w:hAnsi="Times New Roman"/>
          <w:color w:val="auto"/>
          <w:szCs w:val="24"/>
          <w:lang w:val="en-US" w:eastAsia="zh-CN"/>
        </w:rPr>
        <w:t>5</w:t>
      </w:r>
      <w:r>
        <w:rPr>
          <w:rFonts w:hint="eastAsia"/>
          <w:color w:val="auto"/>
          <w:szCs w:val="24"/>
          <w:lang w:val="en-US" w:eastAsia="zh-CN"/>
        </w:rPr>
        <w:t>。</w:t>
      </w:r>
    </w:p>
    <w:p>
      <w:pPr>
        <w:keepNext w:val="0"/>
        <w:keepLines w:val="0"/>
        <w:pageBreakBefore w:val="0"/>
        <w:widowControl w:val="0"/>
        <w:kinsoku/>
        <w:wordWrap/>
        <w:overflowPunct/>
        <w:topLinePunct w:val="0"/>
        <w:bidi w:val="0"/>
        <w:spacing w:line="440" w:lineRule="exact"/>
        <w:textAlignment w:val="auto"/>
        <w:rPr>
          <w:rFonts w:hint="default"/>
          <w:lang w:val="en-US" w:eastAsia="zh-CN"/>
        </w:rPr>
      </w:pPr>
      <w:r>
        <w:rPr>
          <w:rFonts w:hint="eastAsia"/>
          <w:lang w:eastAsia="zh-CN"/>
        </w:rPr>
        <w:t>排污百分率：</w:t>
      </w:r>
      <w:r>
        <w:rPr>
          <w:rFonts w:hint="eastAsia" w:ascii="Times New Roman" w:hAnsi="Times New Roman"/>
          <w:lang w:val="en-US" w:eastAsia="zh-CN"/>
        </w:rPr>
        <w:t>Pb</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47</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267</w:t>
      </w:r>
      <w:r>
        <w:rPr>
          <w:rFonts w:hint="eastAsia"/>
          <w:lang w:val="en-US" w:eastAsia="zh-CN"/>
        </w:rPr>
        <w:t>；</w:t>
      </w:r>
    </w:p>
    <w:p>
      <w:pPr>
        <w:spacing w:line="440" w:lineRule="exact"/>
        <w:ind w:firstLine="480"/>
        <w:rPr>
          <w:rFonts w:hint="default"/>
          <w:lang w:val="en-US" w:eastAsia="zh-CN"/>
        </w:rPr>
      </w:pPr>
      <w:r>
        <w:rPr>
          <w:rFonts w:hint="eastAsia"/>
          <w:lang w:eastAsia="zh-CN"/>
        </w:rPr>
        <w:t>本项目排污损失水：</w:t>
      </w:r>
      <w:r>
        <w:rPr>
          <w:rFonts w:hint="eastAsia" w:ascii="Times New Roman" w:hAnsi="Times New Roman"/>
          <w:lang w:val="en-US" w:eastAsia="zh-CN"/>
        </w:rPr>
        <w:t>Qb</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267</w:t>
      </w:r>
      <w:r>
        <w:rPr>
          <w:rFonts w:hint="eastAsia"/>
          <w:lang w:val="en-US" w:eastAsia="zh-CN"/>
        </w:rPr>
        <w:t>×</w:t>
      </w:r>
      <w:r>
        <w:rPr>
          <w:rFonts w:hint="eastAsia" w:ascii="Times New Roman" w:hAnsi="Times New Roman"/>
          <w:lang w:val="en-US" w:eastAsia="zh-CN"/>
        </w:rPr>
        <w:t>900</w:t>
      </w:r>
      <w:r>
        <w:rPr>
          <w:rFonts w:hint="eastAsia"/>
          <w:lang w:val="en-US" w:eastAsia="zh-CN"/>
        </w:rPr>
        <w:t>/</w:t>
      </w:r>
      <w:r>
        <w:rPr>
          <w:rFonts w:hint="eastAsia" w:ascii="Times New Roman" w:hAnsi="Times New Roman"/>
          <w:lang w:val="en-US" w:eastAsia="zh-CN"/>
        </w:rPr>
        <w:t>100</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4m</w:t>
      </w:r>
      <w:r>
        <w:rPr>
          <w:rFonts w:hint="eastAsia"/>
          <w:lang w:val="en-US" w:eastAsia="zh-CN"/>
        </w:rPr>
        <w:t>³/</w:t>
      </w:r>
      <w:r>
        <w:rPr>
          <w:rFonts w:hint="eastAsia" w:ascii="Times New Roman" w:hAnsi="Times New Roman"/>
          <w:lang w:val="en-US" w:eastAsia="zh-CN"/>
        </w:rPr>
        <w:t>h</w:t>
      </w:r>
      <w:r>
        <w:rPr>
          <w:rFonts w:hint="eastAsia"/>
          <w:lang w:val="en-US" w:eastAsia="zh-CN"/>
        </w:rPr>
        <w:t>。</w:t>
      </w:r>
    </w:p>
    <w:p>
      <w:pPr>
        <w:spacing w:line="440" w:lineRule="exact"/>
        <w:ind w:firstLine="480"/>
        <w:rPr>
          <w:rFonts w:hint="eastAsia"/>
          <w:color w:val="auto"/>
          <w:lang w:eastAsia="zh-CN"/>
        </w:rPr>
      </w:pPr>
      <w:r>
        <w:rPr>
          <w:rFonts w:hint="eastAsia"/>
          <w:color w:val="auto"/>
          <w:lang w:eastAsia="zh-CN"/>
        </w:rPr>
        <w:t>本项目的实施会增加循环水系统负荷，但本项目的原料</w:t>
      </w:r>
      <w:r>
        <w:rPr>
          <w:rFonts w:hint="eastAsia" w:ascii="Times New Roman" w:hAnsi="Times New Roman"/>
          <w:color w:val="auto"/>
          <w:lang w:val="en-US" w:eastAsia="zh-CN"/>
        </w:rPr>
        <w:t>DN</w:t>
      </w:r>
      <w:r>
        <w:rPr>
          <w:rFonts w:hint="eastAsia"/>
          <w:color w:val="auto"/>
          <w:lang w:val="en-US" w:eastAsia="zh-CN"/>
        </w:rPr>
        <w:t>溶液</w:t>
      </w:r>
      <w:r>
        <w:rPr>
          <w:rFonts w:hint="eastAsia"/>
          <w:color w:val="auto"/>
          <w:lang w:eastAsia="zh-CN"/>
        </w:rPr>
        <w:t>用于生产</w:t>
      </w:r>
      <w:r>
        <w:rPr>
          <w:rFonts w:hint="eastAsia" w:ascii="Times New Roman" w:hAnsi="Times New Roman"/>
          <w:color w:val="auto"/>
          <w:lang w:eastAsia="zh-CN"/>
        </w:rPr>
        <w:t>PD</w:t>
      </w:r>
      <w:r>
        <w:rPr>
          <w:rFonts w:hint="eastAsia"/>
          <w:color w:val="auto"/>
          <w:lang w:eastAsia="zh-CN"/>
        </w:rPr>
        <w:t>后，厂内原用于聚合工艺的</w:t>
      </w:r>
      <w:r>
        <w:rPr>
          <w:rFonts w:hint="eastAsia" w:ascii="Times New Roman" w:hAnsi="Times New Roman"/>
          <w:color w:val="auto"/>
          <w:lang w:val="en-US" w:eastAsia="zh-CN"/>
        </w:rPr>
        <w:t>DN</w:t>
      </w:r>
      <w:r>
        <w:rPr>
          <w:rFonts w:hint="eastAsia"/>
          <w:color w:val="auto"/>
          <w:lang w:val="en-US" w:eastAsia="zh-CN"/>
        </w:rPr>
        <w:t>溶液</w:t>
      </w:r>
      <w:r>
        <w:rPr>
          <w:rFonts w:hint="eastAsia"/>
          <w:color w:val="auto"/>
          <w:lang w:eastAsia="zh-CN"/>
        </w:rPr>
        <w:t>将相应减少，本项目依托现有工程</w:t>
      </w:r>
      <w:r>
        <w:rPr>
          <w:rFonts w:hint="eastAsia" w:ascii="Times New Roman" w:hAnsi="Times New Roman"/>
          <w:color w:val="auto"/>
          <w:lang w:val="en-US" w:eastAsia="zh-CN"/>
        </w:rPr>
        <w:t>3</w:t>
      </w:r>
      <w:r>
        <w:rPr>
          <w:rFonts w:hint="eastAsia"/>
          <w:color w:val="auto"/>
          <w:lang w:val="en-US" w:eastAsia="zh-CN"/>
        </w:rPr>
        <w:t>#循环水场</w:t>
      </w:r>
      <w:r>
        <w:rPr>
          <w:rFonts w:hint="eastAsia"/>
          <w:color w:val="auto"/>
          <w:lang w:eastAsia="zh-CN"/>
        </w:rPr>
        <w:t>。</w:t>
      </w:r>
    </w:p>
    <w:p>
      <w:pPr>
        <w:spacing w:line="440" w:lineRule="exact"/>
        <w:ind w:firstLine="480"/>
        <w:rPr>
          <w:rFonts w:hint="eastAsia" w:eastAsia="宋体"/>
          <w:lang w:eastAsia="zh-CN"/>
        </w:rPr>
      </w:pPr>
      <w:r>
        <w:rPr>
          <w:rFonts w:hint="eastAsia"/>
          <w:lang w:eastAsia="zh-CN"/>
        </w:rPr>
        <w:t>②纯水</w:t>
      </w:r>
    </w:p>
    <w:p>
      <w:pPr>
        <w:spacing w:line="440" w:lineRule="exact"/>
        <w:ind w:firstLine="480"/>
        <w:rPr>
          <w:rFonts w:hint="default" w:eastAsia="宋体"/>
          <w:lang w:val="en-US" w:eastAsia="zh-CN"/>
        </w:rPr>
      </w:pPr>
      <w:r>
        <w:rPr>
          <w:rFonts w:hint="eastAsia"/>
          <w:lang w:val="en-US" w:eastAsia="zh-CN"/>
        </w:rPr>
        <w:t>本项目对</w:t>
      </w:r>
      <w:r>
        <w:rPr>
          <w:rFonts w:hint="eastAsia" w:ascii="Times New Roman" w:hAnsi="Times New Roman"/>
          <w:lang w:val="en-US" w:eastAsia="zh-CN"/>
        </w:rPr>
        <w:t>PD</w:t>
      </w:r>
      <w:r>
        <w:rPr>
          <w:rFonts w:hint="eastAsia"/>
          <w:lang w:val="en-US" w:eastAsia="zh-CN"/>
        </w:rPr>
        <w:t>产品塔配套</w:t>
      </w:r>
      <w:r>
        <w:rPr>
          <w:rFonts w:hint="eastAsia" w:ascii="Times New Roman" w:hAnsi="Times New Roman"/>
          <w:lang w:val="en-US" w:eastAsia="zh-CN"/>
        </w:rPr>
        <w:t>1</w:t>
      </w:r>
      <w:r>
        <w:rPr>
          <w:rFonts w:hint="eastAsia"/>
          <w:lang w:val="en-US" w:eastAsia="zh-CN"/>
        </w:rPr>
        <w:t>套真空泵系统，对反应器配套一套罗茨水环真空机组，真空泵运行过程，需定期更换真空泵水槽中的纯水，纯水来自厂内现有</w:t>
      </w:r>
      <w:r>
        <w:rPr>
          <w:rFonts w:hint="eastAsia" w:ascii="Times New Roman" w:hAnsi="Times New Roman"/>
          <w:lang w:val="en-US" w:eastAsia="zh-CN"/>
        </w:rPr>
        <w:t>75t</w:t>
      </w:r>
      <w:r>
        <w:rPr>
          <w:rFonts w:hint="eastAsia"/>
          <w:lang w:val="en-US" w:eastAsia="zh-CN"/>
        </w:rPr>
        <w:t>/</w:t>
      </w:r>
      <w:r>
        <w:rPr>
          <w:rFonts w:hint="eastAsia" w:ascii="Times New Roman" w:hAnsi="Times New Roman"/>
          <w:lang w:val="en-US" w:eastAsia="zh-CN"/>
        </w:rPr>
        <w:t>h</w:t>
      </w:r>
      <w:r>
        <w:rPr>
          <w:rFonts w:hint="eastAsia"/>
          <w:lang w:val="en-US" w:eastAsia="zh-CN"/>
        </w:rPr>
        <w:t>纯水制备系统，通过管网接入</w:t>
      </w:r>
      <w:r>
        <w:rPr>
          <w:rFonts w:hint="eastAsia"/>
          <w:lang w:eastAsia="zh-CN"/>
        </w:rPr>
        <w:t>，本项目纯水补水量约</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45m</w:t>
      </w:r>
      <w:r>
        <w:rPr>
          <w:rFonts w:hint="eastAsia"/>
          <w:lang w:val="en-US" w:eastAsia="zh-CN"/>
        </w:rPr>
        <w:t>³/</w:t>
      </w:r>
      <w:r>
        <w:rPr>
          <w:rFonts w:hint="eastAsia" w:ascii="Times New Roman" w:hAnsi="Times New Roman"/>
          <w:lang w:val="en-US" w:eastAsia="zh-CN"/>
        </w:rPr>
        <w:t>h</w:t>
      </w:r>
      <w:r>
        <w:rPr>
          <w:rFonts w:hint="eastAsia"/>
          <w:lang w:val="en-US" w:eastAsia="zh-CN"/>
        </w:rPr>
        <w:t>。</w:t>
      </w:r>
    </w:p>
    <w:p>
      <w:pPr>
        <w:spacing w:line="500" w:lineRule="exact"/>
        <w:rPr>
          <w:rFonts w:hint="eastAsia"/>
          <w:lang w:eastAsia="zh-CN"/>
        </w:rPr>
      </w:pPr>
      <w:r>
        <w:rPr>
          <w:rFonts w:hint="eastAsia"/>
          <w:lang w:eastAsia="zh-CN"/>
        </w:rPr>
        <w:t>根据现有工程纯水使用情况一栏表（见表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eastAsia="zh-CN"/>
        </w:rPr>
        <w:t>），厂内纯水制备系统规模为</w:t>
      </w:r>
      <w:r>
        <w:rPr>
          <w:rFonts w:hint="eastAsia" w:ascii="Times New Roman" w:hAnsi="Times New Roman"/>
          <w:lang w:val="en-US" w:eastAsia="zh-CN"/>
        </w:rPr>
        <w:t>75t</w:t>
      </w:r>
      <w:r>
        <w:rPr>
          <w:rFonts w:hint="eastAsia"/>
          <w:lang w:val="en-US" w:eastAsia="zh-CN"/>
        </w:rPr>
        <w:t>/</w:t>
      </w:r>
      <w:r>
        <w:rPr>
          <w:rFonts w:hint="eastAsia" w:ascii="Times New Roman" w:hAnsi="Times New Roman"/>
          <w:lang w:val="en-US" w:eastAsia="zh-CN"/>
        </w:rPr>
        <w:t>h</w:t>
      </w:r>
      <w:r>
        <w:rPr>
          <w:rFonts w:hint="eastAsia"/>
          <w:lang w:val="en-US" w:eastAsia="zh-CN"/>
        </w:rPr>
        <w:t>，现有工程在不考虑聚酰胺减产的情况下，使用纯水</w:t>
      </w:r>
      <w:r>
        <w:rPr>
          <w:rFonts w:hint="eastAsia" w:ascii="Times New Roman" w:hAnsi="Times New Roman"/>
          <w:lang w:val="en-US" w:eastAsia="zh-CN"/>
        </w:rPr>
        <w:t>35t</w:t>
      </w:r>
      <w:r>
        <w:rPr>
          <w:rFonts w:hint="eastAsia"/>
          <w:lang w:val="en-US" w:eastAsia="zh-CN"/>
        </w:rPr>
        <w:t>/</w:t>
      </w:r>
      <w:r>
        <w:rPr>
          <w:rFonts w:hint="eastAsia" w:ascii="Times New Roman" w:hAnsi="Times New Roman"/>
          <w:lang w:val="en-US" w:eastAsia="zh-CN"/>
        </w:rPr>
        <w:t>h</w:t>
      </w:r>
      <w:r>
        <w:rPr>
          <w:rFonts w:hint="eastAsia"/>
          <w:lang w:val="en-US" w:eastAsia="zh-CN"/>
        </w:rPr>
        <w:t>，凯赛（乌苏）生物技术有限公司年产</w:t>
      </w:r>
      <w:r>
        <w:rPr>
          <w:rFonts w:hint="eastAsia" w:ascii="Times New Roman" w:hAnsi="Times New Roman"/>
          <w:lang w:val="en-US" w:eastAsia="zh-CN"/>
        </w:rPr>
        <w:t>3</w:t>
      </w:r>
      <w:r>
        <w:rPr>
          <w:rFonts w:hint="eastAsia"/>
          <w:lang w:val="en-US" w:eastAsia="zh-CN"/>
        </w:rPr>
        <w:t>万吨长链二元酸和</w:t>
      </w:r>
      <w:r>
        <w:rPr>
          <w:rFonts w:hint="eastAsia" w:ascii="Times New Roman" w:hAnsi="Times New Roman"/>
          <w:lang w:val="en-US" w:eastAsia="zh-CN"/>
        </w:rPr>
        <w:t>2</w:t>
      </w:r>
      <w:r>
        <w:rPr>
          <w:rFonts w:hint="eastAsia"/>
          <w:lang w:val="en-US" w:eastAsia="zh-CN"/>
        </w:rPr>
        <w:t>万吨长链聚酰胺项目使用纯水</w:t>
      </w:r>
      <w:r>
        <w:rPr>
          <w:rFonts w:hint="eastAsia" w:ascii="Times New Roman" w:hAnsi="Times New Roman"/>
          <w:lang w:val="en-US" w:eastAsia="zh-CN"/>
        </w:rPr>
        <w:t>35t</w:t>
      </w:r>
      <w:r>
        <w:rPr>
          <w:rFonts w:hint="eastAsia"/>
          <w:lang w:val="en-US" w:eastAsia="zh-CN"/>
        </w:rPr>
        <w:t>/</w:t>
      </w:r>
      <w:r>
        <w:rPr>
          <w:rFonts w:hint="eastAsia" w:ascii="Times New Roman" w:hAnsi="Times New Roman"/>
          <w:lang w:val="en-US" w:eastAsia="zh-CN"/>
        </w:rPr>
        <w:t>h</w:t>
      </w:r>
      <w:r>
        <w:rPr>
          <w:rFonts w:hint="eastAsia"/>
          <w:lang w:val="en-US" w:eastAsia="zh-CN"/>
        </w:rPr>
        <w:t>，仍富余</w:t>
      </w:r>
      <w:r>
        <w:rPr>
          <w:rFonts w:hint="eastAsia" w:ascii="Times New Roman" w:hAnsi="Times New Roman"/>
          <w:lang w:val="en-US" w:eastAsia="zh-CN"/>
        </w:rPr>
        <w:t>5t</w:t>
      </w:r>
      <w:r>
        <w:rPr>
          <w:rFonts w:hint="eastAsia"/>
          <w:lang w:val="en-US" w:eastAsia="zh-CN"/>
        </w:rPr>
        <w:t>/</w:t>
      </w:r>
      <w:r>
        <w:rPr>
          <w:rFonts w:hint="eastAsia" w:ascii="Times New Roman" w:hAnsi="Times New Roman"/>
          <w:lang w:val="en-US" w:eastAsia="zh-CN"/>
        </w:rPr>
        <w:t>h</w:t>
      </w:r>
      <w:r>
        <w:rPr>
          <w:rFonts w:hint="eastAsia"/>
          <w:lang w:val="en-US" w:eastAsia="zh-CN"/>
        </w:rPr>
        <w:t>，本项目使用量为</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45m</w:t>
      </w:r>
      <w:r>
        <w:rPr>
          <w:rFonts w:hint="eastAsia"/>
          <w:lang w:val="en-US" w:eastAsia="zh-CN"/>
        </w:rPr>
        <w:t>³/</w:t>
      </w:r>
      <w:r>
        <w:rPr>
          <w:rFonts w:hint="eastAsia" w:ascii="Times New Roman" w:hAnsi="Times New Roman"/>
          <w:lang w:val="en-US" w:eastAsia="zh-CN"/>
        </w:rPr>
        <w:t>h</w:t>
      </w:r>
      <w:r>
        <w:rPr>
          <w:rFonts w:hint="eastAsia" w:ascii="Times New Roman" w:hAnsi="Times New Roman"/>
          <w:lang w:val="en-US" w:eastAsia="zh-CN"/>
        </w:rPr>
        <w:t>（</w:t>
      </w:r>
      <w:r>
        <w:rPr>
          <w:rFonts w:hint="eastAsia" w:ascii="Times New Roman" w:hAnsi="Times New Roman"/>
          <w:lang w:val="en-US" w:eastAsia="zh-CN"/>
        </w:rPr>
        <w:t>3600t</w:t>
      </w:r>
      <w:r>
        <w:rPr>
          <w:rFonts w:hint="eastAsia" w:ascii="Times New Roman" w:hAnsi="Times New Roman"/>
          <w:lang w:val="en-US" w:eastAsia="zh-CN"/>
        </w:rPr>
        <w:t>/</w:t>
      </w:r>
      <w:r>
        <w:rPr>
          <w:rFonts w:hint="eastAsia" w:ascii="Times New Roman" w:hAnsi="Times New Roman"/>
          <w:lang w:val="en-US" w:eastAsia="zh-CN"/>
        </w:rPr>
        <w:t>a</w:t>
      </w:r>
      <w:r>
        <w:rPr>
          <w:rFonts w:hint="eastAsia" w:ascii="Times New Roman" w:hAnsi="Times New Roman"/>
          <w:lang w:val="en-US" w:eastAsia="zh-CN"/>
        </w:rPr>
        <w:t>）</w:t>
      </w:r>
      <w:r>
        <w:rPr>
          <w:rFonts w:hint="eastAsia"/>
          <w:lang w:val="en-US" w:eastAsia="zh-CN"/>
        </w:rPr>
        <w:t>，因此现有纯水供应可满足本项目需求。</w:t>
      </w:r>
    </w:p>
    <w:p>
      <w:pPr>
        <w:spacing w:line="500" w:lineRule="exact"/>
        <w:rPr>
          <w:rFonts w:hint="eastAsia"/>
          <w:lang w:eastAsia="zh-CN"/>
        </w:rPr>
      </w:pPr>
      <w:r>
        <w:rPr>
          <w:rFonts w:hint="eastAsia"/>
          <w:lang w:eastAsia="zh-CN"/>
        </w:rPr>
        <w:t>③吸收塔用水</w:t>
      </w:r>
    </w:p>
    <w:p>
      <w:pPr>
        <w:rPr>
          <w:rFonts w:hint="eastAsia"/>
          <w:color w:val="auto"/>
          <w:lang w:val="en-US" w:eastAsia="zh-CN"/>
        </w:rPr>
      </w:pPr>
      <w:r>
        <w:rPr>
          <w:rFonts w:hint="eastAsia"/>
          <w:color w:val="auto"/>
          <w:lang w:val="en-US" w:eastAsia="zh-CN"/>
        </w:rPr>
        <w:t>本项目吸收塔采用一级水洗+二级酸吸收工艺，其中酸吸收液配制采用约</w:t>
      </w:r>
      <w:r>
        <w:rPr>
          <w:rFonts w:hint="eastAsia" w:ascii="Times New Roman" w:hAnsi="Times New Roman"/>
          <w:color w:val="auto"/>
          <w:lang w:val="en-US" w:eastAsia="zh-CN"/>
        </w:rPr>
        <w:t>30</w:t>
      </w:r>
      <w:r>
        <w:rPr>
          <w:rFonts w:hint="eastAsia"/>
          <w:color w:val="auto"/>
          <w:lang w:val="en-US" w:eastAsia="zh-CN"/>
        </w:rPr>
        <w:t>%浓度的稀硫酸溶液，喷淋液均循环使用，当溶液浓度不满足要求时更换。根据反应方程式过程产生氨约</w:t>
      </w:r>
      <w:r>
        <w:rPr>
          <w:rFonts w:hint="eastAsia" w:ascii="Times New Roman" w:hAnsi="Times New Roman"/>
          <w:color w:val="auto"/>
          <w:lang w:val="en-US" w:eastAsia="zh-CN"/>
        </w:rPr>
        <w:t>2430</w:t>
      </w:r>
      <w:r>
        <w:rPr>
          <w:rFonts w:hint="eastAsia"/>
          <w:color w:val="auto"/>
          <w:lang w:val="en-US" w:eastAsia="zh-CN"/>
        </w:rPr>
        <w:t>.</w:t>
      </w:r>
      <w:r>
        <w:rPr>
          <w:rFonts w:hint="eastAsia" w:ascii="Times New Roman" w:hAnsi="Times New Roman"/>
          <w:color w:val="auto"/>
          <w:lang w:val="en-US" w:eastAsia="zh-CN"/>
        </w:rPr>
        <w:t>33t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，以一级水洗对氨的去除效率</w:t>
      </w:r>
      <w:r>
        <w:rPr>
          <w:rFonts w:hint="eastAsia" w:ascii="Times New Roman" w:hAnsi="Times New Roman"/>
          <w:color w:val="auto"/>
          <w:lang w:val="en-US" w:eastAsia="zh-CN"/>
        </w:rPr>
        <w:t>90</w:t>
      </w:r>
      <w:r>
        <w:rPr>
          <w:rFonts w:hint="eastAsia"/>
          <w:color w:val="auto"/>
          <w:lang w:val="en-US" w:eastAsia="zh-CN"/>
        </w:rPr>
        <w:t>%计算，一级水洗后，</w:t>
      </w:r>
      <w:r>
        <w:rPr>
          <w:rFonts w:hint="eastAsia" w:ascii="Times New Roman" w:hAnsi="Times New Roman"/>
          <w:color w:val="auto"/>
          <w:lang w:val="en-US" w:eastAsia="zh-CN"/>
        </w:rPr>
        <w:t>2187</w:t>
      </w:r>
      <w:r>
        <w:rPr>
          <w:rFonts w:hint="eastAsia"/>
          <w:color w:val="auto"/>
          <w:lang w:val="en-US" w:eastAsia="zh-CN"/>
        </w:rPr>
        <w:t>.</w:t>
      </w:r>
      <w:r>
        <w:rPr>
          <w:rFonts w:hint="eastAsia" w:ascii="Times New Roman" w:hAnsi="Times New Roman"/>
          <w:color w:val="auto"/>
          <w:lang w:val="en-US" w:eastAsia="zh-CN"/>
        </w:rPr>
        <w:t>297t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氨被水吸收可形成</w:t>
      </w:r>
      <w:r>
        <w:rPr>
          <w:rFonts w:hint="eastAsia" w:ascii="Times New Roman" w:hAnsi="Times New Roman"/>
          <w:color w:val="auto"/>
          <w:lang w:val="en-US" w:eastAsia="zh-CN"/>
        </w:rPr>
        <w:t>30</w:t>
      </w:r>
      <w:r>
        <w:rPr>
          <w:rFonts w:hint="eastAsia"/>
          <w:color w:val="auto"/>
          <w:lang w:val="en-US" w:eastAsia="zh-CN"/>
        </w:rPr>
        <w:t>%的氨水溶液</w:t>
      </w:r>
      <w:r>
        <w:rPr>
          <w:rFonts w:hint="eastAsia" w:ascii="Times New Roman" w:hAnsi="Times New Roman"/>
          <w:color w:val="auto"/>
          <w:lang w:val="en-US" w:eastAsia="zh-CN"/>
        </w:rPr>
        <w:t>7290</w:t>
      </w:r>
      <w:r>
        <w:rPr>
          <w:rFonts w:hint="eastAsia" w:ascii="Times New Roman" w:hAnsi="Times New Roman"/>
          <w:color w:val="auto"/>
          <w:lang w:val="en-US" w:eastAsia="zh-CN"/>
        </w:rPr>
        <w:t>.</w:t>
      </w:r>
      <w:r>
        <w:rPr>
          <w:rFonts w:hint="eastAsia" w:ascii="Times New Roman" w:hAnsi="Times New Roman"/>
          <w:color w:val="auto"/>
          <w:lang w:val="en-US" w:eastAsia="zh-CN"/>
        </w:rPr>
        <w:t>99t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，用水量</w:t>
      </w:r>
      <w:r>
        <w:rPr>
          <w:rFonts w:hint="eastAsia" w:ascii="Times New Roman" w:hAnsi="Times New Roman"/>
          <w:color w:val="auto"/>
          <w:lang w:val="en-US" w:eastAsia="zh-CN"/>
        </w:rPr>
        <w:t>5103</w:t>
      </w:r>
      <w:r>
        <w:rPr>
          <w:rFonts w:hint="eastAsia"/>
          <w:color w:val="auto"/>
          <w:lang w:val="en-US" w:eastAsia="zh-CN"/>
        </w:rPr>
        <w:t>.</w:t>
      </w:r>
      <w:r>
        <w:rPr>
          <w:rFonts w:hint="eastAsia" w:ascii="Times New Roman" w:hAnsi="Times New Roman"/>
          <w:color w:val="auto"/>
          <w:lang w:val="en-US" w:eastAsia="zh-CN"/>
        </w:rPr>
        <w:t>69m</w:t>
      </w:r>
      <w:r>
        <w:rPr>
          <w:rFonts w:hint="eastAsia"/>
          <w:color w:val="auto"/>
          <w:lang w:val="en-US" w:eastAsia="zh-CN"/>
        </w:rPr>
        <w:t>³/</w:t>
      </w:r>
      <w:r>
        <w:rPr>
          <w:rFonts w:hint="eastAsia" w:ascii="Times New Roman" w:hAnsi="Times New Roman"/>
          <w:color w:val="auto"/>
          <w:lang w:val="en-US" w:eastAsia="zh-CN"/>
        </w:rPr>
        <w:t>a</w:t>
      </w:r>
      <w:r>
        <w:rPr>
          <w:rFonts w:hint="eastAsia"/>
          <w:color w:val="auto"/>
          <w:lang w:val="en-US" w:eastAsia="zh-CN"/>
        </w:rPr>
        <w:t>（部分由系统补水，其余为原料带入），氨水吸收液返回现有工程氨水罐配置脱硫剂使用。剩余</w:t>
      </w:r>
      <w:r>
        <w:rPr>
          <w:rFonts w:hint="eastAsia" w:ascii="Times New Roman" w:hAnsi="Times New Roman"/>
          <w:color w:val="auto"/>
          <w:lang w:val="en-US" w:eastAsia="zh-CN"/>
        </w:rPr>
        <w:t>243</w:t>
      </w:r>
      <w:r>
        <w:rPr>
          <w:rFonts w:hint="eastAsia"/>
          <w:color w:val="auto"/>
          <w:lang w:val="en-US" w:eastAsia="zh-CN"/>
        </w:rPr>
        <w:t>.</w:t>
      </w:r>
      <w:r>
        <w:rPr>
          <w:rFonts w:hint="eastAsia" w:ascii="Times New Roman" w:hAnsi="Times New Roman"/>
          <w:color w:val="auto"/>
          <w:lang w:val="en-US" w:eastAsia="zh-CN"/>
        </w:rPr>
        <w:t>033t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氨进入两级酸吸收，以两级酸吸收</w:t>
      </w:r>
      <w:r>
        <w:rPr>
          <w:rFonts w:hint="eastAsia" w:ascii="Times New Roman" w:hAnsi="Times New Roman"/>
          <w:color w:val="auto"/>
          <w:lang w:val="en-US" w:eastAsia="zh-CN"/>
        </w:rPr>
        <w:t>99</w:t>
      </w:r>
      <w:r>
        <w:rPr>
          <w:rFonts w:hint="eastAsia"/>
          <w:color w:val="auto"/>
          <w:lang w:val="en-US" w:eastAsia="zh-CN"/>
        </w:rPr>
        <w:t>%的处理效率，根据硫酸和氨反应摩尔比，</w:t>
      </w:r>
      <w:r>
        <w:rPr>
          <w:rFonts w:hint="eastAsia" w:ascii="Times New Roman" w:hAnsi="Times New Roman"/>
          <w:color w:val="auto"/>
          <w:lang w:val="en-US" w:eastAsia="zh-CN"/>
        </w:rPr>
        <w:t>240</w:t>
      </w:r>
      <w:r>
        <w:rPr>
          <w:rFonts w:hint="eastAsia" w:ascii="Times New Roman" w:hAnsi="Times New Roman"/>
          <w:color w:val="auto"/>
          <w:lang w:val="en-US" w:eastAsia="zh-CN"/>
        </w:rPr>
        <w:t>.</w:t>
      </w:r>
      <w:r>
        <w:rPr>
          <w:rFonts w:hint="eastAsia" w:ascii="Times New Roman" w:hAnsi="Times New Roman"/>
          <w:color w:val="auto"/>
          <w:lang w:val="en-US" w:eastAsia="zh-CN"/>
        </w:rPr>
        <w:t>603t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氨完全反应可生成硫酸铵</w:t>
      </w:r>
      <w:r>
        <w:rPr>
          <w:rFonts w:hint="eastAsia" w:ascii="Times New Roman" w:hAnsi="Times New Roman"/>
          <w:color w:val="auto"/>
          <w:lang w:val="en-US" w:eastAsia="zh-CN"/>
        </w:rPr>
        <w:t>934</w:t>
      </w:r>
      <w:r>
        <w:rPr>
          <w:rFonts w:hint="eastAsia" w:ascii="Times New Roman" w:hAnsi="Times New Roman"/>
          <w:color w:val="auto"/>
          <w:lang w:val="en-US" w:eastAsia="zh-CN"/>
        </w:rPr>
        <w:t>.</w:t>
      </w:r>
      <w:r>
        <w:rPr>
          <w:rFonts w:hint="eastAsia" w:ascii="Times New Roman" w:hAnsi="Times New Roman"/>
          <w:color w:val="auto"/>
          <w:lang w:val="en-US" w:eastAsia="zh-CN"/>
        </w:rPr>
        <w:t>1t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，可形成</w:t>
      </w:r>
      <w:r>
        <w:rPr>
          <w:rFonts w:hint="eastAsia" w:ascii="Times New Roman" w:hAnsi="Times New Roman"/>
          <w:color w:val="auto"/>
          <w:lang w:val="en-US" w:eastAsia="zh-CN"/>
        </w:rPr>
        <w:t>36</w:t>
      </w:r>
      <w:r>
        <w:rPr>
          <w:rFonts w:hint="eastAsia" w:ascii="Times New Roman" w:hAnsi="Times New Roman"/>
          <w:color w:val="auto"/>
          <w:lang w:val="en-US" w:eastAsia="zh-CN"/>
        </w:rPr>
        <w:t>.</w:t>
      </w:r>
      <w:r>
        <w:rPr>
          <w:rFonts w:hint="eastAsia" w:ascii="Times New Roman" w:hAnsi="Times New Roman"/>
          <w:color w:val="auto"/>
          <w:lang w:val="en-US" w:eastAsia="zh-CN"/>
        </w:rPr>
        <w:t>6</w:t>
      </w:r>
      <w:r>
        <w:rPr>
          <w:rFonts w:hint="eastAsia"/>
          <w:color w:val="auto"/>
          <w:lang w:val="en-US" w:eastAsia="zh-CN"/>
        </w:rPr>
        <w:t>%硫酸铵水溶液</w:t>
      </w:r>
      <w:r>
        <w:rPr>
          <w:rFonts w:hint="eastAsia" w:ascii="Times New Roman" w:hAnsi="Times New Roman"/>
          <w:color w:val="auto"/>
          <w:lang w:val="en-US" w:eastAsia="zh-CN"/>
        </w:rPr>
        <w:t>2552</w:t>
      </w:r>
      <w:r>
        <w:rPr>
          <w:rFonts w:hint="eastAsia" w:ascii="Times New Roman" w:hAnsi="Times New Roman"/>
          <w:color w:val="auto"/>
          <w:lang w:val="en-US" w:eastAsia="zh-CN"/>
        </w:rPr>
        <w:t>.</w:t>
      </w:r>
      <w:r>
        <w:rPr>
          <w:rFonts w:hint="eastAsia" w:ascii="Times New Roman" w:hAnsi="Times New Roman"/>
          <w:color w:val="auto"/>
          <w:lang w:val="en-US" w:eastAsia="zh-CN"/>
        </w:rPr>
        <w:t>2t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。反应方程式如下：</w:t>
      </w:r>
    </w:p>
    <w:p>
      <w:pPr>
        <w:rPr>
          <w:rFonts w:hint="default"/>
          <w:color w:val="auto"/>
          <w:lang w:val="en-US" w:eastAsia="zh-CN"/>
        </w:rPr>
      </w:pPr>
      <m:oMathPara>
        <m:oMath>
          <m:r>
            <m:rPr>
              <m:sty m:val="p"/>
            </m:rPr>
            <w:rPr>
              <w:rFonts w:hint="default" w:ascii="Cambria Math" w:hAnsi="Cambria Math" w:cs="Times New Roman"/>
              <w:color w:val="auto"/>
              <w:sz w:val="24"/>
              <w:lang w:val="en-US" w:eastAsia="zh-CN" w:bidi="ar-SA"/>
            </w:rPr>
            <m:t>2N</m:t>
          </m:r>
          <m:sSub>
            <m:sSubPr>
              <m:ctrlPr>
                <w:rPr>
                  <w:rFonts w:hint="default" w:ascii="Cambria Math" w:hAnsi="Cambria Math" w:cs="Times New Roman"/>
                  <w:color w:val="auto"/>
                  <w:sz w:val="24"/>
                  <w:lang w:val="en-US" w:eastAsia="zh-CN" w:bidi="ar-SA"/>
                </w:rPr>
              </m:ctrlPr>
            </m:sSubPr>
            <m:e>
              <m:r>
                <m:rPr>
                  <m:sty m:val="p"/>
                </m:rPr>
                <w:rPr>
                  <w:rFonts w:hint="default" w:ascii="Cambria Math" w:hAnsi="Cambria Math" w:cs="Times New Roman"/>
                  <w:color w:val="auto"/>
                  <w:sz w:val="24"/>
                  <w:lang w:val="en-US" w:eastAsia="zh-CN" w:bidi="ar-SA"/>
                </w:rPr>
                <m:t>H</m:t>
              </m:r>
              <m:ctrlPr>
                <w:rPr>
                  <w:rFonts w:hint="default" w:ascii="Cambria Math" w:hAnsi="Cambria Math" w:cs="Times New Roman"/>
                  <w:color w:val="auto"/>
                  <w:sz w:val="24"/>
                  <w:lang w:val="en-US" w:eastAsia="zh-CN" w:bidi="ar-SA"/>
                </w:rPr>
              </m:ctrlPr>
            </m:e>
            <m:sub>
              <m:r>
                <m:rPr>
                  <m:sty m:val="p"/>
                </m:rPr>
                <w:rPr>
                  <w:rFonts w:hint="default" w:ascii="Cambria Math" w:hAnsi="Cambria Math" w:cs="Times New Roman"/>
                  <w:color w:val="auto"/>
                  <w:sz w:val="24"/>
                  <w:lang w:val="en-US" w:eastAsia="zh-CN" w:bidi="ar-SA"/>
                </w:rPr>
                <m:t>3</m:t>
              </m:r>
              <m:ctrlPr>
                <w:rPr>
                  <w:rFonts w:hint="default" w:ascii="Cambria Math" w:hAnsi="Cambria Math" w:cs="Times New Roman"/>
                  <w:color w:val="auto"/>
                  <w:sz w:val="24"/>
                  <w:lang w:val="en-US" w:eastAsia="zh-CN" w:bidi="ar-SA"/>
                </w:rPr>
              </m:ctrlPr>
            </m:sub>
          </m:sSub>
          <m:r>
            <m:rPr>
              <m:sty m:val="p"/>
            </m:rPr>
            <w:rPr>
              <w:rFonts w:hint="default" w:ascii="Cambria Math" w:hAnsi="Cambria Math" w:cs="Times New Roman"/>
              <w:color w:val="auto"/>
              <w:sz w:val="24"/>
              <w:lang w:val="en-US" w:eastAsia="zh-CN" w:bidi="ar-SA"/>
            </w:rPr>
            <m:t>+</m:t>
          </m:r>
          <m:sSub>
            <m:sSubPr>
              <m:ctrlPr>
                <w:rPr>
                  <w:rFonts w:hint="default" w:ascii="Cambria Math" w:hAnsi="Cambria Math" w:cs="Times New Roman"/>
                  <w:color w:val="auto"/>
                  <w:sz w:val="24"/>
                  <w:lang w:val="en-US" w:eastAsia="zh-CN" w:bidi="ar-SA"/>
                </w:rPr>
              </m:ctrlPr>
            </m:sSubPr>
            <m:e>
              <m:r>
                <m:rPr>
                  <m:sty m:val="p"/>
                </m:rPr>
                <w:rPr>
                  <w:rFonts w:hint="default" w:ascii="Cambria Math" w:hAnsi="Cambria Math" w:cs="Times New Roman"/>
                  <w:color w:val="auto"/>
                  <w:sz w:val="24"/>
                  <w:lang w:val="en-US" w:eastAsia="zh-CN" w:bidi="ar-SA"/>
                </w:rPr>
                <m:t>H</m:t>
              </m:r>
              <m:ctrlPr>
                <w:rPr>
                  <w:rFonts w:hint="default" w:ascii="Cambria Math" w:hAnsi="Cambria Math" w:cs="Times New Roman"/>
                  <w:color w:val="auto"/>
                  <w:sz w:val="24"/>
                  <w:lang w:val="en-US" w:eastAsia="zh-CN" w:bidi="ar-SA"/>
                </w:rPr>
              </m:ctrlPr>
            </m:e>
            <m:sub>
              <m:r>
                <m:rPr>
                  <m:sty m:val="p"/>
                </m:rPr>
                <w:rPr>
                  <w:rFonts w:hint="default" w:ascii="Cambria Math" w:hAnsi="Cambria Math" w:cs="Times New Roman"/>
                  <w:color w:val="auto"/>
                  <w:sz w:val="24"/>
                  <w:lang w:val="en-US" w:eastAsia="zh-CN" w:bidi="ar-SA"/>
                </w:rPr>
                <m:t>2</m:t>
              </m:r>
              <m:ctrlPr>
                <w:rPr>
                  <w:rFonts w:hint="default" w:ascii="Cambria Math" w:hAnsi="Cambria Math" w:cs="Times New Roman"/>
                  <w:color w:val="auto"/>
                  <w:sz w:val="24"/>
                  <w:lang w:val="en-US" w:eastAsia="zh-CN" w:bidi="ar-SA"/>
                </w:rPr>
              </m:ctrlPr>
            </m:sub>
          </m:sSub>
          <m:r>
            <m:rPr>
              <m:sty m:val="p"/>
            </m:rPr>
            <w:rPr>
              <w:rFonts w:hint="default" w:ascii="Cambria Math" w:hAnsi="Cambria Math" w:cs="Times New Roman"/>
              <w:color w:val="auto"/>
              <w:sz w:val="24"/>
              <w:lang w:val="en-US" w:eastAsia="zh-CN" w:bidi="ar-SA"/>
            </w:rPr>
            <m:t>S</m:t>
          </m:r>
          <m:sSub>
            <m:sSubPr>
              <m:ctrlPr>
                <w:rPr>
                  <w:rFonts w:hint="default" w:ascii="Cambria Math" w:hAnsi="Cambria Math" w:cs="Times New Roman"/>
                  <w:color w:val="auto"/>
                  <w:sz w:val="24"/>
                  <w:lang w:val="en-US" w:eastAsia="zh-CN" w:bidi="ar-SA"/>
                </w:rPr>
              </m:ctrlPr>
            </m:sSubPr>
            <m:e>
              <m:r>
                <m:rPr>
                  <m:sty m:val="p"/>
                </m:rPr>
                <w:rPr>
                  <w:rFonts w:hint="default" w:ascii="Cambria Math" w:hAnsi="Cambria Math" w:cs="Times New Roman"/>
                  <w:color w:val="auto"/>
                  <w:sz w:val="24"/>
                  <w:lang w:val="en-US" w:eastAsia="zh-CN" w:bidi="ar-SA"/>
                </w:rPr>
                <m:t>O</m:t>
              </m:r>
              <m:ctrlPr>
                <w:rPr>
                  <w:rFonts w:hint="default" w:ascii="Cambria Math" w:hAnsi="Cambria Math" w:cs="Times New Roman"/>
                  <w:color w:val="auto"/>
                  <w:sz w:val="24"/>
                  <w:lang w:val="en-US" w:eastAsia="zh-CN" w:bidi="ar-SA"/>
                </w:rPr>
              </m:ctrlPr>
            </m:e>
            <m:sub>
              <m:r>
                <m:rPr>
                  <m:sty m:val="p"/>
                </m:rPr>
                <w:rPr>
                  <w:rFonts w:hint="default" w:ascii="Cambria Math" w:hAnsi="Cambria Math" w:cs="Times New Roman"/>
                  <w:color w:val="auto"/>
                  <w:sz w:val="24"/>
                  <w:lang w:val="en-US" w:eastAsia="zh-CN" w:bidi="ar-SA"/>
                </w:rPr>
                <m:t>4</m:t>
              </m:r>
              <m:ctrlPr>
                <w:rPr>
                  <w:rFonts w:hint="default" w:ascii="Cambria Math" w:hAnsi="Cambria Math" w:cs="Times New Roman"/>
                  <w:color w:val="auto"/>
                  <w:sz w:val="24"/>
                  <w:lang w:val="en-US" w:eastAsia="zh-CN" w:bidi="ar-SA"/>
                </w:rPr>
              </m:ctrlPr>
            </m:sub>
          </m:sSub>
          <m:r>
            <m:rPr>
              <m:sty m:val="p"/>
            </m:rPr>
            <w:rPr>
              <w:rFonts w:hint="default" w:ascii="Cambria Math" w:hAnsi="Cambria Math" w:cs="Cambria Math"/>
              <w:color w:val="auto"/>
              <w:sz w:val="24"/>
              <w:lang w:val="en-US" w:eastAsia="zh-CN" w:bidi="ar-SA"/>
            </w:rPr>
            <m:t>→</m:t>
          </m:r>
          <m:sSub>
            <m:sSubPr>
              <m:ctrlPr>
                <w:rPr>
                  <w:rFonts w:hint="default" w:ascii="Cambria Math" w:hAnsi="Cambria Math" w:cs="Cambria Math"/>
                  <w:color w:val="auto"/>
                  <w:sz w:val="24"/>
                  <w:lang w:val="en-US" w:eastAsia="zh-CN" w:bidi="ar-SA"/>
                </w:rPr>
              </m:ctrlPr>
            </m:sSubPr>
            <m:e>
              <m:d>
                <m:dPr>
                  <m:ctrlPr>
                    <w:rPr>
                      <w:rFonts w:hint="default" w:ascii="Cambria Math" w:hAnsi="Cambria Math" w:cs="Cambria Math"/>
                      <w:color w:val="auto"/>
                      <w:sz w:val="24"/>
                      <w:lang w:val="en-US" w:eastAsia="zh-CN" w:bidi="ar-SA"/>
                    </w:rPr>
                  </m:ctrlPr>
                </m:dPr>
                <m:e>
                  <m:r>
                    <m:rPr>
                      <m:sty m:val="p"/>
                    </m:rPr>
                    <w:rPr>
                      <w:rFonts w:hint="default" w:ascii="Cambria Math" w:hAnsi="Cambria Math" w:cs="Cambria Math"/>
                      <w:color w:val="auto"/>
                      <w:sz w:val="24"/>
                      <w:lang w:val="en-US" w:eastAsia="zh-CN" w:bidi="ar-SA"/>
                    </w:rPr>
                    <m:t>N</m:t>
                  </m:r>
                  <m:sSub>
                    <m:sSubPr>
                      <m:ctrlPr>
                        <w:rPr>
                          <w:rFonts w:hint="default" w:ascii="Cambria Math" w:hAnsi="Cambria Math" w:cs="Cambria Math"/>
                          <w:color w:val="auto"/>
                          <w:sz w:val="24"/>
                          <w:lang w:val="en-US" w:eastAsia="zh-CN" w:bidi="ar-SA"/>
                        </w:rPr>
                      </m:ctrlPr>
                    </m:sSubPr>
                    <m:e>
                      <m:r>
                        <m:rPr>
                          <m:sty m:val="p"/>
                        </m:rPr>
                        <w:rPr>
                          <w:rFonts w:hint="default" w:ascii="Cambria Math" w:hAnsi="Cambria Math" w:cs="Cambria Math"/>
                          <w:color w:val="auto"/>
                          <w:sz w:val="24"/>
                          <w:lang w:val="en-US" w:eastAsia="zh-CN" w:bidi="ar-SA"/>
                        </w:rPr>
                        <m:t>H</m:t>
                      </m:r>
                      <m:ctrlPr>
                        <w:rPr>
                          <w:rFonts w:hint="default" w:ascii="Cambria Math" w:hAnsi="Cambria Math" w:cs="Cambria Math"/>
                          <w:color w:val="auto"/>
                          <w:sz w:val="24"/>
                          <w:lang w:val="en-US" w:eastAsia="zh-CN" w:bidi="ar-SA"/>
                        </w:rPr>
                      </m:ctrlPr>
                    </m:e>
                    <m:sub>
                      <m:r>
                        <m:rPr>
                          <m:sty m:val="p"/>
                        </m:rPr>
                        <w:rPr>
                          <w:rFonts w:hint="default" w:ascii="Cambria Math" w:hAnsi="Cambria Math" w:cs="Cambria Math"/>
                          <w:color w:val="auto"/>
                          <w:sz w:val="24"/>
                          <w:lang w:val="en-US" w:eastAsia="zh-CN" w:bidi="ar-SA"/>
                        </w:rPr>
                        <m:t>4</m:t>
                      </m:r>
                      <m:ctrlPr>
                        <w:rPr>
                          <w:rFonts w:hint="default" w:ascii="Cambria Math" w:hAnsi="Cambria Math" w:cs="Cambria Math"/>
                          <w:color w:val="auto"/>
                          <w:sz w:val="24"/>
                          <w:lang w:val="en-US" w:eastAsia="zh-CN" w:bidi="ar-SA"/>
                        </w:rPr>
                      </m:ctrlPr>
                    </m:sub>
                  </m:sSub>
                  <m:ctrlPr>
                    <w:rPr>
                      <w:rFonts w:hint="default" w:ascii="Cambria Math" w:hAnsi="Cambria Math" w:cs="Cambria Math"/>
                      <w:color w:val="auto"/>
                      <w:sz w:val="24"/>
                      <w:lang w:val="en-US" w:eastAsia="zh-CN" w:bidi="ar-SA"/>
                    </w:rPr>
                  </m:ctrlPr>
                </m:e>
              </m:d>
              <m:ctrlPr>
                <w:rPr>
                  <w:rFonts w:hint="default" w:ascii="Cambria Math" w:hAnsi="Cambria Math" w:cs="Cambria Math"/>
                  <w:color w:val="auto"/>
                  <w:sz w:val="24"/>
                  <w:lang w:val="en-US" w:eastAsia="zh-CN" w:bidi="ar-SA"/>
                </w:rPr>
              </m:ctrlPr>
            </m:e>
            <m:sub>
              <m:r>
                <m:rPr>
                  <m:sty m:val="p"/>
                </m:rPr>
                <w:rPr>
                  <w:rFonts w:hint="default" w:ascii="Cambria Math" w:hAnsi="Cambria Math" w:cs="Cambria Math"/>
                  <w:color w:val="auto"/>
                  <w:sz w:val="24"/>
                  <w:lang w:val="en-US" w:eastAsia="zh-CN" w:bidi="ar-SA"/>
                </w:rPr>
                <m:t>2</m:t>
              </m:r>
              <m:ctrlPr>
                <w:rPr>
                  <w:rFonts w:hint="default" w:ascii="Cambria Math" w:hAnsi="Cambria Math" w:cs="Cambria Math"/>
                  <w:color w:val="auto"/>
                  <w:sz w:val="24"/>
                  <w:lang w:val="en-US" w:eastAsia="zh-CN" w:bidi="ar-SA"/>
                </w:rPr>
              </m:ctrlPr>
            </m:sub>
          </m:sSub>
          <m:r>
            <m:rPr>
              <m:sty m:val="p"/>
            </m:rPr>
            <w:rPr>
              <w:rFonts w:hint="default" w:ascii="Cambria Math" w:hAnsi="Cambria Math" w:cs="Cambria Math"/>
              <w:color w:val="auto"/>
              <w:sz w:val="24"/>
              <w:lang w:val="en-US" w:eastAsia="zh-CN" w:bidi="ar-SA"/>
            </w:rPr>
            <m:t>S</m:t>
          </m:r>
          <m:sSub>
            <m:sSubPr>
              <m:ctrlPr>
                <w:rPr>
                  <w:rFonts w:hint="default" w:ascii="Cambria Math" w:hAnsi="Cambria Math" w:cs="Cambria Math"/>
                  <w:color w:val="auto"/>
                  <w:sz w:val="24"/>
                  <w:lang w:val="en-US" w:eastAsia="zh-CN" w:bidi="ar-SA"/>
                </w:rPr>
              </m:ctrlPr>
            </m:sSubPr>
            <m:e>
              <m:r>
                <m:rPr>
                  <m:sty m:val="p"/>
                </m:rPr>
                <w:rPr>
                  <w:rFonts w:hint="default" w:ascii="Cambria Math" w:hAnsi="Cambria Math" w:cs="Cambria Math"/>
                  <w:color w:val="auto"/>
                  <w:sz w:val="24"/>
                  <w:lang w:val="en-US" w:eastAsia="zh-CN" w:bidi="ar-SA"/>
                </w:rPr>
                <m:t>O</m:t>
              </m:r>
              <m:ctrlPr>
                <w:rPr>
                  <w:rFonts w:hint="default" w:ascii="Cambria Math" w:hAnsi="Cambria Math" w:cs="Cambria Math"/>
                  <w:color w:val="auto"/>
                  <w:sz w:val="24"/>
                  <w:lang w:val="en-US" w:eastAsia="zh-CN" w:bidi="ar-SA"/>
                </w:rPr>
              </m:ctrlPr>
            </m:e>
            <m:sub>
              <m:r>
                <m:rPr>
                  <m:sty m:val="p"/>
                </m:rPr>
                <w:rPr>
                  <w:rFonts w:hint="default" w:ascii="Cambria Math" w:hAnsi="Cambria Math" w:cs="Cambria Math"/>
                  <w:color w:val="auto"/>
                  <w:sz w:val="24"/>
                  <w:lang w:val="en-US" w:eastAsia="zh-CN" w:bidi="ar-SA"/>
                </w:rPr>
                <m:t>4</m:t>
              </m:r>
              <m:ctrlPr>
                <w:rPr>
                  <w:rFonts w:hint="default" w:ascii="Cambria Math" w:hAnsi="Cambria Math" w:cs="Cambria Math"/>
                  <w:color w:val="auto"/>
                  <w:sz w:val="24"/>
                  <w:lang w:val="en-US" w:eastAsia="zh-CN" w:bidi="ar-SA"/>
                </w:rPr>
              </m:ctrlPr>
            </m:sub>
          </m:sSub>
        </m:oMath>
      </m:oMathPara>
    </w:p>
    <w:p>
      <w:pPr>
        <w:rPr>
          <w:rFonts w:hint="default"/>
          <w:color w:val="auto"/>
          <w:lang w:val="en-US" w:eastAsia="zh-CN"/>
        </w:rPr>
      </w:pPr>
      <w:r>
        <w:rPr>
          <w:rFonts w:hint="eastAsia"/>
          <w:color w:val="auto"/>
          <w:lang w:val="en-US" w:eastAsia="zh-CN"/>
        </w:rPr>
        <w:t>现有工程工艺中使用硫酸铵浓度为</w:t>
      </w:r>
      <w:r>
        <w:rPr>
          <w:rFonts w:hint="eastAsia" w:ascii="Times New Roman" w:hAnsi="Times New Roman"/>
          <w:color w:val="auto"/>
          <w:lang w:val="en-US" w:eastAsia="zh-CN"/>
        </w:rPr>
        <w:t>40</w:t>
      </w:r>
      <w:r>
        <w:rPr>
          <w:rFonts w:hint="eastAsia"/>
          <w:color w:val="auto"/>
          <w:lang w:val="en-US" w:eastAsia="zh-CN"/>
        </w:rPr>
        <w:t>%，本项目的</w:t>
      </w:r>
      <w:r>
        <w:rPr>
          <w:rFonts w:hint="eastAsia" w:ascii="Times New Roman" w:hAnsi="Times New Roman"/>
          <w:color w:val="auto"/>
          <w:lang w:val="en-US" w:eastAsia="zh-CN"/>
        </w:rPr>
        <w:t>36</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%硫酸铵基本能满足需要，该部分硫酸铵水溶液返回发酵车间的发酵工艺使用，不外排。本项目配置</w:t>
      </w:r>
      <w:r>
        <w:rPr>
          <w:rFonts w:hint="eastAsia" w:ascii="Times New Roman" w:hAnsi="Times New Roman"/>
          <w:color w:val="auto"/>
          <w:lang w:val="en-US" w:eastAsia="zh-CN"/>
        </w:rPr>
        <w:t>30</w:t>
      </w:r>
      <w:r>
        <w:rPr>
          <w:rFonts w:hint="eastAsia"/>
          <w:color w:val="auto"/>
          <w:lang w:val="en-US" w:eastAsia="zh-CN"/>
        </w:rPr>
        <w:t>%硫酸溶液使用水量</w:t>
      </w:r>
      <w:r>
        <w:rPr>
          <w:rFonts w:hint="eastAsia" w:ascii="Times New Roman" w:hAnsi="Times New Roman"/>
          <w:color w:val="auto"/>
          <w:lang w:val="en-US" w:eastAsia="zh-CN"/>
        </w:rPr>
        <w:t>1618</w:t>
      </w:r>
      <w:r>
        <w:rPr>
          <w:rFonts w:hint="eastAsia" w:ascii="Times New Roman" w:hAnsi="Times New Roman"/>
          <w:color w:val="auto"/>
          <w:lang w:val="en-US" w:eastAsia="zh-CN"/>
        </w:rPr>
        <w:t>.</w:t>
      </w:r>
      <w:r>
        <w:rPr>
          <w:rFonts w:hint="eastAsia" w:ascii="Times New Roman" w:hAnsi="Times New Roman"/>
          <w:color w:val="auto"/>
          <w:lang w:val="en-US" w:eastAsia="zh-CN"/>
        </w:rPr>
        <w:t>1m</w:t>
      </w:r>
      <w:r>
        <w:rPr>
          <w:rFonts w:hint="eastAsia"/>
          <w:color w:val="auto"/>
          <w:lang w:val="en-US" w:eastAsia="zh-CN"/>
        </w:rPr>
        <w:t>³/</w:t>
      </w:r>
      <w:r>
        <w:rPr>
          <w:rFonts w:hint="eastAsia" w:ascii="Times New Roman" w:hAnsi="Times New Roman"/>
          <w:color w:val="auto"/>
          <w:lang w:val="en-US" w:eastAsia="zh-CN"/>
        </w:rPr>
        <w:t>a</w:t>
      </w:r>
      <w:r>
        <w:rPr>
          <w:rFonts w:hint="eastAsia"/>
          <w:color w:val="auto"/>
          <w:lang w:val="en-US" w:eastAsia="zh-CN"/>
        </w:rPr>
        <w:t>，使用</w:t>
      </w:r>
      <w:r>
        <w:rPr>
          <w:rFonts w:hint="eastAsia" w:ascii="Times New Roman" w:hAnsi="Times New Roman"/>
          <w:color w:val="auto"/>
          <w:lang w:val="en-US" w:eastAsia="zh-CN"/>
        </w:rPr>
        <w:t>98</w:t>
      </w:r>
      <w:r>
        <w:rPr>
          <w:rFonts w:hint="eastAsia"/>
          <w:color w:val="auto"/>
          <w:lang w:val="en-US" w:eastAsia="zh-CN"/>
        </w:rPr>
        <w:t>%的硫酸</w:t>
      </w:r>
      <w:r>
        <w:rPr>
          <w:rFonts w:hint="eastAsia" w:ascii="Times New Roman" w:hAnsi="Times New Roman"/>
          <w:color w:val="auto"/>
          <w:lang w:val="en-US" w:eastAsia="zh-CN"/>
        </w:rPr>
        <w:t>707</w:t>
      </w:r>
      <w:r>
        <w:rPr>
          <w:rFonts w:hint="eastAsia" w:ascii="Times New Roman" w:hAnsi="Times New Roman"/>
          <w:color w:val="auto"/>
          <w:lang w:val="en-US" w:eastAsia="zh-CN"/>
        </w:rPr>
        <w:t>.</w:t>
      </w:r>
      <w:r>
        <w:rPr>
          <w:rFonts w:hint="eastAsia" w:ascii="Times New Roman" w:hAnsi="Times New Roman"/>
          <w:color w:val="auto"/>
          <w:lang w:val="en-US" w:eastAsia="zh-CN"/>
        </w:rPr>
        <w:t>65t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本项目吸收塔（包括一级水洗+二级酸吸收塔）总循环量为</w:t>
      </w:r>
      <w:r>
        <w:rPr>
          <w:rFonts w:hint="eastAsia" w:ascii="Times New Roman" w:hAnsi="Times New Roman"/>
          <w:color w:val="auto"/>
          <w:lang w:val="en-US" w:eastAsia="zh-CN"/>
        </w:rPr>
        <w:t>800m</w:t>
      </w:r>
      <w:r>
        <w:rPr>
          <w:rFonts w:hint="eastAsia"/>
          <w:color w:val="auto"/>
          <w:lang w:val="en-US" w:eastAsia="zh-CN"/>
        </w:rPr>
        <w:t>³/</w:t>
      </w:r>
      <w:r>
        <w:rPr>
          <w:rFonts w:hint="eastAsia" w:ascii="Times New Roman" w:hAnsi="Times New Roman"/>
          <w:color w:val="auto"/>
          <w:lang w:val="en-US" w:eastAsia="zh-CN"/>
        </w:rPr>
        <w:t>d</w:t>
      </w:r>
      <w:r>
        <w:rPr>
          <w:rFonts w:hint="eastAsia"/>
          <w:color w:val="auto"/>
          <w:lang w:val="en-US" w:eastAsia="zh-CN"/>
        </w:rPr>
        <w:t>（包括一级水洗塔</w:t>
      </w:r>
      <w:r>
        <w:rPr>
          <w:rFonts w:hint="eastAsia" w:ascii="Times New Roman" w:hAnsi="Times New Roman"/>
          <w:color w:val="auto"/>
          <w:lang w:val="en-US" w:eastAsia="zh-CN"/>
        </w:rPr>
        <w:t>400m</w:t>
      </w:r>
      <w:r>
        <w:rPr>
          <w:rFonts w:hint="eastAsia"/>
          <w:color w:val="auto"/>
          <w:lang w:val="en-US" w:eastAsia="zh-CN"/>
        </w:rPr>
        <w:t>³/</w:t>
      </w:r>
      <w:r>
        <w:rPr>
          <w:rFonts w:hint="eastAsia" w:ascii="Times New Roman" w:hAnsi="Times New Roman"/>
          <w:color w:val="auto"/>
          <w:lang w:val="en-US" w:eastAsia="zh-CN"/>
        </w:rPr>
        <w:t>d</w:t>
      </w:r>
      <w:r>
        <w:rPr>
          <w:rFonts w:hint="eastAsia"/>
          <w:color w:val="auto"/>
          <w:lang w:val="en-US" w:eastAsia="zh-CN"/>
        </w:rPr>
        <w:t>，二级酸吸收塔</w:t>
      </w:r>
      <w:r>
        <w:rPr>
          <w:rFonts w:hint="eastAsia" w:ascii="Times New Roman" w:hAnsi="Times New Roman"/>
          <w:color w:val="auto"/>
          <w:lang w:val="en-US" w:eastAsia="zh-CN"/>
        </w:rPr>
        <w:t>400m</w:t>
      </w:r>
      <w:r>
        <w:rPr>
          <w:rFonts w:hint="eastAsia"/>
          <w:color w:val="auto"/>
          <w:lang w:val="en-US" w:eastAsia="zh-CN"/>
        </w:rPr>
        <w:t>³/</w:t>
      </w:r>
      <w:r>
        <w:rPr>
          <w:rFonts w:hint="eastAsia" w:ascii="Times New Roman" w:hAnsi="Times New Roman"/>
          <w:color w:val="auto"/>
          <w:lang w:val="en-US" w:eastAsia="zh-CN"/>
        </w:rPr>
        <w:t>d</w:t>
      </w:r>
      <w:r>
        <w:rPr>
          <w:rFonts w:hint="eastAsia"/>
          <w:color w:val="auto"/>
          <w:lang w:val="en-US" w:eastAsia="zh-CN"/>
        </w:rPr>
        <w:t>）。吸收塔的循环损失参考《工业循环冷却水设计规范》（</w:t>
      </w:r>
      <w:r>
        <w:rPr>
          <w:rFonts w:hint="eastAsia" w:ascii="Times New Roman" w:hAnsi="Times New Roman"/>
          <w:color w:val="auto"/>
          <w:lang w:val="en-US" w:eastAsia="zh-CN"/>
        </w:rPr>
        <w:t>GB</w:t>
      </w:r>
      <w:r>
        <w:rPr>
          <w:rFonts w:hint="eastAsia"/>
          <w:color w:val="auto"/>
          <w:lang w:val="en-US" w:eastAsia="zh-CN"/>
        </w:rPr>
        <w:t>/</w:t>
      </w:r>
      <w:r>
        <w:rPr>
          <w:rFonts w:hint="eastAsia" w:ascii="Times New Roman" w:hAnsi="Times New Roman"/>
          <w:color w:val="auto"/>
          <w:lang w:val="en-US" w:eastAsia="zh-CN"/>
        </w:rPr>
        <w:t>T50102</w:t>
      </w:r>
      <w:r>
        <w:rPr>
          <w:rFonts w:hint="eastAsia"/>
          <w:color w:val="auto"/>
          <w:lang w:val="en-US" w:eastAsia="zh-CN"/>
        </w:rPr>
        <w:t>-</w:t>
      </w:r>
      <w:r>
        <w:rPr>
          <w:rFonts w:hint="eastAsia" w:ascii="Times New Roman" w:hAnsi="Times New Roman"/>
          <w:color w:val="auto"/>
          <w:lang w:val="en-US" w:eastAsia="zh-CN"/>
        </w:rPr>
        <w:t>2014</w:t>
      </w:r>
      <w:r>
        <w:rPr>
          <w:rFonts w:hint="eastAsia"/>
          <w:color w:val="auto"/>
          <w:lang w:val="en-US" w:eastAsia="zh-CN"/>
        </w:rPr>
        <w:t>）表</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21</w:t>
      </w:r>
      <w:r>
        <w:rPr>
          <w:rFonts w:hint="eastAsia"/>
          <w:color w:val="auto"/>
          <w:lang w:val="en-US" w:eastAsia="zh-CN"/>
        </w:rPr>
        <w:t>的风吹损失水率（有收水器的机械通风失水率为</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10</w:t>
      </w:r>
      <w:r>
        <w:rPr>
          <w:rFonts w:hint="eastAsia"/>
          <w:color w:val="auto"/>
          <w:lang w:val="en-US" w:eastAsia="zh-CN"/>
        </w:rPr>
        <w:t>%），则公式如下：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rFonts w:hint="eastAsia"/>
          <w:color w:val="auto"/>
          <w:lang w:val="en-US" w:eastAsia="zh-CN"/>
        </w:rPr>
        <w:t>风吹损失=循环量×</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color w:val="auto"/>
          <w:lang w:val="en-US" w:eastAsia="zh-CN"/>
        </w:rPr>
        <w:t>由于两塔串联在一起，因此本次评价仅计算二级酸吸收塔的损失。二级酸吸收塔风吹损失</w:t>
      </w:r>
      <w:r>
        <w:rPr>
          <w:rFonts w:hint="eastAsia" w:ascii="Times New Roman" w:hAnsi="Times New Roman"/>
          <w:color w:val="auto"/>
          <w:lang w:val="en-US" w:eastAsia="zh-CN"/>
        </w:rPr>
        <w:t>C</w:t>
      </w:r>
      <w:r>
        <w:rPr>
          <w:rFonts w:hint="eastAsia"/>
          <w:color w:val="auto"/>
          <w:lang w:val="en-US" w:eastAsia="zh-CN"/>
        </w:rPr>
        <w:t>：</w:t>
      </w:r>
      <w:r>
        <w:rPr>
          <w:rFonts w:hint="eastAsia" w:ascii="Times New Roman" w:hAnsi="Times New Roman"/>
          <w:color w:val="auto"/>
          <w:lang w:val="en-US" w:eastAsia="zh-CN"/>
        </w:rPr>
        <w:t>0</w:t>
      </w:r>
      <w:r>
        <w:rPr>
          <w:rFonts w:hint="eastAsia" w:ascii="Times New Roman"/>
          <w:color w:val="auto"/>
          <w:lang w:val="en-US" w:eastAsia="zh-CN"/>
        </w:rPr>
        <w:t>.</w:t>
      </w:r>
      <w:r>
        <w:rPr>
          <w:rFonts w:hint="eastAsia" w:ascii="Times New Roman" w:hAnsi="Times New Roman"/>
          <w:color w:val="auto"/>
          <w:lang w:val="en-US" w:eastAsia="zh-CN"/>
        </w:rPr>
        <w:t>016m</w:t>
      </w:r>
      <w:r>
        <w:rPr>
          <w:rFonts w:hint="eastAsia"/>
          <w:color w:val="auto"/>
          <w:lang w:val="en-US" w:eastAsia="zh-CN"/>
        </w:rPr>
        <w:t>³/</w:t>
      </w:r>
      <w:r>
        <w:rPr>
          <w:rFonts w:hint="eastAsia" w:ascii="Times New Roman" w:hAnsi="Times New Roman"/>
          <w:color w:val="auto"/>
          <w:lang w:val="en-US" w:eastAsia="zh-CN"/>
        </w:rPr>
        <w:t>h</w:t>
      </w:r>
      <w:r>
        <w:rPr>
          <w:rFonts w:hint="eastAsia"/>
          <w:color w:val="auto"/>
          <w:lang w:val="en-US" w:eastAsia="zh-CN"/>
        </w:rPr>
        <w:t>。运行过程循环损失水量共计</w:t>
      </w:r>
      <w:r>
        <w:rPr>
          <w:rFonts w:hint="eastAsia" w:ascii="Times New Roman" w:hAnsi="Times New Roman"/>
          <w:color w:val="auto"/>
          <w:lang w:val="en-US" w:eastAsia="zh-CN"/>
        </w:rPr>
        <w:t>133m</w:t>
      </w:r>
      <w:r>
        <w:rPr>
          <w:rFonts w:hint="eastAsia"/>
          <w:color w:val="auto"/>
          <w:lang w:val="en-US" w:eastAsia="zh-CN"/>
        </w:rPr>
        <w:t>³/</w:t>
      </w:r>
      <w:r>
        <w:rPr>
          <w:rFonts w:hint="eastAsia" w:ascii="Times New Roman" w:hAnsi="Times New Roman"/>
          <w:color w:val="auto"/>
          <w:lang w:val="en-US" w:eastAsia="zh-CN"/>
        </w:rPr>
        <w:t>a</w:t>
      </w:r>
      <w:r>
        <w:rPr>
          <w:rFonts w:hint="eastAsia" w:ascii="Times New Roman" w:hAnsi="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本项目</w:t>
      </w:r>
      <w:r>
        <w:rPr>
          <w:rFonts w:hint="eastAsia"/>
          <w:lang w:val="en-US" w:eastAsia="zh-CN"/>
        </w:rPr>
        <w:t>吸收塔运行过程损失水量</w:t>
      </w:r>
      <w:r>
        <w:rPr>
          <w:rFonts w:hint="eastAsia" w:ascii="Times New Roman" w:hAnsi="Times New Roman"/>
          <w:lang w:val="en-US" w:eastAsia="zh-CN"/>
        </w:rPr>
        <w:t>133m</w:t>
      </w:r>
      <w:r>
        <w:rPr>
          <w:rFonts w:hint="eastAsia"/>
          <w:lang w:val="en-US" w:eastAsia="zh-CN"/>
        </w:rPr>
        <w:t>³/</w:t>
      </w:r>
      <w:r>
        <w:rPr>
          <w:rFonts w:hint="eastAsia" w:ascii="Times New Roman" w:hAnsi="Times New Roman"/>
          <w:lang w:val="en-US" w:eastAsia="zh-CN"/>
        </w:rPr>
        <w:t>a</w:t>
      </w:r>
      <w:r>
        <w:rPr>
          <w:rFonts w:hint="eastAsia"/>
          <w:lang w:val="en-US" w:eastAsia="zh-CN"/>
        </w:rPr>
        <w:t>，一级水吸收塔需要补水</w:t>
      </w:r>
      <w:r>
        <w:rPr>
          <w:rFonts w:hint="eastAsia" w:ascii="Times New Roman" w:hAnsi="Times New Roman"/>
          <w:lang w:val="en-US" w:eastAsia="zh-CN"/>
        </w:rPr>
        <w:t>2558</w:t>
      </w:r>
      <w:r>
        <w:rPr>
          <w:rFonts w:hint="eastAsia"/>
          <w:lang w:val="en-US" w:eastAsia="zh-CN"/>
        </w:rPr>
        <w:t>.</w:t>
      </w:r>
      <w:r>
        <w:rPr>
          <w:rFonts w:hint="eastAsia" w:ascii="Times New Roman" w:hAnsi="Times New Roman"/>
          <w:lang w:val="en-US" w:eastAsia="zh-CN"/>
        </w:rPr>
        <w:t>45m</w:t>
      </w:r>
      <w:r>
        <w:rPr>
          <w:rFonts w:hint="eastAsia"/>
          <w:lang w:val="en-US" w:eastAsia="zh-CN"/>
        </w:rPr>
        <w:t>³/</w:t>
      </w:r>
      <w:r>
        <w:rPr>
          <w:rFonts w:hint="eastAsia" w:ascii="Times New Roman" w:hAnsi="Times New Roman"/>
          <w:lang w:val="en-US" w:eastAsia="zh-CN"/>
        </w:rPr>
        <w:t>a</w:t>
      </w:r>
      <w:r>
        <w:rPr>
          <w:rFonts w:hint="eastAsia"/>
          <w:lang w:val="en-US" w:eastAsia="zh-CN"/>
        </w:rPr>
        <w:t>，</w:t>
      </w:r>
      <w:r>
        <w:rPr>
          <w:rFonts w:hint="eastAsia" w:ascii="Times New Roman" w:hAnsi="Times New Roman"/>
          <w:lang w:val="en-US" w:eastAsia="zh-CN"/>
        </w:rPr>
        <w:t>30</w:t>
      </w:r>
      <w:r>
        <w:rPr>
          <w:rFonts w:hint="eastAsia"/>
          <w:lang w:val="en-US" w:eastAsia="zh-CN"/>
        </w:rPr>
        <w:t>%硫酸溶液配制用水</w:t>
      </w:r>
      <w:r>
        <w:rPr>
          <w:rFonts w:hint="eastAsia" w:ascii="Times New Roman" w:hAnsi="Times New Roman"/>
          <w:lang w:val="en-US" w:eastAsia="zh-CN"/>
        </w:rPr>
        <w:t>1634</w:t>
      </w:r>
      <w:r>
        <w:rPr>
          <w:rFonts w:hint="eastAsia"/>
          <w:lang w:val="en-US" w:eastAsia="zh-CN"/>
        </w:rPr>
        <w:t>.</w:t>
      </w:r>
      <w:r>
        <w:rPr>
          <w:rFonts w:hint="eastAsia" w:ascii="Times New Roman" w:hAnsi="Times New Roman"/>
          <w:lang w:val="en-US" w:eastAsia="zh-CN"/>
        </w:rPr>
        <w:t>5m</w:t>
      </w:r>
      <w:r>
        <w:rPr>
          <w:rFonts w:hint="eastAsia"/>
          <w:lang w:val="en-US" w:eastAsia="zh-CN"/>
        </w:rPr>
        <w:t>³/</w:t>
      </w:r>
      <w:r>
        <w:rPr>
          <w:rFonts w:hint="eastAsia" w:ascii="Times New Roman" w:hAnsi="Times New Roman"/>
          <w:lang w:val="en-US" w:eastAsia="zh-CN"/>
        </w:rPr>
        <w:t>a</w:t>
      </w:r>
      <w:r>
        <w:rPr>
          <w:rFonts w:hint="eastAsia"/>
          <w:lang w:val="en-US" w:eastAsia="zh-CN"/>
        </w:rPr>
        <w:t>，</w:t>
      </w:r>
      <w:r>
        <w:rPr>
          <w:rFonts w:hint="eastAsia"/>
          <w:lang w:eastAsia="zh-CN"/>
        </w:rPr>
        <w:t>合计</w:t>
      </w:r>
      <w:r>
        <w:rPr>
          <w:rFonts w:hint="eastAsia"/>
          <w:lang w:val="en-US" w:eastAsia="zh-CN"/>
        </w:rPr>
        <w:t>需要用水</w:t>
      </w:r>
      <w:r>
        <w:rPr>
          <w:rFonts w:hint="eastAsia" w:ascii="Times New Roman" w:hAnsi="Times New Roman"/>
          <w:lang w:val="en-US" w:eastAsia="zh-CN"/>
        </w:rPr>
        <w:t>4325</w:t>
      </w:r>
      <w:r>
        <w:rPr>
          <w:rFonts w:hint="eastAsia"/>
          <w:lang w:val="en-US" w:eastAsia="zh-CN"/>
        </w:rPr>
        <w:t>.</w:t>
      </w:r>
      <w:r>
        <w:rPr>
          <w:rFonts w:hint="eastAsia" w:ascii="Times New Roman" w:hAnsi="Times New Roman"/>
          <w:lang w:val="en-US" w:eastAsia="zh-CN"/>
        </w:rPr>
        <w:t>95m</w:t>
      </w:r>
      <w:r>
        <w:rPr>
          <w:rFonts w:hint="eastAsia"/>
          <w:lang w:val="en-US" w:eastAsia="zh-CN"/>
        </w:rPr>
        <w:t>³/</w:t>
      </w:r>
      <w:r>
        <w:rPr>
          <w:rFonts w:hint="eastAsia" w:ascii="Times New Roman" w:hAnsi="Times New Roman"/>
          <w:lang w:val="en-US" w:eastAsia="zh-CN"/>
        </w:rPr>
        <w:t>a</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rPr>
          <w:rFonts w:hint="eastAsia"/>
          <w:lang w:eastAsia="zh-CN"/>
        </w:rPr>
        <w:t>④生活用水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lang w:eastAsia="zh-CN"/>
        </w:rPr>
        <w:t>本项目新增员工人数</w:t>
      </w:r>
      <w:r>
        <w:rPr>
          <w:rFonts w:hint="eastAsia" w:ascii="Times New Roman" w:hAnsi="Times New Roman"/>
          <w:lang w:val="en-US" w:eastAsia="zh-CN"/>
        </w:rPr>
        <w:t>8</w:t>
      </w:r>
      <w:r>
        <w:rPr>
          <w:rFonts w:hint="eastAsia"/>
          <w:lang w:val="en-US" w:eastAsia="zh-CN"/>
        </w:rPr>
        <w:t>人，按用水量</w:t>
      </w:r>
      <w:r>
        <w:rPr>
          <w:rFonts w:hint="eastAsia" w:ascii="Times New Roman" w:hAnsi="Times New Roman"/>
          <w:lang w:val="en-US" w:eastAsia="zh-CN"/>
        </w:rPr>
        <w:t>100L</w:t>
      </w:r>
      <w:r>
        <w:rPr>
          <w:rFonts w:hint="eastAsia"/>
          <w:lang w:val="en-US" w:eastAsia="zh-CN"/>
        </w:rPr>
        <w:t>/</w:t>
      </w:r>
      <w:r>
        <w:rPr>
          <w:rFonts w:hint="eastAsia" w:ascii="Times New Roman" w:hAnsi="Times New Roman"/>
          <w:lang w:val="en-US" w:eastAsia="zh-CN"/>
        </w:rPr>
        <w:t>d</w:t>
      </w:r>
      <w:r>
        <w:rPr>
          <w:rFonts w:hint="eastAsia"/>
          <w:lang w:val="en-US" w:eastAsia="zh-CN"/>
        </w:rPr>
        <w:t>·人计，用水量为</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8m</w:t>
      </w:r>
      <w:r>
        <w:rPr>
          <w:rFonts w:hint="eastAsia"/>
          <w:lang w:val="en-US" w:eastAsia="zh-CN"/>
        </w:rPr>
        <w:t>³/</w:t>
      </w:r>
      <w:r>
        <w:rPr>
          <w:rFonts w:hint="eastAsia" w:ascii="Times New Roman" w:hAnsi="Times New Roman"/>
          <w:lang w:val="en-US" w:eastAsia="zh-CN"/>
        </w:rPr>
        <w:t>d</w:t>
      </w:r>
      <w:r>
        <w:rPr>
          <w:rFonts w:hint="eastAsia"/>
          <w:lang w:val="en-US" w:eastAsia="zh-CN"/>
        </w:rPr>
        <w:t>，年用水量为</w:t>
      </w:r>
      <w:r>
        <w:rPr>
          <w:rFonts w:hint="eastAsia" w:ascii="Times New Roman" w:hAnsi="Times New Roman"/>
          <w:lang w:val="en-US" w:eastAsia="zh-CN"/>
        </w:rPr>
        <w:t>266</w:t>
      </w:r>
      <w:r>
        <w:rPr>
          <w:rFonts w:hint="eastAsia"/>
          <w:lang w:val="en-US" w:eastAsia="zh-CN"/>
        </w:rPr>
        <w:t>.</w:t>
      </w:r>
      <w:r>
        <w:rPr>
          <w:rFonts w:hint="eastAsia" w:ascii="Times New Roman" w:hAnsi="Times New Roman"/>
          <w:lang w:val="en-US" w:eastAsia="zh-CN"/>
        </w:rPr>
        <w:t>4m</w:t>
      </w:r>
      <w:r>
        <w:rPr>
          <w:rFonts w:hint="eastAsia"/>
          <w:lang w:val="en-US" w:eastAsia="zh-CN"/>
        </w:rPr>
        <w:t>³/</w:t>
      </w:r>
      <w:r>
        <w:rPr>
          <w:rFonts w:hint="eastAsia" w:ascii="Times New Roman" w:hAnsi="Times New Roman"/>
          <w:lang w:val="en-US" w:eastAsia="zh-CN"/>
        </w:rPr>
        <w:t>a</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⑤装置地面冲洗用水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color w:val="auto"/>
          <w:szCs w:val="24"/>
          <w:lang w:eastAsia="zh-CN"/>
        </w:rPr>
        <w:t>参考《建筑给水排水设计规范》（</w:t>
      </w:r>
      <w:r>
        <w:rPr>
          <w:rFonts w:hint="eastAsia" w:ascii="Times New Roman" w:hAnsi="Times New Roman"/>
          <w:color w:val="auto"/>
          <w:szCs w:val="24"/>
          <w:lang w:val="en-US" w:eastAsia="zh-CN"/>
        </w:rPr>
        <w:t>GB50015</w:t>
      </w:r>
      <w:r>
        <w:rPr>
          <w:rFonts w:hint="eastAsia"/>
          <w:color w:val="auto"/>
          <w:szCs w:val="24"/>
          <w:lang w:val="en-US" w:eastAsia="zh-CN"/>
        </w:rPr>
        <w:t>-</w:t>
      </w:r>
      <w:r>
        <w:rPr>
          <w:rFonts w:hint="eastAsia" w:ascii="Times New Roman" w:hAnsi="Times New Roman"/>
          <w:color w:val="auto"/>
          <w:szCs w:val="24"/>
          <w:lang w:val="en-US" w:eastAsia="zh-CN"/>
        </w:rPr>
        <w:t>2019</w:t>
      </w:r>
      <w:r>
        <w:rPr>
          <w:rFonts w:hint="eastAsia"/>
          <w:color w:val="auto"/>
          <w:szCs w:val="24"/>
          <w:lang w:eastAsia="zh-CN"/>
        </w:rPr>
        <w:t>）表</w:t>
      </w:r>
      <w:r>
        <w:rPr>
          <w:rFonts w:hint="eastAsia" w:ascii="Times New Roman" w:hAnsi="Times New Roman"/>
          <w:color w:val="auto"/>
          <w:szCs w:val="24"/>
          <w:lang w:val="en-US" w:eastAsia="zh-CN"/>
        </w:rPr>
        <w:t>3</w:t>
      </w:r>
      <w:r>
        <w:rPr>
          <w:rFonts w:hint="eastAsia"/>
          <w:color w:val="auto"/>
          <w:szCs w:val="24"/>
          <w:lang w:val="en-US" w:eastAsia="zh-CN"/>
        </w:rPr>
        <w:t>.</w:t>
      </w:r>
      <w:r>
        <w:rPr>
          <w:rFonts w:hint="eastAsia" w:ascii="Times New Roman" w:hAnsi="Times New Roman"/>
          <w:color w:val="auto"/>
          <w:szCs w:val="24"/>
          <w:lang w:val="en-US" w:eastAsia="zh-CN"/>
        </w:rPr>
        <w:t>2</w:t>
      </w:r>
      <w:r>
        <w:rPr>
          <w:rFonts w:hint="eastAsia"/>
          <w:color w:val="auto"/>
          <w:szCs w:val="24"/>
          <w:lang w:val="en-US" w:eastAsia="zh-CN"/>
        </w:rPr>
        <w:t>.</w:t>
      </w:r>
      <w:r>
        <w:rPr>
          <w:rFonts w:hint="eastAsia" w:ascii="Times New Roman" w:hAnsi="Times New Roman"/>
          <w:color w:val="auto"/>
          <w:szCs w:val="24"/>
          <w:lang w:val="en-US" w:eastAsia="zh-CN"/>
        </w:rPr>
        <w:t>2</w:t>
      </w:r>
      <w:r>
        <w:rPr>
          <w:rFonts w:hint="eastAsia"/>
          <w:color w:val="auto"/>
          <w:szCs w:val="24"/>
          <w:lang w:val="en-US" w:eastAsia="zh-CN"/>
        </w:rPr>
        <w:t>公共建筑生活用水定额及小时变化系数，</w:t>
      </w:r>
      <w:r>
        <w:rPr>
          <w:rFonts w:hint="eastAsia"/>
          <w:color w:val="auto"/>
          <w:szCs w:val="24"/>
          <w:lang w:eastAsia="zh-CN"/>
        </w:rPr>
        <w:t>停车库地面冲洗用水量可取</w:t>
      </w:r>
      <w:r>
        <w:rPr>
          <w:rFonts w:hint="eastAsia" w:ascii="Times New Roman" w:hAnsi="Times New Roman"/>
          <w:color w:val="auto"/>
          <w:szCs w:val="24"/>
          <w:lang w:val="en-US" w:eastAsia="zh-CN"/>
        </w:rPr>
        <w:t>3L</w:t>
      </w:r>
      <w:r>
        <w:rPr>
          <w:rFonts w:hint="eastAsia"/>
          <w:color w:val="auto"/>
          <w:szCs w:val="24"/>
          <w:lang w:val="en-US" w:eastAsia="zh-CN"/>
        </w:rPr>
        <w:t>/次·㎡计算，</w:t>
      </w:r>
      <w:r>
        <w:rPr>
          <w:rFonts w:hint="eastAsia"/>
          <w:color w:val="auto"/>
          <w:szCs w:val="24"/>
          <w:lang w:eastAsia="zh-CN"/>
        </w:rPr>
        <w:t>本项目建、构筑物合计占地</w:t>
      </w:r>
      <w:r>
        <w:rPr>
          <w:rFonts w:hint="eastAsia" w:ascii="Times New Roman" w:hAnsi="Times New Roman"/>
          <w:color w:val="auto"/>
          <w:szCs w:val="24"/>
          <w:lang w:val="en-US" w:eastAsia="zh-CN"/>
        </w:rPr>
        <w:t>1119</w:t>
      </w:r>
      <w:r>
        <w:rPr>
          <w:rFonts w:hint="eastAsia"/>
          <w:color w:val="auto"/>
          <w:szCs w:val="24"/>
          <w:lang w:val="en-US" w:eastAsia="zh-CN"/>
        </w:rPr>
        <w:t>.</w:t>
      </w:r>
      <w:r>
        <w:rPr>
          <w:rFonts w:hint="eastAsia" w:ascii="Times New Roman" w:hAnsi="Times New Roman"/>
          <w:color w:val="auto"/>
          <w:szCs w:val="24"/>
          <w:lang w:val="en-US" w:eastAsia="zh-CN"/>
        </w:rPr>
        <w:t>9</w:t>
      </w:r>
      <w:r>
        <w:rPr>
          <w:rFonts w:hint="eastAsia"/>
          <w:color w:val="auto"/>
          <w:szCs w:val="24"/>
          <w:lang w:val="en-US" w:eastAsia="zh-CN"/>
        </w:rPr>
        <w:t>㎡，</w:t>
      </w:r>
      <w:r>
        <w:rPr>
          <w:rFonts w:hint="eastAsia"/>
          <w:color w:val="auto"/>
          <w:szCs w:val="24"/>
          <w:lang w:eastAsia="zh-CN"/>
        </w:rPr>
        <w:t>按每周冲洗两次计算（工作期按</w:t>
      </w:r>
      <w:r>
        <w:rPr>
          <w:rFonts w:hint="eastAsia" w:ascii="Times New Roman" w:hAnsi="Times New Roman"/>
          <w:color w:val="auto"/>
          <w:szCs w:val="24"/>
          <w:lang w:val="en-US" w:eastAsia="zh-CN"/>
        </w:rPr>
        <w:t>48</w:t>
      </w:r>
      <w:r>
        <w:rPr>
          <w:rFonts w:hint="eastAsia"/>
          <w:color w:val="auto"/>
          <w:szCs w:val="24"/>
          <w:lang w:val="en-US" w:eastAsia="zh-CN"/>
        </w:rPr>
        <w:t>周计</w:t>
      </w:r>
      <w:r>
        <w:rPr>
          <w:rFonts w:hint="eastAsia"/>
          <w:color w:val="auto"/>
          <w:szCs w:val="24"/>
          <w:lang w:eastAsia="zh-CN"/>
        </w:rPr>
        <w:t>），则本项目车间地面冲洗用水量约</w:t>
      </w:r>
      <w:r>
        <w:rPr>
          <w:rFonts w:hint="eastAsia" w:ascii="Times New Roman" w:hAnsi="Times New Roman" w:cs="Times New Roman"/>
          <w:color w:val="auto"/>
          <w:szCs w:val="24"/>
          <w:lang w:val="en-US" w:eastAsia="zh-CN"/>
        </w:rPr>
        <w:t>332</w:t>
      </w:r>
      <w:r>
        <w:rPr>
          <w:rFonts w:hint="eastAsia" w:ascii="Times New Roman" w:hAnsi="Times New Roman" w:cs="Times New Roman"/>
          <w:color w:val="auto"/>
          <w:szCs w:val="24"/>
          <w:lang w:val="en-US" w:eastAsia="zh-CN"/>
        </w:rPr>
        <w:t>.</w:t>
      </w:r>
      <w:r>
        <w:rPr>
          <w:rFonts w:hint="eastAsia" w:ascii="Times New Roman" w:hAnsi="Times New Roman" w:cs="Times New Roman"/>
          <w:color w:val="auto"/>
          <w:szCs w:val="24"/>
          <w:lang w:val="en-US" w:eastAsia="zh-CN"/>
        </w:rPr>
        <w:t>53m</w:t>
      </w:r>
      <w:r>
        <w:rPr>
          <w:rFonts w:hint="eastAsia" w:ascii="Times New Roman" w:hAnsi="Times New Roman" w:cs="Times New Roman"/>
          <w:color w:val="auto"/>
          <w:szCs w:val="24"/>
          <w:lang w:val="en-US" w:eastAsia="zh-CN"/>
        </w:rPr>
        <w:t>³/</w:t>
      </w:r>
      <w:r>
        <w:rPr>
          <w:rFonts w:hint="eastAsia" w:ascii="Times New Roman" w:hAnsi="Times New Roman" w:cs="Times New Roman"/>
          <w:color w:val="auto"/>
          <w:szCs w:val="24"/>
          <w:lang w:val="en-US" w:eastAsia="zh-CN"/>
        </w:rPr>
        <w:t>a</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rPr>
          <w:rFonts w:hint="eastAsia"/>
          <w:lang w:eastAsia="zh-CN"/>
        </w:rPr>
        <w:t>⑥未预见水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lang w:eastAsia="zh-CN"/>
        </w:rPr>
        <w:t>本项目其它清洁等未预见用水量</w:t>
      </w:r>
      <w:r>
        <w:rPr>
          <w:rFonts w:hint="eastAsia" w:ascii="Times New Roman" w:hAnsi="Times New Roman"/>
          <w:lang w:val="en-US" w:eastAsia="zh-CN"/>
        </w:rPr>
        <w:t>50m</w:t>
      </w:r>
      <w:r>
        <w:rPr>
          <w:rFonts w:hint="eastAsia"/>
          <w:lang w:val="en-US" w:eastAsia="zh-CN"/>
        </w:rPr>
        <w:t>³/</w:t>
      </w:r>
      <w:r>
        <w:rPr>
          <w:rFonts w:hint="eastAsia" w:ascii="Times New Roman" w:hAnsi="Times New Roman"/>
          <w:lang w:val="en-US" w:eastAsia="zh-CN"/>
        </w:rPr>
        <w:t>a</w:t>
      </w:r>
      <w:r>
        <w:rPr>
          <w:rFonts w:hint="eastAsia" w:ascii="Times New Roman" w:hAnsi="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r>
        <w:rPr>
          <w:rFonts w:hint="eastAsia" w:ascii="Times New Roman" w:hAnsi="Times New Roman"/>
        </w:rPr>
        <w:t>2</w:t>
      </w:r>
      <w:r>
        <w:rPr>
          <w:rFonts w:hint="eastAsia"/>
        </w:rPr>
        <w:t>）排水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eastAsia="宋体" w:cs="Arial"/>
          <w:lang w:val="en-US" w:eastAsia="zh-CN"/>
        </w:rPr>
      </w:pPr>
      <w:r>
        <w:rPr>
          <w:rFonts w:hint="eastAsia" w:ascii="Arial" w:hAnsi="Arial" w:cs="Arial"/>
        </w:rPr>
        <w:t>本项目</w:t>
      </w:r>
      <w:r>
        <w:rPr>
          <w:rFonts w:hint="eastAsia" w:ascii="Arial" w:hAnsi="Arial" w:cs="Arial"/>
          <w:lang w:eastAsia="zh-CN"/>
        </w:rPr>
        <w:t>依托现有循环水系统，生产工艺过程不产生废水</w:t>
      </w:r>
      <w:r>
        <w:rPr>
          <w:rFonts w:hint="eastAsia" w:ascii="Arial" w:hAnsi="Arial" w:cs="Arial"/>
        </w:rPr>
        <w:t>，</w:t>
      </w:r>
      <w:r>
        <w:rPr>
          <w:rFonts w:hint="eastAsia" w:ascii="Arial" w:hAnsi="Arial" w:cs="Arial"/>
          <w:lang w:eastAsia="zh-CN"/>
        </w:rPr>
        <w:t>少量装置地面冲洗废水和少量新增生活污水经厂内污水站处理达标后排入园区排水管网。</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Arial" w:hAnsi="Arial" w:cs="Arial"/>
          <w:lang w:eastAsia="zh-CN"/>
        </w:rPr>
      </w:pPr>
      <w:r>
        <w:rPr>
          <w:rFonts w:hint="eastAsia" w:ascii="Arial" w:hAnsi="Arial" w:cs="Arial"/>
          <w:lang w:eastAsia="zh-CN"/>
        </w:rPr>
        <w:t>①装置地面冲洗废水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Arial" w:hAnsi="Arial" w:cs="Arial"/>
          <w:lang w:eastAsia="zh-CN"/>
        </w:rPr>
      </w:pPr>
      <w:r>
        <w:rPr>
          <w:rFonts w:hint="eastAsia"/>
          <w:lang w:val="en-US" w:eastAsia="zh-CN"/>
        </w:rPr>
        <w:t>根据车间地面冲洗水损失量</w:t>
      </w:r>
      <w:r>
        <w:rPr>
          <w:rFonts w:hint="eastAsia" w:ascii="Times New Roman" w:hAnsi="Times New Roman"/>
          <w:lang w:val="en-US" w:eastAsia="zh-CN"/>
        </w:rPr>
        <w:t>20</w:t>
      </w:r>
      <w:r>
        <w:rPr>
          <w:rFonts w:hint="eastAsia"/>
          <w:lang w:val="en-US" w:eastAsia="zh-CN"/>
        </w:rPr>
        <w:t>%计算，则通过截水沟收集排入污水处理站的冲洗废水为</w:t>
      </w:r>
      <w:r>
        <w:rPr>
          <w:rFonts w:hint="eastAsia" w:ascii="Times New Roman" w:hAnsi="Times New Roman"/>
          <w:lang w:val="en-US" w:eastAsia="zh-CN"/>
        </w:rPr>
        <w:t>266</w:t>
      </w:r>
      <w:r>
        <w:rPr>
          <w:rFonts w:hint="eastAsia"/>
          <w:lang w:val="en-US" w:eastAsia="zh-CN"/>
        </w:rPr>
        <w:t>.</w:t>
      </w:r>
      <w:r>
        <w:rPr>
          <w:rFonts w:hint="eastAsia" w:ascii="Times New Roman" w:hAnsi="Times New Roman"/>
          <w:lang w:val="en-US" w:eastAsia="zh-CN"/>
        </w:rPr>
        <w:t>02m</w:t>
      </w:r>
      <w:r>
        <w:rPr>
          <w:rFonts w:hint="eastAsia"/>
          <w:lang w:val="en-US" w:eastAsia="zh-CN"/>
        </w:rPr>
        <w:t>³/</w:t>
      </w:r>
      <w:r>
        <w:rPr>
          <w:rFonts w:hint="eastAsia" w:ascii="Times New Roman" w:hAnsi="Times New Roman"/>
          <w:lang w:val="en-US" w:eastAsia="zh-CN"/>
        </w:rPr>
        <w:t>a</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Arial" w:hAnsi="Arial" w:cs="Arial"/>
          <w:lang w:eastAsia="zh-CN"/>
        </w:rPr>
      </w:pPr>
      <w:r>
        <w:rPr>
          <w:rFonts w:hint="eastAsia" w:ascii="Arial" w:hAnsi="Arial" w:cs="Arial"/>
          <w:lang w:eastAsia="zh-CN"/>
        </w:rPr>
        <w:t>②生活污水</w:t>
      </w:r>
    </w:p>
    <w:p>
      <w:pPr>
        <w:bidi w:val="0"/>
        <w:rPr>
          <w:rFonts w:hint="eastAsia"/>
          <w:lang w:eastAsia="zh-CN"/>
        </w:rPr>
      </w:pPr>
      <w:r>
        <w:rPr>
          <w:rFonts w:hint="eastAsia"/>
          <w:lang w:eastAsia="zh-CN"/>
        </w:rPr>
        <w:t>本项目定员</w:t>
      </w:r>
      <w:r>
        <w:rPr>
          <w:rFonts w:hint="eastAsia" w:ascii="Times New Roman" w:hAnsi="Times New Roman"/>
          <w:lang w:val="en-US" w:eastAsia="zh-CN"/>
        </w:rPr>
        <w:t>8</w:t>
      </w:r>
      <w:r>
        <w:rPr>
          <w:rFonts w:hint="eastAsia"/>
          <w:lang w:val="en-US" w:eastAsia="zh-CN"/>
        </w:rPr>
        <w:t>人，</w:t>
      </w:r>
      <w:r>
        <w:rPr>
          <w:rFonts w:hint="eastAsia"/>
        </w:rPr>
        <w:t>根据生活用水量的</w:t>
      </w:r>
      <w:r>
        <w:rPr>
          <w:rFonts w:hint="eastAsia" w:ascii="Times New Roman" w:hAnsi="Times New Roman"/>
        </w:rPr>
        <w:t>80</w:t>
      </w:r>
      <w:r>
        <w:rPr>
          <w:rFonts w:hint="eastAsia"/>
        </w:rPr>
        <w:t>%计，则生活污水产生量为</w:t>
      </w:r>
      <w:r>
        <w:rPr>
          <w:rFonts w:hint="eastAsia" w:ascii="Times New Roman" w:hAnsi="Times New Roman"/>
          <w:lang w:val="en-US" w:eastAsia="zh-CN"/>
        </w:rPr>
        <w:t>213</w:t>
      </w:r>
      <w:r>
        <w:rPr>
          <w:rFonts w:hint="eastAsia"/>
          <w:lang w:val="en-US" w:eastAsia="zh-CN"/>
        </w:rPr>
        <w:t>.</w:t>
      </w:r>
      <w:r>
        <w:rPr>
          <w:rFonts w:hint="eastAsia" w:ascii="Times New Roman" w:hAnsi="Times New Roman"/>
          <w:lang w:val="en-US" w:eastAsia="zh-CN"/>
        </w:rPr>
        <w:t>12</w:t>
      </w:r>
      <w:r>
        <w:rPr>
          <w:rFonts w:hint="eastAsia" w:ascii="Times New Roman" w:hAnsi="Times New Roman"/>
        </w:rPr>
        <w:t>m</w:t>
      </w:r>
      <w:r>
        <w:rPr>
          <w:rFonts w:hint="eastAsia"/>
        </w:rPr>
        <w:t>³/</w:t>
      </w:r>
      <w:r>
        <w:rPr>
          <w:rFonts w:hint="eastAsia" w:ascii="Times New Roman" w:hAnsi="Times New Roman"/>
          <w:lang w:val="en-US" w:eastAsia="zh-CN"/>
        </w:rPr>
        <w:t>a</w:t>
      </w:r>
      <w:r>
        <w:rPr>
          <w:rFonts w:hint="eastAsia"/>
          <w:lang w:eastAsia="zh-CN"/>
        </w:rPr>
        <w:t>，排入污水处理站处理后，排入园区管网，最终进入园区污水处理厂进一步处理。</w:t>
      </w:r>
    </w:p>
    <w:p>
      <w:pPr>
        <w:bidi w:val="0"/>
        <w:rPr>
          <w:rFonts w:hint="eastAsia"/>
          <w:lang w:val="en-US" w:eastAsia="zh-CN"/>
        </w:rPr>
      </w:pPr>
      <w:r>
        <w:rPr>
          <w:rFonts w:hint="eastAsia"/>
          <w:lang w:eastAsia="zh-CN"/>
        </w:rPr>
        <w:t>本项目水量平衡见图</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bidi w:val="0"/>
        <w:rPr>
          <w:rFonts w:hint="default" w:eastAsia="宋体"/>
          <w:lang w:val="en-US" w:eastAsia="zh-CN"/>
        </w:rPr>
      </w:pPr>
      <w:r>
        <w:rPr>
          <w:rFonts w:hint="eastAsia"/>
          <w:lang w:eastAsia="zh-CN"/>
        </w:rPr>
        <w:pict>
          <v:shape id="_x0000_s2116" o:spid="_x0000_s2116" o:spt="75" type="#_x0000_t75" style="position:absolute;left:0pt;margin-left:0.15pt;margin-top:14.55pt;height:360.9pt;width:447.6pt;mso-wrap-distance-bottom:0pt;mso-wrap-distance-top:0pt;z-index:251677696;mso-width-relative:page;mso-height-relative:page;" o:ole="t" filled="f" o:preferrelative="t" stroked="f" coordsize="21600,21600">
            <v:path/>
            <v:fill on="f" focussize="0,0"/>
            <v:stroke on="f"/>
            <v:imagedata r:id="rId47" o:title=""/>
            <o:lock v:ext="edit" aspectratio="f"/>
            <w10:wrap type="topAndBottom"/>
          </v:shape>
          <o:OLEObject Type="Embed" ProgID="Visio.Drawing.11" ShapeID="_x0000_s2116" DrawAspect="Content" ObjectID="_1468075737" r:id="rId46">
            <o:LockedField>false</o:LockedField>
          </o:OLEObject>
        </w:pict>
      </w:r>
      <w:r>
        <w:rPr>
          <w:rFonts w:hint="eastAsia"/>
          <w:lang w:eastAsia="zh-CN"/>
        </w:rPr>
        <w:t>图</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 xml:space="preserve">  本项目水量平衡示意图（</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a</w:t>
      </w:r>
      <w:r>
        <w:rPr>
          <w:rFonts w:hint="eastAsia"/>
          <w:lang w:val="en-US" w:eastAsia="zh-CN"/>
        </w:rPr>
        <w:t>）</w:t>
      </w:r>
    </w:p>
    <w:p>
      <w:pPr>
        <w:pStyle w:val="6"/>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3</w:t>
      </w:r>
      <w:r>
        <w:rPr>
          <w:rFonts w:hint="eastAsia"/>
        </w:rPr>
        <w:t>.</w:t>
      </w:r>
      <w:r>
        <w:rPr>
          <w:rFonts w:hint="eastAsia" w:ascii="Times New Roman" w:hAnsi="Times New Roman"/>
        </w:rPr>
        <w:t>2</w:t>
      </w:r>
      <w:r>
        <w:rPr>
          <w:rFonts w:hint="eastAsia"/>
        </w:rPr>
        <w:t>供电</w:t>
      </w:r>
    </w:p>
    <w:p>
      <w:pPr>
        <w:bidi w:val="0"/>
        <w:rPr>
          <w:rFonts w:hint="eastAsia"/>
        </w:rPr>
      </w:pPr>
      <w:r>
        <w:rPr>
          <w:rFonts w:hint="eastAsia"/>
        </w:rPr>
        <w:t>本项目在锅炉高压变频器室东侧新增预制舱室配电室一座，两路</w:t>
      </w:r>
      <w:r>
        <w:rPr>
          <w:rFonts w:hint="eastAsia" w:ascii="Times New Roman" w:hAnsi="Times New Roman"/>
        </w:rPr>
        <w:t>0</w:t>
      </w:r>
      <w:r>
        <w:rPr>
          <w:rFonts w:hint="eastAsia"/>
        </w:rPr>
        <w:t>.</w:t>
      </w:r>
      <w:r>
        <w:rPr>
          <w:rFonts w:hint="eastAsia" w:ascii="Times New Roman" w:hAnsi="Times New Roman"/>
        </w:rPr>
        <w:t>4kV</w:t>
      </w:r>
      <w:r>
        <w:rPr>
          <w:rFonts w:hint="eastAsia"/>
        </w:rPr>
        <w:t>电源分别来自锅炉低压配电室</w:t>
      </w:r>
      <w:r>
        <w:rPr>
          <w:rFonts w:hint="eastAsia" w:ascii="Times New Roman" w:hAnsi="Times New Roman"/>
        </w:rPr>
        <w:t>1</w:t>
      </w:r>
      <w:r>
        <w:rPr>
          <w:rFonts w:hint="eastAsia"/>
        </w:rPr>
        <w:t>号变</w:t>
      </w:r>
      <w:r>
        <w:rPr>
          <w:rFonts w:hint="eastAsia" w:ascii="Times New Roman" w:hAnsi="Times New Roman"/>
        </w:rPr>
        <w:t>800A</w:t>
      </w:r>
      <w:r>
        <w:rPr>
          <w:rFonts w:hint="eastAsia"/>
        </w:rPr>
        <w:t>空开与</w:t>
      </w:r>
      <w:r>
        <w:rPr>
          <w:rFonts w:hint="eastAsia" w:ascii="Times New Roman" w:hAnsi="Times New Roman"/>
        </w:rPr>
        <w:t>6</w:t>
      </w:r>
      <w:r>
        <w:rPr>
          <w:rFonts w:hint="eastAsia"/>
        </w:rPr>
        <w:t>号变</w:t>
      </w:r>
      <w:r>
        <w:rPr>
          <w:rFonts w:hint="eastAsia" w:ascii="Times New Roman" w:hAnsi="Times New Roman"/>
        </w:rPr>
        <w:t>1000A</w:t>
      </w:r>
      <w:r>
        <w:rPr>
          <w:rFonts w:hint="eastAsia"/>
        </w:rPr>
        <w:t xml:space="preserve"> 空开。配电室</w:t>
      </w:r>
      <w:r>
        <w:rPr>
          <w:rFonts w:hint="eastAsia" w:ascii="Times New Roman" w:hAnsi="Times New Roman"/>
        </w:rPr>
        <w:t>0</w:t>
      </w:r>
      <w:r>
        <w:rPr>
          <w:rFonts w:hint="eastAsia"/>
        </w:rPr>
        <w:t>.</w:t>
      </w:r>
      <w:r>
        <w:rPr>
          <w:rFonts w:hint="eastAsia" w:ascii="Times New Roman" w:hAnsi="Times New Roman"/>
        </w:rPr>
        <w:t>4kV</w:t>
      </w:r>
      <w:r>
        <w:rPr>
          <w:rFonts w:hint="eastAsia"/>
        </w:rPr>
        <w:t xml:space="preserve">系统为单母分段接线，正常运行时单母分段系统的两段母线分列运行，每一路进线带约 </w:t>
      </w:r>
      <w:r>
        <w:rPr>
          <w:rFonts w:hint="eastAsia" w:ascii="Times New Roman" w:hAnsi="Times New Roman"/>
        </w:rPr>
        <w:t>50</w:t>
      </w:r>
      <w:r>
        <w:rPr>
          <w:rFonts w:hint="eastAsia"/>
        </w:rPr>
        <w:t>%负荷，母联断路器设备用电源自动投入装置（</w:t>
      </w:r>
      <w:r>
        <w:rPr>
          <w:rFonts w:hint="eastAsia" w:ascii="Times New Roman" w:hAnsi="Times New Roman"/>
        </w:rPr>
        <w:t>ATS</w:t>
      </w:r>
      <w:r>
        <w:rPr>
          <w:rFonts w:hint="eastAsia"/>
        </w:rPr>
        <w:t>），当一回电源（或</w:t>
      </w:r>
      <w:r>
        <w:rPr>
          <w:rFonts w:hint="eastAsia" w:ascii="Times New Roman" w:hAnsi="Times New Roman"/>
        </w:rPr>
        <w:t>1</w:t>
      </w:r>
      <w:r>
        <w:rPr>
          <w:rFonts w:hint="eastAsia"/>
        </w:rPr>
        <w:t>台主变压器）故障或检修时，另一回电源（或另</w:t>
      </w:r>
      <w:r>
        <w:rPr>
          <w:rFonts w:hint="eastAsia" w:ascii="Times New Roman" w:hAnsi="Times New Roman"/>
        </w:rPr>
        <w:t>1</w:t>
      </w:r>
      <w:r>
        <w:rPr>
          <w:rFonts w:hint="eastAsia"/>
        </w:rPr>
        <w:t>台变压器）能满足供电范围内全部一级、二级负荷供电的要求。</w:t>
      </w:r>
    </w:p>
    <w:p>
      <w:pPr>
        <w:bidi w:val="0"/>
        <w:rPr>
          <w:rFonts w:hint="default" w:eastAsia="宋体"/>
          <w:lang w:val="en-US" w:eastAsia="zh-CN"/>
        </w:rPr>
      </w:pPr>
      <w:r>
        <w:rPr>
          <w:rFonts w:hint="eastAsia"/>
          <w:lang w:eastAsia="zh-CN"/>
        </w:rPr>
        <w:t>本项目新增设备由该配电室供电，电缆主要在新建电缆桥架内敷设。工作用电和备用设备分别在不同母线段上，由配电室至现场各用电设备采用放射式供电。负荷基本按工作的独立性分区、分组进行配电。工艺用电设备及应急疏散照明为二级负荷，</w:t>
      </w:r>
      <w:r>
        <w:rPr>
          <w:rFonts w:hint="eastAsia" w:ascii="Times New Roman" w:hAnsi="Times New Roman"/>
          <w:lang w:val="en-US" w:eastAsia="zh-CN"/>
        </w:rPr>
        <w:t>DCS</w:t>
      </w:r>
      <w:r>
        <w:rPr>
          <w:rFonts w:hint="eastAsia"/>
          <w:lang w:val="en-US" w:eastAsia="zh-CN"/>
        </w:rPr>
        <w:t>系统用电为一级负荷，照明及检修等用电为三级负荷。</w:t>
      </w:r>
    </w:p>
    <w:p>
      <w:pPr>
        <w:pStyle w:val="6"/>
        <w:bidi w:val="0"/>
        <w:rPr>
          <w:rFonts w:hint="eastAsia"/>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rPr>
          <w:rFonts w:hint="eastAsia"/>
          <w:lang w:val="en-US" w:eastAsia="zh-CN"/>
        </w:rPr>
        <w:t>氮气</w:t>
      </w:r>
    </w:p>
    <w:p>
      <w:pPr>
        <w:bidi w:val="0"/>
        <w:rPr>
          <w:rFonts w:hint="default"/>
          <w:lang w:val="en-US" w:eastAsia="zh-CN"/>
        </w:rPr>
      </w:pPr>
      <w:r>
        <w:rPr>
          <w:rFonts w:hint="eastAsia"/>
          <w:lang w:val="en-US" w:eastAsia="zh-CN"/>
        </w:rPr>
        <w:t>本项目使用</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6MPa</w:t>
      </w:r>
      <w:r>
        <w:rPr>
          <w:rFonts w:hint="eastAsia"/>
          <w:lang w:val="en-US" w:eastAsia="zh-CN"/>
        </w:rPr>
        <w:t>（</w:t>
      </w:r>
      <w:r>
        <w:rPr>
          <w:rFonts w:hint="eastAsia" w:ascii="Times New Roman" w:hAnsi="Times New Roman"/>
          <w:lang w:val="en-US" w:eastAsia="zh-CN"/>
        </w:rPr>
        <w:t>G</w:t>
      </w:r>
      <w:r>
        <w:rPr>
          <w:rFonts w:hint="eastAsia"/>
          <w:lang w:val="en-US" w:eastAsia="zh-CN"/>
        </w:rPr>
        <w:t>）氮气作为工艺过程中物料氮封使用，氮气来自现有工程氮气站，包括</w:t>
      </w:r>
      <w:r>
        <w:rPr>
          <w:rFonts w:hint="eastAsia" w:ascii="Times New Roman" w:hAnsi="Times New Roman"/>
          <w:lang w:val="en-US" w:eastAsia="zh-CN"/>
        </w:rPr>
        <w:t>2</w:t>
      </w:r>
      <w:r>
        <w:rPr>
          <w:rFonts w:hint="eastAsia"/>
          <w:lang w:val="en-US" w:eastAsia="zh-CN"/>
        </w:rPr>
        <w:t>套</w:t>
      </w:r>
      <w:r>
        <w:rPr>
          <w:rFonts w:hint="eastAsia" w:ascii="Times New Roman" w:hAnsi="Times New Roman"/>
          <w:lang w:val="en-US" w:eastAsia="zh-CN"/>
        </w:rPr>
        <w:t>PSA</w:t>
      </w:r>
      <w:r>
        <w:rPr>
          <w:rFonts w:hint="eastAsia"/>
          <w:lang w:val="en-US" w:eastAsia="zh-CN"/>
        </w:rPr>
        <w:t>制氮设备，单台送风量</w:t>
      </w:r>
      <w:r>
        <w:rPr>
          <w:rFonts w:hint="eastAsia" w:ascii="Times New Roman" w:hAnsi="Times New Roman"/>
          <w:lang w:val="en-US" w:eastAsia="zh-CN"/>
        </w:rPr>
        <w:t>1500Nm</w:t>
      </w:r>
      <w:r>
        <w:rPr>
          <w:rFonts w:hint="eastAsia"/>
          <w:lang w:val="en-US" w:eastAsia="zh-CN"/>
        </w:rPr>
        <w:t>³/</w:t>
      </w:r>
      <w:r>
        <w:rPr>
          <w:rFonts w:hint="eastAsia" w:ascii="Times New Roman" w:hAnsi="Times New Roman"/>
          <w:lang w:val="en-US" w:eastAsia="zh-CN"/>
        </w:rPr>
        <w:t>h</w:t>
      </w:r>
      <w:r>
        <w:rPr>
          <w:rFonts w:hint="eastAsia"/>
          <w:lang w:val="en-US" w:eastAsia="zh-CN"/>
        </w:rPr>
        <w:t>。氮气规格见表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6</w:t>
      </w:r>
      <w:r>
        <w:rPr>
          <w:rFonts w:hint="eastAsia"/>
          <w:lang w:val="en-US" w:eastAsia="zh-CN"/>
        </w:rPr>
        <w:t>。</w:t>
      </w:r>
    </w:p>
    <w:p>
      <w:pPr>
        <w:pStyle w:val="20"/>
        <w:bidi w:val="0"/>
        <w:rPr>
          <w:rFonts w:hint="eastAsia"/>
          <w:lang w:val="en-US" w:eastAsia="zh-CN"/>
        </w:rPr>
      </w:pPr>
      <w:r>
        <w:rPr>
          <w:rFonts w:hint="eastAsia"/>
          <w:lang w:val="en-US" w:eastAsia="zh-CN"/>
        </w:rPr>
        <w:t>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6</w:t>
      </w:r>
      <w:r>
        <w:rPr>
          <w:rFonts w:hint="eastAsia"/>
          <w:lang w:val="en-US" w:eastAsia="zh-CN"/>
        </w:rPr>
        <w:t xml:space="preserve">  本项目使用氮气规格</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2622"/>
        <w:gridCol w:w="4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序号</w:t>
            </w:r>
          </w:p>
        </w:tc>
        <w:tc>
          <w:tcPr>
            <w:tcW w:w="1429"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项目</w:t>
            </w:r>
          </w:p>
        </w:tc>
        <w:tc>
          <w:tcPr>
            <w:tcW w:w="2709"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14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氮气纯度</w:t>
            </w:r>
          </w:p>
        </w:tc>
        <w:tc>
          <w:tcPr>
            <w:tcW w:w="270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99</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9</w:t>
            </w:r>
            <w:r>
              <w:rPr>
                <w:rFonts w:hint="eastAsia"/>
                <w:sz w:val="21"/>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w:t>
            </w:r>
          </w:p>
        </w:tc>
        <w:tc>
          <w:tcPr>
            <w:tcW w:w="14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氧气</w:t>
            </w:r>
          </w:p>
        </w:tc>
        <w:tc>
          <w:tcPr>
            <w:tcW w:w="270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w:t>
            </w:r>
            <w:r>
              <w:rPr>
                <w:rFonts w:hint="eastAsia"/>
                <w:sz w:val="21"/>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w:t>
            </w:r>
          </w:p>
        </w:tc>
        <w:tc>
          <w:tcPr>
            <w:tcW w:w="142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压力</w:t>
            </w:r>
          </w:p>
        </w:tc>
        <w:tc>
          <w:tcPr>
            <w:tcW w:w="270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6MPa</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G</w:t>
            </w:r>
            <w:r>
              <w:rPr>
                <w:rFonts w:hint="eastAsia"/>
                <w:sz w:val="21"/>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w:t>
            </w:r>
          </w:p>
        </w:tc>
        <w:tc>
          <w:tcPr>
            <w:tcW w:w="1429"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质量</w:t>
            </w:r>
          </w:p>
        </w:tc>
        <w:tc>
          <w:tcPr>
            <w:tcW w:w="2709"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油含量≤</w:t>
            </w: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0001ppm</w:t>
            </w:r>
          </w:p>
        </w:tc>
      </w:tr>
    </w:tbl>
    <w:p>
      <w:pPr>
        <w:pStyle w:val="6"/>
        <w:bidi w:val="0"/>
        <w:rPr>
          <w:rFonts w:hint="eastAsia" w:eastAsia="宋体"/>
          <w:lang w:eastAsia="zh-CN"/>
        </w:rPr>
      </w:pP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3</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eastAsia="zh-CN"/>
        </w:rPr>
        <w:t>蒸汽与凝结水</w:t>
      </w:r>
    </w:p>
    <w:p>
      <w:pPr>
        <w:rPr>
          <w:rFonts w:hint="default"/>
          <w:color w:val="auto"/>
          <w:lang w:val="en-US" w:eastAsia="zh-CN"/>
        </w:rPr>
      </w:pPr>
      <w:r>
        <w:rPr>
          <w:rFonts w:hint="eastAsia"/>
          <w:color w:val="auto"/>
          <w:lang w:val="en-US" w:eastAsia="zh-CN"/>
        </w:rPr>
        <w:t>本项目装置供热采用现有工程</w:t>
      </w:r>
      <w:r>
        <w:rPr>
          <w:rFonts w:hint="eastAsia" w:ascii="Times New Roman" w:hAnsi="Times New Roman" w:cs="Times New Roman"/>
          <w:color w:val="auto"/>
          <w:lang w:val="en-US" w:eastAsia="zh-CN"/>
        </w:rPr>
        <w:t>5</w:t>
      </w:r>
      <w:r>
        <w:rPr>
          <w:rFonts w:hint="eastAsia"/>
          <w:color w:val="auto"/>
          <w:lang w:val="en-US" w:eastAsia="zh-CN"/>
        </w:rPr>
        <w:t>台</w:t>
      </w:r>
      <w:r>
        <w:rPr>
          <w:rFonts w:hint="eastAsia" w:ascii="Times New Roman" w:hAnsi="Times New Roman" w:cs="Times New Roman"/>
          <w:color w:val="auto"/>
          <w:lang w:val="en-US" w:eastAsia="zh-CN"/>
        </w:rPr>
        <w:t>75t</w:t>
      </w:r>
      <w:r>
        <w:rPr>
          <w:rFonts w:hint="eastAsia"/>
          <w:color w:val="auto"/>
          <w:lang w:val="en-US" w:eastAsia="zh-CN"/>
        </w:rPr>
        <w:t>/</w:t>
      </w:r>
      <w:r>
        <w:rPr>
          <w:rFonts w:hint="eastAsia" w:ascii="Times New Roman" w:hAnsi="Times New Roman" w:cs="Times New Roman"/>
          <w:color w:val="auto"/>
          <w:lang w:val="en-US" w:eastAsia="zh-CN"/>
        </w:rPr>
        <w:t>h</w:t>
      </w:r>
      <w:r>
        <w:rPr>
          <w:rFonts w:hint="eastAsia"/>
          <w:color w:val="auto"/>
          <w:lang w:val="en-US" w:eastAsia="zh-CN"/>
        </w:rPr>
        <w:t>循环流化床锅炉（</w:t>
      </w:r>
      <w:r>
        <w:rPr>
          <w:rFonts w:hint="eastAsia" w:ascii="Times New Roman" w:hAnsi="Times New Roman" w:cs="Times New Roman"/>
          <w:color w:val="auto"/>
          <w:lang w:val="en-US" w:eastAsia="zh-CN"/>
        </w:rPr>
        <w:t>4</w:t>
      </w:r>
      <w:r>
        <w:rPr>
          <w:rFonts w:hint="eastAsia"/>
          <w:color w:val="auto"/>
          <w:lang w:val="en-US" w:eastAsia="zh-CN"/>
        </w:rPr>
        <w:t>开</w:t>
      </w:r>
      <w:r>
        <w:rPr>
          <w:rFonts w:hint="eastAsia" w:ascii="Times New Roman" w:hAnsi="Times New Roman" w:cs="Times New Roman"/>
          <w:color w:val="auto"/>
          <w:lang w:val="en-US" w:eastAsia="zh-CN"/>
        </w:rPr>
        <w:t>1</w:t>
      </w:r>
      <w:r>
        <w:rPr>
          <w:rFonts w:hint="eastAsia"/>
          <w:color w:val="auto"/>
          <w:lang w:val="en-US" w:eastAsia="zh-CN"/>
        </w:rPr>
        <w:t>备）蒸汽，蒸汽温度</w:t>
      </w:r>
      <w:r>
        <w:rPr>
          <w:rFonts w:hint="eastAsia" w:ascii="Times New Roman" w:hAnsi="Times New Roman"/>
          <w:color w:val="auto"/>
          <w:lang w:val="en-US" w:eastAsia="zh-CN"/>
        </w:rPr>
        <w:t>450</w:t>
      </w:r>
      <w:r>
        <w:rPr>
          <w:rFonts w:hint="eastAsia"/>
          <w:color w:val="auto"/>
          <w:lang w:val="en-US" w:eastAsia="zh-CN"/>
        </w:rPr>
        <w:t>℃，压力</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8MPa</w:t>
      </w:r>
      <w:r>
        <w:rPr>
          <w:rFonts w:hint="eastAsia"/>
          <w:color w:val="auto"/>
          <w:lang w:val="en-US" w:eastAsia="zh-CN"/>
        </w:rPr>
        <w:t>。现有工程工艺及采暖最大用汽量</w:t>
      </w:r>
      <w:r>
        <w:rPr>
          <w:rFonts w:hint="eastAsia" w:ascii="Times New Roman" w:hAnsi="Times New Roman"/>
          <w:color w:val="auto"/>
          <w:lang w:val="en-US" w:eastAsia="zh-CN"/>
        </w:rPr>
        <w:t>185t</w:t>
      </w:r>
      <w:r>
        <w:rPr>
          <w:rFonts w:hint="eastAsia"/>
          <w:color w:val="auto"/>
          <w:lang w:val="en-US" w:eastAsia="zh-CN"/>
        </w:rPr>
        <w:t>/</w:t>
      </w:r>
      <w:r>
        <w:rPr>
          <w:rFonts w:hint="eastAsia" w:ascii="Times New Roman" w:hAnsi="Times New Roman"/>
          <w:color w:val="auto"/>
          <w:lang w:val="en-US" w:eastAsia="zh-CN"/>
        </w:rPr>
        <w:t>h</w:t>
      </w:r>
      <w:r>
        <w:rPr>
          <w:rFonts w:hint="eastAsia"/>
          <w:color w:val="auto"/>
          <w:lang w:val="en-US" w:eastAsia="zh-CN"/>
        </w:rPr>
        <w:t>，凯赛（乌苏）生物技术有限公司年产</w:t>
      </w:r>
      <w:r>
        <w:rPr>
          <w:rFonts w:hint="eastAsia" w:ascii="Times New Roman" w:hAnsi="Times New Roman"/>
          <w:color w:val="auto"/>
          <w:lang w:val="en-US" w:eastAsia="zh-CN"/>
        </w:rPr>
        <w:t>3</w:t>
      </w:r>
      <w:r>
        <w:rPr>
          <w:rFonts w:hint="eastAsia"/>
          <w:color w:val="auto"/>
          <w:lang w:val="en-US" w:eastAsia="zh-CN"/>
        </w:rPr>
        <w:t>万吨长链二元酸和</w:t>
      </w:r>
      <w:r>
        <w:rPr>
          <w:rFonts w:hint="eastAsia" w:ascii="Times New Roman" w:hAnsi="Times New Roman"/>
          <w:color w:val="auto"/>
          <w:lang w:val="en-US" w:eastAsia="zh-CN"/>
        </w:rPr>
        <w:t>2</w:t>
      </w:r>
      <w:r>
        <w:rPr>
          <w:rFonts w:hint="eastAsia"/>
          <w:color w:val="auto"/>
          <w:lang w:val="en-US" w:eastAsia="zh-CN"/>
        </w:rPr>
        <w:t>万吨长链聚酰胺项目用汽量</w:t>
      </w:r>
      <w:r>
        <w:rPr>
          <w:rFonts w:hint="eastAsia" w:ascii="Times New Roman" w:hAnsi="Times New Roman"/>
          <w:color w:val="auto"/>
          <w:lang w:val="en-US" w:eastAsia="zh-CN"/>
        </w:rPr>
        <w:t>72t</w:t>
      </w:r>
      <w:r>
        <w:rPr>
          <w:rFonts w:hint="eastAsia"/>
          <w:color w:val="auto"/>
          <w:lang w:val="en-US" w:eastAsia="zh-CN"/>
        </w:rPr>
        <w:t>/</w:t>
      </w:r>
      <w:r>
        <w:rPr>
          <w:rFonts w:hint="eastAsia" w:ascii="Times New Roman" w:hAnsi="Times New Roman"/>
          <w:color w:val="auto"/>
          <w:lang w:val="en-US" w:eastAsia="zh-CN"/>
        </w:rPr>
        <w:t>h</w:t>
      </w:r>
      <w:r>
        <w:rPr>
          <w:rFonts w:hint="eastAsia"/>
          <w:color w:val="auto"/>
          <w:lang w:val="en-US" w:eastAsia="zh-CN"/>
        </w:rPr>
        <w:t>，园区采暖用汽量</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6t</w:t>
      </w:r>
      <w:r>
        <w:rPr>
          <w:rFonts w:hint="eastAsia"/>
          <w:color w:val="auto"/>
          <w:lang w:val="en-US" w:eastAsia="zh-CN"/>
        </w:rPr>
        <w:t>/</w:t>
      </w:r>
      <w:r>
        <w:rPr>
          <w:rFonts w:hint="eastAsia" w:ascii="Times New Roman" w:hAnsi="Times New Roman"/>
          <w:color w:val="auto"/>
          <w:lang w:val="en-US" w:eastAsia="zh-CN"/>
        </w:rPr>
        <w:t>h</w:t>
      </w:r>
      <w:r>
        <w:rPr>
          <w:rFonts w:hint="eastAsia"/>
          <w:color w:val="auto"/>
          <w:lang w:val="en-US" w:eastAsia="zh-CN"/>
        </w:rPr>
        <w:t>，总用汽量约</w:t>
      </w:r>
      <w:r>
        <w:rPr>
          <w:rFonts w:hint="eastAsia" w:ascii="Times New Roman" w:hAnsi="Times New Roman"/>
          <w:color w:val="auto"/>
          <w:lang w:val="en-US" w:eastAsia="zh-CN"/>
        </w:rPr>
        <w:t>266</w:t>
      </w:r>
      <w:r>
        <w:rPr>
          <w:rFonts w:hint="eastAsia"/>
          <w:color w:val="auto"/>
          <w:lang w:val="en-US" w:eastAsia="zh-CN"/>
        </w:rPr>
        <w:t>.</w:t>
      </w:r>
      <w:r>
        <w:rPr>
          <w:rFonts w:hint="eastAsia" w:ascii="Times New Roman" w:hAnsi="Times New Roman"/>
          <w:color w:val="auto"/>
          <w:lang w:val="en-US" w:eastAsia="zh-CN"/>
        </w:rPr>
        <w:t>6t</w:t>
      </w:r>
      <w:r>
        <w:rPr>
          <w:rFonts w:hint="eastAsia"/>
          <w:color w:val="auto"/>
          <w:lang w:val="en-US" w:eastAsia="zh-CN"/>
        </w:rPr>
        <w:t>/</w:t>
      </w:r>
      <w:r>
        <w:rPr>
          <w:rFonts w:hint="eastAsia" w:ascii="Times New Roman" w:hAnsi="Times New Roman"/>
          <w:color w:val="auto"/>
          <w:lang w:val="en-US" w:eastAsia="zh-CN"/>
        </w:rPr>
        <w:t>h</w:t>
      </w:r>
      <w:r>
        <w:rPr>
          <w:rFonts w:hint="eastAsia"/>
          <w:color w:val="auto"/>
          <w:lang w:val="en-US" w:eastAsia="zh-CN"/>
        </w:rPr>
        <w:t>。现有工程用汽量见表</w:t>
      </w:r>
      <w:r>
        <w:rPr>
          <w:rFonts w:hint="eastAsia" w:ascii="Times New Roman" w:hAnsi="Times New Roman" w:cs="Times New Roman"/>
          <w:color w:val="auto"/>
          <w:lang w:val="en-US" w:eastAsia="zh-CN"/>
        </w:rPr>
        <w:t>4</w:t>
      </w:r>
      <w:r>
        <w:rPr>
          <w:rFonts w:hint="eastAsia"/>
          <w:color w:val="auto"/>
          <w:lang w:val="en-US" w:eastAsia="zh-CN"/>
        </w:rPr>
        <w:t>.</w:t>
      </w: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7</w:t>
      </w:r>
      <w:r>
        <w:rPr>
          <w:rFonts w:hint="eastAsia"/>
          <w:color w:val="auto"/>
          <w:lang w:val="en-US" w:eastAsia="zh-CN"/>
        </w:rPr>
        <w:t>。本项目项目</w:t>
      </w:r>
      <w:r>
        <w:rPr>
          <w:rFonts w:hint="eastAsia" w:hAnsi="宋体"/>
          <w:color w:val="auto"/>
          <w:lang w:val="en-US" w:eastAsia="zh-CN"/>
        </w:rPr>
        <w:t>蒸汽</w:t>
      </w:r>
      <w:r>
        <w:rPr>
          <w:rFonts w:hint="eastAsia"/>
          <w:color w:val="auto"/>
          <w:lang w:val="en-US" w:eastAsia="zh-CN"/>
        </w:rPr>
        <w:t>需求参数</w:t>
      </w:r>
      <w:r>
        <w:rPr>
          <w:rFonts w:hint="eastAsia" w:hAnsi="宋体"/>
          <w:color w:val="auto"/>
          <w:lang w:val="en-US" w:eastAsia="zh-CN"/>
        </w:rPr>
        <w:t>见表</w:t>
      </w:r>
      <w:r>
        <w:rPr>
          <w:rFonts w:hint="eastAsia" w:ascii="Times New Roman" w:hAnsi="Times New Roman" w:cs="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s="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s="Times New Roman"/>
          <w:color w:val="auto"/>
          <w:lang w:val="en-US" w:eastAsia="zh-CN"/>
        </w:rPr>
        <w:t>8</w:t>
      </w:r>
      <w:r>
        <w:rPr>
          <w:rFonts w:hint="eastAsia" w:hAnsi="宋体"/>
          <w:color w:val="auto"/>
          <w:lang w:val="en-US" w:eastAsia="zh-CN"/>
        </w:rPr>
        <w:t>。</w:t>
      </w:r>
    </w:p>
    <w:p>
      <w:pPr>
        <w:pStyle w:val="20"/>
        <w:rPr>
          <w:rFonts w:hint="default"/>
          <w:color w:val="auto"/>
          <w:lang w:val="en-US" w:eastAsia="zh-CN"/>
        </w:rPr>
      </w:pPr>
      <w:r>
        <w:rPr>
          <w:rFonts w:hint="eastAsia"/>
          <w:color w:val="auto"/>
          <w:lang w:val="en-US" w:eastAsia="zh-CN"/>
        </w:rPr>
        <w:t>表</w:t>
      </w:r>
      <w:r>
        <w:rPr>
          <w:rFonts w:hint="eastAsia" w:ascii="Times New Roman" w:hAnsi="Times New Roman" w:cs="Times New Roman"/>
          <w:color w:val="auto"/>
          <w:lang w:val="en-US" w:eastAsia="zh-CN"/>
        </w:rPr>
        <w:t>4</w:t>
      </w:r>
      <w:r>
        <w:rPr>
          <w:rFonts w:hint="eastAsia"/>
          <w:color w:val="auto"/>
          <w:lang w:val="en-US" w:eastAsia="zh-CN"/>
        </w:rPr>
        <w:t>.</w:t>
      </w:r>
      <w:r>
        <w:rPr>
          <w:rFonts w:hint="eastAsia" w:ascii="Times New Roman" w:hAnsi="Times New Roman" w:cs="Times New Roman"/>
          <w:color w:val="auto"/>
          <w:lang w:val="en-US" w:eastAsia="zh-CN"/>
        </w:rPr>
        <w:t>1</w:t>
      </w:r>
      <w:r>
        <w:rPr>
          <w:rFonts w:hint="eastAsia"/>
          <w:color w:val="auto"/>
          <w:lang w:val="en-US" w:eastAsia="zh-CN"/>
        </w:rPr>
        <w:t>-</w:t>
      </w:r>
      <w:r>
        <w:rPr>
          <w:rFonts w:hint="eastAsia" w:ascii="Times New Roman" w:hAnsi="Times New Roman" w:cs="Times New Roman"/>
          <w:color w:val="auto"/>
          <w:lang w:val="en-US" w:eastAsia="zh-CN"/>
        </w:rPr>
        <w:t>7</w:t>
      </w:r>
      <w:r>
        <w:rPr>
          <w:rFonts w:hint="eastAsia"/>
          <w:color w:val="auto"/>
          <w:lang w:val="en-US" w:eastAsia="zh-CN"/>
        </w:rPr>
        <w:t xml:space="preserve">  现有工程蒸汽用量表</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776"/>
        <w:gridCol w:w="2365"/>
        <w:gridCol w:w="1924"/>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restart"/>
            <w:tcBorders>
              <w:top w:val="single" w:color="auto" w:sz="12"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序号</w:t>
            </w:r>
          </w:p>
        </w:tc>
        <w:tc>
          <w:tcPr>
            <w:tcW w:w="968" w:type="pct"/>
            <w:vMerge w:val="restart"/>
            <w:tcBorders>
              <w:top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用汽部门</w:t>
            </w:r>
          </w:p>
        </w:tc>
        <w:tc>
          <w:tcPr>
            <w:tcW w:w="2338" w:type="pct"/>
            <w:gridSpan w:val="2"/>
            <w:tcBorders>
              <w:top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蒸汽参数</w:t>
            </w:r>
          </w:p>
        </w:tc>
        <w:tc>
          <w:tcPr>
            <w:tcW w:w="1209" w:type="pct"/>
            <w:tcBorders>
              <w:top w:val="single" w:color="auto" w:sz="12"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最大用汽量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p>
        </w:tc>
        <w:tc>
          <w:tcPr>
            <w:tcW w:w="968" w:type="pct"/>
            <w:vMerge w:val="continue"/>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压力（</w:t>
            </w:r>
            <w:r>
              <w:rPr>
                <w:rFonts w:hint="eastAsia" w:ascii="Times New Roman" w:hAnsi="Times New Roman"/>
                <w:color w:val="auto"/>
                <w:sz w:val="21"/>
                <w:szCs w:val="16"/>
                <w:lang w:val="en-US" w:eastAsia="zh-CN"/>
              </w:rPr>
              <w:t>MPa</w:t>
            </w:r>
            <w:r>
              <w:rPr>
                <w:rFonts w:hint="eastAsia"/>
                <w:color w:val="auto"/>
                <w:sz w:val="21"/>
                <w:szCs w:val="16"/>
                <w:lang w:val="en-US" w:eastAsia="zh-CN"/>
              </w:rPr>
              <w:t>）</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温度（℃）</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1</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淀粉乳装置</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0</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2</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淀粉浸出液</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0</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3</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DN</w:t>
            </w:r>
            <w:r>
              <w:rPr>
                <w:rFonts w:hint="eastAsia"/>
                <w:color w:val="auto"/>
                <w:sz w:val="21"/>
                <w:szCs w:val="16"/>
                <w:lang w:val="en-US" w:eastAsia="zh-CN"/>
              </w:rPr>
              <w:t>溶液发酵</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0</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4</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DN</w:t>
            </w:r>
            <w:r>
              <w:rPr>
                <w:rFonts w:hint="eastAsia"/>
                <w:color w:val="auto"/>
                <w:sz w:val="21"/>
                <w:szCs w:val="16"/>
                <w:lang w:val="en-US" w:eastAsia="zh-CN"/>
              </w:rPr>
              <w:t>溶液提取</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0</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s="Times New Roman"/>
                <w:color w:val="auto"/>
                <w:sz w:val="21"/>
                <w:szCs w:val="16"/>
                <w:lang w:val="en-US" w:eastAsia="zh-CN"/>
              </w:rPr>
              <w:t>5</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聚合单元</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0</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s="Times New Roman"/>
                <w:color w:val="auto"/>
                <w:sz w:val="21"/>
                <w:szCs w:val="16"/>
                <w:lang w:val="en-US" w:eastAsia="zh-CN"/>
              </w:rPr>
            </w:pPr>
            <w:r>
              <w:rPr>
                <w:rFonts w:hint="eastAsia" w:ascii="Times New Roman" w:hAnsi="Times New Roman" w:cs="Times New Roman"/>
                <w:color w:val="auto"/>
                <w:sz w:val="21"/>
                <w:szCs w:val="16"/>
                <w:lang w:val="en-US" w:eastAsia="zh-CN"/>
              </w:rPr>
              <w:t>6</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污水</w:t>
            </w:r>
            <w:r>
              <w:rPr>
                <w:rFonts w:hint="eastAsia" w:ascii="Times New Roman" w:hAnsi="Times New Roman"/>
                <w:color w:val="auto"/>
                <w:sz w:val="21"/>
                <w:szCs w:val="16"/>
                <w:lang w:val="en-US" w:eastAsia="zh-CN"/>
              </w:rPr>
              <w:t>MVR</w:t>
            </w:r>
            <w:r>
              <w:rPr>
                <w:rFonts w:hint="eastAsia"/>
                <w:color w:val="auto"/>
                <w:sz w:val="21"/>
                <w:szCs w:val="16"/>
                <w:lang w:val="en-US" w:eastAsia="zh-CN"/>
              </w:rPr>
              <w:t>蒸发</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0</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s="Times New Roman"/>
                <w:color w:val="auto"/>
                <w:sz w:val="21"/>
                <w:szCs w:val="16"/>
                <w:lang w:val="en-US" w:eastAsia="zh-CN"/>
              </w:rPr>
            </w:pPr>
            <w:r>
              <w:rPr>
                <w:rFonts w:hint="eastAsia" w:ascii="Times New Roman" w:hAnsi="Times New Roman" w:cs="Times New Roman"/>
                <w:color w:val="auto"/>
                <w:sz w:val="21"/>
                <w:szCs w:val="16"/>
                <w:lang w:val="en-US" w:eastAsia="zh-CN"/>
              </w:rPr>
              <w:t>7</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采暖用汽</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4</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150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s="Times New Roman"/>
                <w:color w:val="auto"/>
                <w:sz w:val="21"/>
                <w:szCs w:val="16"/>
                <w:lang w:val="en-US" w:eastAsia="zh-CN"/>
              </w:rPr>
            </w:pPr>
            <w:r>
              <w:rPr>
                <w:rFonts w:hint="eastAsia" w:ascii="Times New Roman" w:hAnsi="Times New Roman" w:cs="Times New Roman"/>
                <w:color w:val="auto"/>
                <w:sz w:val="21"/>
                <w:szCs w:val="16"/>
                <w:lang w:val="en-US" w:eastAsia="zh-CN"/>
              </w:rPr>
              <w:t>8</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二元酸项目</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0</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tcBorders>
              <w:top w:val="single" w:color="auto" w:sz="4" w:space="0"/>
              <w:left w:val="single" w:color="auto" w:sz="12" w:space="0"/>
              <w:bottom w:val="single" w:color="auto" w:sz="4" w:space="0"/>
            </w:tcBorders>
            <w:vAlign w:val="center"/>
          </w:tcPr>
          <w:p>
            <w:pPr>
              <w:widowControl w:val="0"/>
              <w:wordWrap/>
              <w:adjustRightInd/>
              <w:snapToGrid/>
              <w:spacing w:line="240" w:lineRule="auto"/>
              <w:ind w:firstLine="0"/>
              <w:jc w:val="center"/>
              <w:textAlignment w:val="auto"/>
              <w:rPr>
                <w:rFonts w:hint="default" w:cs="Times New Roman"/>
                <w:color w:val="auto"/>
                <w:sz w:val="21"/>
                <w:szCs w:val="16"/>
                <w:lang w:val="en-US" w:eastAsia="zh-CN"/>
              </w:rPr>
            </w:pPr>
            <w:r>
              <w:rPr>
                <w:rFonts w:hint="eastAsia" w:ascii="Times New Roman" w:hAnsi="Times New Roman" w:cs="Times New Roman"/>
                <w:color w:val="auto"/>
                <w:sz w:val="21"/>
                <w:szCs w:val="16"/>
                <w:lang w:val="en-US" w:eastAsia="zh-CN"/>
              </w:rPr>
              <w:t>9</w:t>
            </w:r>
          </w:p>
        </w:tc>
        <w:tc>
          <w:tcPr>
            <w:tcW w:w="96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园区采暖</w:t>
            </w:r>
          </w:p>
        </w:tc>
        <w:tc>
          <w:tcPr>
            <w:tcW w:w="1289"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4</w:t>
            </w:r>
          </w:p>
        </w:tc>
        <w:tc>
          <w:tcPr>
            <w:tcW w:w="1048" w:type="pct"/>
            <w:tcBorders>
              <w:top w:val="single" w:color="auto" w:sz="4" w:space="0"/>
              <w:bottom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150</w:t>
            </w:r>
          </w:p>
        </w:tc>
        <w:tc>
          <w:tcPr>
            <w:tcW w:w="1209" w:type="pct"/>
            <w:tcBorders>
              <w:top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9</w:t>
            </w:r>
            <w:r>
              <w:rPr>
                <w:rFonts w:hint="eastAsia"/>
                <w:color w:val="auto"/>
                <w:sz w:val="21"/>
                <w:szCs w:val="16"/>
                <w:lang w:val="en-US" w:eastAsia="zh-CN"/>
              </w:rPr>
              <w:t>.</w:t>
            </w:r>
            <w:r>
              <w:rPr>
                <w:rFonts w:hint="eastAsia" w:ascii="Times New Roman" w:hAnsi="Times New Roman"/>
                <w:color w:val="auto"/>
                <w:sz w:val="21"/>
                <w:szCs w:val="16"/>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pct"/>
            <w:gridSpan w:val="2"/>
            <w:tcBorders>
              <w:top w:val="single" w:color="auto" w:sz="4" w:space="0"/>
              <w:left w:val="single" w:color="auto" w:sz="12" w:space="0"/>
              <w:bottom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合计</w:t>
            </w:r>
          </w:p>
        </w:tc>
        <w:tc>
          <w:tcPr>
            <w:tcW w:w="1289" w:type="pct"/>
            <w:tcBorders>
              <w:top w:val="single" w:color="auto" w:sz="4" w:space="0"/>
              <w:bottom w:val="single" w:color="auto" w:sz="12"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p>
        </w:tc>
        <w:tc>
          <w:tcPr>
            <w:tcW w:w="1048" w:type="pct"/>
            <w:tcBorders>
              <w:top w:val="single" w:color="auto" w:sz="4" w:space="0"/>
              <w:bottom w:val="single" w:color="auto" w:sz="12"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p>
        </w:tc>
        <w:tc>
          <w:tcPr>
            <w:tcW w:w="1209" w:type="pct"/>
            <w:tcBorders>
              <w:top w:val="single" w:color="auto" w:sz="4" w:space="0"/>
              <w:bottom w:val="single" w:color="auto" w:sz="12"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266</w:t>
            </w:r>
            <w:r>
              <w:rPr>
                <w:rFonts w:hint="eastAsia"/>
                <w:color w:val="auto"/>
                <w:sz w:val="21"/>
                <w:szCs w:val="16"/>
                <w:lang w:val="en-US" w:eastAsia="zh-CN"/>
              </w:rPr>
              <w:t>.</w:t>
            </w:r>
            <w:r>
              <w:rPr>
                <w:rFonts w:hint="eastAsia" w:ascii="Times New Roman" w:hAnsi="Times New Roman"/>
                <w:color w:val="auto"/>
                <w:sz w:val="21"/>
                <w:szCs w:val="16"/>
                <w:lang w:val="en-US" w:eastAsia="zh-CN"/>
              </w:rPr>
              <w:t>6</w:t>
            </w:r>
          </w:p>
        </w:tc>
      </w:tr>
    </w:tbl>
    <w:p>
      <w:pPr>
        <w:pStyle w:val="20"/>
        <w:rPr>
          <w:rFonts w:hint="default"/>
          <w:color w:val="auto"/>
          <w:lang w:val="en-US" w:eastAsia="zh-CN"/>
        </w:rPr>
      </w:pPr>
      <w:r>
        <w:rPr>
          <w:rFonts w:hint="eastAsia"/>
          <w:color w:val="auto"/>
          <w:lang w:eastAsia="zh-CN"/>
        </w:rPr>
        <w:t>表</w:t>
      </w:r>
      <w:r>
        <w:rPr>
          <w:rFonts w:hint="eastAsia" w:ascii="Times New Roman" w:hAnsi="Times New Roman" w:cs="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s="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s="Times New Roman"/>
          <w:color w:val="auto"/>
          <w:lang w:val="en-US" w:eastAsia="zh-CN"/>
        </w:rPr>
        <w:t>8</w:t>
      </w:r>
      <w:r>
        <w:rPr>
          <w:rFonts w:hint="eastAsia"/>
          <w:color w:val="auto"/>
          <w:lang w:val="en-US" w:eastAsia="zh-CN"/>
        </w:rPr>
        <w:t xml:space="preserve">  </w:t>
      </w:r>
      <w:r>
        <w:rPr>
          <w:rFonts w:hint="eastAsia" w:cs="Times New Roman"/>
          <w:color w:val="auto"/>
          <w:lang w:val="en-US" w:eastAsia="zh-CN"/>
        </w:rPr>
        <w:t>本项目</w:t>
      </w:r>
      <w:r>
        <w:rPr>
          <w:rFonts w:hint="eastAsia"/>
          <w:color w:val="auto"/>
          <w:lang w:val="en-US" w:eastAsia="zh-CN"/>
        </w:rPr>
        <w:t>设计蒸汽需求量</w:t>
      </w:r>
    </w:p>
    <w:tbl>
      <w:tblPr>
        <w:tblStyle w:val="80"/>
        <w:tblW w:w="4999"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tblLayout w:type="autofit"/>
        <w:tblCellMar>
          <w:top w:w="0" w:type="dxa"/>
          <w:left w:w="0" w:type="dxa"/>
          <w:bottom w:w="0" w:type="dxa"/>
          <w:right w:w="0" w:type="dxa"/>
        </w:tblCellMar>
      </w:tblPr>
      <w:tblGrid>
        <w:gridCol w:w="2195"/>
        <w:gridCol w:w="1374"/>
        <w:gridCol w:w="2041"/>
        <w:gridCol w:w="1688"/>
        <w:gridCol w:w="168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tblCellMar>
            <w:top w:w="0" w:type="dxa"/>
            <w:left w:w="0" w:type="dxa"/>
            <w:bottom w:w="0" w:type="dxa"/>
            <w:right w:w="0" w:type="dxa"/>
          </w:tblCellMar>
        </w:tblPrEx>
        <w:trPr>
          <w:cantSplit/>
          <w:trHeight w:val="244" w:hRule="atLeast"/>
          <w:tblHeader/>
          <w:jc w:val="center"/>
        </w:trPr>
        <w:tc>
          <w:tcPr>
            <w:tcW w:w="1221" w:type="pct"/>
            <w:vMerge w:val="restart"/>
            <w:tcBorders>
              <w:top w:val="single" w:color="auto" w:sz="12"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r>
              <w:rPr>
                <w:color w:val="auto"/>
                <w:sz w:val="21"/>
                <w:szCs w:val="16"/>
                <w:lang w:val="en-US" w:eastAsia="zh-CN"/>
              </w:rPr>
              <w:t>名  称</w:t>
            </w:r>
          </w:p>
        </w:tc>
        <w:tc>
          <w:tcPr>
            <w:tcW w:w="1899" w:type="pct"/>
            <w:gridSpan w:val="2"/>
            <w:tcBorders>
              <w:top w:val="single" w:color="auto" w:sz="12"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r>
              <w:rPr>
                <w:color w:val="auto"/>
                <w:sz w:val="21"/>
                <w:szCs w:val="16"/>
                <w:lang w:val="en-US" w:eastAsia="zh-CN"/>
              </w:rPr>
              <w:t>耗量（</w:t>
            </w:r>
            <w:r>
              <w:rPr>
                <w:rFonts w:hint="eastAsia" w:ascii="Times New Roman" w:hAnsi="Times New Roman" w:cs="Times New Roman"/>
                <w:color w:val="auto"/>
                <w:sz w:val="21"/>
                <w:szCs w:val="16"/>
                <w:lang w:val="en-US" w:eastAsia="zh-CN"/>
              </w:rPr>
              <w:t>t</w:t>
            </w:r>
            <w:r>
              <w:rPr>
                <w:color w:val="auto"/>
                <w:sz w:val="21"/>
                <w:szCs w:val="16"/>
                <w:lang w:val="en-US" w:eastAsia="zh-CN"/>
              </w:rPr>
              <w:t>/</w:t>
            </w:r>
            <w:r>
              <w:rPr>
                <w:rFonts w:ascii="Times New Roman" w:hAnsi="Times New Roman" w:cs="Times New Roman"/>
                <w:color w:val="auto"/>
                <w:sz w:val="21"/>
                <w:szCs w:val="16"/>
                <w:lang w:val="en-US" w:eastAsia="zh-CN"/>
              </w:rPr>
              <w:t>h</w:t>
            </w:r>
            <w:r>
              <w:rPr>
                <w:color w:val="auto"/>
                <w:sz w:val="21"/>
                <w:szCs w:val="16"/>
                <w:lang w:val="en-US" w:eastAsia="zh-CN"/>
              </w:rPr>
              <w:t>）</w:t>
            </w:r>
          </w:p>
        </w:tc>
        <w:tc>
          <w:tcPr>
            <w:tcW w:w="939" w:type="pct"/>
            <w:vMerge w:val="restart"/>
            <w:tcBorders>
              <w:top w:val="single" w:color="auto" w:sz="12"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r>
              <w:rPr>
                <w:color w:val="auto"/>
                <w:sz w:val="21"/>
                <w:szCs w:val="16"/>
                <w:lang w:val="en-US" w:eastAsia="zh-CN"/>
              </w:rPr>
              <w:t>压力（</w:t>
            </w:r>
            <w:r>
              <w:rPr>
                <w:rFonts w:ascii="Times New Roman" w:hAnsi="Times New Roman" w:cs="Times New Roman"/>
                <w:color w:val="auto"/>
                <w:sz w:val="21"/>
                <w:szCs w:val="16"/>
                <w:lang w:val="en-US" w:eastAsia="zh-CN"/>
              </w:rPr>
              <w:t>MPaG</w:t>
            </w:r>
            <w:r>
              <w:rPr>
                <w:color w:val="auto"/>
                <w:sz w:val="21"/>
                <w:szCs w:val="16"/>
                <w:lang w:val="en-US" w:eastAsia="zh-CN"/>
              </w:rPr>
              <w:t>）</w:t>
            </w:r>
          </w:p>
        </w:tc>
        <w:tc>
          <w:tcPr>
            <w:tcW w:w="939" w:type="pct"/>
            <w:vMerge w:val="restart"/>
            <w:tcBorders>
              <w:top w:val="single" w:color="auto" w:sz="12"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r>
              <w:rPr>
                <w:rFonts w:hint="eastAsia"/>
                <w:color w:val="auto"/>
                <w:sz w:val="21"/>
                <w:szCs w:val="16"/>
                <w:lang w:val="en-US" w:eastAsia="zh-CN"/>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tblCellMar>
            <w:top w:w="0" w:type="dxa"/>
            <w:left w:w="0" w:type="dxa"/>
            <w:bottom w:w="0" w:type="dxa"/>
            <w:right w:w="0" w:type="dxa"/>
          </w:tblCellMar>
        </w:tblPrEx>
        <w:trPr>
          <w:cantSplit/>
          <w:trHeight w:val="144" w:hRule="atLeast"/>
          <w:tblHeader/>
          <w:jc w:val="center"/>
        </w:trPr>
        <w:tc>
          <w:tcPr>
            <w:tcW w:w="1221" w:type="pct"/>
            <w:vMerge w:val="continue"/>
            <w:tcBorders>
              <w:top w:val="single" w:color="auto" w:sz="4"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p>
        </w:tc>
        <w:tc>
          <w:tcPr>
            <w:tcW w:w="764"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r>
              <w:rPr>
                <w:color w:val="auto"/>
                <w:sz w:val="21"/>
                <w:szCs w:val="16"/>
                <w:lang w:val="en-US" w:eastAsia="zh-CN"/>
              </w:rPr>
              <w:t>平均</w:t>
            </w:r>
          </w:p>
        </w:tc>
        <w:tc>
          <w:tcPr>
            <w:tcW w:w="1135"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r>
              <w:rPr>
                <w:color w:val="auto"/>
                <w:sz w:val="21"/>
                <w:szCs w:val="16"/>
                <w:lang w:val="en-US" w:eastAsia="zh-CN"/>
              </w:rPr>
              <w:t>最大</w:t>
            </w:r>
          </w:p>
        </w:tc>
        <w:tc>
          <w:tcPr>
            <w:tcW w:w="939" w:type="pct"/>
            <w:vMerge w:val="continue"/>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p>
        </w:tc>
        <w:tc>
          <w:tcPr>
            <w:tcW w:w="939" w:type="pct"/>
            <w:vMerge w:val="continue"/>
            <w:tcBorders>
              <w:top w:val="single" w:color="auto" w:sz="4"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color w:val="auto"/>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tblCellMar>
            <w:top w:w="0" w:type="dxa"/>
            <w:left w:w="0" w:type="dxa"/>
            <w:bottom w:w="0" w:type="dxa"/>
            <w:right w:w="0" w:type="dxa"/>
          </w:tblCellMar>
        </w:tblPrEx>
        <w:trPr>
          <w:cantSplit/>
          <w:trHeight w:val="65" w:hRule="atLeast"/>
          <w:jc w:val="center"/>
        </w:trPr>
        <w:tc>
          <w:tcPr>
            <w:tcW w:w="1221" w:type="pct"/>
            <w:tcBorders>
              <w:top w:val="single" w:color="auto" w:sz="4"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rPr>
            </w:pPr>
            <w:r>
              <w:rPr>
                <w:color w:val="auto"/>
                <w:sz w:val="21"/>
                <w:szCs w:val="16"/>
              </w:rPr>
              <w:t>饱和蒸汽</w:t>
            </w:r>
          </w:p>
        </w:tc>
        <w:tc>
          <w:tcPr>
            <w:tcW w:w="764"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5</w:t>
            </w:r>
          </w:p>
        </w:tc>
        <w:tc>
          <w:tcPr>
            <w:tcW w:w="1135"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6</w:t>
            </w:r>
          </w:p>
        </w:tc>
        <w:tc>
          <w:tcPr>
            <w:tcW w:w="939"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rPr>
            </w:pPr>
            <w:r>
              <w:rPr>
                <w:rFonts w:ascii="Times New Roman" w:hAnsi="Times New Roman" w:cs="Times New Roman"/>
                <w:color w:val="auto"/>
                <w:sz w:val="21"/>
                <w:szCs w:val="16"/>
              </w:rPr>
              <w:t>0</w:t>
            </w:r>
            <w:r>
              <w:rPr>
                <w:color w:val="auto"/>
                <w:sz w:val="21"/>
                <w:szCs w:val="16"/>
              </w:rPr>
              <w:t>.</w:t>
            </w:r>
            <w:r>
              <w:rPr>
                <w:rFonts w:ascii="Times New Roman" w:hAnsi="Times New Roman" w:cs="Times New Roman"/>
                <w:color w:val="auto"/>
                <w:sz w:val="21"/>
                <w:szCs w:val="16"/>
              </w:rPr>
              <w:t>6</w:t>
            </w:r>
          </w:p>
        </w:tc>
        <w:tc>
          <w:tcPr>
            <w:tcW w:w="939" w:type="pct"/>
            <w:tcBorders>
              <w:top w:val="single" w:color="auto" w:sz="4"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eastAsia" w:ascii="Times New Roman" w:hAnsi="Times New Roman" w:eastAsia="宋体" w:cs="Times New Roman"/>
                <w:color w:val="auto"/>
                <w:sz w:val="21"/>
                <w:szCs w:val="16"/>
                <w:lang w:eastAsia="zh-CN"/>
              </w:rPr>
            </w:pPr>
            <w:r>
              <w:rPr>
                <w:rFonts w:hint="eastAsia" w:ascii="Times New Roman" w:hAnsi="Times New Roman" w:cs="Times New Roman"/>
                <w:color w:val="auto"/>
                <w:sz w:val="21"/>
                <w:szCs w:val="16"/>
                <w:lang w:eastAsia="zh-CN"/>
              </w:rPr>
              <w:t>工艺装置加热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tblCellMar>
            <w:top w:w="0" w:type="dxa"/>
            <w:left w:w="0" w:type="dxa"/>
            <w:bottom w:w="0" w:type="dxa"/>
            <w:right w:w="0" w:type="dxa"/>
          </w:tblCellMar>
        </w:tblPrEx>
        <w:trPr>
          <w:cantSplit/>
          <w:jc w:val="center"/>
        </w:trPr>
        <w:tc>
          <w:tcPr>
            <w:tcW w:w="1221" w:type="pct"/>
            <w:tcBorders>
              <w:top w:val="single" w:color="auto" w:sz="4"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color w:val="auto"/>
                <w:sz w:val="21"/>
                <w:szCs w:val="16"/>
              </w:rPr>
            </w:pPr>
            <w:r>
              <w:rPr>
                <w:color w:val="auto"/>
                <w:sz w:val="21"/>
                <w:szCs w:val="16"/>
              </w:rPr>
              <w:t>饱和蒸汽</w:t>
            </w:r>
          </w:p>
        </w:tc>
        <w:tc>
          <w:tcPr>
            <w:tcW w:w="764"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5</w:t>
            </w:r>
          </w:p>
        </w:tc>
        <w:tc>
          <w:tcPr>
            <w:tcW w:w="1135"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53</w:t>
            </w:r>
          </w:p>
        </w:tc>
        <w:tc>
          <w:tcPr>
            <w:tcW w:w="939" w:type="pct"/>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ascii="Times New Roman" w:hAnsi="Times New Roman" w:cs="Times New Roman"/>
                <w:color w:val="auto"/>
                <w:sz w:val="21"/>
                <w:szCs w:val="16"/>
              </w:rPr>
              <w:t>0</w:t>
            </w:r>
            <w:r>
              <w:rPr>
                <w:color w:val="auto"/>
                <w:sz w:val="21"/>
                <w:szCs w:val="16"/>
              </w:rPr>
              <w:t>.</w:t>
            </w:r>
            <w:r>
              <w:rPr>
                <w:rFonts w:hint="eastAsia" w:ascii="Times New Roman" w:hAnsi="Times New Roman" w:cs="Times New Roman"/>
                <w:color w:val="auto"/>
                <w:sz w:val="21"/>
                <w:szCs w:val="16"/>
                <w:lang w:val="en-US" w:eastAsia="zh-CN"/>
              </w:rPr>
              <w:t>3</w:t>
            </w:r>
          </w:p>
        </w:tc>
        <w:tc>
          <w:tcPr>
            <w:tcW w:w="939" w:type="pct"/>
            <w:tcBorders>
              <w:top w:val="single" w:color="auto" w:sz="4"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eastAsia" w:ascii="Times New Roman" w:hAnsi="Times New Roman" w:eastAsia="宋体" w:cs="Times New Roman"/>
                <w:color w:val="auto"/>
                <w:sz w:val="21"/>
                <w:szCs w:val="16"/>
                <w:lang w:eastAsia="zh-CN"/>
              </w:rPr>
            </w:pPr>
            <w:r>
              <w:rPr>
                <w:rFonts w:hint="eastAsia" w:ascii="Times New Roman" w:hAnsi="Times New Roman" w:cs="Times New Roman"/>
                <w:color w:val="auto"/>
                <w:sz w:val="21"/>
                <w:szCs w:val="16"/>
                <w:lang w:eastAsia="zh-CN"/>
              </w:rPr>
              <w:t>管道吹扫</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4" w:space="0"/>
          </w:tblBorders>
          <w:tblCellMar>
            <w:top w:w="0" w:type="dxa"/>
            <w:left w:w="0" w:type="dxa"/>
            <w:bottom w:w="0" w:type="dxa"/>
            <w:right w:w="0" w:type="dxa"/>
          </w:tblCellMar>
        </w:tblPrEx>
        <w:trPr>
          <w:cantSplit/>
          <w:jc w:val="center"/>
        </w:trPr>
        <w:tc>
          <w:tcPr>
            <w:tcW w:w="1221" w:type="pct"/>
            <w:tcBorders>
              <w:top w:val="single" w:color="auto" w:sz="4" w:space="0"/>
              <w:left w:val="single" w:color="auto" w:sz="12" w:space="0"/>
              <w:bottom w:val="single" w:color="auto" w:sz="12" w:space="0"/>
              <w:right w:val="single" w:color="auto" w:sz="4" w:space="0"/>
            </w:tcBorders>
            <w:vAlign w:val="center"/>
          </w:tcPr>
          <w:p>
            <w:pPr>
              <w:widowControl w:val="0"/>
              <w:wordWrap/>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饱和蒸汽</w:t>
            </w:r>
          </w:p>
        </w:tc>
        <w:tc>
          <w:tcPr>
            <w:tcW w:w="764" w:type="pct"/>
            <w:tcBorders>
              <w:top w:val="single" w:color="auto" w:sz="4" w:space="0"/>
              <w:left w:val="single" w:color="auto" w:sz="4" w:space="0"/>
              <w:bottom w:val="single" w:color="auto" w:sz="12"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1</w:t>
            </w:r>
          </w:p>
        </w:tc>
        <w:tc>
          <w:tcPr>
            <w:tcW w:w="1135" w:type="pct"/>
            <w:tcBorders>
              <w:top w:val="single" w:color="auto" w:sz="4" w:space="0"/>
              <w:left w:val="single" w:color="auto" w:sz="4" w:space="0"/>
              <w:bottom w:val="single" w:color="auto" w:sz="12"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1</w:t>
            </w:r>
          </w:p>
        </w:tc>
        <w:tc>
          <w:tcPr>
            <w:tcW w:w="939" w:type="pct"/>
            <w:tcBorders>
              <w:top w:val="single" w:color="auto" w:sz="4" w:space="0"/>
              <w:left w:val="single" w:color="auto" w:sz="4" w:space="0"/>
              <w:bottom w:val="single" w:color="auto" w:sz="12" w:space="0"/>
              <w:right w:val="single" w:color="auto" w:sz="4" w:space="0"/>
            </w:tcBorders>
            <w:vAlign w:val="center"/>
          </w:tcPr>
          <w:p>
            <w:pPr>
              <w:widowControl w:val="0"/>
              <w:wordWrap/>
              <w:adjustRightInd/>
              <w:snapToGrid/>
              <w:spacing w:line="240" w:lineRule="auto"/>
              <w:ind w:firstLine="0"/>
              <w:jc w:val="center"/>
              <w:textAlignment w:val="auto"/>
              <w:rPr>
                <w:rFonts w:hint="default" w:ascii="Times New Roman" w:hAnsi="Times New Roman" w:eastAsia="宋体" w:cs="Times New Roman"/>
                <w:color w:val="auto"/>
                <w:sz w:val="21"/>
                <w:szCs w:val="16"/>
                <w:lang w:val="en-US" w:eastAsia="zh-CN"/>
              </w:rPr>
            </w:pPr>
            <w:r>
              <w:rPr>
                <w:rFonts w:hint="eastAsia" w:ascii="Times New Roman" w:hAnsi="Times New Roman" w:cs="Times New Roman"/>
                <w:color w:val="auto"/>
                <w:sz w:val="21"/>
                <w:szCs w:val="16"/>
                <w:lang w:val="en-US" w:eastAsia="zh-CN"/>
              </w:rPr>
              <w:t>0</w:t>
            </w:r>
            <w:r>
              <w:rPr>
                <w:rFonts w:hint="eastAsia" w:ascii="Times New Roman" w:hAnsi="Times New Roman" w:cs="Times New Roman"/>
                <w:color w:val="auto"/>
                <w:sz w:val="21"/>
                <w:szCs w:val="16"/>
                <w:lang w:val="en-US" w:eastAsia="zh-CN"/>
              </w:rPr>
              <w:t>.</w:t>
            </w:r>
            <w:r>
              <w:rPr>
                <w:rFonts w:hint="eastAsia" w:ascii="Times New Roman" w:hAnsi="Times New Roman" w:cs="Times New Roman"/>
                <w:color w:val="auto"/>
                <w:sz w:val="21"/>
                <w:szCs w:val="16"/>
                <w:lang w:val="en-US" w:eastAsia="zh-CN"/>
              </w:rPr>
              <w:t>15</w:t>
            </w:r>
          </w:p>
        </w:tc>
        <w:tc>
          <w:tcPr>
            <w:tcW w:w="939" w:type="pct"/>
            <w:tcBorders>
              <w:top w:val="single" w:color="auto" w:sz="4" w:space="0"/>
              <w:left w:val="single" w:color="auto" w:sz="4" w:space="0"/>
              <w:bottom w:val="single" w:color="auto" w:sz="12" w:space="0"/>
              <w:right w:val="single" w:color="auto" w:sz="12" w:space="0"/>
            </w:tcBorders>
            <w:vAlign w:val="center"/>
          </w:tcPr>
          <w:p>
            <w:pPr>
              <w:widowControl w:val="0"/>
              <w:wordWrap/>
              <w:adjustRightInd/>
              <w:snapToGrid/>
              <w:spacing w:line="240" w:lineRule="auto"/>
              <w:ind w:firstLine="0"/>
              <w:jc w:val="center"/>
              <w:textAlignment w:val="auto"/>
              <w:rPr>
                <w:rFonts w:hint="eastAsia" w:ascii="Times New Roman" w:hAnsi="Times New Roman" w:cs="Times New Roman"/>
                <w:color w:val="auto"/>
                <w:sz w:val="21"/>
                <w:szCs w:val="16"/>
                <w:lang w:eastAsia="zh-CN"/>
              </w:rPr>
            </w:pPr>
            <w:r>
              <w:rPr>
                <w:rFonts w:hint="eastAsia" w:ascii="Times New Roman" w:hAnsi="Times New Roman" w:cs="Times New Roman"/>
                <w:color w:val="auto"/>
                <w:sz w:val="21"/>
                <w:szCs w:val="16"/>
                <w:lang w:eastAsia="zh-CN"/>
              </w:rPr>
              <w:t>新增采暖</w:t>
            </w:r>
          </w:p>
        </w:tc>
      </w:tr>
    </w:tbl>
    <w:p>
      <w:pPr>
        <w:bidi w:val="0"/>
        <w:rPr>
          <w:rFonts w:hint="default" w:eastAsia="宋体"/>
          <w:lang w:val="en-US" w:eastAsia="zh-CN"/>
        </w:rPr>
      </w:pPr>
      <w:r>
        <w:rPr>
          <w:rFonts w:hint="eastAsia"/>
          <w:lang w:eastAsia="zh-CN"/>
        </w:rPr>
        <w:t>现有工程锅炉最大供汽量为</w:t>
      </w:r>
      <w:r>
        <w:rPr>
          <w:rFonts w:hint="eastAsia" w:ascii="Times New Roman" w:hAnsi="Times New Roman"/>
          <w:lang w:val="en-US" w:eastAsia="zh-CN"/>
        </w:rPr>
        <w:t>300t</w:t>
      </w:r>
      <w:r>
        <w:rPr>
          <w:rFonts w:hint="eastAsia"/>
          <w:lang w:val="en-US" w:eastAsia="zh-CN"/>
        </w:rPr>
        <w:t>/</w:t>
      </w:r>
      <w:r>
        <w:rPr>
          <w:rFonts w:hint="eastAsia" w:ascii="Times New Roman" w:hAnsi="Times New Roman"/>
          <w:lang w:val="en-US" w:eastAsia="zh-CN"/>
        </w:rPr>
        <w:t>h</w:t>
      </w:r>
      <w:r>
        <w:rPr>
          <w:rFonts w:hint="eastAsia"/>
          <w:lang w:val="en-US" w:eastAsia="zh-CN"/>
        </w:rPr>
        <w:t>，现有工程</w:t>
      </w:r>
      <w:r>
        <w:rPr>
          <w:rFonts w:hint="eastAsia"/>
          <w:lang w:eastAsia="zh-CN"/>
        </w:rPr>
        <w:t>最大用汽量</w:t>
      </w:r>
      <w:r>
        <w:rPr>
          <w:rFonts w:hint="eastAsia" w:ascii="Times New Roman" w:hAnsi="Times New Roman"/>
          <w:lang w:val="en-US" w:eastAsia="zh-CN"/>
        </w:rPr>
        <w:t>266</w:t>
      </w:r>
      <w:r>
        <w:rPr>
          <w:rFonts w:hint="eastAsia"/>
          <w:lang w:val="en-US" w:eastAsia="zh-CN"/>
        </w:rPr>
        <w:t>.</w:t>
      </w:r>
      <w:r>
        <w:rPr>
          <w:rFonts w:hint="eastAsia" w:ascii="Times New Roman" w:hAnsi="Times New Roman"/>
          <w:lang w:val="en-US" w:eastAsia="zh-CN"/>
        </w:rPr>
        <w:t>6t</w:t>
      </w:r>
      <w:r>
        <w:rPr>
          <w:rFonts w:hint="eastAsia"/>
          <w:lang w:val="en-US" w:eastAsia="zh-CN"/>
        </w:rPr>
        <w:t>/</w:t>
      </w:r>
      <w:r>
        <w:rPr>
          <w:rFonts w:hint="eastAsia" w:ascii="Times New Roman" w:hAnsi="Times New Roman"/>
          <w:lang w:val="en-US" w:eastAsia="zh-CN"/>
        </w:rPr>
        <w:t>h</w:t>
      </w:r>
      <w:r>
        <w:rPr>
          <w:rFonts w:hint="eastAsia"/>
          <w:lang w:val="en-US" w:eastAsia="zh-CN"/>
        </w:rPr>
        <w:t>，富余蒸汽量</w:t>
      </w:r>
      <w:r>
        <w:rPr>
          <w:rFonts w:hint="eastAsia" w:ascii="Times New Roman" w:hAnsi="Times New Roman"/>
          <w:lang w:val="en-US" w:eastAsia="zh-CN"/>
        </w:rPr>
        <w:t>33</w:t>
      </w:r>
      <w:r>
        <w:rPr>
          <w:rFonts w:hint="eastAsia"/>
          <w:lang w:val="en-US" w:eastAsia="zh-CN"/>
        </w:rPr>
        <w:t>.</w:t>
      </w:r>
      <w:r>
        <w:rPr>
          <w:rFonts w:hint="eastAsia" w:ascii="Times New Roman" w:hAnsi="Times New Roman"/>
          <w:lang w:val="en-US" w:eastAsia="zh-CN"/>
        </w:rPr>
        <w:t>4t</w:t>
      </w:r>
      <w:r>
        <w:rPr>
          <w:rFonts w:hint="eastAsia"/>
          <w:lang w:val="en-US" w:eastAsia="zh-CN"/>
        </w:rPr>
        <w:t>/</w:t>
      </w:r>
      <w:r>
        <w:rPr>
          <w:rFonts w:hint="eastAsia" w:ascii="Times New Roman" w:hAnsi="Times New Roman"/>
          <w:lang w:val="en-US" w:eastAsia="zh-CN"/>
        </w:rPr>
        <w:t>h</w:t>
      </w:r>
      <w:r>
        <w:rPr>
          <w:rFonts w:hint="eastAsia"/>
          <w:lang w:val="en-US" w:eastAsia="zh-CN"/>
        </w:rPr>
        <w:t>，而本项目蒸汽需求量最大为</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23t</w:t>
      </w:r>
      <w:r>
        <w:rPr>
          <w:rFonts w:hint="eastAsia"/>
          <w:lang w:val="en-US" w:eastAsia="zh-CN"/>
        </w:rPr>
        <w:t>/</w:t>
      </w:r>
      <w:r>
        <w:rPr>
          <w:rFonts w:hint="eastAsia" w:ascii="Times New Roman" w:hAnsi="Times New Roman"/>
          <w:lang w:val="en-US" w:eastAsia="zh-CN"/>
        </w:rPr>
        <w:t>h</w:t>
      </w:r>
      <w:r>
        <w:rPr>
          <w:rFonts w:hint="eastAsia"/>
          <w:lang w:val="en-US" w:eastAsia="zh-CN"/>
        </w:rPr>
        <w:t>。因此在不考虑本项目实施后，聚合单元负荷将相应下降的情况下，现有工程锅炉供汽可满足本项目的需求。</w:t>
      </w:r>
    </w:p>
    <w:p>
      <w:pPr>
        <w:bidi w:val="0"/>
        <w:rPr>
          <w:rFonts w:hint="default" w:eastAsia="宋体"/>
          <w:lang w:val="en-US" w:eastAsia="zh-CN"/>
        </w:rPr>
      </w:pPr>
      <w:r>
        <w:rPr>
          <w:rFonts w:hint="eastAsia"/>
          <w:lang w:eastAsia="zh-CN"/>
        </w:rPr>
        <w:t>本项目工艺装置凝液全部回收至蒸汽锅炉除氧器，本项目设置架空管道，设置压力机流量计量及监控仪表。本项目蒸汽平衡图见图</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w:t>
      </w:r>
    </w:p>
    <w:p>
      <w:pPr>
        <w:pStyle w:val="20"/>
        <w:bidi w:val="0"/>
        <w:rPr>
          <w:rFonts w:hint="default"/>
          <w:lang w:val="en-US" w:eastAsia="zh-CN"/>
        </w:rPr>
      </w:pPr>
      <w:r>
        <w:rPr>
          <w:rFonts w:hint="eastAsia"/>
          <w:lang w:eastAsia="zh-CN"/>
        </w:rPr>
        <w:object>
          <v:shape id="_x0000_i1035" o:spt="75" type="#_x0000_t75" style="height:120pt;width:447.75pt;" o:ole="t" filled="f" o:preferrelative="t" stroked="f" coordsize="21600,21600">
            <v:path/>
            <v:fill on="f" focussize="0,0"/>
            <v:stroke on="f"/>
            <v:imagedata r:id="rId49" o:title=""/>
            <o:lock v:ext="edit" aspectratio="f"/>
            <w10:wrap type="none"/>
            <w10:anchorlock/>
          </v:shape>
          <o:OLEObject Type="Embed" ProgID="Visio.Drawing.11" ShapeID="_x0000_i1035" DrawAspect="Content" ObjectID="_1468075738" r:id="rId48">
            <o:LockedField>false</o:LockedField>
          </o:OLEObject>
        </w:object>
      </w:r>
      <w:r>
        <w:rPr>
          <w:rFonts w:hint="eastAsia"/>
          <w:lang w:eastAsia="zh-CN"/>
        </w:rPr>
        <w:t>图</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 xml:space="preserve">  本项目蒸汽平衡图</w:t>
      </w:r>
    </w:p>
    <w:p>
      <w:pPr>
        <w:pStyle w:val="6"/>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3</w:t>
      </w:r>
      <w:r>
        <w:rPr>
          <w:rFonts w:hint="eastAsia"/>
        </w:rPr>
        <w:t>.</w:t>
      </w:r>
      <w:r>
        <w:rPr>
          <w:rFonts w:hint="eastAsia" w:ascii="Times New Roman" w:hAnsi="Times New Roman"/>
          <w:lang w:val="en-US" w:eastAsia="zh-CN"/>
        </w:rPr>
        <w:t>4</w:t>
      </w:r>
      <w:r>
        <w:rPr>
          <w:rFonts w:hint="eastAsia"/>
        </w:rPr>
        <w:t>采暖及通风</w:t>
      </w:r>
    </w:p>
    <w:p>
      <w:pPr>
        <w:spacing w:line="440" w:lineRule="exact"/>
        <w:rPr>
          <w:rFonts w:hint="eastAsia"/>
        </w:rPr>
      </w:pPr>
      <w:r>
        <w:rPr>
          <w:rFonts w:hint="eastAsia"/>
        </w:rPr>
        <w:t>本项目采暖依托蒸汽管网</w:t>
      </w:r>
      <w:r>
        <w:rPr>
          <w:rFonts w:hint="eastAsia" w:ascii="Times New Roman" w:hAnsi="Times New Roman"/>
        </w:rPr>
        <w:t>0</w:t>
      </w:r>
      <w:r>
        <w:rPr>
          <w:rFonts w:hint="eastAsia"/>
        </w:rPr>
        <w:t>.</w:t>
      </w:r>
      <w:r>
        <w:rPr>
          <w:rFonts w:hint="eastAsia" w:ascii="Times New Roman" w:hAnsi="Times New Roman"/>
        </w:rPr>
        <w:t>3MPa</w:t>
      </w:r>
      <w:r>
        <w:rPr>
          <w:rFonts w:hint="eastAsia"/>
        </w:rPr>
        <w:t>（</w:t>
      </w:r>
      <w:r>
        <w:rPr>
          <w:rFonts w:hint="eastAsia" w:ascii="Times New Roman" w:hAnsi="Times New Roman"/>
        </w:rPr>
        <w:t>G</w:t>
      </w:r>
      <w:r>
        <w:rPr>
          <w:rFonts w:hint="eastAsia"/>
        </w:rPr>
        <w:t xml:space="preserve">）饱和蒸汽，减温减压为 </w:t>
      </w:r>
      <w:r>
        <w:rPr>
          <w:rFonts w:hint="eastAsia" w:ascii="Times New Roman" w:hAnsi="Times New Roman"/>
        </w:rPr>
        <w:t>0</w:t>
      </w:r>
      <w:r>
        <w:rPr>
          <w:rFonts w:hint="eastAsia"/>
        </w:rPr>
        <w:t>.</w:t>
      </w:r>
      <w:r>
        <w:rPr>
          <w:rFonts w:hint="eastAsia" w:ascii="Times New Roman" w:hAnsi="Times New Roman"/>
        </w:rPr>
        <w:t>15MPa</w:t>
      </w:r>
      <w:r>
        <w:rPr>
          <w:rFonts w:hint="eastAsia"/>
        </w:rPr>
        <w:t>（</w:t>
      </w:r>
      <w:r>
        <w:rPr>
          <w:rFonts w:hint="eastAsia" w:ascii="Times New Roman" w:hAnsi="Times New Roman"/>
        </w:rPr>
        <w:t>G</w:t>
      </w:r>
      <w:r>
        <w:rPr>
          <w:rFonts w:hint="eastAsia"/>
        </w:rPr>
        <w:t>）温度</w:t>
      </w:r>
      <w:r>
        <w:rPr>
          <w:rFonts w:hint="eastAsia" w:ascii="Times New Roman" w:hAnsi="Times New Roman"/>
        </w:rPr>
        <w:t>127</w:t>
      </w:r>
      <w:r>
        <w:rPr>
          <w:rFonts w:hint="eastAsia"/>
        </w:rPr>
        <w:t>℃饱和蒸汽供采暖。</w:t>
      </w:r>
    </w:p>
    <w:p>
      <w:pPr>
        <w:spacing w:line="440" w:lineRule="exact"/>
      </w:pPr>
      <w:r>
        <w:rPr>
          <w:rFonts w:hint="eastAsia"/>
          <w:lang w:eastAsia="zh-CN"/>
        </w:rPr>
        <w:t>本项目</w:t>
      </w:r>
      <w:r>
        <w:rPr>
          <w:rFonts w:hint="eastAsia"/>
        </w:rPr>
        <w:t>通风以自然通风为主，当自然通风不能满足环境要求时，设置机械通风。对散发爆炸危险介质的建筑，选择通风设备时，使用防爆风机，以防发生危险。通风、空调风管穿防火分区、楼板及通风设备机房处设</w:t>
      </w:r>
      <w:r>
        <w:rPr>
          <w:rFonts w:hint="eastAsia" w:ascii="Times New Roman" w:hAnsi="Times New Roman"/>
        </w:rPr>
        <w:t>70</w:t>
      </w:r>
      <w:r>
        <w:rPr>
          <w:rFonts w:hint="eastAsia"/>
        </w:rPr>
        <w:t xml:space="preserve">℃防火阀。当风管内温度超过 </w:t>
      </w:r>
      <w:r>
        <w:rPr>
          <w:rFonts w:hint="eastAsia" w:ascii="Times New Roman" w:hAnsi="Times New Roman"/>
        </w:rPr>
        <w:t>70</w:t>
      </w:r>
      <w:r>
        <w:rPr>
          <w:rFonts w:hint="eastAsia"/>
        </w:rPr>
        <w:t>℃时，防火阀关闭，并联锁关闭相关通风，空调设备</w:t>
      </w:r>
      <w:r>
        <w:t>。</w:t>
      </w:r>
    </w:p>
    <w:p>
      <w:pPr>
        <w:pStyle w:val="6"/>
        <w:bidi w:val="0"/>
        <w:rPr>
          <w:rFonts w:hint="eastAsia"/>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5</w:t>
      </w:r>
      <w:r>
        <w:rPr>
          <w:rFonts w:hint="eastAsia"/>
          <w:lang w:val="en-US" w:eastAsia="zh-CN"/>
        </w:rPr>
        <w:t>自控及仪表</w:t>
      </w:r>
    </w:p>
    <w:p>
      <w:pPr>
        <w:bidi w:val="0"/>
        <w:rPr>
          <w:rFonts w:hint="eastAsia" w:eastAsia="宋体"/>
          <w:lang w:eastAsia="zh-CN"/>
        </w:rPr>
      </w:pPr>
      <w:r>
        <w:rPr>
          <w:rFonts w:hint="eastAsia"/>
          <w:lang w:eastAsia="zh-CN"/>
        </w:rPr>
        <w:t>本项目</w:t>
      </w:r>
      <w:r>
        <w:t>采用分散控制系统（</w:t>
      </w:r>
      <w:r>
        <w:rPr>
          <w:rFonts w:ascii="Times New Roman" w:hAnsi="Times New Roman"/>
        </w:rPr>
        <w:t>DCS</w:t>
      </w:r>
      <w:r>
        <w:t>）进行自动控制，</w:t>
      </w:r>
      <w:r>
        <w:rPr>
          <w:rFonts w:hint="eastAsia"/>
          <w:lang w:eastAsia="zh-CN"/>
        </w:rPr>
        <w:t>实现对装置的工艺参数进行监视、报警、过程控制和装置安全连锁、紧急停车的控制。本项目控制室依托现有工程的控制室。</w:t>
      </w:r>
      <w:r>
        <w:t>仪表系统备用电源和备用气源应满足规范要求</w:t>
      </w:r>
      <w:r>
        <w:rPr>
          <w:rFonts w:hint="eastAsia"/>
          <w:lang w:eastAsia="zh-CN"/>
        </w:rPr>
        <w:t>，</w:t>
      </w:r>
      <w:r>
        <w:t>在有可能发生火灾或爆炸危险的区域内，设有火灾手动报警按钮，当人员发现可能发生事故时及时通知中央控制室、调度室或消防队。</w:t>
      </w:r>
    </w:p>
    <w:p>
      <w:pPr>
        <w:bidi w:val="0"/>
        <w:rPr>
          <w:rFonts w:hint="default" w:eastAsia="宋体"/>
          <w:lang w:val="en-US" w:eastAsia="zh-CN"/>
        </w:rPr>
      </w:pPr>
      <w:r>
        <w:rPr>
          <w:rFonts w:hint="eastAsia" w:ascii="Arial" w:hAnsi="Arial" w:eastAsia="宋体" w:cs="Arial"/>
          <w:color w:val="auto"/>
        </w:rPr>
        <w:t>本项目整个生产过程的操作及主要动设备的状态显示、停止操作均可在操作站上完成。采用</w:t>
      </w:r>
      <w:r>
        <w:rPr>
          <w:rFonts w:hint="eastAsia" w:ascii="Times New Roman" w:hAnsi="Times New Roman" w:eastAsia="宋体" w:cs="Times New Roman"/>
          <w:color w:val="auto"/>
        </w:rPr>
        <w:t>DCS</w:t>
      </w:r>
      <w:r>
        <w:rPr>
          <w:rFonts w:hint="eastAsia" w:ascii="Arial" w:hAnsi="Arial" w:eastAsia="宋体" w:cs="Arial"/>
          <w:color w:val="auto"/>
        </w:rPr>
        <w:t>集散控制系统对全厂的生产过程进行监视、控制。生产过程中的主要工艺参数将在操作站中进行显示、记录、报警，并通过控制系统进行调节、联锁、计算。对不重要的或不需要经常监视的工艺参数采用就地仪表指示。</w:t>
      </w:r>
    </w:p>
    <w:p>
      <w:pPr>
        <w:pStyle w:val="6"/>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6</w:t>
      </w:r>
      <w:r>
        <w:rPr>
          <w:rFonts w:hint="eastAsia"/>
          <w:lang w:val="en-US" w:eastAsia="zh-CN"/>
        </w:rPr>
        <w:t>消防</w:t>
      </w:r>
    </w:p>
    <w:p>
      <w:pPr>
        <w:bidi w:val="0"/>
        <w:rPr>
          <w:rFonts w:hint="eastAsia"/>
          <w:lang w:eastAsia="zh-CN"/>
        </w:rPr>
      </w:pPr>
      <w:r>
        <w:rPr>
          <w:rFonts w:hint="eastAsia"/>
          <w:lang w:eastAsia="zh-CN"/>
        </w:rPr>
        <w:t>本项目消防依托厂区已有消防给水系统。所在厂区已建有完善的消防给水系统，包括消防水池及泵房。消防泵房位于厂区中部，包括消防加压泵、稳压装置、消防水池及辅助设施。依托</w:t>
      </w:r>
      <w:r>
        <w:rPr>
          <w:rFonts w:hint="eastAsia"/>
          <w:lang w:val="en-US" w:eastAsia="zh-CN"/>
        </w:rPr>
        <w:t>现</w:t>
      </w:r>
      <w:r>
        <w:rPr>
          <w:rFonts w:hint="eastAsia"/>
          <w:color w:val="auto"/>
          <w:lang w:val="en-US" w:eastAsia="zh-CN"/>
        </w:rPr>
        <w:t>有</w:t>
      </w:r>
      <w:r>
        <w:rPr>
          <w:rFonts w:hint="eastAsia" w:ascii="Times New Roman" w:hAnsi="Times New Roman"/>
          <w:color w:val="auto"/>
          <w:lang w:eastAsia="zh-CN"/>
        </w:rPr>
        <w:t>3600m</w:t>
      </w:r>
      <w:r>
        <w:rPr>
          <w:rFonts w:hint="eastAsia"/>
          <w:color w:val="auto"/>
          <w:lang w:eastAsia="zh-CN"/>
        </w:rPr>
        <w:t>³消防水池提供消防用水。</w:t>
      </w:r>
      <w:r>
        <w:rPr>
          <w:rFonts w:hint="eastAsia"/>
          <w:lang w:eastAsia="zh-CN"/>
        </w:rPr>
        <w:t xml:space="preserve">消防泵房内消防设备包括：消防水泵 </w:t>
      </w:r>
      <w:r>
        <w:rPr>
          <w:rFonts w:hint="eastAsia" w:ascii="Times New Roman" w:hAnsi="Times New Roman"/>
          <w:lang w:eastAsia="zh-CN"/>
        </w:rPr>
        <w:t>3</w:t>
      </w:r>
      <w:r>
        <w:rPr>
          <w:rFonts w:hint="eastAsia"/>
          <w:lang w:eastAsia="zh-CN"/>
        </w:rPr>
        <w:t xml:space="preserve"> 台（</w:t>
      </w:r>
      <w:r>
        <w:rPr>
          <w:rFonts w:hint="eastAsia" w:ascii="Times New Roman" w:hAnsi="Times New Roman"/>
          <w:lang w:eastAsia="zh-CN"/>
        </w:rPr>
        <w:t>2</w:t>
      </w:r>
      <w:r>
        <w:rPr>
          <w:rFonts w:hint="eastAsia"/>
          <w:lang w:eastAsia="zh-CN"/>
        </w:rPr>
        <w:t>开</w:t>
      </w:r>
      <w:r>
        <w:rPr>
          <w:rFonts w:hint="eastAsia" w:ascii="Times New Roman" w:hAnsi="Times New Roman"/>
          <w:lang w:eastAsia="zh-CN"/>
        </w:rPr>
        <w:t>1</w:t>
      </w:r>
      <w:r>
        <w:rPr>
          <w:rFonts w:hint="eastAsia"/>
          <w:lang w:eastAsia="zh-CN"/>
        </w:rPr>
        <w:t>备），单泵流量</w:t>
      </w:r>
      <w:r>
        <w:rPr>
          <w:rFonts w:hint="eastAsia" w:ascii="Times New Roman" w:hAnsi="Times New Roman"/>
          <w:lang w:eastAsia="zh-CN"/>
        </w:rPr>
        <w:t>200L</w:t>
      </w:r>
      <w:r>
        <w:rPr>
          <w:rFonts w:hint="eastAsia"/>
          <w:lang w:eastAsia="zh-CN"/>
        </w:rPr>
        <w:t>/</w:t>
      </w:r>
      <w:r>
        <w:rPr>
          <w:rFonts w:hint="eastAsia" w:ascii="Times New Roman" w:hAnsi="Times New Roman"/>
          <w:lang w:eastAsia="zh-CN"/>
        </w:rPr>
        <w:t>S</w:t>
      </w:r>
      <w:r>
        <w:rPr>
          <w:rFonts w:hint="eastAsia"/>
          <w:lang w:eastAsia="zh-CN"/>
        </w:rPr>
        <w:t>、扬程</w:t>
      </w:r>
      <w:r>
        <w:rPr>
          <w:rFonts w:hint="eastAsia" w:ascii="Times New Roman" w:hAnsi="Times New Roman"/>
          <w:lang w:eastAsia="zh-CN"/>
        </w:rPr>
        <w:t>95m</w:t>
      </w:r>
      <w:r>
        <w:rPr>
          <w:rFonts w:hint="eastAsia"/>
          <w:lang w:eastAsia="zh-CN"/>
        </w:rPr>
        <w:t>；消防稳压泵</w:t>
      </w:r>
      <w:r>
        <w:rPr>
          <w:rFonts w:hint="eastAsia" w:ascii="Times New Roman" w:hAnsi="Times New Roman"/>
          <w:lang w:eastAsia="zh-CN"/>
        </w:rPr>
        <w:t>2</w:t>
      </w:r>
      <w:r>
        <w:rPr>
          <w:rFonts w:hint="eastAsia"/>
          <w:lang w:eastAsia="zh-CN"/>
        </w:rPr>
        <w:t>台（</w:t>
      </w:r>
      <w:r>
        <w:rPr>
          <w:rFonts w:hint="eastAsia" w:ascii="Times New Roman" w:hAnsi="Times New Roman"/>
          <w:lang w:eastAsia="zh-CN"/>
        </w:rPr>
        <w:t>1</w:t>
      </w:r>
      <w:r>
        <w:rPr>
          <w:rFonts w:hint="eastAsia"/>
          <w:lang w:eastAsia="zh-CN"/>
        </w:rPr>
        <w:t>开</w:t>
      </w:r>
      <w:r>
        <w:rPr>
          <w:rFonts w:hint="eastAsia" w:ascii="Times New Roman" w:hAnsi="Times New Roman"/>
          <w:lang w:eastAsia="zh-CN"/>
        </w:rPr>
        <w:t>1</w:t>
      </w:r>
      <w:r>
        <w:rPr>
          <w:rFonts w:hint="eastAsia"/>
          <w:lang w:eastAsia="zh-CN"/>
        </w:rPr>
        <w:t>备），单泵流量</w:t>
      </w:r>
      <w:r>
        <w:rPr>
          <w:rFonts w:hint="eastAsia" w:ascii="Times New Roman" w:hAnsi="Times New Roman"/>
          <w:lang w:eastAsia="zh-CN"/>
        </w:rPr>
        <w:t>5L</w:t>
      </w:r>
      <w:r>
        <w:rPr>
          <w:rFonts w:hint="eastAsia"/>
          <w:lang w:eastAsia="zh-CN"/>
        </w:rPr>
        <w:t>/</w:t>
      </w:r>
      <w:r>
        <w:rPr>
          <w:rFonts w:hint="eastAsia" w:ascii="Times New Roman" w:hAnsi="Times New Roman"/>
          <w:lang w:val="en-US" w:eastAsia="zh-CN"/>
        </w:rPr>
        <w:t>s</w:t>
      </w:r>
      <w:r>
        <w:rPr>
          <w:rFonts w:hint="eastAsia"/>
          <w:lang w:eastAsia="zh-CN"/>
        </w:rPr>
        <w:t>、扬程</w:t>
      </w:r>
      <w:r>
        <w:rPr>
          <w:rFonts w:hint="eastAsia" w:ascii="Times New Roman" w:hAnsi="Times New Roman"/>
          <w:lang w:eastAsia="zh-CN"/>
        </w:rPr>
        <w:t>105m</w:t>
      </w:r>
      <w:r>
        <w:rPr>
          <w:rFonts w:hint="eastAsia"/>
          <w:lang w:eastAsia="zh-CN"/>
        </w:rPr>
        <w:t>，稳压罐有效容积</w:t>
      </w:r>
      <w:r>
        <w:rPr>
          <w:rFonts w:hint="eastAsia" w:ascii="Times New Roman" w:hAnsi="Times New Roman"/>
          <w:lang w:eastAsia="zh-CN"/>
        </w:rPr>
        <w:t>0</w:t>
      </w:r>
      <w:r>
        <w:rPr>
          <w:rFonts w:hint="eastAsia"/>
          <w:lang w:eastAsia="zh-CN"/>
        </w:rPr>
        <w:t>.</w:t>
      </w:r>
      <w:r>
        <w:rPr>
          <w:rFonts w:hint="eastAsia" w:ascii="Times New Roman" w:hAnsi="Times New Roman"/>
          <w:lang w:eastAsia="zh-CN"/>
        </w:rPr>
        <w:t>4m</w:t>
      </w:r>
      <w:r>
        <w:rPr>
          <w:rFonts w:hint="eastAsia"/>
          <w:lang w:eastAsia="zh-CN"/>
        </w:rPr>
        <w:t>³。</w:t>
      </w:r>
    </w:p>
    <w:p>
      <w:pPr>
        <w:bidi w:val="0"/>
      </w:pPr>
      <w:r>
        <w:rPr>
          <w:rFonts w:hint="eastAsia"/>
          <w:lang w:eastAsia="zh-CN"/>
        </w:rPr>
        <w:t>本项目由装置区东侧路边现有消防管网南北侧各接出一支</w:t>
      </w:r>
      <w:r>
        <w:rPr>
          <w:rFonts w:hint="eastAsia" w:ascii="Times New Roman" w:hAnsi="Times New Roman"/>
          <w:lang w:eastAsia="zh-CN"/>
        </w:rPr>
        <w:t>DN300</w:t>
      </w:r>
      <w:r>
        <w:rPr>
          <w:rFonts w:hint="eastAsia"/>
          <w:lang w:eastAsia="zh-CN"/>
        </w:rPr>
        <w:t>消防管线，沿新建装置周围做环状消防给水管道，管材采用无缝钢管。在沿线布置室外消火栓，室外消火栓考虑防冻措施。另在新建装置区高大框架和设备群设置消防水炮保护。消防环状管道采用阀门分成若干独立段。室内依照规范设置消火栓。</w:t>
      </w:r>
    </w:p>
    <w:p>
      <w:pPr>
        <w:pStyle w:val="4"/>
        <w:spacing w:before="156" w:after="156"/>
        <w:rPr>
          <w:rFonts w:hint="eastAsia"/>
        </w:rPr>
      </w:pPr>
      <w:bookmarkStart w:id="113" w:name="_Toc13543"/>
      <w:bookmarkStart w:id="114" w:name="_Toc23817"/>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ascii="Times New Roman" w:hAnsi="Times New Roman"/>
        </w:rPr>
        <w:t>主要</w:t>
      </w:r>
      <w:r>
        <w:rPr>
          <w:rFonts w:hint="eastAsia"/>
        </w:rPr>
        <w:t>原辅材料及能耗情况</w:t>
      </w:r>
      <w:bookmarkEnd w:id="113"/>
      <w:bookmarkEnd w:id="114"/>
    </w:p>
    <w:p>
      <w:pPr>
        <w:pStyle w:val="5"/>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1</w:t>
      </w:r>
      <w:r>
        <w:rPr>
          <w:rFonts w:hint="eastAsia"/>
        </w:rPr>
        <w:t>原辅材料消耗及能耗情况</w:t>
      </w:r>
    </w:p>
    <w:p>
      <w:pPr>
        <w:spacing w:line="440" w:lineRule="exact"/>
        <w:rPr>
          <w:rFonts w:hint="eastAsia"/>
        </w:rPr>
      </w:pPr>
      <w:r>
        <w:rPr>
          <w:rFonts w:hint="eastAsia"/>
        </w:rPr>
        <w:t>本项目原辅材料消耗见表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1</w:t>
      </w:r>
      <w:r>
        <w:rPr>
          <w:rFonts w:hint="eastAsia"/>
        </w:rPr>
        <w:t>，公用工程消耗见表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2</w:t>
      </w:r>
      <w:r>
        <w:rPr>
          <w:rFonts w:hint="eastAsia"/>
        </w:rPr>
        <w:t>。</w:t>
      </w:r>
    </w:p>
    <w:p>
      <w:pPr>
        <w:spacing w:before="156" w:beforeLines="50" w:line="240" w:lineRule="auto"/>
        <w:ind w:right="79" w:rightChars="33" w:firstLine="422" w:firstLineChars="200"/>
        <w:jc w:val="center"/>
        <w:rPr>
          <w:rStyle w:val="97"/>
          <w:rFonts w:hint="eastAsia" w:ascii="Times New Roman" w:hAnsi="Times New Roman" w:cs="Times New Roman"/>
        </w:rPr>
      </w:pPr>
      <w:r>
        <w:rPr>
          <w:rStyle w:val="97"/>
          <w:rFonts w:hint="eastAsia"/>
        </w:rPr>
        <w:t>表</w:t>
      </w:r>
      <w:r>
        <w:rPr>
          <w:rStyle w:val="97"/>
          <w:rFonts w:hint="eastAsia" w:ascii="Times New Roman" w:hAnsi="Times New Roman" w:cs="Times New Roman"/>
          <w:lang w:val="en-US" w:eastAsia="zh-CN"/>
        </w:rPr>
        <w:t>4</w:t>
      </w:r>
      <w:r>
        <w:rPr>
          <w:rStyle w:val="97"/>
          <w:rFonts w:hint="eastAsia"/>
        </w:rPr>
        <w:t>.</w:t>
      </w:r>
      <w:r>
        <w:rPr>
          <w:rStyle w:val="97"/>
          <w:rFonts w:hint="eastAsia" w:ascii="Times New Roman" w:hAnsi="Times New Roman" w:cs="Times New Roman"/>
          <w:lang w:val="en-US" w:eastAsia="zh-CN"/>
        </w:rPr>
        <w:t>2</w:t>
      </w:r>
      <w:r>
        <w:rPr>
          <w:rStyle w:val="97"/>
          <w:rFonts w:hint="eastAsia"/>
        </w:rPr>
        <w:t>-</w:t>
      </w:r>
      <w:r>
        <w:rPr>
          <w:rStyle w:val="97"/>
          <w:rFonts w:hint="eastAsia" w:ascii="Times New Roman" w:hAnsi="Times New Roman" w:cs="Times New Roman"/>
        </w:rPr>
        <w:t>1</w:t>
      </w:r>
      <w:r>
        <w:rPr>
          <w:rStyle w:val="97"/>
          <w:rFonts w:hint="eastAsia"/>
        </w:rPr>
        <w:t xml:space="preserve">  项目原辅材料消耗一览表</w:t>
      </w:r>
    </w:p>
    <w:tbl>
      <w:tblPr>
        <w:tblStyle w:val="8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81"/>
        <w:gridCol w:w="717"/>
        <w:gridCol w:w="1033"/>
        <w:gridCol w:w="1422"/>
        <w:gridCol w:w="765"/>
        <w:gridCol w:w="1496"/>
        <w:gridCol w:w="1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381" w:type="pct"/>
            <w:noWrap w:val="0"/>
            <w:vAlign w:val="center"/>
          </w:tcPr>
          <w:p>
            <w:pPr>
              <w:spacing w:line="240" w:lineRule="auto"/>
              <w:ind w:firstLine="0"/>
              <w:jc w:val="center"/>
              <w:rPr>
                <w:spacing w:val="-11"/>
                <w:sz w:val="21"/>
                <w:szCs w:val="21"/>
              </w:rPr>
            </w:pPr>
            <w:r>
              <w:rPr>
                <w:spacing w:val="-11"/>
                <w:sz w:val="21"/>
                <w:szCs w:val="21"/>
              </w:rPr>
              <w:t>序号</w:t>
            </w:r>
          </w:p>
        </w:tc>
        <w:tc>
          <w:tcPr>
            <w:tcW w:w="644" w:type="pct"/>
            <w:noWrap w:val="0"/>
            <w:vAlign w:val="center"/>
          </w:tcPr>
          <w:p>
            <w:pPr>
              <w:spacing w:line="240" w:lineRule="auto"/>
              <w:ind w:firstLine="0"/>
              <w:jc w:val="center"/>
              <w:rPr>
                <w:spacing w:val="-11"/>
                <w:sz w:val="21"/>
                <w:szCs w:val="21"/>
              </w:rPr>
            </w:pPr>
            <w:r>
              <w:rPr>
                <w:spacing w:val="-11"/>
                <w:sz w:val="21"/>
                <w:szCs w:val="21"/>
              </w:rPr>
              <w:t>物料名称</w:t>
            </w:r>
          </w:p>
        </w:tc>
        <w:tc>
          <w:tcPr>
            <w:tcW w:w="391" w:type="pct"/>
            <w:noWrap w:val="0"/>
            <w:vAlign w:val="center"/>
          </w:tcPr>
          <w:p>
            <w:pPr>
              <w:spacing w:line="240" w:lineRule="auto"/>
              <w:ind w:firstLine="0"/>
              <w:jc w:val="center"/>
              <w:rPr>
                <w:spacing w:val="-11"/>
                <w:sz w:val="21"/>
                <w:szCs w:val="21"/>
              </w:rPr>
            </w:pPr>
            <w:r>
              <w:rPr>
                <w:spacing w:val="-11"/>
                <w:sz w:val="21"/>
                <w:szCs w:val="21"/>
              </w:rPr>
              <w:t>单位</w:t>
            </w:r>
          </w:p>
        </w:tc>
        <w:tc>
          <w:tcPr>
            <w:tcW w:w="563" w:type="pct"/>
            <w:noWrap w:val="0"/>
            <w:vAlign w:val="center"/>
          </w:tcPr>
          <w:p>
            <w:pPr>
              <w:spacing w:line="240" w:lineRule="auto"/>
              <w:ind w:firstLine="0"/>
              <w:jc w:val="center"/>
              <w:rPr>
                <w:spacing w:val="-11"/>
                <w:sz w:val="21"/>
                <w:szCs w:val="21"/>
              </w:rPr>
            </w:pPr>
            <w:r>
              <w:rPr>
                <w:spacing w:val="-11"/>
                <w:sz w:val="21"/>
                <w:szCs w:val="21"/>
              </w:rPr>
              <w:t>数量</w:t>
            </w:r>
          </w:p>
        </w:tc>
        <w:tc>
          <w:tcPr>
            <w:tcW w:w="775" w:type="pct"/>
            <w:noWrap w:val="0"/>
            <w:vAlign w:val="center"/>
          </w:tcPr>
          <w:p>
            <w:pPr>
              <w:spacing w:line="240" w:lineRule="auto"/>
              <w:ind w:firstLine="0"/>
              <w:jc w:val="center"/>
              <w:rPr>
                <w:spacing w:val="-11"/>
                <w:sz w:val="21"/>
                <w:szCs w:val="21"/>
              </w:rPr>
            </w:pPr>
            <w:r>
              <w:rPr>
                <w:rFonts w:hint="eastAsia"/>
                <w:spacing w:val="-11"/>
                <w:sz w:val="21"/>
                <w:szCs w:val="21"/>
              </w:rPr>
              <w:t>厂内最大存量</w:t>
            </w:r>
          </w:p>
        </w:tc>
        <w:tc>
          <w:tcPr>
            <w:tcW w:w="417" w:type="pct"/>
            <w:noWrap w:val="0"/>
            <w:vAlign w:val="center"/>
          </w:tcPr>
          <w:p>
            <w:pPr>
              <w:spacing w:line="240" w:lineRule="auto"/>
              <w:ind w:firstLine="0"/>
              <w:jc w:val="center"/>
              <w:rPr>
                <w:rFonts w:hint="eastAsia"/>
                <w:spacing w:val="-11"/>
                <w:sz w:val="21"/>
                <w:szCs w:val="21"/>
              </w:rPr>
            </w:pPr>
            <w:r>
              <w:rPr>
                <w:rFonts w:hint="eastAsia"/>
                <w:spacing w:val="-11"/>
                <w:sz w:val="21"/>
                <w:szCs w:val="21"/>
              </w:rPr>
              <w:t>包装</w:t>
            </w:r>
          </w:p>
        </w:tc>
        <w:tc>
          <w:tcPr>
            <w:tcW w:w="815" w:type="pct"/>
            <w:noWrap w:val="0"/>
            <w:vAlign w:val="center"/>
          </w:tcPr>
          <w:p>
            <w:pPr>
              <w:spacing w:line="240" w:lineRule="auto"/>
              <w:ind w:firstLine="0"/>
              <w:jc w:val="center"/>
              <w:rPr>
                <w:rFonts w:hint="eastAsia"/>
                <w:spacing w:val="-11"/>
                <w:sz w:val="21"/>
                <w:szCs w:val="21"/>
              </w:rPr>
            </w:pPr>
            <w:r>
              <w:rPr>
                <w:rFonts w:hint="eastAsia"/>
                <w:spacing w:val="-11"/>
                <w:sz w:val="21"/>
                <w:szCs w:val="21"/>
              </w:rPr>
              <w:t>规格要求</w:t>
            </w:r>
          </w:p>
        </w:tc>
        <w:tc>
          <w:tcPr>
            <w:tcW w:w="1010" w:type="pct"/>
            <w:noWrap w:val="0"/>
            <w:vAlign w:val="center"/>
          </w:tcPr>
          <w:p>
            <w:pPr>
              <w:spacing w:line="240" w:lineRule="auto"/>
              <w:ind w:firstLine="0"/>
              <w:jc w:val="center"/>
              <w:rPr>
                <w:rFonts w:hint="eastAsia"/>
                <w:spacing w:val="-11"/>
                <w:sz w:val="21"/>
                <w:szCs w:val="21"/>
              </w:rPr>
            </w:pPr>
            <w:r>
              <w:rPr>
                <w:rFonts w:hint="eastAsia"/>
                <w:spacing w:val="-1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381" w:type="pct"/>
            <w:noWrap w:val="0"/>
            <w:vAlign w:val="center"/>
          </w:tcPr>
          <w:p>
            <w:pPr>
              <w:spacing w:line="240" w:lineRule="auto"/>
              <w:ind w:firstLine="0"/>
              <w:jc w:val="center"/>
              <w:rPr>
                <w:rFonts w:hint="eastAsia"/>
                <w:spacing w:val="-11"/>
                <w:sz w:val="21"/>
                <w:szCs w:val="21"/>
              </w:rPr>
            </w:pPr>
            <w:r>
              <w:rPr>
                <w:rFonts w:hint="eastAsia" w:ascii="Times New Roman" w:hAnsi="Times New Roman"/>
                <w:spacing w:val="-11"/>
                <w:sz w:val="21"/>
                <w:szCs w:val="21"/>
              </w:rPr>
              <w:t>1</w:t>
            </w:r>
          </w:p>
        </w:tc>
        <w:tc>
          <w:tcPr>
            <w:tcW w:w="644" w:type="pct"/>
            <w:noWrap w:val="0"/>
            <w:vAlign w:val="center"/>
          </w:tcPr>
          <w:p>
            <w:pPr>
              <w:spacing w:line="240" w:lineRule="auto"/>
              <w:ind w:firstLine="0"/>
              <w:jc w:val="center"/>
              <w:rPr>
                <w:rFonts w:hint="eastAsia" w:eastAsia="宋体"/>
                <w:spacing w:val="-11"/>
                <w:sz w:val="21"/>
                <w:szCs w:val="21"/>
                <w:lang w:eastAsia="zh-CN"/>
              </w:rPr>
            </w:pPr>
            <w:r>
              <w:rPr>
                <w:rFonts w:hint="eastAsia" w:ascii="Times New Roman" w:hAnsi="Times New Roman"/>
                <w:spacing w:val="-11"/>
                <w:sz w:val="21"/>
                <w:szCs w:val="21"/>
                <w:lang w:eastAsia="zh-CN"/>
              </w:rPr>
              <w:t>DN</w:t>
            </w:r>
            <w:r>
              <w:rPr>
                <w:rFonts w:hint="eastAsia"/>
                <w:spacing w:val="-11"/>
                <w:sz w:val="21"/>
                <w:szCs w:val="21"/>
                <w:lang w:eastAsia="zh-CN"/>
              </w:rPr>
              <w:t>溶液</w:t>
            </w:r>
          </w:p>
        </w:tc>
        <w:tc>
          <w:tcPr>
            <w:tcW w:w="391" w:type="pct"/>
            <w:noWrap w:val="0"/>
            <w:vAlign w:val="center"/>
          </w:tcPr>
          <w:p>
            <w:pPr>
              <w:spacing w:line="240" w:lineRule="auto"/>
              <w:ind w:firstLine="0"/>
              <w:jc w:val="center"/>
              <w:rPr>
                <w:rFonts w:ascii="Times New Roman"/>
                <w:spacing w:val="-11"/>
                <w:sz w:val="21"/>
                <w:szCs w:val="21"/>
              </w:rPr>
            </w:pPr>
            <w:r>
              <w:rPr>
                <w:rFonts w:hint="eastAsia" w:ascii="Times New Roman" w:hAnsi="Times New Roman"/>
                <w:spacing w:val="-11"/>
                <w:sz w:val="21"/>
                <w:szCs w:val="21"/>
              </w:rPr>
              <w:t>t</w:t>
            </w:r>
            <w:r>
              <w:rPr>
                <w:rFonts w:hint="eastAsia" w:ascii="Times New Roman"/>
                <w:spacing w:val="-11"/>
                <w:sz w:val="21"/>
                <w:szCs w:val="21"/>
              </w:rPr>
              <w:t>/</w:t>
            </w:r>
            <w:r>
              <w:rPr>
                <w:rFonts w:hint="eastAsia" w:ascii="Times New Roman" w:hAnsi="Times New Roman"/>
                <w:spacing w:val="-11"/>
                <w:sz w:val="21"/>
                <w:szCs w:val="21"/>
              </w:rPr>
              <w:t>a</w:t>
            </w:r>
          </w:p>
        </w:tc>
        <w:tc>
          <w:tcPr>
            <w:tcW w:w="563"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16976</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27</w:t>
            </w:r>
          </w:p>
        </w:tc>
        <w:tc>
          <w:tcPr>
            <w:tcW w:w="775" w:type="pct"/>
            <w:noWrap w:val="0"/>
            <w:vAlign w:val="center"/>
          </w:tcPr>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2580</w:t>
            </w:r>
          </w:p>
        </w:tc>
        <w:tc>
          <w:tcPr>
            <w:tcW w:w="417"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散装</w:t>
            </w:r>
          </w:p>
        </w:tc>
        <w:tc>
          <w:tcPr>
            <w:tcW w:w="815" w:type="pct"/>
            <w:noWrap w:val="0"/>
            <w:vAlign w:val="center"/>
          </w:tcPr>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含量≥</w:t>
            </w:r>
            <w:r>
              <w:rPr>
                <w:rFonts w:hint="eastAsia" w:ascii="Times New Roman" w:hAnsi="Times New Roman"/>
                <w:spacing w:val="-11"/>
                <w:sz w:val="21"/>
                <w:szCs w:val="21"/>
                <w:lang w:val="en-US" w:eastAsia="zh-CN"/>
              </w:rPr>
              <w:t>82</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5</w:t>
            </w:r>
            <w:r>
              <w:rPr>
                <w:rFonts w:hint="eastAsia" w:ascii="Times New Roman" w:hAnsi="Times New Roman"/>
                <w:spacing w:val="-11"/>
                <w:sz w:val="21"/>
                <w:szCs w:val="21"/>
                <w:lang w:val="en-US" w:eastAsia="zh-CN"/>
              </w:rPr>
              <w:t>%</w:t>
            </w:r>
          </w:p>
        </w:tc>
        <w:tc>
          <w:tcPr>
            <w:tcW w:w="1010"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现有工程提供，管道输送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381" w:type="pct"/>
            <w:noWrap w:val="0"/>
            <w:vAlign w:val="center"/>
          </w:tcPr>
          <w:p>
            <w:pPr>
              <w:spacing w:line="240" w:lineRule="auto"/>
              <w:ind w:firstLine="0"/>
              <w:jc w:val="center"/>
              <w:rPr>
                <w:rFonts w:hint="eastAsia"/>
                <w:spacing w:val="-11"/>
                <w:sz w:val="21"/>
                <w:szCs w:val="21"/>
              </w:rPr>
            </w:pPr>
            <w:r>
              <w:rPr>
                <w:rFonts w:hint="eastAsia" w:ascii="Times New Roman" w:hAnsi="Times New Roman"/>
                <w:spacing w:val="-11"/>
                <w:sz w:val="21"/>
                <w:szCs w:val="21"/>
              </w:rPr>
              <w:t>2</w:t>
            </w:r>
          </w:p>
        </w:tc>
        <w:tc>
          <w:tcPr>
            <w:tcW w:w="644"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催化剂</w:t>
            </w:r>
          </w:p>
        </w:tc>
        <w:tc>
          <w:tcPr>
            <w:tcW w:w="391"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t</w:t>
            </w:r>
            <w:r>
              <w:rPr>
                <w:rFonts w:hint="eastAsia"/>
                <w:spacing w:val="-11"/>
                <w:sz w:val="21"/>
                <w:szCs w:val="21"/>
                <w:lang w:val="en-US" w:eastAsia="zh-CN"/>
              </w:rPr>
              <w:t>/</w:t>
            </w:r>
            <w:r>
              <w:rPr>
                <w:rFonts w:hint="eastAsia" w:ascii="Times New Roman" w:hAnsi="Times New Roman"/>
                <w:spacing w:val="-11"/>
                <w:sz w:val="21"/>
                <w:szCs w:val="21"/>
                <w:lang w:val="en-US" w:eastAsia="zh-CN"/>
              </w:rPr>
              <w:t>a</w:t>
            </w:r>
          </w:p>
        </w:tc>
        <w:tc>
          <w:tcPr>
            <w:tcW w:w="563"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1</w:t>
            </w:r>
          </w:p>
        </w:tc>
        <w:tc>
          <w:tcPr>
            <w:tcW w:w="775"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0</w:t>
            </w:r>
          </w:p>
        </w:tc>
        <w:tc>
          <w:tcPr>
            <w:tcW w:w="417"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散装</w:t>
            </w:r>
          </w:p>
        </w:tc>
        <w:tc>
          <w:tcPr>
            <w:tcW w:w="815" w:type="pct"/>
            <w:noWrap w:val="0"/>
            <w:vAlign w:val="center"/>
          </w:tcPr>
          <w:p>
            <w:pPr>
              <w:spacing w:line="240" w:lineRule="auto"/>
              <w:ind w:firstLine="0"/>
              <w:jc w:val="center"/>
              <w:rPr>
                <w:rFonts w:hint="default" w:eastAsia="宋体"/>
                <w:spacing w:val="-11"/>
                <w:sz w:val="21"/>
                <w:szCs w:val="21"/>
                <w:lang w:val="en-US" w:eastAsia="zh-CN"/>
              </w:rPr>
            </w:pPr>
            <w:r>
              <w:rPr>
                <w:rFonts w:hint="eastAsia"/>
                <w:spacing w:val="-11"/>
                <w:sz w:val="21"/>
                <w:szCs w:val="21"/>
                <w:lang w:val="en-US" w:eastAsia="zh-CN"/>
              </w:rPr>
              <w:t>/</w:t>
            </w:r>
          </w:p>
        </w:tc>
        <w:tc>
          <w:tcPr>
            <w:tcW w:w="1010"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按需求外购</w:t>
            </w:r>
          </w:p>
        </w:tc>
      </w:tr>
    </w:tbl>
    <w:p>
      <w:pPr>
        <w:pStyle w:val="20"/>
        <w:spacing w:before="156"/>
        <w:rPr>
          <w:rFonts w:hint="eastAsia"/>
        </w:rPr>
      </w:pPr>
      <w: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2</w:t>
      </w:r>
      <w:r>
        <w:rPr>
          <w:rFonts w:hint="eastAsia"/>
        </w:rPr>
        <w:t xml:space="preserve">  公用工程消耗量表</w:t>
      </w:r>
    </w:p>
    <w:tbl>
      <w:tblPr>
        <w:tblStyle w:val="8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3084"/>
        <w:gridCol w:w="1567"/>
        <w:gridCol w:w="1460"/>
        <w:gridCol w:w="2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56" w:type="pct"/>
            <w:noWrap w:val="0"/>
            <w:vAlign w:val="center"/>
          </w:tcPr>
          <w:p>
            <w:pPr>
              <w:spacing w:line="240" w:lineRule="auto"/>
              <w:ind w:firstLine="0"/>
              <w:jc w:val="center"/>
              <w:rPr>
                <w:sz w:val="21"/>
                <w:szCs w:val="21"/>
              </w:rPr>
            </w:pPr>
            <w:r>
              <w:rPr>
                <w:sz w:val="21"/>
                <w:szCs w:val="21"/>
              </w:rPr>
              <w:t>序号</w:t>
            </w:r>
          </w:p>
        </w:tc>
        <w:tc>
          <w:tcPr>
            <w:tcW w:w="1681" w:type="pct"/>
            <w:noWrap w:val="0"/>
            <w:vAlign w:val="center"/>
          </w:tcPr>
          <w:p>
            <w:pPr>
              <w:spacing w:line="240" w:lineRule="auto"/>
              <w:ind w:firstLine="0"/>
              <w:jc w:val="center"/>
              <w:rPr>
                <w:sz w:val="21"/>
                <w:szCs w:val="21"/>
              </w:rPr>
            </w:pPr>
            <w:r>
              <w:rPr>
                <w:sz w:val="21"/>
                <w:szCs w:val="21"/>
              </w:rPr>
              <w:t>原料名称</w:t>
            </w:r>
          </w:p>
        </w:tc>
        <w:tc>
          <w:tcPr>
            <w:tcW w:w="854" w:type="pct"/>
            <w:noWrap w:val="0"/>
            <w:vAlign w:val="center"/>
          </w:tcPr>
          <w:p>
            <w:pPr>
              <w:spacing w:line="240" w:lineRule="auto"/>
              <w:ind w:firstLine="0"/>
              <w:jc w:val="center"/>
              <w:rPr>
                <w:rFonts w:hint="eastAsia"/>
                <w:sz w:val="21"/>
                <w:szCs w:val="21"/>
              </w:rPr>
            </w:pPr>
            <w:r>
              <w:rPr>
                <w:rFonts w:hint="eastAsia"/>
                <w:sz w:val="21"/>
                <w:szCs w:val="21"/>
              </w:rPr>
              <w:t>单位</w:t>
            </w:r>
          </w:p>
        </w:tc>
        <w:tc>
          <w:tcPr>
            <w:tcW w:w="796" w:type="pct"/>
            <w:noWrap w:val="0"/>
            <w:vAlign w:val="center"/>
          </w:tcPr>
          <w:p>
            <w:pPr>
              <w:spacing w:line="240" w:lineRule="auto"/>
              <w:ind w:firstLine="0"/>
              <w:jc w:val="center"/>
              <w:rPr>
                <w:sz w:val="21"/>
                <w:szCs w:val="21"/>
              </w:rPr>
            </w:pPr>
            <w:r>
              <w:rPr>
                <w:sz w:val="21"/>
                <w:szCs w:val="21"/>
              </w:rPr>
              <w:t>年用量</w:t>
            </w:r>
          </w:p>
        </w:tc>
        <w:tc>
          <w:tcPr>
            <w:tcW w:w="1211" w:type="pct"/>
            <w:noWrap w:val="0"/>
            <w:vAlign w:val="center"/>
          </w:tcPr>
          <w:p>
            <w:pPr>
              <w:spacing w:line="240" w:lineRule="auto"/>
              <w:ind w:firstLine="0"/>
              <w:jc w:val="center"/>
              <w:rPr>
                <w:rFonts w:hint="eastAsia" w:eastAsia="宋体"/>
                <w:sz w:val="21"/>
                <w:szCs w:val="21"/>
                <w:lang w:eastAsia="zh-CN"/>
              </w:rPr>
            </w:pPr>
            <w:r>
              <w:rPr>
                <w:rFonts w:hint="eastAsia"/>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56" w:type="pct"/>
            <w:vMerge w:val="restart"/>
            <w:noWrap w:val="0"/>
            <w:vAlign w:val="center"/>
          </w:tcPr>
          <w:p>
            <w:pPr>
              <w:spacing w:line="240" w:lineRule="auto"/>
              <w:ind w:firstLine="0"/>
              <w:jc w:val="center"/>
              <w:rPr>
                <w:sz w:val="21"/>
                <w:szCs w:val="21"/>
              </w:rPr>
            </w:pPr>
            <w:r>
              <w:rPr>
                <w:rFonts w:ascii="Times New Roman" w:hAnsi="Times New Roman"/>
                <w:sz w:val="21"/>
                <w:szCs w:val="21"/>
              </w:rPr>
              <w:t>1</w:t>
            </w:r>
          </w:p>
        </w:tc>
        <w:tc>
          <w:tcPr>
            <w:tcW w:w="1681" w:type="pct"/>
            <w:noWrap w:val="0"/>
            <w:vAlign w:val="center"/>
          </w:tcPr>
          <w:p>
            <w:pPr>
              <w:spacing w:line="240" w:lineRule="auto"/>
              <w:ind w:firstLine="0"/>
              <w:jc w:val="center"/>
              <w:rPr>
                <w:rFonts w:hint="eastAsia" w:eastAsia="宋体"/>
                <w:color w:val="auto"/>
                <w:sz w:val="21"/>
                <w:szCs w:val="21"/>
                <w:lang w:val="en-US" w:eastAsia="zh-CN"/>
              </w:rPr>
            </w:pPr>
            <w:r>
              <w:rPr>
                <w:rFonts w:hint="eastAsia"/>
                <w:color w:val="auto"/>
                <w:sz w:val="21"/>
                <w:szCs w:val="21"/>
                <w:lang w:eastAsia="zh-CN"/>
              </w:rPr>
              <w:t>纯</w:t>
            </w:r>
            <w:r>
              <w:rPr>
                <w:rFonts w:hint="eastAsia"/>
                <w:color w:val="auto"/>
                <w:sz w:val="21"/>
                <w:szCs w:val="21"/>
              </w:rPr>
              <w:t>水</w:t>
            </w:r>
          </w:p>
        </w:tc>
        <w:tc>
          <w:tcPr>
            <w:tcW w:w="854" w:type="pct"/>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t</w:t>
            </w:r>
          </w:p>
        </w:tc>
        <w:tc>
          <w:tcPr>
            <w:tcW w:w="796"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3600</w:t>
            </w:r>
          </w:p>
        </w:tc>
        <w:tc>
          <w:tcPr>
            <w:tcW w:w="1211" w:type="pct"/>
            <w:noWrap w:val="0"/>
            <w:vAlign w:val="center"/>
          </w:tcPr>
          <w:p>
            <w:pPr>
              <w:spacing w:line="240" w:lineRule="auto"/>
              <w:ind w:firstLine="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真空泵工作液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56" w:type="pct"/>
            <w:vMerge w:val="continue"/>
            <w:noWrap w:val="0"/>
            <w:vAlign w:val="center"/>
          </w:tcPr>
          <w:p>
            <w:pPr>
              <w:spacing w:line="240" w:lineRule="auto"/>
              <w:ind w:firstLine="0"/>
              <w:jc w:val="center"/>
              <w:rPr>
                <w:rFonts w:ascii="Times New Roman"/>
                <w:sz w:val="21"/>
                <w:szCs w:val="21"/>
              </w:rPr>
            </w:pPr>
          </w:p>
        </w:tc>
        <w:tc>
          <w:tcPr>
            <w:tcW w:w="1681" w:type="pct"/>
            <w:noWrap w:val="0"/>
            <w:vAlign w:val="center"/>
          </w:tcPr>
          <w:p>
            <w:pPr>
              <w:spacing w:line="240" w:lineRule="auto"/>
              <w:ind w:firstLine="0"/>
              <w:jc w:val="center"/>
              <w:rPr>
                <w:rFonts w:hint="eastAsia"/>
                <w:color w:val="auto"/>
                <w:sz w:val="21"/>
                <w:szCs w:val="21"/>
                <w:lang w:eastAsia="zh-CN"/>
              </w:rPr>
            </w:pPr>
            <w:r>
              <w:rPr>
                <w:rFonts w:hint="eastAsia"/>
                <w:color w:val="auto"/>
                <w:sz w:val="21"/>
                <w:szCs w:val="21"/>
                <w:lang w:eastAsia="zh-CN"/>
              </w:rPr>
              <w:t>新鲜水</w:t>
            </w:r>
          </w:p>
        </w:tc>
        <w:tc>
          <w:tcPr>
            <w:tcW w:w="854" w:type="pct"/>
            <w:noWrap w:val="0"/>
            <w:vAlign w:val="center"/>
          </w:tcPr>
          <w:p>
            <w:pPr>
              <w:spacing w:line="240" w:lineRule="auto"/>
              <w:ind w:firstLine="0"/>
              <w:jc w:val="center"/>
              <w:rPr>
                <w:rFonts w:hint="eastAsia" w:ascii="Times New Roman" w:eastAsia="宋体"/>
                <w:color w:val="auto"/>
                <w:sz w:val="21"/>
                <w:szCs w:val="21"/>
                <w:lang w:val="en-US" w:eastAsia="zh-CN"/>
              </w:rPr>
            </w:pPr>
            <w:r>
              <w:rPr>
                <w:rFonts w:hint="eastAsia" w:ascii="Times New Roman" w:hAnsi="Times New Roman"/>
                <w:color w:val="auto"/>
                <w:sz w:val="21"/>
                <w:szCs w:val="21"/>
                <w:lang w:val="en-US" w:eastAsia="zh-CN"/>
              </w:rPr>
              <w:t>t</w:t>
            </w:r>
          </w:p>
        </w:tc>
        <w:tc>
          <w:tcPr>
            <w:tcW w:w="796" w:type="pct"/>
            <w:noWrap w:val="0"/>
            <w:vAlign w:val="center"/>
          </w:tcPr>
          <w:p>
            <w:pPr>
              <w:spacing w:line="240" w:lineRule="auto"/>
              <w:ind w:firstLine="0"/>
              <w:jc w:val="center"/>
              <w:rPr>
                <w:rFonts w:hint="default" w:ascii="Times New Roman"/>
                <w:color w:val="auto"/>
                <w:sz w:val="21"/>
                <w:szCs w:val="21"/>
                <w:lang w:val="en-US" w:eastAsia="zh-CN"/>
              </w:rPr>
            </w:pPr>
            <w:r>
              <w:rPr>
                <w:rFonts w:hint="eastAsia" w:ascii="Times New Roman" w:hAnsi="Times New Roman"/>
                <w:color w:val="auto"/>
                <w:sz w:val="21"/>
                <w:szCs w:val="21"/>
                <w:lang w:val="en-US" w:eastAsia="zh-CN"/>
              </w:rPr>
              <w:t>137198</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48</w:t>
            </w:r>
          </w:p>
        </w:tc>
        <w:tc>
          <w:tcPr>
            <w:tcW w:w="1211" w:type="pct"/>
            <w:noWrap w:val="0"/>
            <w:vAlign w:val="center"/>
          </w:tcPr>
          <w:p>
            <w:pPr>
              <w:spacing w:line="240" w:lineRule="auto"/>
              <w:ind w:firstLine="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地面冲洗等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56" w:type="pct"/>
            <w:vMerge w:val="continue"/>
            <w:noWrap w:val="0"/>
            <w:vAlign w:val="center"/>
          </w:tcPr>
          <w:p>
            <w:pPr>
              <w:spacing w:line="240" w:lineRule="auto"/>
              <w:ind w:firstLine="0"/>
              <w:jc w:val="center"/>
              <w:rPr>
                <w:rFonts w:ascii="Times New Roman"/>
                <w:sz w:val="21"/>
                <w:szCs w:val="21"/>
              </w:rPr>
            </w:pPr>
          </w:p>
        </w:tc>
        <w:tc>
          <w:tcPr>
            <w:tcW w:w="1681" w:type="pct"/>
            <w:noWrap w:val="0"/>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循环水补水</w:t>
            </w:r>
          </w:p>
        </w:tc>
        <w:tc>
          <w:tcPr>
            <w:tcW w:w="854" w:type="pct"/>
            <w:noWrap w:val="0"/>
            <w:vAlign w:val="center"/>
          </w:tcPr>
          <w:p>
            <w:pPr>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olor w:val="auto"/>
                <w:sz w:val="21"/>
                <w:szCs w:val="21"/>
                <w:lang w:val="en-US" w:eastAsia="zh-CN"/>
              </w:rPr>
              <w:t>t</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a</w:t>
            </w:r>
          </w:p>
        </w:tc>
        <w:tc>
          <w:tcPr>
            <w:tcW w:w="796" w:type="pct"/>
            <w:noWrap w:val="0"/>
            <w:vAlign w:val="center"/>
          </w:tcPr>
          <w:p>
            <w:pPr>
              <w:spacing w:line="240" w:lineRule="auto"/>
              <w:ind w:firstLine="0"/>
              <w:jc w:val="center"/>
              <w:rPr>
                <w:rFonts w:hint="default" w:ascii="Times New Roman"/>
                <w:color w:val="auto"/>
                <w:sz w:val="21"/>
                <w:szCs w:val="21"/>
                <w:lang w:val="en-US" w:eastAsia="zh-CN"/>
              </w:rPr>
            </w:pPr>
            <w:r>
              <w:rPr>
                <w:rFonts w:hint="eastAsia" w:ascii="Times New Roman" w:hAnsi="Times New Roman"/>
                <w:color w:val="auto"/>
                <w:sz w:val="21"/>
                <w:szCs w:val="21"/>
                <w:lang w:val="en-US" w:eastAsia="zh-CN"/>
              </w:rPr>
              <w:t>132240</w:t>
            </w:r>
          </w:p>
        </w:tc>
        <w:tc>
          <w:tcPr>
            <w:tcW w:w="1211" w:type="pct"/>
            <w:noWrap w:val="0"/>
            <w:vAlign w:val="center"/>
          </w:tcPr>
          <w:p>
            <w:pPr>
              <w:spacing w:line="240" w:lineRule="auto"/>
              <w:ind w:firstLine="0"/>
              <w:jc w:val="center"/>
              <w:rPr>
                <w:rFonts w:hint="eastAsia" w:ascii="Times New Roman" w:hAnsi="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56" w:type="pct"/>
            <w:vMerge w:val="restart"/>
            <w:noWrap w:val="0"/>
            <w:vAlign w:val="center"/>
          </w:tcPr>
          <w:p>
            <w:pPr>
              <w:spacing w:line="240" w:lineRule="auto"/>
              <w:ind w:firstLine="0"/>
              <w:jc w:val="center"/>
              <w:rPr>
                <w:sz w:val="21"/>
                <w:szCs w:val="21"/>
              </w:rPr>
            </w:pPr>
            <w:r>
              <w:rPr>
                <w:rFonts w:ascii="Times New Roman" w:hAnsi="Times New Roman"/>
                <w:sz w:val="21"/>
                <w:szCs w:val="21"/>
              </w:rPr>
              <w:t>2</w:t>
            </w:r>
          </w:p>
        </w:tc>
        <w:tc>
          <w:tcPr>
            <w:tcW w:w="1681" w:type="pct"/>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6MPa</w:t>
            </w:r>
            <w:r>
              <w:rPr>
                <w:rFonts w:hint="eastAsia"/>
                <w:color w:val="auto"/>
                <w:sz w:val="21"/>
                <w:szCs w:val="21"/>
                <w:lang w:val="en-US" w:eastAsia="zh-CN"/>
              </w:rPr>
              <w:t>（</w:t>
            </w:r>
            <w:r>
              <w:rPr>
                <w:rFonts w:hint="eastAsia" w:ascii="Times New Roman" w:hAnsi="Times New Roman"/>
                <w:color w:val="auto"/>
                <w:sz w:val="21"/>
                <w:szCs w:val="21"/>
                <w:lang w:val="en-US" w:eastAsia="zh-CN"/>
              </w:rPr>
              <w:t>G</w:t>
            </w:r>
            <w:r>
              <w:rPr>
                <w:rFonts w:hint="eastAsia"/>
                <w:color w:val="auto"/>
                <w:sz w:val="21"/>
                <w:szCs w:val="21"/>
                <w:lang w:val="en-US" w:eastAsia="zh-CN"/>
              </w:rPr>
              <w:t>）</w:t>
            </w:r>
            <w:r>
              <w:rPr>
                <w:rFonts w:hint="eastAsia"/>
                <w:color w:val="auto"/>
                <w:sz w:val="21"/>
                <w:szCs w:val="21"/>
              </w:rPr>
              <w:t>蒸汽</w:t>
            </w:r>
          </w:p>
        </w:tc>
        <w:tc>
          <w:tcPr>
            <w:tcW w:w="854"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t</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a</w:t>
            </w:r>
          </w:p>
        </w:tc>
        <w:tc>
          <w:tcPr>
            <w:tcW w:w="796"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4800</w:t>
            </w:r>
          </w:p>
        </w:tc>
        <w:tc>
          <w:tcPr>
            <w:tcW w:w="1211" w:type="pct"/>
            <w:noWrap w:val="0"/>
            <w:vAlign w:val="center"/>
          </w:tcPr>
          <w:p>
            <w:pPr>
              <w:spacing w:line="240" w:lineRule="auto"/>
              <w:ind w:firstLine="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工艺用热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56" w:type="pct"/>
            <w:vMerge w:val="continue"/>
            <w:noWrap w:val="0"/>
            <w:vAlign w:val="center"/>
          </w:tcPr>
          <w:p>
            <w:pPr>
              <w:spacing w:line="240" w:lineRule="auto"/>
              <w:ind w:firstLine="0"/>
              <w:jc w:val="center"/>
              <w:rPr>
                <w:rFonts w:ascii="Times New Roman"/>
                <w:sz w:val="21"/>
                <w:szCs w:val="21"/>
              </w:rPr>
            </w:pPr>
          </w:p>
        </w:tc>
        <w:tc>
          <w:tcPr>
            <w:tcW w:w="1681"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3MPa</w:t>
            </w:r>
            <w:r>
              <w:rPr>
                <w:rFonts w:hint="eastAsia"/>
                <w:color w:val="auto"/>
                <w:sz w:val="21"/>
                <w:szCs w:val="21"/>
                <w:lang w:val="en-US" w:eastAsia="zh-CN"/>
              </w:rPr>
              <w:t>（</w:t>
            </w:r>
            <w:r>
              <w:rPr>
                <w:rFonts w:hint="eastAsia" w:ascii="Times New Roman" w:hAnsi="Times New Roman"/>
                <w:color w:val="auto"/>
                <w:sz w:val="21"/>
                <w:szCs w:val="21"/>
                <w:lang w:val="en-US" w:eastAsia="zh-CN"/>
              </w:rPr>
              <w:t>G</w:t>
            </w:r>
            <w:r>
              <w:rPr>
                <w:rFonts w:hint="eastAsia"/>
                <w:color w:val="auto"/>
                <w:sz w:val="21"/>
                <w:szCs w:val="21"/>
                <w:lang w:val="en-US" w:eastAsia="zh-CN"/>
              </w:rPr>
              <w:t>）蒸汽</w:t>
            </w:r>
          </w:p>
        </w:tc>
        <w:tc>
          <w:tcPr>
            <w:tcW w:w="854" w:type="pct"/>
            <w:noWrap w:val="0"/>
            <w:vAlign w:val="center"/>
          </w:tcPr>
          <w:p>
            <w:pPr>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olor w:val="auto"/>
                <w:sz w:val="21"/>
                <w:szCs w:val="21"/>
                <w:lang w:val="en-US" w:eastAsia="zh-CN"/>
              </w:rPr>
              <w:t>t</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a</w:t>
            </w:r>
          </w:p>
        </w:tc>
        <w:tc>
          <w:tcPr>
            <w:tcW w:w="796" w:type="pct"/>
            <w:noWrap w:val="0"/>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13040</w:t>
            </w:r>
          </w:p>
        </w:tc>
        <w:tc>
          <w:tcPr>
            <w:tcW w:w="1211" w:type="pct"/>
            <w:noWrap w:val="0"/>
            <w:vAlign w:val="center"/>
          </w:tcPr>
          <w:p>
            <w:pPr>
              <w:spacing w:line="240" w:lineRule="auto"/>
              <w:ind w:firstLine="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管道伴热和采暖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56" w:type="pct"/>
            <w:noWrap w:val="0"/>
            <w:vAlign w:val="center"/>
          </w:tcPr>
          <w:p>
            <w:pPr>
              <w:spacing w:line="240" w:lineRule="auto"/>
              <w:ind w:firstLine="0"/>
              <w:jc w:val="center"/>
              <w:rPr>
                <w:sz w:val="21"/>
                <w:szCs w:val="21"/>
              </w:rPr>
            </w:pPr>
            <w:r>
              <w:rPr>
                <w:rFonts w:ascii="Times New Roman" w:hAnsi="Times New Roman"/>
                <w:sz w:val="21"/>
                <w:szCs w:val="21"/>
              </w:rPr>
              <w:t>3</w:t>
            </w:r>
          </w:p>
        </w:tc>
        <w:tc>
          <w:tcPr>
            <w:tcW w:w="1681" w:type="pct"/>
            <w:noWrap w:val="0"/>
            <w:vAlign w:val="center"/>
          </w:tcPr>
          <w:p>
            <w:pPr>
              <w:spacing w:line="240" w:lineRule="auto"/>
              <w:ind w:firstLine="0"/>
              <w:jc w:val="center"/>
              <w:rPr>
                <w:rFonts w:hint="eastAsia"/>
                <w:color w:val="auto"/>
                <w:sz w:val="21"/>
                <w:szCs w:val="21"/>
              </w:rPr>
            </w:pPr>
            <w:r>
              <w:rPr>
                <w:rFonts w:hint="eastAsia"/>
                <w:color w:val="auto"/>
                <w:sz w:val="21"/>
                <w:szCs w:val="21"/>
              </w:rPr>
              <w:t>电</w:t>
            </w:r>
          </w:p>
        </w:tc>
        <w:tc>
          <w:tcPr>
            <w:tcW w:w="854"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color w:val="auto"/>
                <w:sz w:val="21"/>
                <w:szCs w:val="21"/>
                <w:lang w:val="en-US" w:eastAsia="zh-CN"/>
              </w:rPr>
              <w:t>万</w:t>
            </w:r>
            <w:r>
              <w:rPr>
                <w:rFonts w:hint="eastAsia" w:ascii="Times New Roman" w:hAnsi="Times New Roman"/>
                <w:color w:val="auto"/>
                <w:sz w:val="21"/>
                <w:szCs w:val="21"/>
                <w:lang w:val="en-US" w:eastAsia="zh-CN"/>
              </w:rPr>
              <w:t>k</w:t>
            </w:r>
            <w:r>
              <w:rPr>
                <w:rFonts w:hint="eastAsia" w:ascii="Times New Roman" w:hAnsi="Times New Roman"/>
                <w:color w:val="auto"/>
                <w:sz w:val="21"/>
                <w:szCs w:val="21"/>
              </w:rPr>
              <w:t>W</w:t>
            </w:r>
            <w:r>
              <w:rPr>
                <w:rFonts w:hint="eastAsia" w:ascii="Times New Roman" w:hAnsi="Times New Roman"/>
                <w:color w:val="auto"/>
                <w:sz w:val="21"/>
                <w:szCs w:val="21"/>
                <w:lang w:val="en-US" w:eastAsia="zh-CN"/>
              </w:rPr>
              <w:t>h</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a</w:t>
            </w:r>
          </w:p>
        </w:tc>
        <w:tc>
          <w:tcPr>
            <w:tcW w:w="796"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180</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576</w:t>
            </w:r>
          </w:p>
        </w:tc>
        <w:tc>
          <w:tcPr>
            <w:tcW w:w="1211" w:type="pct"/>
            <w:noWrap w:val="0"/>
            <w:vAlign w:val="center"/>
          </w:tcPr>
          <w:p>
            <w:pPr>
              <w:spacing w:line="240" w:lineRule="auto"/>
              <w:ind w:firstLine="0"/>
              <w:jc w:val="center"/>
              <w:rPr>
                <w:rFonts w:hint="eastAsia" w:ascii="Times New Roman" w:hAnsi="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56" w:type="pct"/>
            <w:noWrap w:val="0"/>
            <w:vAlign w:val="center"/>
          </w:tcPr>
          <w:p>
            <w:pPr>
              <w:spacing w:line="240" w:lineRule="auto"/>
              <w:ind w:firstLine="0"/>
              <w:jc w:val="center"/>
              <w:rPr>
                <w:rFonts w:hint="eastAsia"/>
                <w:sz w:val="21"/>
                <w:szCs w:val="21"/>
              </w:rPr>
            </w:pPr>
            <w:r>
              <w:rPr>
                <w:rFonts w:hint="eastAsia" w:ascii="Times New Roman" w:hAnsi="Times New Roman"/>
                <w:sz w:val="21"/>
                <w:szCs w:val="21"/>
              </w:rPr>
              <w:t>4</w:t>
            </w:r>
          </w:p>
        </w:tc>
        <w:tc>
          <w:tcPr>
            <w:tcW w:w="1681" w:type="pct"/>
            <w:noWrap w:val="0"/>
            <w:vAlign w:val="center"/>
          </w:tcPr>
          <w:p>
            <w:pPr>
              <w:spacing w:line="240" w:lineRule="auto"/>
              <w:ind w:firstLine="0"/>
              <w:jc w:val="center"/>
              <w:rPr>
                <w:rFonts w:hint="eastAsia" w:eastAsia="宋体"/>
                <w:color w:val="auto"/>
                <w:sz w:val="21"/>
                <w:szCs w:val="21"/>
                <w:lang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w:t>
            </w:r>
            <w:r>
              <w:rPr>
                <w:rFonts w:hint="eastAsia" w:ascii="Times New Roman" w:hAnsi="Times New Roman"/>
                <w:color w:val="auto"/>
                <w:sz w:val="21"/>
                <w:szCs w:val="21"/>
                <w:lang w:val="en-US" w:eastAsia="zh-CN"/>
              </w:rPr>
              <w:t>6MPa</w:t>
            </w:r>
            <w:r>
              <w:rPr>
                <w:rFonts w:hint="eastAsia"/>
                <w:color w:val="auto"/>
                <w:sz w:val="21"/>
                <w:szCs w:val="21"/>
                <w:lang w:val="en-US" w:eastAsia="zh-CN"/>
              </w:rPr>
              <w:t>（</w:t>
            </w:r>
            <w:r>
              <w:rPr>
                <w:rFonts w:hint="eastAsia" w:ascii="Times New Roman" w:hAnsi="Times New Roman"/>
                <w:color w:val="auto"/>
                <w:sz w:val="21"/>
                <w:szCs w:val="21"/>
                <w:lang w:val="en-US" w:eastAsia="zh-CN"/>
              </w:rPr>
              <w:t>G</w:t>
            </w:r>
            <w:r>
              <w:rPr>
                <w:rFonts w:hint="eastAsia"/>
                <w:color w:val="auto"/>
                <w:sz w:val="21"/>
                <w:szCs w:val="21"/>
                <w:lang w:val="en-US" w:eastAsia="zh-CN"/>
              </w:rPr>
              <w:t>）</w:t>
            </w:r>
            <w:r>
              <w:rPr>
                <w:rFonts w:hint="eastAsia"/>
                <w:color w:val="auto"/>
                <w:sz w:val="21"/>
                <w:szCs w:val="21"/>
                <w:lang w:eastAsia="zh-CN"/>
              </w:rPr>
              <w:t>氮气</w:t>
            </w:r>
          </w:p>
        </w:tc>
        <w:tc>
          <w:tcPr>
            <w:tcW w:w="854"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rPr>
              <w:t>Nm</w:t>
            </w:r>
            <w:r>
              <w:rPr>
                <w:rFonts w:hint="eastAsia"/>
                <w:color w:val="auto"/>
                <w:sz w:val="21"/>
                <w:szCs w:val="21"/>
              </w:rPr>
              <w:t>³</w:t>
            </w:r>
            <w:r>
              <w:rPr>
                <w:rFonts w:hint="eastAsia"/>
                <w:color w:val="auto"/>
                <w:sz w:val="21"/>
                <w:szCs w:val="21"/>
                <w:lang w:val="en-US" w:eastAsia="zh-CN"/>
              </w:rPr>
              <w:t>/</w:t>
            </w:r>
            <w:r>
              <w:rPr>
                <w:rFonts w:hint="eastAsia" w:ascii="Times New Roman" w:hAnsi="Times New Roman"/>
                <w:color w:val="auto"/>
                <w:sz w:val="21"/>
                <w:szCs w:val="21"/>
                <w:lang w:val="en-US" w:eastAsia="zh-CN"/>
              </w:rPr>
              <w:t>a</w:t>
            </w:r>
          </w:p>
        </w:tc>
        <w:tc>
          <w:tcPr>
            <w:tcW w:w="796" w:type="pct"/>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666667</w:t>
            </w:r>
          </w:p>
        </w:tc>
        <w:tc>
          <w:tcPr>
            <w:tcW w:w="1211" w:type="pct"/>
            <w:noWrap w:val="0"/>
            <w:vAlign w:val="center"/>
          </w:tcPr>
          <w:p>
            <w:pPr>
              <w:spacing w:line="240" w:lineRule="auto"/>
              <w:ind w:firstLine="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物料氮封和输送</w:t>
            </w:r>
          </w:p>
        </w:tc>
      </w:tr>
    </w:tbl>
    <w:p>
      <w:pPr>
        <w:pStyle w:val="5"/>
        <w:spacing w:before="156"/>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2</w:t>
      </w:r>
      <w:r>
        <w:rPr>
          <w:rFonts w:hint="eastAsia"/>
        </w:rPr>
        <w:t>原辅材料简述</w:t>
      </w:r>
    </w:p>
    <w:p>
      <w:pPr>
        <w:pStyle w:val="6"/>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2</w:t>
      </w:r>
      <w:r>
        <w:rPr>
          <w:rFonts w:hint="eastAsia"/>
        </w:rPr>
        <w:t>.</w:t>
      </w:r>
      <w:r>
        <w:rPr>
          <w:rFonts w:hint="eastAsia" w:ascii="Times New Roman" w:hAnsi="Times New Roman"/>
        </w:rPr>
        <w:t>1</w:t>
      </w:r>
      <w:r>
        <w:rPr>
          <w:rFonts w:hint="eastAsia"/>
        </w:rPr>
        <w:t>原辅材料相关规格参数</w:t>
      </w:r>
    </w:p>
    <w:p>
      <w:pPr>
        <w:bidi w:val="0"/>
        <w:rPr>
          <w:rFonts w:hint="eastAsia"/>
          <w:lang w:eastAsia="zh-CN"/>
        </w:rPr>
      </w:pPr>
      <w:r>
        <w:rPr>
          <w:rFonts w:hint="eastAsia"/>
          <w:lang w:eastAsia="zh-CN"/>
        </w:rPr>
        <w:t>本项目原料</w:t>
      </w:r>
      <w:r>
        <w:rPr>
          <w:rFonts w:hint="eastAsia" w:ascii="Times New Roman" w:hAnsi="Times New Roman"/>
          <w:lang w:eastAsia="zh-CN"/>
        </w:rPr>
        <w:t>DN</w:t>
      </w:r>
      <w:r>
        <w:rPr>
          <w:rFonts w:hint="eastAsia"/>
          <w:lang w:eastAsia="zh-CN"/>
        </w:rPr>
        <w:t>溶液来自现有工程的中间产品，采用生物发酵工艺制得，根据企业提供的资料，</w:t>
      </w:r>
      <w:r>
        <w:rPr>
          <w:rFonts w:hint="eastAsia" w:ascii="Times New Roman" w:hAnsi="Times New Roman"/>
          <w:lang w:eastAsia="zh-CN"/>
        </w:rPr>
        <w:t>DN</w:t>
      </w:r>
      <w:r>
        <w:rPr>
          <w:rFonts w:hint="eastAsia"/>
          <w:lang w:eastAsia="zh-CN"/>
        </w:rPr>
        <w:t>溶液含量≥</w:t>
      </w:r>
      <w:r>
        <w:rPr>
          <w:rFonts w:hint="eastAsia" w:ascii="Times New Roman" w:hAnsi="Times New Roman"/>
          <w:lang w:val="en-US" w:eastAsia="zh-CN"/>
        </w:rPr>
        <w:t>82</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lang w:eastAsia="zh-CN"/>
        </w:rPr>
        <w:t>。</w:t>
      </w:r>
    </w:p>
    <w:p>
      <w:pPr>
        <w:pStyle w:val="6"/>
        <w:bidi w:val="0"/>
        <w:rPr>
          <w:rFonts w:hint="eastAsia" w:eastAsia="宋体"/>
          <w:lang w:eastAsia="zh-CN"/>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2</w:t>
      </w:r>
      <w:r>
        <w:rPr>
          <w:rFonts w:hint="eastAsia"/>
        </w:rPr>
        <w:t>.</w:t>
      </w:r>
      <w:r>
        <w:rPr>
          <w:rFonts w:hint="eastAsia" w:ascii="Times New Roman" w:hAnsi="Times New Roman"/>
        </w:rPr>
        <w:t>2</w:t>
      </w:r>
      <w:r>
        <w:rPr>
          <w:rFonts w:hint="eastAsia"/>
          <w:lang w:eastAsia="zh-CN"/>
        </w:rPr>
        <w:t>原料产品理化特性</w:t>
      </w:r>
    </w:p>
    <w:p>
      <w:pPr>
        <w:rPr>
          <w:rFonts w:hint="default"/>
          <w:color w:val="auto"/>
          <w:lang w:val="en-US" w:eastAsia="zh-CN"/>
        </w:rPr>
      </w:pPr>
      <w:bookmarkStart w:id="115" w:name="_Toc8297"/>
      <w:r>
        <w:rPr>
          <w:rFonts w:hint="eastAsia"/>
          <w:color w:val="auto"/>
          <w:lang w:val="en-US" w:eastAsia="zh-CN"/>
        </w:rPr>
        <w:t>本项目原料及产品理化特性见表</w:t>
      </w:r>
      <w:r>
        <w:rPr>
          <w:rFonts w:hint="eastAsia" w:ascii="Times New Roman" w:hAnsi="Times New Roman"/>
          <w:color w:val="auto"/>
          <w:lang w:val="en-US" w:eastAsia="zh-CN"/>
        </w:rPr>
        <w:t>4</w:t>
      </w:r>
      <w:r>
        <w:rPr>
          <w:rFonts w:hint="eastAsia" w:ascii="Times New Roman"/>
          <w:color w:val="auto"/>
          <w:lang w:val="en-US" w:eastAsia="zh-CN"/>
        </w:rPr>
        <w:t>.</w:t>
      </w:r>
      <w:r>
        <w:rPr>
          <w:rFonts w:hint="eastAsia" w:ascii="Times New Roman" w:hAnsi="Times New Roman"/>
          <w:color w:val="auto"/>
          <w:lang w:val="en-US" w:eastAsia="zh-CN"/>
        </w:rPr>
        <w:t>2</w:t>
      </w:r>
      <w:r>
        <w:rPr>
          <w:rFonts w:hint="eastAsia" w:ascii="Times New Roman"/>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p>
    <w:p>
      <w:pPr>
        <w:pStyle w:val="20"/>
        <w:spacing w:before="0" w:beforeLines="0"/>
        <w:rPr>
          <w:rFonts w:hint="eastAsia"/>
        </w:rPr>
      </w:pPr>
      <w: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2</w:t>
      </w:r>
      <w:r>
        <w:rPr>
          <w:rFonts w:hint="eastAsia" w:ascii="Times New Roman" w:hAnsi="Times New Roman"/>
        </w:rPr>
        <w:t>-</w:t>
      </w:r>
      <w:r>
        <w:rPr>
          <w:rFonts w:hint="eastAsia" w:ascii="Times New Roman" w:hAnsi="Times New Roman"/>
          <w:lang w:val="en-US" w:eastAsia="zh-CN"/>
        </w:rPr>
        <w:t>4</w:t>
      </w:r>
      <w:r>
        <w:rPr>
          <w:rFonts w:hint="eastAsia"/>
        </w:rPr>
        <w:t xml:space="preserve">  项目主要原料</w:t>
      </w:r>
      <w:r>
        <w:rPr>
          <w:rFonts w:hint="eastAsia"/>
          <w:lang w:eastAsia="zh-CN"/>
        </w:rPr>
        <w:t>及产品理化</w:t>
      </w:r>
      <w:r>
        <w:rPr>
          <w:rFonts w:hint="eastAsia"/>
        </w:rPr>
        <w:t>性质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155"/>
        <w:gridCol w:w="3515"/>
        <w:gridCol w:w="3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0" w:type="auto"/>
            <w:gridSpan w:val="2"/>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物质名称</w:t>
            </w:r>
          </w:p>
        </w:tc>
        <w:tc>
          <w:tcPr>
            <w:tcW w:w="0" w:type="auto"/>
            <w:vAlign w:val="center"/>
          </w:tcPr>
          <w:p>
            <w:pPr>
              <w:spacing w:line="240" w:lineRule="auto"/>
              <w:ind w:firstLine="0"/>
              <w:jc w:val="center"/>
              <w:rPr>
                <w:rFonts w:hint="eastAsia" w:eastAsia="宋体"/>
                <w:color w:val="auto"/>
                <w:spacing w:val="-11"/>
                <w:sz w:val="21"/>
                <w:szCs w:val="21"/>
                <w:lang w:eastAsia="zh-CN"/>
              </w:rPr>
            </w:pPr>
            <w:r>
              <w:rPr>
                <w:rFonts w:hint="eastAsia" w:ascii="Times New Roman" w:hAnsi="Times New Roman"/>
                <w:color w:val="auto"/>
                <w:spacing w:val="-11"/>
                <w:sz w:val="21"/>
                <w:szCs w:val="21"/>
                <w:lang w:eastAsia="zh-CN"/>
              </w:rPr>
              <w:t>DN</w:t>
            </w:r>
            <w:r>
              <w:rPr>
                <w:rFonts w:hint="eastAsia"/>
                <w:color w:val="auto"/>
                <w:spacing w:val="-11"/>
                <w:sz w:val="21"/>
                <w:szCs w:val="21"/>
                <w:lang w:eastAsia="zh-CN"/>
              </w:rPr>
              <w:t>溶液</w:t>
            </w:r>
          </w:p>
        </w:tc>
        <w:tc>
          <w:tcPr>
            <w:tcW w:w="0" w:type="auto"/>
            <w:vAlign w:val="center"/>
          </w:tcPr>
          <w:p>
            <w:pPr>
              <w:spacing w:line="240" w:lineRule="auto"/>
              <w:ind w:firstLine="0" w:firstLineChars="0"/>
              <w:jc w:val="center"/>
              <w:rPr>
                <w:rFonts w:hint="eastAsia" w:eastAsia="宋体"/>
                <w:color w:val="auto"/>
                <w:spacing w:val="-11"/>
                <w:sz w:val="21"/>
                <w:szCs w:val="21"/>
                <w:lang w:eastAsia="zh-CN"/>
              </w:rPr>
            </w:pPr>
            <w:r>
              <w:rPr>
                <w:rFonts w:hint="eastAsia" w:ascii="Times New Roman" w:hAnsi="Times New Roman"/>
                <w:color w:val="auto"/>
                <w:spacing w:val="-11"/>
                <w:sz w:val="21"/>
                <w:szCs w:val="21"/>
                <w:lang w:eastAsia="zh-CN"/>
              </w:rPr>
              <w:t>PD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gridSpan w:val="2"/>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化学式</w:t>
            </w:r>
          </w:p>
        </w:tc>
        <w:tc>
          <w:tcPr>
            <w:tcW w:w="0" w:type="auto"/>
            <w:vAlign w:val="center"/>
          </w:tcPr>
          <w:p>
            <w:pPr>
              <w:spacing w:line="240" w:lineRule="auto"/>
              <w:ind w:firstLine="0"/>
              <w:jc w:val="center"/>
              <w:rPr>
                <w:rFonts w:hint="default"/>
                <w:color w:val="auto"/>
                <w:spacing w:val="-11"/>
                <w:sz w:val="21"/>
                <w:szCs w:val="21"/>
                <w:lang w:val="en-US"/>
              </w:rPr>
            </w:pPr>
            <w:r>
              <w:rPr>
                <w:rFonts w:hint="eastAsia" w:ascii="Times New Roman" w:hAnsi="Times New Roman" w:cs="Times New Roman"/>
                <w:color w:val="auto"/>
                <w:spacing w:val="-11"/>
                <w:sz w:val="21"/>
                <w:szCs w:val="21"/>
              </w:rPr>
              <w:t>C</w:t>
            </w:r>
            <w:r>
              <w:rPr>
                <w:rFonts w:hint="eastAsia" w:ascii="Times New Roman" w:hAnsi="Times New Roman" w:cs="Times New Roman"/>
                <w:color w:val="auto"/>
                <w:spacing w:val="-11"/>
                <w:sz w:val="21"/>
                <w:szCs w:val="21"/>
                <w:vertAlign w:val="subscript"/>
                <w:lang w:val="en-US" w:eastAsia="zh-CN"/>
              </w:rPr>
              <w:t>5</w:t>
            </w:r>
            <w:r>
              <w:rPr>
                <w:rFonts w:hint="eastAsia" w:ascii="Times New Roman" w:hAnsi="Times New Roman" w:cs="Times New Roman"/>
                <w:color w:val="auto"/>
                <w:spacing w:val="-11"/>
                <w:sz w:val="21"/>
                <w:szCs w:val="21"/>
              </w:rPr>
              <w:t>H</w:t>
            </w:r>
            <w:r>
              <w:rPr>
                <w:rFonts w:hint="eastAsia" w:ascii="Times New Roman" w:hAnsi="Times New Roman" w:cs="Times New Roman"/>
                <w:color w:val="auto"/>
                <w:spacing w:val="-11"/>
                <w:sz w:val="21"/>
                <w:szCs w:val="21"/>
                <w:vertAlign w:val="subscript"/>
                <w:lang w:val="en-US" w:eastAsia="zh-CN"/>
              </w:rPr>
              <w:t>14</w:t>
            </w:r>
            <w:r>
              <w:rPr>
                <w:rFonts w:hint="eastAsia" w:ascii="Times New Roman" w:hAnsi="Times New Roman" w:cs="Times New Roman"/>
                <w:color w:val="auto"/>
                <w:spacing w:val="-11"/>
                <w:sz w:val="21"/>
                <w:szCs w:val="21"/>
                <w:lang w:val="en-US" w:eastAsia="zh-CN"/>
              </w:rPr>
              <w:t>N</w:t>
            </w:r>
            <w:r>
              <w:rPr>
                <w:rFonts w:hint="eastAsia" w:ascii="Times New Roman" w:hAnsi="Times New Roman" w:cs="Times New Roman"/>
                <w:color w:val="auto"/>
                <w:spacing w:val="-11"/>
                <w:sz w:val="21"/>
                <w:szCs w:val="21"/>
                <w:vertAlign w:val="subscript"/>
                <w:lang w:val="en-US" w:eastAsia="zh-CN"/>
              </w:rPr>
              <w:t>2</w:t>
            </w:r>
            <w:r>
              <w:rPr>
                <w:rFonts w:hint="eastAsia" w:ascii="Times New Roman" w:hAnsi="Times New Roman" w:cs="Times New Roman"/>
                <w:color w:val="auto"/>
                <w:spacing w:val="-11"/>
                <w:sz w:val="21"/>
                <w:szCs w:val="21"/>
                <w:vertAlign w:val="baseline"/>
                <w:lang w:val="en-US" w:eastAsia="zh-CN"/>
              </w:rPr>
              <w:t>（主要成份）</w:t>
            </w:r>
          </w:p>
        </w:tc>
        <w:tc>
          <w:tcPr>
            <w:tcW w:w="0" w:type="auto"/>
            <w:vAlign w:val="center"/>
          </w:tcPr>
          <w:p>
            <w:pPr>
              <w:spacing w:line="240" w:lineRule="auto"/>
              <w:ind w:firstLine="0" w:firstLineChars="0"/>
              <w:jc w:val="center"/>
              <w:rPr>
                <w:rFonts w:hint="eastAsia" w:eastAsia="宋体"/>
                <w:color w:val="auto"/>
                <w:spacing w:val="-11"/>
                <w:sz w:val="21"/>
                <w:szCs w:val="21"/>
                <w:lang w:eastAsia="zh-CN"/>
              </w:rPr>
            </w:pPr>
            <w:r>
              <w:rPr>
                <w:rFonts w:hint="eastAsia" w:ascii="Times New Roman" w:hAnsi="Times New Roman" w:cs="Times New Roman"/>
                <w:color w:val="auto"/>
                <w:spacing w:val="-11"/>
                <w:sz w:val="21"/>
                <w:szCs w:val="21"/>
              </w:rPr>
              <w:t>C</w:t>
            </w:r>
            <w:r>
              <w:rPr>
                <w:rFonts w:hint="eastAsia" w:ascii="Times New Roman" w:hAnsi="Times New Roman" w:cs="Times New Roman"/>
                <w:color w:val="auto"/>
                <w:spacing w:val="-11"/>
                <w:sz w:val="21"/>
                <w:szCs w:val="21"/>
                <w:vertAlign w:val="subscript"/>
                <w:lang w:val="en-US" w:eastAsia="zh-CN"/>
              </w:rPr>
              <w:t>5</w:t>
            </w:r>
            <w:r>
              <w:rPr>
                <w:rFonts w:hint="eastAsia" w:ascii="Times New Roman" w:hAnsi="Times New Roman" w:cs="Times New Roman"/>
                <w:color w:val="auto"/>
                <w:spacing w:val="-11"/>
                <w:sz w:val="21"/>
                <w:szCs w:val="21"/>
              </w:rPr>
              <w:t>H</w:t>
            </w:r>
            <w:r>
              <w:rPr>
                <w:rFonts w:hint="eastAsia" w:ascii="Times New Roman" w:hAnsi="Times New Roman" w:cs="Times New Roman"/>
                <w:color w:val="auto"/>
                <w:spacing w:val="-11"/>
                <w:sz w:val="21"/>
                <w:szCs w:val="21"/>
                <w:vertAlign w:val="subscript"/>
                <w:lang w:val="en-US" w:eastAsia="zh-CN"/>
              </w:rPr>
              <w:t>11</w:t>
            </w:r>
            <w:r>
              <w:rPr>
                <w:rFonts w:hint="eastAsia" w:ascii="Times New Roman" w:hAnsi="Times New Roman" w:cs="Times New Roman"/>
                <w:color w:val="auto"/>
                <w:spacing w:val="-11"/>
                <w:sz w:val="21"/>
                <w:szCs w:val="21"/>
                <w:lang w:val="en-US" w:eastAsia="zh-CN"/>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gridSpan w:val="2"/>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分子量</w:t>
            </w:r>
          </w:p>
        </w:tc>
        <w:tc>
          <w:tcPr>
            <w:tcW w:w="0" w:type="auto"/>
            <w:vAlign w:val="center"/>
          </w:tcPr>
          <w:p>
            <w:pPr>
              <w:spacing w:line="240" w:lineRule="auto"/>
              <w:ind w:firstLine="0"/>
              <w:jc w:val="center"/>
              <w:rPr>
                <w:rFonts w:hint="default" w:eastAsia="宋体"/>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102</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18</w:t>
            </w:r>
          </w:p>
        </w:tc>
        <w:tc>
          <w:tcPr>
            <w:tcW w:w="0" w:type="auto"/>
            <w:vAlign w:val="center"/>
          </w:tcPr>
          <w:p>
            <w:pPr>
              <w:spacing w:line="240" w:lineRule="auto"/>
              <w:ind w:firstLine="0" w:firstLineChars="0"/>
              <w:jc w:val="center"/>
              <w:rPr>
                <w:rFonts w:hint="default" w:eastAsia="宋体"/>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85</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0" w:type="auto"/>
            <w:vMerge w:val="restart"/>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理</w:t>
            </w:r>
          </w:p>
          <w:p>
            <w:pPr>
              <w:spacing w:line="240" w:lineRule="auto"/>
              <w:ind w:firstLine="0"/>
              <w:jc w:val="center"/>
              <w:rPr>
                <w:rFonts w:hint="eastAsia"/>
                <w:color w:val="auto"/>
                <w:spacing w:val="-11"/>
                <w:sz w:val="21"/>
                <w:szCs w:val="21"/>
              </w:rPr>
            </w:pPr>
            <w:r>
              <w:rPr>
                <w:rFonts w:hint="eastAsia"/>
                <w:color w:val="auto"/>
                <w:spacing w:val="-11"/>
                <w:sz w:val="21"/>
                <w:szCs w:val="21"/>
              </w:rPr>
              <w:t>化</w:t>
            </w:r>
          </w:p>
          <w:p>
            <w:pPr>
              <w:spacing w:line="240" w:lineRule="auto"/>
              <w:ind w:firstLine="0"/>
              <w:jc w:val="center"/>
              <w:rPr>
                <w:rFonts w:hint="eastAsia"/>
                <w:color w:val="auto"/>
                <w:spacing w:val="-11"/>
                <w:sz w:val="21"/>
                <w:szCs w:val="21"/>
              </w:rPr>
            </w:pPr>
            <w:r>
              <w:rPr>
                <w:rFonts w:hint="eastAsia"/>
                <w:color w:val="auto"/>
                <w:spacing w:val="-11"/>
                <w:sz w:val="21"/>
                <w:szCs w:val="21"/>
              </w:rPr>
              <w:t>性</w:t>
            </w:r>
          </w:p>
          <w:p>
            <w:pPr>
              <w:spacing w:line="240" w:lineRule="auto"/>
              <w:ind w:firstLine="0"/>
              <w:jc w:val="center"/>
              <w:rPr>
                <w:rFonts w:hint="eastAsia"/>
                <w:color w:val="auto"/>
                <w:spacing w:val="-11"/>
                <w:sz w:val="21"/>
                <w:szCs w:val="21"/>
              </w:rPr>
            </w:pPr>
            <w:r>
              <w:rPr>
                <w:rFonts w:hint="eastAsia"/>
                <w:color w:val="auto"/>
                <w:spacing w:val="-11"/>
                <w:sz w:val="21"/>
                <w:szCs w:val="21"/>
              </w:rPr>
              <w:t>质</w:t>
            </w: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外观</w:t>
            </w:r>
          </w:p>
        </w:tc>
        <w:tc>
          <w:tcPr>
            <w:tcW w:w="0" w:type="auto"/>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rPr>
              <w:t>无色</w:t>
            </w:r>
            <w:r>
              <w:rPr>
                <w:rFonts w:hint="eastAsia"/>
                <w:color w:val="auto"/>
                <w:spacing w:val="-11"/>
                <w:sz w:val="21"/>
                <w:szCs w:val="21"/>
                <w:lang w:eastAsia="zh-CN"/>
              </w:rPr>
              <w:t>粘稠的发烟液体，有特殊气味</w:t>
            </w:r>
          </w:p>
        </w:tc>
        <w:tc>
          <w:tcPr>
            <w:tcW w:w="0" w:type="auto"/>
            <w:vAlign w:val="center"/>
          </w:tcPr>
          <w:p>
            <w:pPr>
              <w:spacing w:line="240" w:lineRule="auto"/>
              <w:ind w:firstLine="0" w:firstLineChars="0"/>
              <w:jc w:val="center"/>
              <w:rPr>
                <w:rFonts w:hint="eastAsia" w:eastAsia="宋体"/>
                <w:color w:val="auto"/>
                <w:spacing w:val="-11"/>
                <w:sz w:val="21"/>
                <w:szCs w:val="21"/>
                <w:lang w:eastAsia="zh-CN"/>
              </w:rPr>
            </w:pPr>
            <w:r>
              <w:rPr>
                <w:rFonts w:hint="eastAsia"/>
                <w:color w:val="auto"/>
                <w:spacing w:val="-11"/>
                <w:sz w:val="21"/>
                <w:szCs w:val="21"/>
              </w:rPr>
              <w:t>无色</w:t>
            </w:r>
            <w:r>
              <w:rPr>
                <w:rFonts w:hint="eastAsia"/>
                <w:color w:val="auto"/>
                <w:spacing w:val="-11"/>
                <w:sz w:val="21"/>
                <w:szCs w:val="21"/>
                <w:lang w:eastAsia="zh-CN"/>
              </w:rPr>
              <w:t>澄清</w:t>
            </w:r>
            <w:r>
              <w:rPr>
                <w:rFonts w:hint="eastAsia"/>
                <w:color w:val="auto"/>
                <w:spacing w:val="-11"/>
                <w:sz w:val="21"/>
                <w:szCs w:val="21"/>
              </w:rPr>
              <w:t>液体</w:t>
            </w:r>
            <w:r>
              <w:rPr>
                <w:rFonts w:hint="eastAsia"/>
                <w:color w:val="auto"/>
                <w:spacing w:val="-11"/>
                <w:sz w:val="21"/>
                <w:szCs w:val="21"/>
                <w:lang w:eastAsia="zh-CN"/>
              </w:rPr>
              <w:t>，有类似氨气味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危险性</w:t>
            </w:r>
          </w:p>
        </w:tc>
        <w:tc>
          <w:tcPr>
            <w:tcW w:w="0" w:type="auto"/>
            <w:vAlign w:val="center"/>
          </w:tcPr>
          <w:p>
            <w:pPr>
              <w:spacing w:line="240" w:lineRule="auto"/>
              <w:ind w:firstLine="0"/>
              <w:jc w:val="center"/>
              <w:rPr>
                <w:rFonts w:hint="eastAsia"/>
                <w:color w:val="auto"/>
                <w:spacing w:val="-11"/>
                <w:sz w:val="21"/>
                <w:szCs w:val="21"/>
              </w:rPr>
            </w:pPr>
            <w:r>
              <w:rPr>
                <w:rFonts w:hint="eastAsia"/>
                <w:spacing w:val="-11"/>
                <w:sz w:val="21"/>
                <w:szCs w:val="21"/>
                <w:lang w:eastAsia="zh-CN"/>
              </w:rPr>
              <w:t>可燃助燃的毒害品，遇明火、高热可燃。遇氧化剂能发生强烈反应。受热分解放出有毒的氧化氮烟气</w:t>
            </w:r>
          </w:p>
        </w:tc>
        <w:tc>
          <w:tcPr>
            <w:tcW w:w="0" w:type="auto"/>
            <w:vAlign w:val="center"/>
          </w:tcPr>
          <w:p>
            <w:pPr>
              <w:spacing w:line="240" w:lineRule="auto"/>
              <w:ind w:firstLine="0" w:firstLineChars="0"/>
              <w:jc w:val="center"/>
              <w:rPr>
                <w:rFonts w:hint="eastAsia"/>
                <w:color w:val="auto"/>
                <w:spacing w:val="-11"/>
                <w:sz w:val="21"/>
                <w:szCs w:val="21"/>
              </w:rPr>
            </w:pPr>
            <w:r>
              <w:rPr>
                <w:rFonts w:hint="eastAsia"/>
                <w:color w:val="auto"/>
                <w:spacing w:val="-11"/>
                <w:sz w:val="21"/>
                <w:szCs w:val="21"/>
                <w:lang w:eastAsia="zh-CN"/>
              </w:rPr>
              <w:t>其</w:t>
            </w:r>
            <w:r>
              <w:rPr>
                <w:rFonts w:hint="eastAsia"/>
                <w:color w:val="auto"/>
                <w:spacing w:val="-11"/>
                <w:sz w:val="21"/>
                <w:szCs w:val="21"/>
              </w:rPr>
              <w:t>蒸汽与空气形成爆炸性混合物，遇明火、高热能引起燃烧爆炸，与氧化剂强烈反应，</w:t>
            </w:r>
            <w:r>
              <w:rPr>
                <w:rFonts w:hint="eastAsia"/>
                <w:spacing w:val="-11"/>
                <w:sz w:val="21"/>
                <w:szCs w:val="21"/>
                <w:lang w:eastAsia="zh-CN"/>
              </w:rPr>
              <w:t>受热分解放出有毒的氧化氮烟气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密度</w:t>
            </w:r>
          </w:p>
        </w:tc>
        <w:tc>
          <w:tcPr>
            <w:tcW w:w="0" w:type="auto"/>
            <w:vAlign w:val="center"/>
          </w:tcPr>
          <w:p>
            <w:pPr>
              <w:spacing w:line="240" w:lineRule="auto"/>
              <w:ind w:firstLine="0"/>
              <w:jc w:val="center"/>
              <w:rPr>
                <w:rFonts w:hint="eastAsia"/>
                <w:color w:val="auto"/>
                <w:spacing w:val="-11"/>
                <w:sz w:val="21"/>
                <w:szCs w:val="21"/>
              </w:rPr>
            </w:pPr>
            <w:r>
              <w:rPr>
                <w:rFonts w:hint="eastAsia" w:ascii="Times New Roman" w:hAnsi="Times New Roman" w:cs="Times New Roman"/>
                <w:color w:val="auto"/>
                <w:spacing w:val="-11"/>
                <w:sz w:val="21"/>
                <w:szCs w:val="21"/>
              </w:rPr>
              <w:t>0</w:t>
            </w:r>
            <w:r>
              <w:rPr>
                <w:rFonts w:hint="eastAsia"/>
                <w:color w:val="auto"/>
                <w:spacing w:val="-11"/>
                <w:sz w:val="21"/>
                <w:szCs w:val="21"/>
              </w:rPr>
              <w:t>.</w:t>
            </w:r>
            <w:r>
              <w:rPr>
                <w:rFonts w:hint="eastAsia" w:ascii="Times New Roman" w:hAnsi="Times New Roman" w:cs="Times New Roman"/>
                <w:color w:val="auto"/>
                <w:spacing w:val="-11"/>
                <w:sz w:val="21"/>
                <w:szCs w:val="21"/>
                <w:lang w:val="en-US" w:eastAsia="zh-CN"/>
              </w:rPr>
              <w:t>873</w:t>
            </w:r>
            <w:r>
              <w:rPr>
                <w:rFonts w:hint="eastAsia"/>
                <w:color w:val="auto"/>
                <w:spacing w:val="-11"/>
                <w:sz w:val="21"/>
                <w:szCs w:val="21"/>
              </w:rPr>
              <w:t>（水=</w:t>
            </w:r>
            <w:r>
              <w:rPr>
                <w:rFonts w:hint="eastAsia" w:ascii="Times New Roman" w:hAnsi="Times New Roman" w:cs="Times New Roman"/>
                <w:color w:val="auto"/>
                <w:spacing w:val="-11"/>
                <w:sz w:val="21"/>
                <w:szCs w:val="21"/>
              </w:rPr>
              <w:t>1</w:t>
            </w:r>
            <w:r>
              <w:rPr>
                <w:rFonts w:hint="eastAsia"/>
                <w:color w:val="auto"/>
                <w:spacing w:val="-11"/>
                <w:sz w:val="21"/>
                <w:szCs w:val="21"/>
              </w:rPr>
              <w:t>）</w:t>
            </w:r>
          </w:p>
        </w:tc>
        <w:tc>
          <w:tcPr>
            <w:tcW w:w="0" w:type="auto"/>
            <w:vAlign w:val="center"/>
          </w:tcPr>
          <w:p>
            <w:pPr>
              <w:spacing w:line="240" w:lineRule="auto"/>
              <w:ind w:firstLine="0" w:firstLineChars="0"/>
              <w:jc w:val="center"/>
              <w:rPr>
                <w:rFonts w:hint="eastAsia"/>
                <w:color w:val="auto"/>
                <w:spacing w:val="-11"/>
                <w:sz w:val="21"/>
                <w:szCs w:val="21"/>
              </w:rPr>
            </w:pPr>
            <w:r>
              <w:rPr>
                <w:rFonts w:hint="eastAsia" w:ascii="Times New Roman" w:hAnsi="Times New Roman" w:cs="Times New Roman"/>
                <w:color w:val="auto"/>
                <w:spacing w:val="-11"/>
                <w:sz w:val="21"/>
                <w:szCs w:val="21"/>
                <w:lang w:val="en-US" w:eastAsia="zh-CN"/>
              </w:rPr>
              <w:t>0</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862</w:t>
            </w:r>
            <w:r>
              <w:rPr>
                <w:rFonts w:hint="eastAsia"/>
                <w:color w:val="auto"/>
                <w:spacing w:val="-11"/>
                <w:sz w:val="21"/>
                <w:szCs w:val="21"/>
              </w:rPr>
              <w:t>（水=</w:t>
            </w:r>
            <w:r>
              <w:rPr>
                <w:rFonts w:hint="eastAsia" w:ascii="Times New Roman" w:hAnsi="Times New Roman" w:cs="Times New Roman"/>
                <w:color w:val="auto"/>
                <w:spacing w:val="-11"/>
                <w:sz w:val="21"/>
                <w:szCs w:val="21"/>
              </w:rPr>
              <w:t>1</w:t>
            </w:r>
            <w:r>
              <w:rPr>
                <w:rFonts w:hint="eastAsia"/>
                <w:color w:val="auto"/>
                <w:spacing w:val="-1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溶解性</w:t>
            </w:r>
          </w:p>
        </w:tc>
        <w:tc>
          <w:tcPr>
            <w:tcW w:w="0" w:type="auto"/>
            <w:vAlign w:val="center"/>
          </w:tcPr>
          <w:p>
            <w:pPr>
              <w:spacing w:line="240" w:lineRule="auto"/>
              <w:ind w:firstLine="0"/>
              <w:jc w:val="center"/>
              <w:rPr>
                <w:rFonts w:hint="eastAsia" w:eastAsia="宋体"/>
                <w:color w:val="auto"/>
                <w:spacing w:val="-11"/>
                <w:sz w:val="21"/>
                <w:szCs w:val="21"/>
                <w:lang w:eastAsia="zh-CN"/>
              </w:rPr>
            </w:pPr>
            <w:r>
              <w:rPr>
                <w:rFonts w:hint="eastAsia"/>
                <w:color w:val="auto"/>
                <w:spacing w:val="-11"/>
                <w:sz w:val="21"/>
                <w:szCs w:val="21"/>
              </w:rPr>
              <w:t>溶于水、</w:t>
            </w:r>
            <w:r>
              <w:rPr>
                <w:rFonts w:hint="eastAsia"/>
                <w:color w:val="auto"/>
                <w:spacing w:val="-11"/>
                <w:sz w:val="21"/>
                <w:szCs w:val="21"/>
                <w:lang w:eastAsia="zh-CN"/>
              </w:rPr>
              <w:t>乙醇、乙醚</w:t>
            </w:r>
          </w:p>
        </w:tc>
        <w:tc>
          <w:tcPr>
            <w:tcW w:w="0" w:type="auto"/>
            <w:vAlign w:val="center"/>
          </w:tcPr>
          <w:p>
            <w:pPr>
              <w:spacing w:line="240" w:lineRule="auto"/>
              <w:ind w:firstLine="0" w:firstLineChars="0"/>
              <w:jc w:val="center"/>
              <w:rPr>
                <w:rFonts w:hint="eastAsia"/>
                <w:color w:val="auto"/>
                <w:spacing w:val="-11"/>
                <w:sz w:val="21"/>
                <w:szCs w:val="21"/>
              </w:rPr>
            </w:pPr>
            <w:r>
              <w:rPr>
                <w:rFonts w:hint="eastAsia"/>
                <w:color w:val="auto"/>
                <w:spacing w:val="-11"/>
                <w:sz w:val="21"/>
                <w:szCs w:val="21"/>
              </w:rPr>
              <w:t>溶于水、乙醇、乙醚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熔点℃</w:t>
            </w:r>
          </w:p>
        </w:tc>
        <w:tc>
          <w:tcPr>
            <w:tcW w:w="0" w:type="auto"/>
            <w:vAlign w:val="center"/>
          </w:tcPr>
          <w:p>
            <w:pPr>
              <w:spacing w:line="240" w:lineRule="auto"/>
              <w:ind w:firstLine="0"/>
              <w:jc w:val="center"/>
              <w:rPr>
                <w:rFonts w:hint="default" w:eastAsia="宋体"/>
                <w:color w:val="auto"/>
                <w:spacing w:val="-11"/>
                <w:sz w:val="21"/>
                <w:szCs w:val="21"/>
                <w:lang w:val="en-US" w:eastAsia="zh-CN"/>
              </w:rPr>
            </w:pPr>
            <w:r>
              <w:rPr>
                <w:rFonts w:hint="eastAsia" w:ascii="Times New Roman" w:hAnsi="Times New Roman"/>
                <w:color w:val="auto"/>
                <w:spacing w:val="-11"/>
                <w:sz w:val="21"/>
                <w:szCs w:val="21"/>
                <w:lang w:val="en-US" w:eastAsia="zh-CN"/>
              </w:rPr>
              <w:t>9</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0</w:t>
            </w:r>
          </w:p>
        </w:tc>
        <w:tc>
          <w:tcPr>
            <w:tcW w:w="0" w:type="auto"/>
            <w:vAlign w:val="center"/>
          </w:tcPr>
          <w:p>
            <w:pPr>
              <w:spacing w:line="240" w:lineRule="auto"/>
              <w:ind w:firstLine="0" w:firstLineChars="0"/>
              <w:jc w:val="center"/>
              <w:rPr>
                <w:rFonts w:hint="default" w:eastAsia="宋体"/>
                <w:color w:val="auto"/>
                <w:spacing w:val="-11"/>
                <w:sz w:val="21"/>
                <w:szCs w:val="21"/>
                <w:lang w:val="en-US" w:eastAsia="zh-CN"/>
              </w:rPr>
            </w:pP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沸点℃</w:t>
            </w:r>
          </w:p>
        </w:tc>
        <w:tc>
          <w:tcPr>
            <w:tcW w:w="0" w:type="auto"/>
            <w:vAlign w:val="center"/>
          </w:tcPr>
          <w:p>
            <w:pPr>
              <w:spacing w:line="240" w:lineRule="auto"/>
              <w:ind w:firstLine="0"/>
              <w:jc w:val="center"/>
              <w:rPr>
                <w:rFonts w:hint="default" w:eastAsia="宋体"/>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178</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180</w:t>
            </w:r>
          </w:p>
        </w:tc>
        <w:tc>
          <w:tcPr>
            <w:tcW w:w="0" w:type="auto"/>
            <w:vAlign w:val="center"/>
          </w:tcPr>
          <w:p>
            <w:pPr>
              <w:spacing w:line="240" w:lineRule="auto"/>
              <w:ind w:firstLine="0" w:firstLineChars="0"/>
              <w:jc w:val="center"/>
              <w:rPr>
                <w:rFonts w:hint="default" w:eastAsia="宋体"/>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蒸气压</w:t>
            </w:r>
            <w:r>
              <w:rPr>
                <w:rFonts w:hint="eastAsia" w:ascii="Times New Roman" w:hAnsi="Times New Roman" w:cs="Times New Roman"/>
                <w:color w:val="auto"/>
                <w:spacing w:val="-11"/>
                <w:sz w:val="21"/>
                <w:szCs w:val="21"/>
              </w:rPr>
              <w:t>kPa</w:t>
            </w:r>
          </w:p>
        </w:tc>
        <w:tc>
          <w:tcPr>
            <w:tcW w:w="0" w:type="auto"/>
            <w:vAlign w:val="center"/>
          </w:tcPr>
          <w:p>
            <w:pPr>
              <w:spacing w:line="240" w:lineRule="auto"/>
              <w:ind w:firstLine="0"/>
              <w:jc w:val="center"/>
              <w:rPr>
                <w:rFonts w:hint="eastAsia"/>
                <w:color w:val="auto"/>
                <w:spacing w:val="-11"/>
                <w:sz w:val="21"/>
                <w:szCs w:val="21"/>
              </w:rPr>
            </w:pPr>
            <w:r>
              <w:rPr>
                <w:rFonts w:hint="eastAsia" w:ascii="Times New Roman" w:hAnsi="Times New Roman" w:cs="Times New Roman"/>
                <w:color w:val="auto"/>
                <w:spacing w:val="-11"/>
                <w:sz w:val="21"/>
                <w:szCs w:val="21"/>
                <w:lang w:val="en-US" w:eastAsia="zh-CN"/>
              </w:rPr>
              <w:t>0</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133</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0</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173</w:t>
            </w:r>
            <w:r>
              <w:rPr>
                <w:rFonts w:hint="eastAsia"/>
                <w:color w:val="auto"/>
                <w:spacing w:val="-11"/>
                <w:sz w:val="21"/>
                <w:szCs w:val="21"/>
              </w:rPr>
              <w:t>（</w:t>
            </w:r>
            <w:r>
              <w:rPr>
                <w:rFonts w:hint="eastAsia" w:ascii="Times New Roman" w:hAnsi="Times New Roman" w:cs="Times New Roman"/>
                <w:color w:val="auto"/>
                <w:spacing w:val="-11"/>
                <w:sz w:val="21"/>
                <w:szCs w:val="21"/>
              </w:rPr>
              <w:t>2</w:t>
            </w:r>
            <w:r>
              <w:rPr>
                <w:rFonts w:hint="eastAsia" w:ascii="Times New Roman" w:hAnsi="Times New Roman" w:cs="Times New Roman"/>
                <w:color w:val="auto"/>
                <w:spacing w:val="-11"/>
                <w:sz w:val="21"/>
                <w:szCs w:val="21"/>
                <w:lang w:val="en-US" w:eastAsia="zh-CN"/>
              </w:rPr>
              <w:t>5</w:t>
            </w:r>
            <w:r>
              <w:rPr>
                <w:rFonts w:hint="eastAsia"/>
                <w:color w:val="auto"/>
                <w:spacing w:val="-11"/>
                <w:sz w:val="21"/>
                <w:szCs w:val="21"/>
              </w:rPr>
              <w:t>℃）</w:t>
            </w:r>
          </w:p>
        </w:tc>
        <w:tc>
          <w:tcPr>
            <w:tcW w:w="0" w:type="auto"/>
            <w:vAlign w:val="center"/>
          </w:tcPr>
          <w:p>
            <w:pPr>
              <w:spacing w:line="240" w:lineRule="auto"/>
              <w:ind w:firstLine="0" w:firstLineChars="0"/>
              <w:jc w:val="center"/>
              <w:rPr>
                <w:rFonts w:hint="eastAsia"/>
                <w:color w:val="auto"/>
                <w:spacing w:val="-11"/>
                <w:sz w:val="21"/>
                <w:szCs w:val="21"/>
              </w:rPr>
            </w:pPr>
            <w:r>
              <w:rPr>
                <w:rFonts w:hint="eastAsia" w:ascii="Times New Roman" w:hAnsi="Times New Roman" w:cs="Times New Roman"/>
                <w:color w:val="auto"/>
                <w:spacing w:val="-11"/>
                <w:sz w:val="21"/>
                <w:szCs w:val="21"/>
                <w:lang w:val="en-US" w:eastAsia="zh-CN"/>
              </w:rPr>
              <w:t>5</w:t>
            </w:r>
            <w:r>
              <w:rPr>
                <w:rFonts w:hint="eastAsia"/>
                <w:color w:val="auto"/>
                <w:spacing w:val="-11"/>
                <w:sz w:val="21"/>
                <w:szCs w:val="21"/>
              </w:rPr>
              <w:t>.</w:t>
            </w:r>
            <w:r>
              <w:rPr>
                <w:rFonts w:hint="eastAsia" w:ascii="Times New Roman" w:hAnsi="Times New Roman" w:cs="Times New Roman"/>
                <w:color w:val="auto"/>
                <w:spacing w:val="-11"/>
                <w:sz w:val="21"/>
                <w:szCs w:val="21"/>
              </w:rPr>
              <w:t>33</w:t>
            </w:r>
            <w:r>
              <w:rPr>
                <w:rFonts w:hint="eastAsia"/>
                <w:color w:val="auto"/>
                <w:spacing w:val="-11"/>
                <w:sz w:val="21"/>
                <w:szCs w:val="21"/>
              </w:rPr>
              <w:t>（</w:t>
            </w:r>
            <w:r>
              <w:rPr>
                <w:rFonts w:hint="eastAsia" w:ascii="Times New Roman" w:hAnsi="Times New Roman" w:cs="Times New Roman"/>
                <w:color w:val="auto"/>
                <w:spacing w:val="-11"/>
                <w:sz w:val="21"/>
                <w:szCs w:val="21"/>
              </w:rPr>
              <w:t>2</w:t>
            </w:r>
            <w:r>
              <w:rPr>
                <w:rFonts w:hint="eastAsia" w:ascii="Times New Roman" w:hAnsi="Times New Roman" w:cs="Times New Roman"/>
                <w:color w:val="auto"/>
                <w:spacing w:val="-11"/>
                <w:sz w:val="21"/>
                <w:szCs w:val="21"/>
                <w:lang w:val="en-US" w:eastAsia="zh-CN"/>
              </w:rPr>
              <w:t>9</w:t>
            </w:r>
            <w:r>
              <w:rPr>
                <w:rFonts w:hint="eastAsia"/>
                <w:color w:val="auto"/>
                <w:spacing w:val="-1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Merge w:val="restart"/>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火灾危险性</w:t>
            </w: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燃烧性</w:t>
            </w: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易燃</w:t>
            </w:r>
          </w:p>
        </w:tc>
        <w:tc>
          <w:tcPr>
            <w:tcW w:w="0" w:type="auto"/>
            <w:vAlign w:val="center"/>
          </w:tcPr>
          <w:p>
            <w:pPr>
              <w:spacing w:line="240" w:lineRule="auto"/>
              <w:ind w:firstLine="0" w:firstLineChars="0"/>
              <w:jc w:val="center"/>
              <w:rPr>
                <w:rFonts w:hint="eastAsia"/>
                <w:color w:val="auto"/>
                <w:spacing w:val="-11"/>
                <w:sz w:val="21"/>
                <w:szCs w:val="21"/>
              </w:rPr>
            </w:pPr>
            <w:r>
              <w:rPr>
                <w:rFonts w:hint="eastAsia"/>
                <w:color w:val="auto"/>
                <w:spacing w:val="-11"/>
                <w:sz w:val="21"/>
                <w:szCs w:val="21"/>
              </w:rPr>
              <w:t>易燃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闪点℃</w:t>
            </w:r>
          </w:p>
        </w:tc>
        <w:tc>
          <w:tcPr>
            <w:tcW w:w="0" w:type="auto"/>
            <w:vAlign w:val="center"/>
          </w:tcPr>
          <w:p>
            <w:pPr>
              <w:spacing w:line="240" w:lineRule="auto"/>
              <w:ind w:firstLine="0"/>
              <w:jc w:val="center"/>
              <w:rPr>
                <w:rFonts w:hint="default" w:eastAsia="宋体"/>
                <w:color w:val="auto"/>
                <w:spacing w:val="-11"/>
                <w:sz w:val="21"/>
                <w:szCs w:val="21"/>
                <w:lang w:val="en-US" w:eastAsia="zh-CN"/>
              </w:rPr>
            </w:pPr>
            <w:r>
              <w:rPr>
                <w:rFonts w:hint="eastAsia" w:ascii="Times New Roman" w:hAnsi="Times New Roman" w:cs="Times New Roman"/>
                <w:color w:val="auto"/>
                <w:spacing w:val="-11"/>
                <w:sz w:val="21"/>
                <w:szCs w:val="21"/>
                <w:lang w:val="en-US" w:eastAsia="zh-CN"/>
              </w:rPr>
              <w:t>76</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5</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24</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8</w:t>
            </w:r>
          </w:p>
        </w:tc>
        <w:tc>
          <w:tcPr>
            <w:tcW w:w="0" w:type="auto"/>
            <w:vAlign w:val="center"/>
          </w:tcPr>
          <w:p>
            <w:pPr>
              <w:spacing w:line="240" w:lineRule="auto"/>
              <w:ind w:firstLine="0" w:firstLineChars="0"/>
              <w:jc w:val="center"/>
              <w:rPr>
                <w:rFonts w:hint="default" w:eastAsia="宋体"/>
                <w:color w:val="auto"/>
                <w:spacing w:val="-11"/>
                <w:sz w:val="21"/>
                <w:szCs w:val="21"/>
                <w:lang w:val="en-US" w:eastAsia="zh-CN"/>
              </w:rPr>
            </w:pPr>
            <w:r>
              <w:rPr>
                <w:rFonts w:hint="eastAsia" w:ascii="Times New Roman" w:hAnsi="Times New Roman"/>
                <w:color w:val="auto"/>
                <w:spacing w:val="-11"/>
                <w:sz w:val="21"/>
                <w:szCs w:val="21"/>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0" w:type="auto"/>
            <w:vMerge w:val="continue"/>
            <w:vAlign w:val="center"/>
          </w:tcPr>
          <w:p>
            <w:pPr>
              <w:spacing w:line="240" w:lineRule="auto"/>
              <w:ind w:firstLine="0"/>
              <w:jc w:val="center"/>
              <w:rPr>
                <w:rFonts w:hint="eastAsia"/>
                <w:color w:val="auto"/>
                <w:spacing w:val="-11"/>
                <w:sz w:val="21"/>
                <w:szCs w:val="21"/>
              </w:rPr>
            </w:pPr>
          </w:p>
        </w:tc>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爆炸极限</w:t>
            </w:r>
            <w:r>
              <w:rPr>
                <w:rFonts w:hint="eastAsia" w:ascii="Times New Roman" w:hAnsi="Times New Roman" w:cs="Times New Roman"/>
                <w:color w:val="auto"/>
                <w:spacing w:val="-11"/>
                <w:sz w:val="21"/>
                <w:szCs w:val="21"/>
              </w:rPr>
              <w:t>V</w:t>
            </w:r>
            <w:r>
              <w:rPr>
                <w:rFonts w:hint="eastAsia"/>
                <w:color w:val="auto"/>
                <w:spacing w:val="-11"/>
                <w:sz w:val="21"/>
                <w:szCs w:val="21"/>
              </w:rPr>
              <w:t>%</w:t>
            </w:r>
          </w:p>
        </w:tc>
        <w:tc>
          <w:tcPr>
            <w:tcW w:w="0" w:type="auto"/>
            <w:vAlign w:val="center"/>
          </w:tcPr>
          <w:p>
            <w:pPr>
              <w:spacing w:line="240" w:lineRule="auto"/>
              <w:ind w:firstLine="0"/>
              <w:jc w:val="center"/>
              <w:rPr>
                <w:rFonts w:hint="eastAsia"/>
                <w:color w:val="auto"/>
                <w:spacing w:val="-11"/>
                <w:sz w:val="21"/>
                <w:szCs w:val="21"/>
              </w:rPr>
            </w:pPr>
            <w:r>
              <w:rPr>
                <w:rFonts w:hint="eastAsia" w:ascii="Times New Roman" w:hAnsi="Times New Roman" w:cs="Times New Roman"/>
                <w:color w:val="auto"/>
                <w:spacing w:val="-11"/>
                <w:sz w:val="21"/>
                <w:szCs w:val="21"/>
                <w:lang w:val="en-US" w:eastAsia="zh-CN"/>
              </w:rPr>
              <w:t>1</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4</w:t>
            </w:r>
            <w:r>
              <w:rPr>
                <w:rFonts w:hint="eastAsia"/>
                <w:color w:val="auto"/>
                <w:spacing w:val="-11"/>
                <w:sz w:val="21"/>
                <w:szCs w:val="21"/>
              </w:rPr>
              <w:t>%～</w:t>
            </w:r>
            <w:r>
              <w:rPr>
                <w:rFonts w:hint="eastAsia" w:ascii="Times New Roman" w:hAnsi="Times New Roman"/>
                <w:color w:val="auto"/>
                <w:spacing w:val="-11"/>
                <w:sz w:val="21"/>
                <w:szCs w:val="21"/>
                <w:lang w:val="en-US" w:eastAsia="zh-CN"/>
              </w:rPr>
              <w:t>8</w:t>
            </w:r>
            <w:r>
              <w:rPr>
                <w:rFonts w:hint="eastAsia"/>
                <w:color w:val="auto"/>
                <w:spacing w:val="-11"/>
                <w:sz w:val="21"/>
                <w:szCs w:val="21"/>
                <w:lang w:val="en-US" w:eastAsia="zh-CN"/>
              </w:rPr>
              <w:t>.</w:t>
            </w:r>
            <w:r>
              <w:rPr>
                <w:rFonts w:hint="eastAsia" w:ascii="Times New Roman" w:hAnsi="Times New Roman"/>
                <w:color w:val="auto"/>
                <w:spacing w:val="-11"/>
                <w:sz w:val="21"/>
                <w:szCs w:val="21"/>
                <w:lang w:val="en-US" w:eastAsia="zh-CN"/>
              </w:rPr>
              <w:t>7</w:t>
            </w:r>
            <w:r>
              <w:rPr>
                <w:rFonts w:hint="eastAsia"/>
                <w:color w:val="auto"/>
                <w:spacing w:val="-11"/>
                <w:sz w:val="21"/>
                <w:szCs w:val="21"/>
              </w:rPr>
              <w:t>%</w:t>
            </w:r>
          </w:p>
        </w:tc>
        <w:tc>
          <w:tcPr>
            <w:tcW w:w="0" w:type="auto"/>
            <w:vAlign w:val="center"/>
          </w:tcPr>
          <w:p>
            <w:pPr>
              <w:spacing w:line="240" w:lineRule="auto"/>
              <w:ind w:firstLine="0" w:firstLineChars="0"/>
              <w:jc w:val="center"/>
              <w:rPr>
                <w:rFonts w:hint="eastAsia"/>
                <w:color w:val="auto"/>
                <w:spacing w:val="-11"/>
                <w:sz w:val="21"/>
                <w:szCs w:val="21"/>
              </w:rPr>
            </w:pPr>
            <w:r>
              <w:rPr>
                <w:rFonts w:hint="eastAsia" w:ascii="Times New Roman" w:hAnsi="Times New Roman" w:cs="Times New Roman"/>
                <w:color w:val="auto"/>
                <w:spacing w:val="-11"/>
                <w:sz w:val="21"/>
                <w:szCs w:val="21"/>
                <w:lang w:val="en-US" w:eastAsia="zh-CN"/>
              </w:rPr>
              <w:t>1</w:t>
            </w:r>
            <w:r>
              <w:rPr>
                <w:rFonts w:hint="eastAsia" w:ascii="Times New Roman" w:hAnsi="Times New Roman" w:cs="Times New Roman"/>
                <w:color w:val="auto"/>
                <w:spacing w:val="-11"/>
                <w:sz w:val="21"/>
                <w:szCs w:val="21"/>
                <w:lang w:val="en-US" w:eastAsia="zh-CN"/>
              </w:rPr>
              <w:t>.</w:t>
            </w:r>
            <w:r>
              <w:rPr>
                <w:rFonts w:hint="eastAsia" w:ascii="Times New Roman" w:hAnsi="Times New Roman" w:cs="Times New Roman"/>
                <w:color w:val="auto"/>
                <w:spacing w:val="-11"/>
                <w:sz w:val="21"/>
                <w:szCs w:val="21"/>
                <w:lang w:val="en-US" w:eastAsia="zh-CN"/>
              </w:rPr>
              <w:t>4</w:t>
            </w:r>
            <w:r>
              <w:rPr>
                <w:rFonts w:hint="eastAsia"/>
                <w:color w:val="auto"/>
                <w:spacing w:val="-11"/>
                <w:sz w:val="21"/>
                <w:szCs w:val="21"/>
              </w:rPr>
              <w:t>%～</w:t>
            </w:r>
            <w:r>
              <w:rPr>
                <w:rFonts w:hint="eastAsia" w:ascii="Times New Roman" w:hAnsi="Times New Roman"/>
                <w:color w:val="auto"/>
                <w:spacing w:val="-11"/>
                <w:sz w:val="21"/>
                <w:szCs w:val="21"/>
                <w:lang w:val="en-US" w:eastAsia="zh-CN"/>
              </w:rPr>
              <w:t>10</w:t>
            </w:r>
            <w:r>
              <w:rPr>
                <w:rFonts w:hint="eastAsia"/>
                <w:color w:val="auto"/>
                <w:spacing w:val="-1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0" w:type="auto"/>
            <w:vAlign w:val="center"/>
          </w:tcPr>
          <w:p>
            <w:pPr>
              <w:spacing w:line="240" w:lineRule="auto"/>
              <w:ind w:firstLine="0"/>
              <w:jc w:val="center"/>
              <w:rPr>
                <w:rFonts w:hint="eastAsia"/>
                <w:color w:val="auto"/>
                <w:spacing w:val="-11"/>
                <w:sz w:val="21"/>
                <w:szCs w:val="21"/>
              </w:rPr>
            </w:pPr>
            <w:r>
              <w:rPr>
                <w:rFonts w:hint="eastAsia"/>
                <w:color w:val="auto"/>
                <w:spacing w:val="-11"/>
                <w:sz w:val="21"/>
                <w:szCs w:val="21"/>
              </w:rPr>
              <w:t>毒性</w:t>
            </w:r>
          </w:p>
        </w:tc>
        <w:tc>
          <w:tcPr>
            <w:tcW w:w="0" w:type="auto"/>
            <w:vAlign w:val="center"/>
          </w:tcPr>
          <w:p>
            <w:pPr>
              <w:spacing w:line="240" w:lineRule="auto"/>
              <w:ind w:firstLine="0"/>
              <w:jc w:val="center"/>
              <w:rPr>
                <w:rFonts w:hint="eastAsia"/>
                <w:color w:val="auto"/>
                <w:spacing w:val="-11"/>
                <w:sz w:val="21"/>
                <w:szCs w:val="21"/>
              </w:rPr>
            </w:pPr>
            <w:r>
              <w:rPr>
                <w:rFonts w:hint="eastAsia" w:ascii="Times New Roman" w:hAnsi="Times New Roman" w:cs="Times New Roman"/>
                <w:color w:val="auto"/>
                <w:spacing w:val="-11"/>
                <w:sz w:val="21"/>
                <w:szCs w:val="21"/>
              </w:rPr>
              <w:t>LD</w:t>
            </w:r>
            <w:r>
              <w:rPr>
                <w:rFonts w:hint="eastAsia" w:ascii="Times New Roman" w:hAnsi="Times New Roman" w:cs="Times New Roman"/>
                <w:color w:val="auto"/>
                <w:spacing w:val="-11"/>
                <w:sz w:val="21"/>
                <w:szCs w:val="21"/>
                <w:vertAlign w:val="subscript"/>
              </w:rPr>
              <w:t>50</w:t>
            </w:r>
            <w:r>
              <w:rPr>
                <w:rFonts w:hint="eastAsia" w:ascii="Times New Roman" w:hAnsi="Times New Roman" w:cs="Times New Roman"/>
                <w:color w:val="auto"/>
                <w:spacing w:val="-11"/>
                <w:sz w:val="21"/>
                <w:szCs w:val="21"/>
              </w:rPr>
              <w:t>mg</w:t>
            </w:r>
            <w:r>
              <w:rPr>
                <w:rFonts w:hint="eastAsia"/>
                <w:color w:val="auto"/>
                <w:spacing w:val="-11"/>
                <w:sz w:val="21"/>
                <w:szCs w:val="21"/>
              </w:rPr>
              <w:t>/</w:t>
            </w:r>
            <w:r>
              <w:rPr>
                <w:rFonts w:hint="eastAsia" w:ascii="Times New Roman" w:hAnsi="Times New Roman" w:cs="Times New Roman"/>
                <w:color w:val="auto"/>
                <w:spacing w:val="-11"/>
                <w:sz w:val="21"/>
                <w:szCs w:val="21"/>
              </w:rPr>
              <w:t>kg</w:t>
            </w:r>
          </w:p>
        </w:tc>
        <w:tc>
          <w:tcPr>
            <w:tcW w:w="0" w:type="auto"/>
            <w:vAlign w:val="center"/>
          </w:tcPr>
          <w:p>
            <w:pPr>
              <w:spacing w:line="240" w:lineRule="auto"/>
              <w:ind w:firstLine="0"/>
              <w:jc w:val="center"/>
              <w:rPr>
                <w:rFonts w:hint="eastAsia"/>
                <w:color w:val="auto"/>
                <w:spacing w:val="-11"/>
                <w:sz w:val="21"/>
                <w:szCs w:val="21"/>
              </w:rPr>
            </w:pPr>
            <w:r>
              <w:rPr>
                <w:rFonts w:hint="eastAsia" w:ascii="Times New Roman" w:hAnsi="Times New Roman" w:cs="Times New Roman"/>
                <w:color w:val="auto"/>
                <w:spacing w:val="-11"/>
                <w:sz w:val="21"/>
                <w:szCs w:val="21"/>
              </w:rPr>
              <w:t>LD</w:t>
            </w:r>
            <w:r>
              <w:rPr>
                <w:rFonts w:hint="eastAsia" w:ascii="Times New Roman" w:hAnsi="Times New Roman" w:cs="Times New Roman"/>
                <w:color w:val="auto"/>
                <w:spacing w:val="-11"/>
                <w:sz w:val="21"/>
                <w:szCs w:val="21"/>
                <w:vertAlign w:val="subscript"/>
              </w:rPr>
              <w:t>50</w:t>
            </w:r>
            <w:r>
              <w:rPr>
                <w:rFonts w:hint="eastAsia"/>
                <w:color w:val="auto"/>
                <w:spacing w:val="-11"/>
                <w:sz w:val="21"/>
                <w:szCs w:val="21"/>
              </w:rPr>
              <w:t>:</w:t>
            </w:r>
            <w:r>
              <w:rPr>
                <w:rFonts w:hint="eastAsia" w:ascii="Times New Roman" w:hAnsi="Times New Roman" w:cs="Times New Roman"/>
                <w:color w:val="auto"/>
                <w:spacing w:val="-11"/>
                <w:sz w:val="21"/>
                <w:szCs w:val="21"/>
                <w:lang w:val="en-US" w:eastAsia="zh-CN"/>
              </w:rPr>
              <w:t>270</w:t>
            </w:r>
            <w:r>
              <w:rPr>
                <w:rFonts w:hint="eastAsia" w:ascii="Times New Roman" w:hAnsi="Times New Roman" w:cs="Times New Roman"/>
                <w:color w:val="auto"/>
                <w:spacing w:val="-11"/>
                <w:sz w:val="21"/>
                <w:szCs w:val="21"/>
              </w:rPr>
              <w:t>mg</w:t>
            </w:r>
            <w:r>
              <w:rPr>
                <w:rFonts w:hint="eastAsia"/>
                <w:color w:val="auto"/>
                <w:spacing w:val="-11"/>
                <w:sz w:val="21"/>
                <w:szCs w:val="21"/>
              </w:rPr>
              <w:t>/</w:t>
            </w:r>
            <w:r>
              <w:rPr>
                <w:rFonts w:hint="eastAsia" w:ascii="Times New Roman" w:hAnsi="Times New Roman" w:cs="Times New Roman"/>
                <w:color w:val="auto"/>
                <w:spacing w:val="-11"/>
                <w:sz w:val="21"/>
                <w:szCs w:val="21"/>
              </w:rPr>
              <w:t>kg</w:t>
            </w:r>
            <w:r>
              <w:rPr>
                <w:rFonts w:hint="eastAsia"/>
                <w:color w:val="auto"/>
                <w:spacing w:val="-11"/>
                <w:sz w:val="21"/>
                <w:szCs w:val="21"/>
              </w:rPr>
              <w:t>（大鼠经口）</w:t>
            </w:r>
          </w:p>
        </w:tc>
        <w:tc>
          <w:tcPr>
            <w:tcW w:w="0" w:type="auto"/>
            <w:vAlign w:val="center"/>
          </w:tcPr>
          <w:p>
            <w:pPr>
              <w:spacing w:line="240" w:lineRule="auto"/>
              <w:ind w:firstLine="0" w:firstLineChars="0"/>
              <w:jc w:val="center"/>
              <w:rPr>
                <w:rFonts w:hint="eastAsia"/>
                <w:color w:val="auto"/>
                <w:spacing w:val="-11"/>
                <w:sz w:val="21"/>
                <w:szCs w:val="21"/>
              </w:rPr>
            </w:pPr>
            <w:r>
              <w:rPr>
                <w:rFonts w:hint="eastAsia" w:ascii="Times New Roman" w:hAnsi="Times New Roman" w:cs="Times New Roman"/>
                <w:color w:val="auto"/>
                <w:spacing w:val="-11"/>
                <w:sz w:val="21"/>
                <w:szCs w:val="21"/>
              </w:rPr>
              <w:t>LD</w:t>
            </w:r>
            <w:r>
              <w:rPr>
                <w:rFonts w:hint="eastAsia" w:ascii="Times New Roman" w:hAnsi="Times New Roman" w:cs="Times New Roman"/>
                <w:color w:val="auto"/>
                <w:spacing w:val="-11"/>
                <w:sz w:val="21"/>
                <w:szCs w:val="21"/>
                <w:vertAlign w:val="subscript"/>
              </w:rPr>
              <w:t>50</w:t>
            </w:r>
            <w:r>
              <w:rPr>
                <w:rFonts w:hint="eastAsia"/>
                <w:color w:val="auto"/>
                <w:spacing w:val="-11"/>
                <w:sz w:val="21"/>
                <w:szCs w:val="21"/>
              </w:rPr>
              <w:t>:</w:t>
            </w:r>
            <w:r>
              <w:rPr>
                <w:rFonts w:hint="eastAsia" w:ascii="Times New Roman" w:hAnsi="Times New Roman" w:cs="Times New Roman"/>
                <w:color w:val="auto"/>
                <w:spacing w:val="-11"/>
                <w:sz w:val="21"/>
                <w:szCs w:val="21"/>
                <w:lang w:val="en-US" w:eastAsia="zh-CN"/>
              </w:rPr>
              <w:t>5</w:t>
            </w:r>
            <w:r>
              <w:rPr>
                <w:rFonts w:hint="eastAsia" w:ascii="Times New Roman" w:hAnsi="Times New Roman" w:cs="Times New Roman"/>
                <w:color w:val="auto"/>
                <w:spacing w:val="-11"/>
                <w:sz w:val="21"/>
                <w:szCs w:val="21"/>
              </w:rPr>
              <w:t>0mg</w:t>
            </w:r>
            <w:r>
              <w:rPr>
                <w:rFonts w:hint="eastAsia"/>
                <w:color w:val="auto"/>
                <w:spacing w:val="-11"/>
                <w:sz w:val="21"/>
                <w:szCs w:val="21"/>
              </w:rPr>
              <w:t>/</w:t>
            </w:r>
            <w:r>
              <w:rPr>
                <w:rFonts w:hint="eastAsia" w:ascii="Times New Roman" w:hAnsi="Times New Roman" w:cs="Times New Roman"/>
                <w:color w:val="auto"/>
                <w:spacing w:val="-11"/>
                <w:sz w:val="21"/>
                <w:szCs w:val="21"/>
              </w:rPr>
              <w:t>kg</w:t>
            </w:r>
            <w:r>
              <w:rPr>
                <w:rFonts w:hint="eastAsia"/>
                <w:color w:val="auto"/>
                <w:spacing w:val="-11"/>
                <w:sz w:val="21"/>
                <w:szCs w:val="21"/>
              </w:rPr>
              <w:t>（大鼠经口）</w:t>
            </w:r>
          </w:p>
        </w:tc>
      </w:tr>
    </w:tbl>
    <w:p>
      <w:pPr>
        <w:rPr>
          <w:rFonts w:hint="default"/>
          <w:color w:val="auto"/>
          <w:lang w:val="en-US" w:eastAsia="zh-CN"/>
        </w:rPr>
      </w:pPr>
      <w:r>
        <w:rPr>
          <w:rFonts w:hint="eastAsia"/>
          <w:color w:val="auto"/>
          <w:lang w:val="en-US" w:eastAsia="zh-CN"/>
        </w:rPr>
        <w:t>根据《挥发性有机物无组织排放控制标准》（</w:t>
      </w:r>
      <w:r>
        <w:rPr>
          <w:rFonts w:hint="eastAsia" w:ascii="Times New Roman" w:hAnsi="Times New Roman"/>
          <w:color w:val="auto"/>
          <w:lang w:val="en-US" w:eastAsia="zh-CN"/>
        </w:rPr>
        <w:t>GB37822</w:t>
      </w:r>
      <w:r>
        <w:rPr>
          <w:rFonts w:hint="eastAsia"/>
          <w:color w:val="auto"/>
          <w:lang w:val="en-US" w:eastAsia="zh-CN"/>
        </w:rPr>
        <w:t>-</w:t>
      </w:r>
      <w:r>
        <w:rPr>
          <w:rFonts w:hint="eastAsia" w:ascii="Times New Roman" w:hAnsi="Times New Roman"/>
          <w:color w:val="auto"/>
          <w:lang w:val="en-US" w:eastAsia="zh-CN"/>
        </w:rPr>
        <w:t>2019</w:t>
      </w:r>
      <w:r>
        <w:rPr>
          <w:rFonts w:hint="eastAsia"/>
          <w:color w:val="auto"/>
          <w:lang w:val="en-US" w:eastAsia="zh-CN"/>
        </w:rPr>
        <w:t>）中的定义，任何能向大气释放</w:t>
      </w:r>
      <w:r>
        <w:rPr>
          <w:rFonts w:hint="eastAsia" w:ascii="Times New Roman" w:hAnsi="Times New Roman"/>
          <w:color w:val="auto"/>
          <w:lang w:val="en-US" w:eastAsia="zh-CN"/>
        </w:rPr>
        <w:t>VOCs</w:t>
      </w:r>
      <w:r>
        <w:rPr>
          <w:rFonts w:hint="eastAsia"/>
          <w:color w:val="auto"/>
          <w:lang w:val="en-US" w:eastAsia="zh-CN"/>
        </w:rPr>
        <w:t>的符合下列条件之一的有机液体属于挥发性有机液体。</w:t>
      </w:r>
    </w:p>
    <w:p>
      <w:pPr>
        <w:rPr>
          <w:rFonts w:hint="default"/>
          <w:color w:val="auto"/>
          <w:lang w:val="en-US" w:eastAsia="zh-CN"/>
        </w:rPr>
      </w:pP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）真实蒸汽压大于等于</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3kPa</w:t>
      </w:r>
      <w:r>
        <w:rPr>
          <w:rFonts w:hint="eastAsia"/>
          <w:color w:val="auto"/>
          <w:lang w:val="en-US" w:eastAsia="zh-CN"/>
        </w:rPr>
        <w:t>的单一组分有机液体；</w:t>
      </w:r>
    </w:p>
    <w:p>
      <w:pPr>
        <w:rPr>
          <w:rFonts w:hint="default"/>
          <w:color w:val="auto"/>
          <w:lang w:val="en-US" w:eastAsia="zh-CN"/>
        </w:rPr>
      </w:pP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）混合物中，真实蒸气压≥</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3kPa</w:t>
      </w:r>
      <w:r>
        <w:rPr>
          <w:rFonts w:hint="eastAsia"/>
          <w:color w:val="auto"/>
          <w:lang w:val="en-US" w:eastAsia="zh-CN"/>
        </w:rPr>
        <w:t>的组分总质量占比大于等于</w:t>
      </w:r>
      <w:r>
        <w:rPr>
          <w:rFonts w:hint="eastAsia" w:ascii="Times New Roman" w:hAnsi="Times New Roman"/>
          <w:color w:val="auto"/>
          <w:lang w:val="en-US" w:eastAsia="zh-CN"/>
        </w:rPr>
        <w:t>20</w:t>
      </w:r>
      <w:r>
        <w:rPr>
          <w:rFonts w:hint="eastAsia"/>
          <w:color w:val="auto"/>
          <w:lang w:val="en-US" w:eastAsia="zh-CN"/>
        </w:rPr>
        <w:t>%的有机液体。</w:t>
      </w:r>
    </w:p>
    <w:p>
      <w:pPr>
        <w:bidi w:val="0"/>
        <w:rPr>
          <w:rFonts w:hint="eastAsia" w:eastAsia="宋体"/>
          <w:lang w:eastAsia="zh-CN"/>
        </w:rPr>
      </w:pPr>
      <w:r>
        <w:rPr>
          <w:rFonts w:hint="eastAsia"/>
          <w:lang w:eastAsia="zh-CN"/>
        </w:rPr>
        <w:t>本项目原料</w:t>
      </w:r>
      <w:r>
        <w:rPr>
          <w:rFonts w:hint="eastAsia" w:ascii="Times New Roman" w:hAnsi="Times New Roman"/>
          <w:lang w:eastAsia="zh-CN"/>
        </w:rPr>
        <w:t>DN</w:t>
      </w:r>
      <w:r>
        <w:rPr>
          <w:rFonts w:hint="eastAsia"/>
          <w:lang w:eastAsia="zh-CN"/>
        </w:rPr>
        <w:t>溶液蒸气压小于</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3kPa</w:t>
      </w:r>
      <w:r>
        <w:rPr>
          <w:rFonts w:hint="eastAsia"/>
          <w:lang w:val="en-US" w:eastAsia="zh-CN"/>
        </w:rPr>
        <w:t>，因此不属于挥发性有机液体。</w:t>
      </w:r>
      <w:r>
        <w:rPr>
          <w:rFonts w:hint="eastAsia"/>
          <w:lang w:eastAsia="zh-CN"/>
        </w:rPr>
        <w:t>产品</w:t>
      </w:r>
      <w:r>
        <w:rPr>
          <w:rFonts w:hint="eastAsia" w:ascii="Times New Roman" w:hAnsi="Times New Roman"/>
          <w:lang w:val="en-US" w:eastAsia="zh-CN"/>
        </w:rPr>
        <w:t>PD</w:t>
      </w:r>
      <w:r>
        <w:rPr>
          <w:rFonts w:hint="eastAsia"/>
          <w:lang w:eastAsia="zh-CN"/>
        </w:rPr>
        <w:t>真实蒸气压大于</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3kPa</w:t>
      </w:r>
      <w:r>
        <w:rPr>
          <w:rFonts w:hint="eastAsia"/>
          <w:lang w:eastAsia="zh-CN"/>
        </w:rPr>
        <w:t>，属于挥发性有机液体。</w:t>
      </w:r>
    </w:p>
    <w:p>
      <w:pPr>
        <w:pStyle w:val="4"/>
        <w:bidi w:val="0"/>
        <w:rPr>
          <w:rFonts w:hint="eastAsia"/>
        </w:rPr>
      </w:pPr>
      <w:bookmarkStart w:id="116" w:name="_Toc4480"/>
      <w:r>
        <w:rPr>
          <w:rFonts w:hint="eastAsia" w:ascii="Times New Roman" w:hAnsi="Times New Roman"/>
          <w:lang w:val="en-US" w:eastAsia="zh-CN"/>
        </w:rPr>
        <w:t>4</w:t>
      </w:r>
      <w:r>
        <w:rPr>
          <w:rFonts w:hint="eastAsia"/>
        </w:rPr>
        <w:t>.</w:t>
      </w:r>
      <w:r>
        <w:rPr>
          <w:rFonts w:hint="eastAsia" w:ascii="Times New Roman" w:hAnsi="Times New Roman"/>
          <w:lang w:val="en-US" w:eastAsia="zh-CN"/>
        </w:rPr>
        <w:t>3</w:t>
      </w:r>
      <w:r>
        <w:rPr>
          <w:rFonts w:hint="eastAsia"/>
        </w:rPr>
        <w:t>主要生产设备</w:t>
      </w:r>
      <w:bookmarkEnd w:id="115"/>
      <w:bookmarkEnd w:id="116"/>
    </w:p>
    <w:p>
      <w:pPr>
        <w:rPr>
          <w:rFonts w:hint="eastAsia"/>
        </w:rPr>
      </w:pPr>
      <w:r>
        <w:rPr>
          <w:rFonts w:hint="eastAsia"/>
          <w:lang w:eastAsia="zh-CN"/>
        </w:rPr>
        <w:t>本</w:t>
      </w:r>
      <w:r>
        <w:rPr>
          <w:rFonts w:hint="eastAsia"/>
        </w:rPr>
        <w:t>项目主要设备设施</w:t>
      </w:r>
      <w:r>
        <w:rPr>
          <w:rFonts w:hint="eastAsia"/>
          <w:lang w:eastAsia="zh-CN"/>
        </w:rPr>
        <w:t>清单</w:t>
      </w:r>
      <w:r>
        <w:rPr>
          <w:rFonts w:hint="eastAsia"/>
        </w:rPr>
        <w:t>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3</w:t>
      </w:r>
      <w:r>
        <w:rPr>
          <w:rFonts w:hint="eastAsia"/>
        </w:rPr>
        <w:t>-</w:t>
      </w:r>
      <w:r>
        <w:rPr>
          <w:rFonts w:hint="eastAsia" w:ascii="Times New Roman" w:hAnsi="Times New Roman"/>
        </w:rPr>
        <w:t>1</w:t>
      </w:r>
      <w:r>
        <w:rPr>
          <w:rFonts w:hint="eastAsia"/>
        </w:rPr>
        <w:t>。</w:t>
      </w:r>
    </w:p>
    <w:p>
      <w:pPr>
        <w:pStyle w:val="20"/>
        <w:spacing w:before="156"/>
        <w:rPr>
          <w:rFonts w:hint="eastAsia"/>
        </w:rPr>
      </w:pPr>
      <w:r>
        <w:rPr>
          <w:rFonts w:hint="eastAsia"/>
        </w:rP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3</w:t>
      </w:r>
      <w:r>
        <w:rPr>
          <w:rFonts w:hint="eastAsia"/>
        </w:rPr>
        <w:t>-</w:t>
      </w:r>
      <w:r>
        <w:rPr>
          <w:rFonts w:hint="eastAsia" w:ascii="Times New Roman" w:hAnsi="Times New Roman"/>
        </w:rPr>
        <w:t>1</w:t>
      </w:r>
      <w:r>
        <w:rPr>
          <w:rFonts w:hint="eastAsia"/>
        </w:rPr>
        <w:t xml:space="preserve">  </w:t>
      </w:r>
      <w:r>
        <w:rPr>
          <w:rFonts w:hint="eastAsia"/>
          <w:lang w:eastAsia="zh-CN"/>
        </w:rPr>
        <w:t>本</w:t>
      </w:r>
      <w:r>
        <w:rPr>
          <w:rFonts w:hint="eastAsia"/>
        </w:rPr>
        <w:t>项目主要设备一览表</w:t>
      </w:r>
    </w:p>
    <w:tbl>
      <w:tblPr>
        <w:tblStyle w:val="8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6"/>
        <w:gridCol w:w="1760"/>
        <w:gridCol w:w="3610"/>
        <w:gridCol w:w="636"/>
        <w:gridCol w:w="636"/>
        <w:gridCol w:w="1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12" w:space="0"/>
              <w:left w:val="single" w:color="auto" w:sz="12"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color w:val="auto"/>
                <w:sz w:val="21"/>
                <w:szCs w:val="16"/>
              </w:rPr>
            </w:pPr>
            <w:r>
              <w:rPr>
                <w:rFonts w:hint="eastAsia"/>
                <w:color w:val="auto"/>
                <w:sz w:val="21"/>
                <w:szCs w:val="16"/>
              </w:rPr>
              <w:t>序号</w:t>
            </w:r>
          </w:p>
        </w:tc>
        <w:tc>
          <w:tcPr>
            <w:tcW w:w="1760" w:type="dxa"/>
            <w:tcBorders>
              <w:top w:val="single" w:color="auto" w:sz="12"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r>
              <w:rPr>
                <w:rFonts w:hint="eastAsia"/>
                <w:color w:val="auto"/>
                <w:sz w:val="21"/>
                <w:szCs w:val="16"/>
              </w:rPr>
              <w:t>设备名称</w:t>
            </w:r>
          </w:p>
        </w:tc>
        <w:tc>
          <w:tcPr>
            <w:tcW w:w="3610" w:type="dxa"/>
            <w:tcBorders>
              <w:top w:val="single" w:color="auto" w:sz="12"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r>
              <w:rPr>
                <w:rFonts w:hint="eastAsia"/>
                <w:color w:val="auto"/>
                <w:sz w:val="21"/>
                <w:szCs w:val="16"/>
              </w:rPr>
              <w:t>规格</w:t>
            </w:r>
          </w:p>
        </w:tc>
        <w:tc>
          <w:tcPr>
            <w:tcW w:w="0" w:type="auto"/>
            <w:tcBorders>
              <w:top w:val="single" w:color="auto" w:sz="12"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单位</w:t>
            </w:r>
          </w:p>
        </w:tc>
        <w:tc>
          <w:tcPr>
            <w:tcW w:w="0" w:type="auto"/>
            <w:tcBorders>
              <w:top w:val="single" w:color="auto" w:sz="12"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数量</w:t>
            </w:r>
          </w:p>
        </w:tc>
        <w:tc>
          <w:tcPr>
            <w:tcW w:w="0" w:type="auto"/>
            <w:tcBorders>
              <w:top w:val="single" w:color="auto" w:sz="12"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r>
              <w:rPr>
                <w:rFonts w:hint="eastAsia" w:ascii="Times New Roman" w:hAnsi="Times New Roman"/>
                <w:color w:val="auto"/>
                <w:sz w:val="21"/>
                <w:szCs w:val="16"/>
              </w:rPr>
              <w:t>1</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r>
              <w:rPr>
                <w:rFonts w:hint="eastAsia" w:ascii="Times New Roman" w:hAnsi="Times New Roman"/>
                <w:color w:val="auto"/>
                <w:sz w:val="21"/>
                <w:szCs w:val="16"/>
                <w:lang w:val="en-US" w:eastAsia="zh-CN"/>
              </w:rPr>
              <w:t>1</w:t>
            </w:r>
            <w:r>
              <w:rPr>
                <w:rFonts w:hint="eastAsia" w:ascii="Times New Roman" w:hAnsi="Times New Roman"/>
                <w:color w:val="auto"/>
                <w:sz w:val="21"/>
                <w:szCs w:val="16"/>
                <w:lang w:val="en-US" w:eastAsia="zh-CN"/>
              </w:rPr>
              <w:t>#</w:t>
            </w:r>
            <w:r>
              <w:rPr>
                <w:rFonts w:hint="eastAsia"/>
                <w:color w:val="auto"/>
                <w:sz w:val="21"/>
                <w:szCs w:val="16"/>
              </w:rPr>
              <w:t>反应器</w:t>
            </w:r>
          </w:p>
        </w:tc>
        <w:tc>
          <w:tcPr>
            <w:tcW w:w="361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1300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3994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r>
              <w:rPr>
                <w:rFonts w:hint="eastAsia" w:ascii="Times New Roman" w:hAnsi="Times New Roman"/>
                <w:color w:val="auto"/>
                <w:sz w:val="21"/>
                <w:szCs w:val="16"/>
              </w:rPr>
              <w:t>2</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r>
              <w:rPr>
                <w:rFonts w:hint="eastAsia" w:ascii="Times New Roman" w:hAnsi="Times New Roman"/>
                <w:color w:val="auto"/>
                <w:sz w:val="21"/>
                <w:szCs w:val="16"/>
                <w:lang w:val="en-US" w:eastAsia="zh-CN"/>
              </w:rPr>
              <w:t>2</w:t>
            </w:r>
            <w:r>
              <w:rPr>
                <w:rFonts w:hint="eastAsia" w:ascii="Times New Roman" w:hAnsi="Times New Roman"/>
                <w:color w:val="auto"/>
                <w:sz w:val="21"/>
                <w:szCs w:val="16"/>
                <w:lang w:val="en-US" w:eastAsia="zh-CN"/>
              </w:rPr>
              <w:t>#</w:t>
            </w:r>
            <w:r>
              <w:rPr>
                <w:rFonts w:hint="eastAsia"/>
                <w:color w:val="auto"/>
                <w:sz w:val="21"/>
                <w:szCs w:val="16"/>
              </w:rPr>
              <w:t>反应器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rPr>
              <w:t>Φ2600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6526</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2300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V</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20m</w:t>
            </w:r>
            <w:r>
              <w:rPr>
                <w:rFonts w:hint="eastAsia" w:ascii="Times New Roman" w:hAnsi="Times New Roman"/>
                <w:color w:val="auto"/>
                <w:sz w:val="21"/>
                <w:szCs w:val="16"/>
                <w:lang w:val="en-US" w:eastAsia="zh-CN"/>
              </w:rPr>
              <w:t>³</w:t>
            </w:r>
            <w:r>
              <w:rPr>
                <w:rFonts w:hint="eastAsia"/>
                <w:color w:val="auto"/>
                <w:sz w:val="21"/>
                <w:szCs w:val="16"/>
              </w:rPr>
              <w:t>；</w:t>
            </w:r>
            <w:r>
              <w:rPr>
                <w:rFonts w:hint="eastAsia" w:ascii="Times New Roman" w:hAnsi="Times New Roman"/>
                <w:color w:val="auto"/>
                <w:sz w:val="21"/>
                <w:szCs w:val="16"/>
                <w:lang w:val="en-US" w:eastAsia="zh-CN"/>
              </w:rPr>
              <w:t>30KW</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3</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闪蒸罐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800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2270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4</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产品收集罐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900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1200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V</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1m</w:t>
            </w:r>
            <w:r>
              <w:rPr>
                <w:rFonts w:hint="eastAsia" w:ascii="Times New Roman" w:hAnsi="Times New Roman"/>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5</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回流罐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900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1200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V</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1m</w:t>
            </w:r>
            <w:r>
              <w:rPr>
                <w:rFonts w:hint="eastAsia" w:ascii="Times New Roman" w:hAnsi="Times New Roman"/>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r>
              <w:rPr>
                <w:rFonts w:hint="eastAsia"/>
                <w:color w:val="auto"/>
                <w:sz w:val="21"/>
                <w:szCs w:val="16"/>
                <w:lang w:eastAsia="zh-CN"/>
              </w:rPr>
              <w:t>脱水塔回流罐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6</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val="en-US" w:eastAsia="zh-CN"/>
              </w:rPr>
              <w:t>回流罐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900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1200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V</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1m</w:t>
            </w:r>
            <w:r>
              <w:rPr>
                <w:rFonts w:hint="eastAsia" w:ascii="Times New Roman" w:hAnsi="Times New Roman"/>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16"/>
                <w:lang w:val="en-US" w:eastAsia="zh-CN" w:bidi="ar-SA"/>
              </w:rPr>
            </w:pPr>
            <w:r>
              <w:rPr>
                <w:rFonts w:hint="eastAsia" w:ascii="Times New Roman" w:hAnsi="Times New Roman" w:cs="Times New Roman"/>
                <w:color w:val="auto"/>
                <w:sz w:val="21"/>
                <w:szCs w:val="16"/>
                <w:lang w:val="en-US" w:eastAsia="zh-CN" w:bidi="ar-SA"/>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r>
              <w:rPr>
                <w:rFonts w:hint="eastAsia"/>
                <w:color w:val="auto"/>
                <w:sz w:val="21"/>
                <w:szCs w:val="16"/>
                <w:lang w:eastAsia="zh-CN"/>
              </w:rPr>
              <w:t>脱轻塔回流罐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7</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val="en-US" w:eastAsia="zh-CN"/>
              </w:rPr>
              <w:t>回流罐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900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1200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V</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1m</w:t>
            </w:r>
            <w:r>
              <w:rPr>
                <w:rFonts w:hint="eastAsia" w:ascii="Times New Roman" w:hAnsi="Times New Roman"/>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16"/>
                <w:lang w:val="en-US" w:eastAsia="zh-CN" w:bidi="ar-SA"/>
              </w:rPr>
            </w:pPr>
            <w:r>
              <w:rPr>
                <w:rFonts w:hint="eastAsia" w:ascii="Times New Roman" w:hAnsi="Times New Roman" w:cs="Times New Roman"/>
                <w:color w:val="auto"/>
                <w:sz w:val="21"/>
                <w:szCs w:val="16"/>
                <w:lang w:val="en-US" w:eastAsia="zh-CN" w:bidi="ar-SA"/>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r>
              <w:rPr>
                <w:rFonts w:hint="eastAsia"/>
                <w:color w:val="auto"/>
                <w:sz w:val="21"/>
                <w:szCs w:val="16"/>
                <w:lang w:eastAsia="zh-CN"/>
              </w:rPr>
              <w:t>成品塔回流罐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8</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中间产品罐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1200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1500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1022kg</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r>
              <w:rPr>
                <w:rFonts w:hint="eastAsia"/>
                <w:color w:val="auto"/>
                <w:sz w:val="21"/>
                <w:szCs w:val="16"/>
                <w:lang w:eastAsia="zh-CN"/>
              </w:rPr>
              <w:t>成品塔塔顶产品罐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9</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产品中间罐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1400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1600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V</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3m</w:t>
            </w:r>
            <w:r>
              <w:rPr>
                <w:rFonts w:hint="eastAsia" w:ascii="Times New Roman" w:hAnsi="Times New Roman"/>
                <w:color w:val="auto"/>
                <w:sz w:val="21"/>
                <w:szCs w:val="16"/>
                <w:lang w:val="en-US" w:eastAsia="zh-CN"/>
              </w:rPr>
              <w:t>³，</w:t>
            </w:r>
            <w:r>
              <w:rPr>
                <w:rFonts w:hint="eastAsia" w:ascii="Times New Roman" w:hAnsi="Times New Roman"/>
                <w:color w:val="auto"/>
                <w:sz w:val="21"/>
                <w:szCs w:val="16"/>
                <w:lang w:val="en-US" w:eastAsia="zh-CN"/>
              </w:rPr>
              <w:t>528kg</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10</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olor w:val="auto"/>
                <w:sz w:val="21"/>
                <w:szCs w:val="16"/>
                <w:lang w:val="en-US" w:eastAsia="zh-CN"/>
              </w:rPr>
            </w:pPr>
            <w:r>
              <w:rPr>
                <w:rFonts w:hint="eastAsia" w:ascii="Times New Roman" w:hAnsi="Times New Roman"/>
                <w:color w:val="auto"/>
                <w:sz w:val="21"/>
                <w:szCs w:val="16"/>
                <w:lang w:val="en-US" w:eastAsia="zh-CN"/>
              </w:rPr>
              <w:t>1</w:t>
            </w:r>
            <w:r>
              <w:rPr>
                <w:rFonts w:hint="eastAsia" w:ascii="Times New Roman" w:hAnsi="Times New Roman"/>
                <w:color w:val="auto"/>
                <w:sz w:val="21"/>
                <w:szCs w:val="16"/>
                <w:lang w:val="en-US" w:eastAsia="zh-CN"/>
              </w:rPr>
              <w:t>#成品储罐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10500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10165</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831m</w:t>
            </w:r>
            <w:r>
              <w:rPr>
                <w:rFonts w:hint="eastAsia" w:ascii="Times New Roman" w:hAnsi="Times New Roman"/>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11</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olor w:val="auto"/>
                <w:sz w:val="21"/>
                <w:szCs w:val="16"/>
                <w:lang w:val="en-US" w:eastAsia="zh-CN"/>
              </w:rPr>
            </w:pPr>
            <w:r>
              <w:rPr>
                <w:rFonts w:hint="eastAsia" w:ascii="Times New Roman" w:hAnsi="Times New Roman"/>
                <w:color w:val="auto"/>
                <w:sz w:val="21"/>
                <w:szCs w:val="16"/>
                <w:lang w:val="en-US" w:eastAsia="zh-CN"/>
              </w:rPr>
              <w:t>2</w:t>
            </w:r>
            <w:r>
              <w:rPr>
                <w:rFonts w:hint="eastAsia" w:ascii="Times New Roman" w:hAnsi="Times New Roman"/>
                <w:color w:val="auto"/>
                <w:sz w:val="21"/>
                <w:szCs w:val="16"/>
                <w:lang w:val="en-US" w:eastAsia="zh-CN"/>
              </w:rPr>
              <w:t>#成品储罐</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2000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6186</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V</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15m</w:t>
            </w:r>
            <w:r>
              <w:rPr>
                <w:rFonts w:hint="eastAsia" w:ascii="Times New Roman" w:hAnsi="Times New Roman"/>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12</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脱水塔</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D900H</w:t>
            </w:r>
            <w:r>
              <w:rPr>
                <w:rFonts w:hint="eastAsia" w:ascii="Times New Roman" w:hAnsi="Times New Roman"/>
                <w:color w:val="auto"/>
                <w:sz w:val="21"/>
                <w:szCs w:val="16"/>
                <w:lang w:val="en-US" w:eastAsia="zh-CN"/>
              </w:rPr>
              <w:t>，</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900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19450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13</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脱轻塔</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D700H</w:t>
            </w:r>
            <w:r>
              <w:rPr>
                <w:rFonts w:hint="eastAsia" w:ascii="Times New Roman" w:hAnsi="Times New Roman"/>
                <w:color w:val="auto"/>
                <w:sz w:val="21"/>
                <w:szCs w:val="16"/>
                <w:lang w:val="en-US" w:eastAsia="zh-CN"/>
              </w:rPr>
              <w:t>，</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700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17650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14</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成品塔</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D600H</w:t>
            </w:r>
            <w:r>
              <w:rPr>
                <w:rFonts w:hint="eastAsia" w:ascii="Times New Roman" w:hAnsi="Times New Roman"/>
                <w:color w:val="auto"/>
                <w:sz w:val="21"/>
                <w:szCs w:val="16"/>
                <w:lang w:val="en-US" w:eastAsia="zh-CN"/>
              </w:rPr>
              <w:t>，</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600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10700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15</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反应气相冷凝器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BJS600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6</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85</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6</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25</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4</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85</w:t>
            </w:r>
            <w:r>
              <w:rPr>
                <w:rFonts w:hint="eastAsia" w:ascii="Times New Roman" w:hAnsi="Times New Roman"/>
                <w:color w:val="auto"/>
                <w:sz w:val="21"/>
                <w:szCs w:val="16"/>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r>
              <w:rPr>
                <w:rFonts w:hint="eastAsia"/>
                <w:color w:val="auto"/>
                <w:sz w:val="21"/>
                <w:szCs w:val="16"/>
                <w:lang w:eastAsia="zh-CN"/>
              </w:rPr>
              <w:t>反应气相冷凝器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val="en-US" w:eastAsia="zh-CN"/>
              </w:rPr>
              <w:t>16</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预热器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olor w:val="auto"/>
                <w:sz w:val="21"/>
                <w:szCs w:val="16"/>
                <w:lang w:val="en-US" w:eastAsia="zh-CN"/>
              </w:rPr>
            </w:pPr>
            <w:r>
              <w:rPr>
                <w:rFonts w:hint="eastAsia" w:ascii="Times New Roman" w:hAnsi="Times New Roman"/>
                <w:color w:val="auto"/>
                <w:sz w:val="21"/>
                <w:szCs w:val="16"/>
                <w:lang w:eastAsia="zh-CN"/>
              </w:rPr>
              <w:t>浮头式换热器</w:t>
            </w:r>
            <w:r>
              <w:rPr>
                <w:rFonts w:hint="eastAsia" w:ascii="Times New Roman" w:hAnsi="Times New Roman"/>
                <w:color w:val="auto"/>
                <w:sz w:val="21"/>
                <w:szCs w:val="16"/>
                <w:lang w:val="en-US" w:eastAsia="zh-CN"/>
              </w:rPr>
              <w:t>DN400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17</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val="en-US" w:eastAsia="zh-CN"/>
              </w:rPr>
              <w:t>加热器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eastAsia="zh-CN"/>
              </w:rPr>
              <w:t>浮头式换热器</w:t>
            </w:r>
            <w:r>
              <w:rPr>
                <w:rFonts w:hint="eastAsia" w:ascii="Times New Roman" w:hAnsi="Times New Roman"/>
                <w:color w:val="auto"/>
                <w:sz w:val="21"/>
                <w:szCs w:val="16"/>
                <w:lang w:val="en-US" w:eastAsia="zh-CN"/>
              </w:rPr>
              <w:t>DN500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18</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val="en-US" w:eastAsia="zh-CN"/>
              </w:rPr>
              <w:t>冷却器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eastAsia="zh-CN"/>
              </w:rPr>
              <w:t>浮头式换热器</w:t>
            </w:r>
            <w:r>
              <w:rPr>
                <w:rFonts w:hint="eastAsia" w:ascii="Times New Roman" w:hAnsi="Times New Roman"/>
                <w:color w:val="auto"/>
                <w:sz w:val="21"/>
                <w:szCs w:val="16"/>
                <w:lang w:val="en-US" w:eastAsia="zh-CN"/>
              </w:rPr>
              <w:t>DN500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16"/>
                <w:lang w:val="en-US" w:eastAsia="zh-CN" w:bidi="ar-SA"/>
              </w:rPr>
            </w:pPr>
            <w:r>
              <w:rPr>
                <w:rFonts w:hint="eastAsia" w:ascii="Times New Roman" w:hAnsi="Times New Roman"/>
                <w:color w:val="auto"/>
                <w:sz w:val="21"/>
                <w:szCs w:val="16"/>
                <w:lang w:val="en-US"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19</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冷凝器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color w:val="auto"/>
                <w:sz w:val="21"/>
                <w:szCs w:val="16"/>
                <w:lang w:eastAsia="zh-CN"/>
              </w:rPr>
              <w:t>列管</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400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1489</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S</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10</w:t>
            </w:r>
            <w:r>
              <w:rPr>
                <w:rFonts w:hint="eastAsia" w:ascii="Times New Roman" w:hAnsi="Times New Roman"/>
                <w:color w:val="auto"/>
                <w:sz w:val="21"/>
                <w:szCs w:val="16"/>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脱水塔塔顶冷凝器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20</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冷凝器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列管</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400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1489</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S</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10</w:t>
            </w:r>
            <w:r>
              <w:rPr>
                <w:rFonts w:hint="eastAsia" w:ascii="Times New Roman" w:hAnsi="Times New Roman"/>
                <w:color w:val="auto"/>
                <w:sz w:val="21"/>
                <w:szCs w:val="16"/>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脱轻塔塔顶冷凝器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21</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冷凝器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列管</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900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4789</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S</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200</w:t>
            </w:r>
            <w:r>
              <w:rPr>
                <w:rFonts w:hint="eastAsia" w:ascii="Times New Roman" w:hAnsi="Times New Roman"/>
                <w:color w:val="auto"/>
                <w:sz w:val="21"/>
                <w:szCs w:val="16"/>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成品塔塔顶冷凝器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22</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再沸器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列管</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500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2000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S</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20</w:t>
            </w:r>
            <w:r>
              <w:rPr>
                <w:rFonts w:hint="eastAsia" w:ascii="Times New Roman" w:hAnsi="Times New Roman"/>
                <w:color w:val="auto"/>
                <w:sz w:val="21"/>
                <w:szCs w:val="16"/>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脱轻塔再沸器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23</w:t>
            </w:r>
          </w:p>
        </w:tc>
        <w:tc>
          <w:tcPr>
            <w:tcW w:w="1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再沸器</w:t>
            </w:r>
          </w:p>
        </w:tc>
        <w:tc>
          <w:tcPr>
            <w:tcW w:w="36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列管</w:t>
            </w:r>
            <w:r>
              <w:rPr>
                <w:rFonts w:hint="eastAsia" w:ascii="Times New Roman" w:hAnsi="Times New Roman"/>
                <w:color w:val="auto"/>
                <w:sz w:val="21"/>
                <w:szCs w:val="16"/>
              </w:rPr>
              <w:t>Φ</w:t>
            </w:r>
            <w:r>
              <w:rPr>
                <w:rFonts w:hint="eastAsia" w:ascii="Times New Roman" w:hAnsi="Times New Roman"/>
                <w:color w:val="auto"/>
                <w:sz w:val="21"/>
                <w:szCs w:val="16"/>
                <w:lang w:val="en-US" w:eastAsia="zh-CN"/>
              </w:rPr>
              <w:t>500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2000</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S</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20</w:t>
            </w:r>
            <w:r>
              <w:rPr>
                <w:rFonts w:hint="eastAsia" w:ascii="Times New Roman" w:hAnsi="Times New Roman"/>
                <w:color w:val="auto"/>
                <w:sz w:val="21"/>
                <w:szCs w:val="16"/>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16"/>
                <w:lang w:val="en-US" w:eastAsia="zh-CN" w:bidi="ar-SA"/>
              </w:rPr>
            </w:pPr>
            <w:r>
              <w:rPr>
                <w:rFonts w:hint="eastAsia"/>
                <w:color w:val="auto"/>
                <w:sz w:val="21"/>
                <w:szCs w:val="16"/>
                <w:lang w:eastAsia="zh-CN"/>
              </w:rPr>
              <w:t>脱水塔再沸器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auto" w:sz="4" w:space="0"/>
              <w:left w:val="single" w:color="auto" w:sz="12" w:space="0"/>
              <w:bottom w:val="single" w:color="auto" w:sz="12"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24</w:t>
            </w:r>
          </w:p>
        </w:tc>
        <w:tc>
          <w:tcPr>
            <w:tcW w:w="176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color w:val="auto"/>
                <w:sz w:val="21"/>
                <w:szCs w:val="16"/>
                <w:lang w:val="en-US" w:eastAsia="zh-CN"/>
              </w:rPr>
              <w:t>尾气处理装置</w:t>
            </w:r>
          </w:p>
        </w:tc>
        <w:tc>
          <w:tcPr>
            <w:tcW w:w="361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color w:val="auto"/>
                <w:sz w:val="21"/>
                <w:szCs w:val="16"/>
                <w:lang w:val="en-US" w:eastAsia="zh-CN"/>
              </w:rPr>
              <w:t>一级水吸收+二级酸吸收</w:t>
            </w:r>
          </w:p>
        </w:tc>
        <w:tc>
          <w:tcPr>
            <w:tcW w:w="0" w:type="auto"/>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eastAsia="zh-CN"/>
              </w:rPr>
            </w:pPr>
            <w:r>
              <w:rPr>
                <w:rFonts w:hint="eastAsia"/>
                <w:color w:val="auto"/>
                <w:sz w:val="21"/>
                <w:szCs w:val="16"/>
                <w:lang w:eastAsia="zh-CN"/>
              </w:rPr>
              <w:t>套</w:t>
            </w:r>
          </w:p>
        </w:tc>
        <w:tc>
          <w:tcPr>
            <w:tcW w:w="0" w:type="auto"/>
            <w:tcBorders>
              <w:top w:val="single" w:color="auto" w:sz="4" w:space="0"/>
              <w:left w:val="single" w:color="auto" w:sz="4" w:space="0"/>
              <w:bottom w:val="single" w:color="auto" w:sz="12"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val="en-US" w:eastAsia="zh-CN"/>
              </w:rPr>
            </w:pP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12" w:space="0"/>
              <w:right w:val="single" w:color="auto" w:sz="12"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z w:val="21"/>
                <w:szCs w:val="16"/>
              </w:rPr>
            </w:pPr>
          </w:p>
        </w:tc>
      </w:tr>
    </w:tbl>
    <w:p>
      <w:pPr>
        <w:pStyle w:val="4"/>
        <w:spacing w:before="156" w:after="156"/>
        <w:rPr>
          <w:rFonts w:hint="eastAsia"/>
        </w:rPr>
      </w:pPr>
      <w:bookmarkStart w:id="117" w:name="_Toc27975"/>
      <w:bookmarkStart w:id="118" w:name="_Toc8686"/>
      <w:r>
        <w:rPr>
          <w:rFonts w:hint="eastAsia" w:ascii="Times New Roman" w:hAnsi="Times New Roman"/>
          <w:lang w:val="en-US" w:eastAsia="zh-CN"/>
        </w:rPr>
        <w:t>4</w:t>
      </w:r>
      <w:r>
        <w:rPr>
          <w:rFonts w:hint="eastAsia"/>
        </w:rPr>
        <w:t>.</w:t>
      </w:r>
      <w:r>
        <w:rPr>
          <w:rFonts w:hint="eastAsia" w:ascii="Times New Roman" w:hAnsi="Times New Roman"/>
          <w:lang w:val="en-US" w:eastAsia="zh-CN"/>
        </w:rPr>
        <w:t>4</w:t>
      </w:r>
      <w:r>
        <w:rPr>
          <w:rFonts w:hint="eastAsia"/>
        </w:rPr>
        <w:t>平面布置</w:t>
      </w:r>
      <w:bookmarkEnd w:id="117"/>
      <w:bookmarkEnd w:id="118"/>
    </w:p>
    <w:p>
      <w:pPr>
        <w:ind w:right="79" w:rightChars="33" w:firstLine="480"/>
        <w:rPr>
          <w:rFonts w:hint="eastAsia" w:eastAsia="宋体"/>
          <w:szCs w:val="24"/>
          <w:lang w:eastAsia="zh-CN"/>
        </w:rPr>
      </w:pPr>
      <w:r>
        <w:rPr>
          <w:rFonts w:hint="eastAsia"/>
          <w:szCs w:val="24"/>
          <w:lang w:eastAsia="zh-CN"/>
        </w:rPr>
        <w:t>本项目总图布置严格遵守和执行国家《建筑设计防火规范》（</w:t>
      </w:r>
      <w:r>
        <w:rPr>
          <w:rFonts w:hint="eastAsia" w:ascii="Times New Roman" w:hAnsi="Times New Roman"/>
          <w:szCs w:val="24"/>
          <w:lang w:val="en-US" w:eastAsia="zh-CN"/>
        </w:rPr>
        <w:t>2018</w:t>
      </w:r>
      <w:r>
        <w:rPr>
          <w:rFonts w:hint="eastAsia"/>
          <w:szCs w:val="24"/>
          <w:lang w:val="en-US" w:eastAsia="zh-CN"/>
        </w:rPr>
        <w:t>年版</w:t>
      </w:r>
      <w:r>
        <w:rPr>
          <w:rFonts w:hint="eastAsia"/>
          <w:szCs w:val="24"/>
          <w:lang w:eastAsia="zh-CN"/>
        </w:rPr>
        <w:t>）（</w:t>
      </w:r>
      <w:r>
        <w:rPr>
          <w:rFonts w:hint="eastAsia" w:ascii="Times New Roman" w:hAnsi="Times New Roman"/>
          <w:szCs w:val="24"/>
          <w:lang w:val="en-US" w:eastAsia="zh-CN"/>
        </w:rPr>
        <w:t>GB50016</w:t>
      </w:r>
      <w:r>
        <w:rPr>
          <w:rFonts w:hint="eastAsia"/>
          <w:szCs w:val="24"/>
          <w:lang w:val="en-US" w:eastAsia="zh-CN"/>
        </w:rPr>
        <w:t>-</w:t>
      </w:r>
      <w:r>
        <w:rPr>
          <w:rFonts w:hint="eastAsia" w:ascii="Times New Roman" w:hAnsi="Times New Roman"/>
          <w:szCs w:val="24"/>
          <w:lang w:val="en-US" w:eastAsia="zh-CN"/>
        </w:rPr>
        <w:t>2014</w:t>
      </w:r>
      <w:r>
        <w:rPr>
          <w:rFonts w:hint="eastAsia"/>
          <w:szCs w:val="24"/>
          <w:lang w:eastAsia="zh-CN"/>
        </w:rPr>
        <w:t>）、《工业企业总平面设计规范》（</w:t>
      </w:r>
      <w:r>
        <w:rPr>
          <w:rFonts w:hint="eastAsia" w:ascii="Times New Roman" w:hAnsi="Times New Roman"/>
          <w:szCs w:val="24"/>
          <w:lang w:val="en-US" w:eastAsia="zh-CN"/>
        </w:rPr>
        <w:t>GB50187</w:t>
      </w:r>
      <w:r>
        <w:rPr>
          <w:rFonts w:hint="eastAsia"/>
          <w:szCs w:val="24"/>
          <w:lang w:val="en-US" w:eastAsia="zh-CN"/>
        </w:rPr>
        <w:t>-</w:t>
      </w:r>
      <w:r>
        <w:rPr>
          <w:rFonts w:hint="eastAsia" w:ascii="Times New Roman" w:hAnsi="Times New Roman"/>
          <w:szCs w:val="24"/>
          <w:lang w:val="en-US" w:eastAsia="zh-CN"/>
        </w:rPr>
        <w:t>2012</w:t>
      </w:r>
      <w:r>
        <w:rPr>
          <w:rFonts w:hint="eastAsia"/>
          <w:szCs w:val="24"/>
          <w:lang w:eastAsia="zh-CN"/>
        </w:rPr>
        <w:t>）和《石油化学企业设计防火标准》（</w:t>
      </w:r>
      <w:r>
        <w:rPr>
          <w:rFonts w:hint="eastAsia" w:ascii="Times New Roman" w:hAnsi="Times New Roman"/>
          <w:szCs w:val="24"/>
          <w:lang w:val="en-US" w:eastAsia="zh-CN"/>
        </w:rPr>
        <w:t>2018</w:t>
      </w:r>
      <w:r>
        <w:rPr>
          <w:rFonts w:hint="eastAsia"/>
          <w:szCs w:val="24"/>
          <w:lang w:val="en-US" w:eastAsia="zh-CN"/>
        </w:rPr>
        <w:t>年版</w:t>
      </w:r>
      <w:r>
        <w:rPr>
          <w:rFonts w:hint="eastAsia"/>
          <w:szCs w:val="24"/>
          <w:lang w:eastAsia="zh-CN"/>
        </w:rPr>
        <w:t>）（</w:t>
      </w:r>
      <w:r>
        <w:rPr>
          <w:rFonts w:hint="eastAsia" w:ascii="Times New Roman" w:hAnsi="Times New Roman"/>
          <w:szCs w:val="24"/>
          <w:lang w:val="en-US" w:eastAsia="zh-CN"/>
        </w:rPr>
        <w:t>GB50160</w:t>
      </w:r>
      <w:r>
        <w:rPr>
          <w:rFonts w:hint="eastAsia"/>
          <w:szCs w:val="24"/>
          <w:lang w:val="en-US" w:eastAsia="zh-CN"/>
        </w:rPr>
        <w:t>-</w:t>
      </w:r>
      <w:r>
        <w:rPr>
          <w:rFonts w:hint="eastAsia" w:ascii="Times New Roman" w:hAnsi="Times New Roman"/>
          <w:szCs w:val="24"/>
          <w:lang w:val="en-US" w:eastAsia="zh-CN"/>
        </w:rPr>
        <w:t>2008</w:t>
      </w:r>
      <w:r>
        <w:rPr>
          <w:rFonts w:hint="eastAsia"/>
          <w:szCs w:val="24"/>
          <w:lang w:eastAsia="zh-CN"/>
        </w:rPr>
        <w:t>）等规定。</w:t>
      </w:r>
    </w:p>
    <w:p>
      <w:pPr>
        <w:ind w:right="79" w:rightChars="33" w:firstLine="480"/>
        <w:rPr>
          <w:rFonts w:hint="eastAsia" w:eastAsia="宋体"/>
          <w:color w:val="auto"/>
          <w:szCs w:val="24"/>
          <w:lang w:eastAsia="zh-CN"/>
        </w:rPr>
      </w:pPr>
      <w:r>
        <w:rPr>
          <w:rFonts w:hint="eastAsia"/>
          <w:color w:val="auto"/>
          <w:szCs w:val="24"/>
        </w:rPr>
        <w:t>（</w:t>
      </w:r>
      <w:r>
        <w:rPr>
          <w:rFonts w:hint="eastAsia" w:ascii="Times New Roman" w:hAnsi="Times New Roman"/>
          <w:color w:val="auto"/>
          <w:szCs w:val="24"/>
        </w:rPr>
        <w:t>1</w:t>
      </w:r>
      <w:r>
        <w:rPr>
          <w:rFonts w:hint="eastAsia"/>
          <w:color w:val="auto"/>
          <w:szCs w:val="24"/>
        </w:rPr>
        <w:t>）</w:t>
      </w:r>
      <w:r>
        <w:rPr>
          <w:rFonts w:hint="eastAsia"/>
          <w:color w:val="auto"/>
          <w:szCs w:val="24"/>
          <w:lang w:eastAsia="zh-CN"/>
        </w:rPr>
        <w:t>主体工程装置</w:t>
      </w:r>
    </w:p>
    <w:p>
      <w:pPr>
        <w:ind w:right="79" w:rightChars="33" w:firstLine="480"/>
        <w:rPr>
          <w:rFonts w:hint="default" w:eastAsia="宋体"/>
          <w:color w:val="auto"/>
          <w:szCs w:val="24"/>
          <w:lang w:val="en-US" w:eastAsia="zh-CN"/>
        </w:rPr>
      </w:pPr>
      <w:r>
        <w:rPr>
          <w:rFonts w:hint="eastAsia"/>
          <w:szCs w:val="24"/>
          <w:lang w:eastAsia="zh-CN"/>
        </w:rPr>
        <w:t>本项目主体工程</w:t>
      </w:r>
      <w:r>
        <w:rPr>
          <w:rFonts w:hint="eastAsia"/>
          <w:szCs w:val="24"/>
          <w:lang w:val="en-US" w:eastAsia="zh-CN"/>
        </w:rPr>
        <w:t>位于</w:t>
      </w:r>
      <w:r>
        <w:rPr>
          <w:rFonts w:hint="eastAsia"/>
          <w:szCs w:val="24"/>
          <w:lang w:eastAsia="zh-CN"/>
        </w:rPr>
        <w:t>现有工程</w:t>
      </w:r>
      <w:r>
        <w:rPr>
          <w:rFonts w:hint="eastAsia" w:ascii="Times New Roman" w:hAnsi="Times New Roman"/>
          <w:szCs w:val="24"/>
          <w:lang w:val="en-US" w:eastAsia="zh-CN"/>
        </w:rPr>
        <w:t>DN</w:t>
      </w:r>
      <w:r>
        <w:rPr>
          <w:rFonts w:hint="eastAsia"/>
          <w:szCs w:val="24"/>
          <w:lang w:val="en-US" w:eastAsia="zh-CN"/>
        </w:rPr>
        <w:t>提取装置西侧的空地。</w:t>
      </w:r>
    </w:p>
    <w:p>
      <w:pPr>
        <w:ind w:right="79" w:rightChars="33" w:firstLine="480"/>
        <w:rPr>
          <w:rFonts w:hint="eastAsia"/>
          <w:color w:val="auto"/>
          <w:szCs w:val="24"/>
          <w:lang w:eastAsia="zh-CN"/>
        </w:rPr>
      </w:pPr>
      <w:r>
        <w:rPr>
          <w:rFonts w:hint="eastAsia"/>
          <w:color w:val="auto"/>
          <w:szCs w:val="24"/>
        </w:rPr>
        <w:t>（</w:t>
      </w:r>
      <w:r>
        <w:rPr>
          <w:rFonts w:hint="eastAsia" w:ascii="Times New Roman" w:hAnsi="Times New Roman"/>
          <w:color w:val="auto"/>
          <w:szCs w:val="24"/>
          <w:lang w:val="en-US" w:eastAsia="zh-CN"/>
        </w:rPr>
        <w:t>2</w:t>
      </w:r>
      <w:r>
        <w:rPr>
          <w:rFonts w:hint="eastAsia"/>
          <w:color w:val="auto"/>
          <w:szCs w:val="24"/>
        </w:rPr>
        <w:t>）</w:t>
      </w:r>
      <w:r>
        <w:rPr>
          <w:rFonts w:hint="eastAsia"/>
          <w:color w:val="auto"/>
          <w:szCs w:val="24"/>
          <w:lang w:eastAsia="zh-CN"/>
        </w:rPr>
        <w:t>储运区</w:t>
      </w:r>
    </w:p>
    <w:p>
      <w:pPr>
        <w:ind w:right="79" w:rightChars="33" w:firstLine="480"/>
        <w:rPr>
          <w:rFonts w:hint="eastAsia"/>
          <w:szCs w:val="24"/>
          <w:lang w:val="en-US" w:eastAsia="zh-CN"/>
        </w:rPr>
      </w:pPr>
      <w:r>
        <w:rPr>
          <w:rFonts w:hint="eastAsia"/>
          <w:szCs w:val="24"/>
          <w:lang w:val="en-US" w:eastAsia="zh-CN"/>
        </w:rPr>
        <w:t>储运区位于主体工程的南侧，包括罐区和装车鹤位。</w:t>
      </w:r>
    </w:p>
    <w:p>
      <w:pPr>
        <w:ind w:right="79" w:rightChars="33" w:firstLine="480"/>
        <w:rPr>
          <w:rFonts w:hint="eastAsia" w:eastAsia="宋体"/>
          <w:color w:val="auto"/>
          <w:szCs w:val="24"/>
          <w:lang w:eastAsia="zh-CN"/>
        </w:rPr>
      </w:pPr>
      <w:r>
        <w:rPr>
          <w:rFonts w:hint="eastAsia"/>
          <w:color w:val="auto"/>
          <w:szCs w:val="24"/>
        </w:rPr>
        <w:t>（</w:t>
      </w:r>
      <w:r>
        <w:rPr>
          <w:rFonts w:hint="eastAsia" w:ascii="Times New Roman" w:hAnsi="Times New Roman"/>
          <w:color w:val="auto"/>
          <w:szCs w:val="24"/>
          <w:lang w:val="en-US" w:eastAsia="zh-CN"/>
        </w:rPr>
        <w:t>3</w:t>
      </w:r>
      <w:r>
        <w:rPr>
          <w:rFonts w:hint="eastAsia"/>
          <w:color w:val="auto"/>
          <w:szCs w:val="24"/>
        </w:rPr>
        <w:t>）</w:t>
      </w:r>
      <w:r>
        <w:rPr>
          <w:rFonts w:hint="eastAsia"/>
          <w:color w:val="auto"/>
          <w:szCs w:val="24"/>
          <w:lang w:eastAsia="zh-CN"/>
        </w:rPr>
        <w:t>尾气吸收塔</w:t>
      </w:r>
    </w:p>
    <w:p>
      <w:pPr>
        <w:ind w:right="79" w:rightChars="33" w:firstLine="480"/>
        <w:rPr>
          <w:rFonts w:hint="eastAsia"/>
          <w:color w:val="auto"/>
          <w:szCs w:val="24"/>
        </w:rPr>
      </w:pPr>
      <w:r>
        <w:rPr>
          <w:rFonts w:hint="eastAsia"/>
          <w:color w:val="auto"/>
          <w:szCs w:val="24"/>
          <w:lang w:eastAsia="zh-CN"/>
        </w:rPr>
        <w:t>本项目</w:t>
      </w:r>
      <w:r>
        <w:rPr>
          <w:rFonts w:hint="eastAsia"/>
          <w:color w:val="auto"/>
          <w:szCs w:val="24"/>
          <w:lang w:val="en-US" w:eastAsia="zh-CN"/>
        </w:rPr>
        <w:t>尾气</w:t>
      </w:r>
      <w:r>
        <w:rPr>
          <w:rFonts w:hint="eastAsia"/>
          <w:color w:val="auto"/>
          <w:szCs w:val="24"/>
          <w:lang w:eastAsia="zh-CN"/>
        </w:rPr>
        <w:t>吸收塔</w:t>
      </w:r>
      <w:r>
        <w:rPr>
          <w:rFonts w:hint="eastAsia"/>
          <w:color w:val="auto"/>
          <w:szCs w:val="24"/>
          <w:lang w:val="en-US" w:eastAsia="zh-CN"/>
        </w:rPr>
        <w:t>位于本项目装置区东侧的一角</w:t>
      </w:r>
      <w:r>
        <w:rPr>
          <w:rFonts w:hint="eastAsia"/>
          <w:color w:val="auto"/>
          <w:szCs w:val="24"/>
        </w:rPr>
        <w:t>。</w:t>
      </w:r>
    </w:p>
    <w:p>
      <w:pPr>
        <w:bidi w:val="0"/>
        <w:rPr>
          <w:rFonts w:hint="eastAsia"/>
        </w:rPr>
      </w:pPr>
      <w:r>
        <w:rPr>
          <w:rFonts w:hint="eastAsia"/>
          <w:lang w:eastAsia="zh-CN"/>
        </w:rPr>
        <w:t>（</w:t>
      </w:r>
      <w:r>
        <w:rPr>
          <w:rFonts w:hint="eastAsia" w:ascii="Times New Roman" w:hAnsi="Times New Roman"/>
          <w:lang w:val="en-US" w:eastAsia="zh-CN"/>
        </w:rPr>
        <w:t>4</w:t>
      </w:r>
      <w:r>
        <w:rPr>
          <w:rFonts w:hint="eastAsia"/>
          <w:lang w:eastAsia="zh-CN"/>
        </w:rPr>
        <w:t>）厂区</w:t>
      </w:r>
      <w:r>
        <w:rPr>
          <w:rFonts w:hint="eastAsia"/>
        </w:rPr>
        <w:t>道路</w:t>
      </w:r>
    </w:p>
    <w:p>
      <w:pPr>
        <w:rPr>
          <w:rFonts w:hint="eastAsia"/>
          <w:color w:val="auto"/>
        </w:rPr>
      </w:pPr>
      <w:r>
        <w:rPr>
          <w:rFonts w:hint="eastAsia"/>
          <w:szCs w:val="24"/>
          <w:lang w:eastAsia="zh-CN"/>
        </w:rPr>
        <w:t>本项目装置周边设置有消防通道，消防车道宽度不小于</w:t>
      </w:r>
      <w:r>
        <w:rPr>
          <w:rFonts w:hint="eastAsia" w:ascii="Times New Roman" w:hAnsi="Times New Roman"/>
          <w:szCs w:val="24"/>
          <w:lang w:val="en-US" w:eastAsia="zh-CN"/>
        </w:rPr>
        <w:t>4m</w:t>
      </w:r>
      <w:r>
        <w:rPr>
          <w:rFonts w:hint="eastAsia"/>
          <w:szCs w:val="24"/>
          <w:lang w:val="en-US" w:eastAsia="zh-CN"/>
        </w:rPr>
        <w:t>，消防道路路面內缘转弯半径不小于</w:t>
      </w:r>
      <w:r>
        <w:rPr>
          <w:rFonts w:hint="eastAsia" w:ascii="Times New Roman" w:hAnsi="Times New Roman"/>
          <w:szCs w:val="24"/>
          <w:lang w:val="en-US" w:eastAsia="zh-CN"/>
        </w:rPr>
        <w:t>9m</w:t>
      </w:r>
      <w:r>
        <w:rPr>
          <w:rFonts w:hint="eastAsia"/>
          <w:color w:val="auto"/>
        </w:rPr>
        <w:t>。</w:t>
      </w:r>
    </w:p>
    <w:p>
      <w:pPr>
        <w:rPr>
          <w:rFonts w:hint="eastAsia" w:ascii="Times New Roman" w:hAnsi="Times New Roman"/>
          <w:lang w:val="en-US" w:eastAsia="zh-CN"/>
        </w:rPr>
      </w:pPr>
      <w:r>
        <w:rPr>
          <w:rFonts w:hint="eastAsia" w:ascii="Times New Roman" w:hAnsi="Times New Roman"/>
          <w:lang w:val="en-US" w:eastAsia="zh-CN"/>
        </w:rPr>
        <w:drawing>
          <wp:anchor distT="0" distB="0" distL="114300" distR="114300" simplePos="0" relativeHeight="251694080" behindDoc="0" locked="0" layoutInCell="1" allowOverlap="1">
            <wp:simplePos x="0" y="0"/>
            <wp:positionH relativeFrom="column">
              <wp:posOffset>36195</wp:posOffset>
            </wp:positionH>
            <wp:positionV relativeFrom="page">
              <wp:posOffset>1724660</wp:posOffset>
            </wp:positionV>
            <wp:extent cx="5685790" cy="4570730"/>
            <wp:effectExtent l="9525" t="9525" r="19685" b="10795"/>
            <wp:wrapTopAndBottom/>
            <wp:docPr id="19" name="图片 19" descr="平面布置图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平面布置图33"/>
                    <pic:cNvPicPr>
                      <a:picLocks noChangeAspect="1"/>
                    </pic:cNvPicPr>
                  </pic:nvPicPr>
                  <pic:blipFill>
                    <a:blip r:embed="rId50"/>
                    <a:stretch>
                      <a:fillRect/>
                    </a:stretch>
                  </pic:blipFill>
                  <pic:spPr>
                    <a:xfrm>
                      <a:off x="0" y="0"/>
                      <a:ext cx="5685790" cy="4570730"/>
                    </a:xfrm>
                    <a:prstGeom prst="rect">
                      <a:avLst/>
                    </a:prstGeom>
                    <a:ln>
                      <a:solidFill>
                        <a:schemeClr val="tx1"/>
                      </a:solidFill>
                    </a:ln>
                  </pic:spPr>
                </pic:pic>
              </a:graphicData>
            </a:graphic>
          </wp:anchor>
        </w:drawing>
      </w:r>
      <w:r>
        <w:rPr>
          <w:rFonts w:hint="eastAsia"/>
          <w:color w:val="auto"/>
          <w:lang w:eastAsia="zh-CN"/>
        </w:rPr>
        <w:t>本项目在</w:t>
      </w:r>
      <w:r>
        <w:rPr>
          <w:rFonts w:hint="eastAsia"/>
          <w:color w:val="auto"/>
        </w:rPr>
        <w:t>厂区</w:t>
      </w:r>
      <w:r>
        <w:rPr>
          <w:rFonts w:hint="eastAsia"/>
          <w:color w:val="auto"/>
          <w:lang w:eastAsia="zh-CN"/>
        </w:rPr>
        <w:t>位置</w:t>
      </w:r>
      <w:r>
        <w:rPr>
          <w:rFonts w:hint="eastAsia"/>
          <w:color w:val="auto"/>
        </w:rPr>
        <w:t>平面</w:t>
      </w:r>
      <w:r>
        <w:rPr>
          <w:rFonts w:hint="eastAsia"/>
          <w:color w:val="auto"/>
          <w:lang w:eastAsia="zh-CN"/>
        </w:rPr>
        <w:t>示意图</w:t>
      </w:r>
      <w:r>
        <w:rPr>
          <w:rFonts w:hint="eastAsia"/>
          <w:color w:val="FF0000"/>
        </w:rPr>
        <w:t>见图</w:t>
      </w:r>
      <w:r>
        <w:rPr>
          <w:rFonts w:hint="eastAsia" w:ascii="Times New Roman" w:hAnsi="Times New Roman"/>
          <w:color w:val="FF0000"/>
          <w:lang w:val="en-US" w:eastAsia="zh-CN"/>
        </w:rPr>
        <w:t>4</w:t>
      </w:r>
      <w:r>
        <w:rPr>
          <w:rFonts w:hint="eastAsia" w:ascii="Times New Roman"/>
          <w:color w:val="FF0000"/>
          <w:lang w:val="en-US" w:eastAsia="zh-CN"/>
        </w:rPr>
        <w:t>.</w:t>
      </w:r>
      <w:r>
        <w:rPr>
          <w:rFonts w:hint="eastAsia" w:ascii="Times New Roman" w:hAnsi="Times New Roman"/>
          <w:color w:val="FF0000"/>
          <w:lang w:val="en-US" w:eastAsia="zh-CN"/>
        </w:rPr>
        <w:t>4</w:t>
      </w:r>
      <w:r>
        <w:rPr>
          <w:rFonts w:hint="eastAsia"/>
          <w:color w:val="FF0000"/>
        </w:rPr>
        <w:t>-</w:t>
      </w:r>
      <w:r>
        <w:rPr>
          <w:rFonts w:hint="eastAsia" w:ascii="Times New Roman" w:hAnsi="Times New Roman"/>
          <w:color w:val="FF0000"/>
        </w:rPr>
        <w:t>1</w:t>
      </w:r>
      <w:r>
        <w:rPr>
          <w:rFonts w:hint="eastAsia" w:ascii="Times New Roman"/>
          <w:color w:val="FF0000"/>
          <w:lang w:eastAsia="zh-CN"/>
        </w:rPr>
        <w:t>，本项目在厂区的位置影像图见图</w:t>
      </w:r>
      <w:r>
        <w:rPr>
          <w:rFonts w:hint="eastAsia" w:ascii="Times New Roman" w:hAnsi="Times New Roman"/>
          <w:color w:val="FF0000"/>
          <w:lang w:val="en-US" w:eastAsia="zh-CN"/>
        </w:rPr>
        <w:t>4</w:t>
      </w:r>
      <w:r>
        <w:rPr>
          <w:rFonts w:hint="eastAsia" w:ascii="Times New Roman"/>
          <w:color w:val="FF0000"/>
          <w:lang w:val="en-US" w:eastAsia="zh-CN"/>
        </w:rPr>
        <w:t>.</w:t>
      </w:r>
      <w:r>
        <w:rPr>
          <w:rFonts w:hint="eastAsia" w:ascii="Times New Roman" w:hAnsi="Times New Roman"/>
          <w:color w:val="FF0000"/>
          <w:lang w:val="en-US" w:eastAsia="zh-CN"/>
        </w:rPr>
        <w:t>4</w:t>
      </w:r>
      <w:r>
        <w:rPr>
          <w:rFonts w:hint="eastAsia" w:ascii="Times New Roman"/>
          <w:color w:val="FF0000"/>
          <w:lang w:val="en-US" w:eastAsia="zh-CN"/>
        </w:rPr>
        <w:t>-</w:t>
      </w:r>
      <w:r>
        <w:rPr>
          <w:rFonts w:hint="eastAsia" w:ascii="Times New Roman" w:hAnsi="Times New Roman"/>
          <w:color w:val="FF0000"/>
          <w:lang w:val="en-US" w:eastAsia="zh-CN"/>
        </w:rPr>
        <w:t>2</w:t>
      </w:r>
      <w:r>
        <w:rPr>
          <w:rFonts w:hint="eastAsia"/>
          <w:color w:val="FF0000"/>
        </w:rPr>
        <w:t>。</w:t>
      </w:r>
      <w:bookmarkStart w:id="119" w:name="_Toc13677"/>
    </w:p>
    <w:p>
      <w:pPr>
        <w:pStyle w:val="20"/>
        <w:bidi w:val="0"/>
        <w:rPr>
          <w:rFonts w:hint="default"/>
          <w:lang w:val="en-US" w:eastAsia="zh-CN"/>
        </w:rPr>
      </w:pPr>
      <w:r>
        <w:rPr>
          <w:rFonts w:hint="eastAsia"/>
          <w:lang w:val="en-US" w:eastAsia="zh-CN"/>
        </w:rPr>
        <w:t>图</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 xml:space="preserve">  本项目平面㝎示意图</w:t>
      </w:r>
    </w:p>
    <w:p>
      <w:pPr>
        <w:pStyle w:val="4"/>
        <w:bidi w:val="0"/>
        <w:rPr>
          <w:rFonts w:hint="eastAsia"/>
        </w:rPr>
      </w:pPr>
      <w:bookmarkStart w:id="120" w:name="_Toc9820"/>
      <w:r>
        <w:rPr>
          <w:rFonts w:hint="eastAsia" w:ascii="Times New Roman" w:hAnsi="Times New Roman"/>
          <w:lang w:val="en-US" w:eastAsia="zh-CN"/>
        </w:rPr>
        <w:t>4</w:t>
      </w:r>
      <w:r>
        <w:rPr>
          <w:rFonts w:hint="eastAsia"/>
        </w:rPr>
        <w:t>.</w:t>
      </w:r>
      <w:r>
        <w:rPr>
          <w:rFonts w:hint="eastAsia" w:ascii="Times New Roman" w:hAnsi="Times New Roman"/>
          <w:lang w:val="en-US" w:eastAsia="zh-CN"/>
        </w:rPr>
        <w:t>5</w:t>
      </w:r>
      <w:r>
        <w:rPr>
          <w:rFonts w:hint="eastAsia"/>
        </w:rPr>
        <w:t>主要技术经济指标</w:t>
      </w:r>
      <w:bookmarkEnd w:id="119"/>
      <w:bookmarkEnd w:id="120"/>
    </w:p>
    <w:p>
      <w:pPr>
        <w:rPr>
          <w:rFonts w:hint="eastAsia"/>
        </w:rPr>
      </w:pPr>
      <w:r>
        <w:rPr>
          <w:rFonts w:hint="eastAsia"/>
        </w:rPr>
        <w:t>本项目主要技术经济指标见表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w:t>
      </w:r>
    </w:p>
    <w:p>
      <w:pPr>
        <w:pStyle w:val="20"/>
        <w:spacing w:before="156"/>
        <w:rPr>
          <w:rFonts w:hint="eastAsia"/>
        </w:rPr>
      </w:pPr>
      <w:r>
        <w:rPr>
          <w:rFonts w:hint="eastAsia"/>
        </w:rP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 xml:space="preserve">  主要经济技术指标</w:t>
      </w:r>
    </w:p>
    <w:tbl>
      <w:tblPr>
        <w:tblStyle w:val="80"/>
        <w:tblW w:w="4996"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742"/>
        <w:gridCol w:w="1275"/>
        <w:gridCol w:w="1341"/>
        <w:gridCol w:w="187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12"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序 号</w:t>
            </w:r>
          </w:p>
        </w:tc>
        <w:tc>
          <w:tcPr>
            <w:tcW w:w="2040"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指标名称</w:t>
            </w:r>
          </w:p>
        </w:tc>
        <w:tc>
          <w:tcPr>
            <w:tcW w:w="695"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单  位</w:t>
            </w:r>
          </w:p>
        </w:tc>
        <w:tc>
          <w:tcPr>
            <w:tcW w:w="731"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数  量</w:t>
            </w:r>
          </w:p>
        </w:tc>
        <w:tc>
          <w:tcPr>
            <w:tcW w:w="1021"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备  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一</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产品方案</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w:t>
            </w:r>
            <w:r>
              <w:rPr>
                <w:rFonts w:hint="eastAsia" w:ascii="Times New Roman" w:hAnsi="Times New Roman"/>
                <w:sz w:val="21"/>
                <w:szCs w:val="16"/>
                <w:lang w:val="en-US" w:eastAsia="zh-CN"/>
              </w:rPr>
              <w:t>1</w:t>
            </w:r>
            <w:r>
              <w:rPr>
                <w:rFonts w:hint="eastAsia"/>
                <w:sz w:val="21"/>
                <w:szCs w:val="16"/>
                <w:lang w:eastAsia="zh-CN"/>
              </w:rPr>
              <w:t>）</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ascii="Times New Roman" w:hAnsi="Times New Roman"/>
                <w:sz w:val="21"/>
                <w:szCs w:val="16"/>
                <w:lang w:eastAsia="zh-CN"/>
              </w:rPr>
              <w:t>PD</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t</w:t>
            </w:r>
            <w:r>
              <w:rPr>
                <w:rFonts w:hint="eastAsia"/>
                <w:sz w:val="21"/>
                <w:szCs w:val="16"/>
                <w:lang w:val="en-US" w:eastAsia="zh-CN"/>
              </w:rPr>
              <w:t>/</w:t>
            </w:r>
            <w:r>
              <w:rPr>
                <w:rFonts w:hint="eastAsia" w:ascii="Times New Roman" w:hAnsi="Times New Roman"/>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10000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w:t>
            </w:r>
            <w:r>
              <w:rPr>
                <w:rFonts w:hint="eastAsia" w:ascii="Times New Roman" w:hAnsi="Times New Roman"/>
                <w:sz w:val="21"/>
                <w:szCs w:val="16"/>
                <w:lang w:val="en-US" w:eastAsia="zh-CN"/>
              </w:rPr>
              <w:t>2</w:t>
            </w:r>
            <w:r>
              <w:rPr>
                <w:rFonts w:hint="eastAsia"/>
                <w:sz w:val="21"/>
                <w:szCs w:val="16"/>
                <w:lang w:eastAsia="zh-CN"/>
              </w:rPr>
              <w:t>）</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粗</w:t>
            </w:r>
            <w:r>
              <w:rPr>
                <w:rFonts w:hint="eastAsia" w:ascii="Times New Roman" w:hAnsi="Times New Roman"/>
                <w:sz w:val="21"/>
                <w:szCs w:val="16"/>
                <w:lang w:val="en-US" w:eastAsia="zh-CN"/>
              </w:rPr>
              <w:t>PD</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sz w:val="21"/>
                <w:szCs w:val="16"/>
                <w:lang w:val="en-US" w:eastAsia="zh-CN"/>
              </w:rPr>
            </w:pPr>
            <w:r>
              <w:rPr>
                <w:rFonts w:hint="eastAsia" w:ascii="Times New Roman" w:hAnsi="Times New Roman"/>
                <w:sz w:val="21"/>
                <w:szCs w:val="16"/>
                <w:lang w:val="en-US" w:eastAsia="zh-CN"/>
              </w:rPr>
              <w:t>t</w:t>
            </w:r>
            <w:r>
              <w:rPr>
                <w:rFonts w:hint="eastAsia" w:ascii="Times New Roman" w:hAnsi="Times New Roman"/>
                <w:sz w:val="21"/>
                <w:szCs w:val="16"/>
                <w:lang w:val="en-US" w:eastAsia="zh-CN"/>
              </w:rPr>
              <w:t>/</w:t>
            </w:r>
            <w:r>
              <w:rPr>
                <w:rFonts w:hint="eastAsia" w:ascii="Times New Roman" w:hAnsi="Times New Roman"/>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sz w:val="21"/>
                <w:szCs w:val="16"/>
                <w:lang w:val="en-US" w:eastAsia="zh-CN"/>
              </w:rPr>
            </w:pPr>
            <w:r>
              <w:rPr>
                <w:rFonts w:hint="eastAsia" w:ascii="Times New Roman" w:hAnsi="Times New Roman"/>
                <w:sz w:val="21"/>
                <w:szCs w:val="16"/>
                <w:lang w:val="en-US" w:eastAsia="zh-CN"/>
              </w:rPr>
              <w:t>2000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副产</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二</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年操作时间</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h</w:t>
            </w:r>
            <w:r>
              <w:rPr>
                <w:rFonts w:hint="eastAsia" w:ascii="Times New Roman" w:hAnsi="Times New Roman"/>
                <w:sz w:val="21"/>
                <w:szCs w:val="16"/>
                <w:lang w:val="en-US" w:eastAsia="zh-CN"/>
              </w:rPr>
              <w:t>/</w:t>
            </w:r>
            <w:r>
              <w:rPr>
                <w:rFonts w:hint="eastAsia" w:ascii="Times New Roman" w:hAnsi="Times New Roman"/>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8000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四班三运转制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三</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主要原辅材料、燃料用量</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ascii="Times New Roman" w:hAnsi="Times New Roman"/>
                <w:sz w:val="21"/>
                <w:szCs w:val="16"/>
                <w:lang w:val="en-US" w:eastAsia="zh-CN"/>
              </w:rPr>
              <w:t>1</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ascii="Times New Roman" w:hAnsi="Times New Roman"/>
                <w:sz w:val="21"/>
                <w:szCs w:val="16"/>
                <w:lang w:val="en-US" w:eastAsia="zh-CN"/>
              </w:rPr>
              <w:t>DN</w:t>
            </w:r>
            <w:r>
              <w:rPr>
                <w:rFonts w:hint="eastAsia"/>
                <w:sz w:val="21"/>
                <w:szCs w:val="16"/>
                <w:lang w:val="en-US" w:eastAsia="zh-CN"/>
              </w:rPr>
              <w:t>溶液</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t</w:t>
            </w:r>
            <w:r>
              <w:rPr>
                <w:rFonts w:hint="eastAsia"/>
                <w:sz w:val="21"/>
                <w:szCs w:val="16"/>
                <w:lang w:val="en-US" w:eastAsia="zh-CN"/>
              </w:rPr>
              <w:t>/</w:t>
            </w:r>
            <w:r>
              <w:rPr>
                <w:rFonts w:hint="eastAsia" w:ascii="Times New Roman" w:hAnsi="Times New Roman"/>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0000FF"/>
                <w:sz w:val="21"/>
                <w:szCs w:val="16"/>
                <w:lang w:val="en-US" w:eastAsia="zh-CN"/>
              </w:rPr>
            </w:pPr>
            <w:r>
              <w:rPr>
                <w:rFonts w:hint="eastAsia" w:ascii="Times New Roman" w:hAnsi="Times New Roman"/>
                <w:color w:val="auto"/>
                <w:sz w:val="21"/>
                <w:szCs w:val="16"/>
                <w:lang w:val="en-US" w:eastAsia="zh-CN"/>
              </w:rPr>
              <w:t>16976</w:t>
            </w:r>
            <w:r>
              <w:rPr>
                <w:rFonts w:hint="eastAsia"/>
                <w:color w:val="auto"/>
                <w:sz w:val="21"/>
                <w:szCs w:val="16"/>
                <w:lang w:val="en-US" w:eastAsia="zh-CN"/>
              </w:rPr>
              <w:t>.</w:t>
            </w:r>
            <w:r>
              <w:rPr>
                <w:rFonts w:hint="eastAsia" w:ascii="Times New Roman" w:hAnsi="Times New Roman"/>
                <w:color w:val="auto"/>
                <w:sz w:val="21"/>
                <w:szCs w:val="16"/>
                <w:lang w:val="en-US" w:eastAsia="zh-CN"/>
              </w:rPr>
              <w:t>27</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0000FF"/>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四</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公用动力消耗量</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0000FF"/>
                <w:sz w:val="21"/>
                <w:szCs w:val="16"/>
                <w:lang w:val="en-US" w:eastAsia="zh-CN"/>
              </w:rPr>
            </w:pP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color w:val="0000FF"/>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电</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万</w:t>
            </w:r>
            <w:r>
              <w:rPr>
                <w:rFonts w:hint="eastAsia" w:ascii="Times New Roman" w:hAnsi="Times New Roman"/>
                <w:sz w:val="21"/>
                <w:szCs w:val="16"/>
                <w:lang w:val="en-US" w:eastAsia="zh-CN"/>
              </w:rPr>
              <w:t>kWh</w:t>
            </w:r>
            <w:r>
              <w:rPr>
                <w:rFonts w:hint="eastAsia"/>
                <w:sz w:val="21"/>
                <w:szCs w:val="16"/>
                <w:lang w:val="en-US" w:eastAsia="zh-CN"/>
              </w:rPr>
              <w:t>/</w:t>
            </w:r>
            <w:r>
              <w:rPr>
                <w:rFonts w:hint="eastAsia" w:ascii="Times New Roman" w:hAnsi="Times New Roman"/>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180</w:t>
            </w:r>
            <w:r>
              <w:rPr>
                <w:rFonts w:hint="eastAsia"/>
                <w:sz w:val="21"/>
                <w:szCs w:val="16"/>
                <w:lang w:val="en-US" w:eastAsia="zh-CN"/>
              </w:rPr>
              <w:t>.</w:t>
            </w:r>
            <w:r>
              <w:rPr>
                <w:rFonts w:hint="eastAsia" w:ascii="Times New Roman" w:hAnsi="Times New Roman"/>
                <w:sz w:val="21"/>
                <w:szCs w:val="16"/>
                <w:lang w:val="en-US" w:eastAsia="zh-CN"/>
              </w:rPr>
              <w:t>576</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6MPa</w:t>
            </w:r>
            <w:r>
              <w:rPr>
                <w:rFonts w:hint="eastAsia"/>
                <w:color w:val="auto"/>
                <w:sz w:val="21"/>
                <w:szCs w:val="16"/>
                <w:lang w:val="en-US" w:eastAsia="zh-CN"/>
              </w:rPr>
              <w:t>（</w:t>
            </w:r>
            <w:r>
              <w:rPr>
                <w:rFonts w:hint="eastAsia" w:ascii="Times New Roman" w:hAnsi="Times New Roman"/>
                <w:color w:val="auto"/>
                <w:sz w:val="21"/>
                <w:szCs w:val="16"/>
                <w:lang w:val="en-US" w:eastAsia="zh-CN"/>
              </w:rPr>
              <w:t>G</w:t>
            </w:r>
            <w:r>
              <w:rPr>
                <w:rFonts w:hint="eastAsia"/>
                <w:color w:val="auto"/>
                <w:sz w:val="21"/>
                <w:szCs w:val="16"/>
                <w:lang w:val="en-US" w:eastAsia="zh-CN"/>
              </w:rPr>
              <w:t>）蒸汽</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4800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3MPa</w:t>
            </w:r>
            <w:r>
              <w:rPr>
                <w:rFonts w:hint="eastAsia"/>
                <w:color w:val="auto"/>
                <w:sz w:val="21"/>
                <w:szCs w:val="16"/>
                <w:lang w:val="en-US" w:eastAsia="zh-CN"/>
              </w:rPr>
              <w:t>（</w:t>
            </w:r>
            <w:r>
              <w:rPr>
                <w:rFonts w:hint="eastAsia" w:ascii="Times New Roman" w:hAnsi="Times New Roman"/>
                <w:color w:val="auto"/>
                <w:sz w:val="21"/>
                <w:szCs w:val="16"/>
                <w:lang w:val="en-US" w:eastAsia="zh-CN"/>
              </w:rPr>
              <w:t>G</w:t>
            </w:r>
            <w:r>
              <w:rPr>
                <w:rFonts w:hint="eastAsia"/>
                <w:color w:val="auto"/>
                <w:sz w:val="21"/>
                <w:szCs w:val="16"/>
                <w:lang w:val="en-US" w:eastAsia="zh-CN"/>
              </w:rPr>
              <w:t>）蒸汽</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13040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6MPa</w:t>
            </w:r>
            <w:r>
              <w:rPr>
                <w:rFonts w:hint="eastAsia"/>
                <w:color w:val="auto"/>
                <w:sz w:val="21"/>
                <w:szCs w:val="16"/>
                <w:lang w:val="en-US" w:eastAsia="zh-CN"/>
              </w:rPr>
              <w:t>（</w:t>
            </w:r>
            <w:r>
              <w:rPr>
                <w:rFonts w:hint="eastAsia" w:ascii="Times New Roman" w:hAnsi="Times New Roman"/>
                <w:color w:val="auto"/>
                <w:sz w:val="21"/>
                <w:szCs w:val="16"/>
                <w:lang w:val="en-US" w:eastAsia="zh-CN"/>
              </w:rPr>
              <w:t>G</w:t>
            </w:r>
            <w:r>
              <w:rPr>
                <w:rFonts w:hint="eastAsia"/>
                <w:color w:val="auto"/>
                <w:sz w:val="21"/>
                <w:szCs w:val="16"/>
                <w:lang w:val="en-US" w:eastAsia="zh-CN"/>
              </w:rPr>
              <w:t>）仪表风</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Nm</w:t>
            </w:r>
            <w:r>
              <w:rPr>
                <w:rFonts w:hint="eastAsia"/>
                <w:color w:val="auto"/>
                <w:sz w:val="21"/>
                <w:szCs w:val="16"/>
                <w:lang w:val="en-US" w:eastAsia="zh-CN"/>
              </w:rPr>
              <w:t>³/</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254496</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3MPa</w:t>
            </w:r>
            <w:r>
              <w:rPr>
                <w:rFonts w:hint="eastAsia"/>
                <w:color w:val="auto"/>
                <w:sz w:val="21"/>
                <w:szCs w:val="16"/>
                <w:lang w:val="en-US" w:eastAsia="zh-CN"/>
              </w:rPr>
              <w:t>（</w:t>
            </w:r>
            <w:r>
              <w:rPr>
                <w:rFonts w:hint="eastAsia" w:ascii="Times New Roman" w:hAnsi="Times New Roman"/>
                <w:color w:val="auto"/>
                <w:sz w:val="21"/>
                <w:szCs w:val="16"/>
                <w:lang w:val="en-US" w:eastAsia="zh-CN"/>
              </w:rPr>
              <w:t>G</w:t>
            </w:r>
            <w:r>
              <w:rPr>
                <w:rFonts w:hint="eastAsia"/>
                <w:color w:val="auto"/>
                <w:sz w:val="21"/>
                <w:szCs w:val="16"/>
                <w:lang w:val="en-US" w:eastAsia="zh-CN"/>
              </w:rPr>
              <w:t>）压缩空气</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Nm</w:t>
            </w:r>
            <w:r>
              <w:rPr>
                <w:rFonts w:hint="eastAsia"/>
                <w:color w:val="auto"/>
                <w:sz w:val="21"/>
                <w:szCs w:val="16"/>
                <w:lang w:val="en-US" w:eastAsia="zh-CN"/>
              </w:rPr>
              <w:t>³/</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89565</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6MPa</w:t>
            </w:r>
            <w:r>
              <w:rPr>
                <w:rFonts w:hint="eastAsia"/>
                <w:color w:val="auto"/>
                <w:sz w:val="21"/>
                <w:szCs w:val="16"/>
                <w:lang w:val="en-US" w:eastAsia="zh-CN"/>
              </w:rPr>
              <w:t>（</w:t>
            </w:r>
            <w:r>
              <w:rPr>
                <w:rFonts w:hint="eastAsia" w:ascii="Times New Roman" w:hAnsi="Times New Roman"/>
                <w:color w:val="auto"/>
                <w:sz w:val="21"/>
                <w:szCs w:val="16"/>
                <w:lang w:val="en-US" w:eastAsia="zh-CN"/>
              </w:rPr>
              <w:t>G</w:t>
            </w:r>
            <w:r>
              <w:rPr>
                <w:rFonts w:hint="eastAsia"/>
                <w:color w:val="auto"/>
                <w:sz w:val="21"/>
                <w:szCs w:val="16"/>
                <w:lang w:val="en-US" w:eastAsia="zh-CN"/>
              </w:rPr>
              <w:t>）氮气</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Nm</w:t>
            </w:r>
            <w:r>
              <w:rPr>
                <w:rFonts w:hint="eastAsia"/>
                <w:color w:val="auto"/>
                <w:sz w:val="21"/>
                <w:szCs w:val="16"/>
                <w:lang w:val="en-US" w:eastAsia="zh-CN"/>
              </w:rPr>
              <w:t>³/</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666667</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7</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val="en-US" w:eastAsia="zh-CN"/>
              </w:rPr>
            </w:pPr>
            <w:r>
              <w:rPr>
                <w:rFonts w:hint="eastAsia"/>
                <w:color w:val="auto"/>
                <w:sz w:val="21"/>
                <w:szCs w:val="16"/>
                <w:lang w:eastAsia="zh-CN"/>
              </w:rPr>
              <w:t>循环水补水</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132240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bookmarkStart w:id="121" w:name="OLE_LINK9" w:colFirst="4" w:colLast="4"/>
            <w:bookmarkStart w:id="122" w:name="OLE_LINK10" w:colFirst="4" w:colLast="4"/>
            <w:bookmarkStart w:id="123" w:name="_Hlk238888511"/>
            <w:r>
              <w:rPr>
                <w:rFonts w:hint="eastAsia" w:ascii="Times New Roman" w:hAnsi="Times New Roman"/>
                <w:sz w:val="21"/>
                <w:szCs w:val="16"/>
                <w:lang w:val="en-US" w:eastAsia="zh-CN"/>
              </w:rPr>
              <w:t>8</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val="en-US" w:eastAsia="zh-CN"/>
              </w:rPr>
            </w:pPr>
            <w:r>
              <w:rPr>
                <w:rFonts w:hint="eastAsia"/>
                <w:color w:val="auto"/>
                <w:sz w:val="21"/>
                <w:szCs w:val="16"/>
                <w:lang w:eastAsia="zh-CN"/>
              </w:rPr>
              <w:t>纯水</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3600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bookmarkEnd w:id="121"/>
      <w:bookmarkEnd w:id="122"/>
      <w:bookmarkEnd w:id="123"/>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9</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olor w:val="auto"/>
                <w:sz w:val="21"/>
                <w:szCs w:val="16"/>
                <w:lang w:val="en-US" w:eastAsia="zh-CN"/>
              </w:rPr>
            </w:pPr>
            <w:r>
              <w:rPr>
                <w:rFonts w:hint="eastAsia"/>
                <w:color w:val="auto"/>
                <w:sz w:val="21"/>
                <w:szCs w:val="16"/>
                <w:lang w:eastAsia="zh-CN"/>
              </w:rPr>
              <w:t>新鲜水</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a</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olor w:val="auto"/>
                <w:sz w:val="21"/>
                <w:szCs w:val="16"/>
                <w:lang w:val="en-US" w:eastAsia="zh-CN"/>
              </w:rPr>
            </w:pPr>
            <w:r>
              <w:rPr>
                <w:rFonts w:hint="eastAsia" w:ascii="Times New Roman" w:hAnsi="Times New Roman"/>
                <w:color w:val="auto"/>
                <w:sz w:val="21"/>
                <w:szCs w:val="16"/>
                <w:lang w:val="en-US" w:eastAsia="zh-CN"/>
              </w:rPr>
              <w:t>137198</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48</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五</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sz w:val="21"/>
                <w:szCs w:val="16"/>
                <w:lang w:eastAsia="zh-CN"/>
              </w:rPr>
              <w:t>装置定员</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sz w:val="21"/>
                <w:szCs w:val="16"/>
                <w:lang w:eastAsia="zh-CN"/>
              </w:rPr>
              <w:t>人</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ascii="Times New Roman" w:hAnsi="Times New Roman"/>
                <w:sz w:val="21"/>
                <w:szCs w:val="16"/>
                <w:lang w:val="en-US" w:eastAsia="zh-CN"/>
              </w:rPr>
              <w:t>8</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六</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项目区总占地面积</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3400</w:t>
            </w:r>
            <w:r>
              <w:rPr>
                <w:rFonts w:hint="eastAsia"/>
                <w:sz w:val="21"/>
                <w:szCs w:val="16"/>
                <w:lang w:val="en-US" w:eastAsia="zh-CN"/>
              </w:rPr>
              <w:t>.</w:t>
            </w:r>
            <w:r>
              <w:rPr>
                <w:rFonts w:hint="eastAsia" w:ascii="Times New Roman" w:hAnsi="Times New Roman"/>
                <w:sz w:val="21"/>
                <w:szCs w:val="16"/>
                <w:lang w:val="en-US" w:eastAsia="zh-CN"/>
              </w:rPr>
              <w:t>10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七</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建构筑物占地面积</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1119</w:t>
            </w:r>
            <w:r>
              <w:rPr>
                <w:rFonts w:hint="eastAsia"/>
                <w:sz w:val="21"/>
                <w:szCs w:val="16"/>
                <w:lang w:val="en-US" w:eastAsia="zh-CN"/>
              </w:rPr>
              <w:t>.</w:t>
            </w:r>
            <w:r>
              <w:rPr>
                <w:rFonts w:hint="eastAsia" w:ascii="Times New Roman" w:hAnsi="Times New Roman"/>
                <w:sz w:val="21"/>
                <w:szCs w:val="16"/>
                <w:lang w:val="en-US" w:eastAsia="zh-CN"/>
              </w:rPr>
              <w:t>90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八</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项目总投资</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1373</w:t>
            </w:r>
            <w:r>
              <w:rPr>
                <w:rFonts w:hint="eastAsia" w:ascii="Times New Roman" w:hAnsi="Times New Roman"/>
                <w:sz w:val="21"/>
                <w:szCs w:val="16"/>
                <w:lang w:val="en-US" w:eastAsia="zh-CN"/>
              </w:rPr>
              <w:t>.</w:t>
            </w:r>
            <w:r>
              <w:rPr>
                <w:rFonts w:hint="eastAsia" w:ascii="Times New Roman" w:hAnsi="Times New Roman"/>
                <w:sz w:val="21"/>
                <w:szCs w:val="16"/>
                <w:lang w:val="en-US" w:eastAsia="zh-CN"/>
              </w:rPr>
              <w:t>63</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建设投资</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1248</w:t>
            </w:r>
            <w:r>
              <w:rPr>
                <w:rFonts w:hint="eastAsia"/>
                <w:sz w:val="21"/>
                <w:szCs w:val="16"/>
                <w:lang w:val="en-US" w:eastAsia="zh-CN"/>
              </w:rPr>
              <w:t>.</w:t>
            </w:r>
            <w:r>
              <w:rPr>
                <w:rFonts w:hint="eastAsia" w:ascii="Times New Roman" w:hAnsi="Times New Roman"/>
                <w:sz w:val="21"/>
                <w:szCs w:val="16"/>
                <w:lang w:val="en-US" w:eastAsia="zh-CN"/>
              </w:rPr>
              <w:t>75</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2</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铺底流动资金</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37</w:t>
            </w:r>
            <w:r>
              <w:rPr>
                <w:rFonts w:hint="eastAsia"/>
                <w:sz w:val="21"/>
                <w:szCs w:val="16"/>
                <w:lang w:val="en-US" w:eastAsia="zh-CN"/>
              </w:rPr>
              <w:t>.</w:t>
            </w:r>
            <w:r>
              <w:rPr>
                <w:rFonts w:hint="eastAsia" w:ascii="Times New Roman" w:hAnsi="Times New Roman"/>
                <w:sz w:val="21"/>
                <w:szCs w:val="16"/>
                <w:lang w:val="en-US" w:eastAsia="zh-CN"/>
              </w:rPr>
              <w:t>46</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建设期贷款利息</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0</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九</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年均营业收入</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52451</w:t>
            </w:r>
            <w:r>
              <w:rPr>
                <w:rFonts w:hint="eastAsia"/>
                <w:sz w:val="21"/>
                <w:szCs w:val="16"/>
                <w:lang w:val="en-US" w:eastAsia="zh-CN"/>
              </w:rPr>
              <w:t>.</w:t>
            </w:r>
            <w:r>
              <w:rPr>
                <w:rFonts w:hint="eastAsia" w:ascii="Times New Roman" w:hAnsi="Times New Roman"/>
                <w:sz w:val="21"/>
                <w:szCs w:val="16"/>
                <w:lang w:val="en-US" w:eastAsia="zh-CN"/>
              </w:rPr>
              <w:t>43</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十</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年均总成本费用</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51757</w:t>
            </w:r>
            <w:r>
              <w:rPr>
                <w:rFonts w:hint="eastAsia"/>
                <w:sz w:val="21"/>
                <w:szCs w:val="16"/>
                <w:lang w:val="en-US" w:eastAsia="zh-CN"/>
              </w:rPr>
              <w:t>.</w:t>
            </w:r>
            <w:r>
              <w:rPr>
                <w:rFonts w:hint="eastAsia" w:ascii="Times New Roman" w:hAnsi="Times New Roman"/>
                <w:sz w:val="21"/>
                <w:szCs w:val="16"/>
                <w:lang w:val="en-US" w:eastAsia="zh-CN"/>
              </w:rPr>
              <w:t>67</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十一</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年均利润总额</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529</w:t>
            </w:r>
            <w:r>
              <w:rPr>
                <w:rFonts w:hint="eastAsia"/>
                <w:sz w:val="21"/>
                <w:szCs w:val="16"/>
                <w:lang w:val="en-US" w:eastAsia="zh-CN"/>
              </w:rPr>
              <w:t>.</w:t>
            </w:r>
            <w:r>
              <w:rPr>
                <w:rFonts w:hint="eastAsia" w:ascii="Times New Roman" w:hAnsi="Times New Roman"/>
                <w:sz w:val="21"/>
                <w:szCs w:val="16"/>
                <w:lang w:val="en-US" w:eastAsia="zh-CN"/>
              </w:rPr>
              <w:t>96</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十二</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年均所得税</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132</w:t>
            </w:r>
            <w:r>
              <w:rPr>
                <w:rFonts w:hint="eastAsia"/>
                <w:sz w:val="21"/>
                <w:szCs w:val="16"/>
                <w:lang w:val="en-US" w:eastAsia="zh-CN"/>
              </w:rPr>
              <w:t>.</w:t>
            </w:r>
            <w:r>
              <w:rPr>
                <w:rFonts w:hint="eastAsia" w:ascii="Times New Roman" w:hAnsi="Times New Roman"/>
                <w:sz w:val="21"/>
                <w:szCs w:val="16"/>
                <w:lang w:val="en-US" w:eastAsia="zh-CN"/>
              </w:rPr>
              <w:t>49</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sz w:val="21"/>
                <w:szCs w:val="16"/>
                <w:lang w:val="en-US" w:eastAsia="zh-CN"/>
              </w:rPr>
              <w:t>十三</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财务评价指标</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总投资收益率</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38</w:t>
            </w:r>
            <w:r>
              <w:rPr>
                <w:rFonts w:hint="eastAsia"/>
                <w:sz w:val="21"/>
                <w:szCs w:val="16"/>
                <w:lang w:val="en-US" w:eastAsia="zh-CN"/>
              </w:rPr>
              <w:t>.</w:t>
            </w:r>
            <w:r>
              <w:rPr>
                <w:rFonts w:hint="eastAsia" w:ascii="Times New Roman" w:hAnsi="Times New Roman"/>
                <w:sz w:val="21"/>
                <w:szCs w:val="16"/>
                <w:lang w:val="en-US" w:eastAsia="zh-CN"/>
              </w:rPr>
              <w:t>58</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2</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投资利税率</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49</w:t>
            </w:r>
            <w:r>
              <w:rPr>
                <w:rFonts w:hint="eastAsia"/>
                <w:sz w:val="21"/>
                <w:szCs w:val="16"/>
                <w:lang w:val="en-US" w:eastAsia="zh-CN"/>
              </w:rPr>
              <w:t>.</w:t>
            </w:r>
            <w:r>
              <w:rPr>
                <w:rFonts w:hint="eastAsia" w:ascii="Times New Roman" w:hAnsi="Times New Roman"/>
                <w:sz w:val="21"/>
                <w:szCs w:val="16"/>
                <w:lang w:val="en-US" w:eastAsia="zh-CN"/>
              </w:rPr>
              <w:t>85</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全部投资回收期（所得税后）</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年</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w:t>
            </w:r>
            <w:r>
              <w:rPr>
                <w:rFonts w:hint="eastAsia"/>
                <w:sz w:val="21"/>
                <w:szCs w:val="16"/>
                <w:lang w:val="en-US" w:eastAsia="zh-CN"/>
              </w:rPr>
              <w:t>.</w:t>
            </w:r>
            <w:r>
              <w:rPr>
                <w:rFonts w:hint="eastAsia" w:ascii="Times New Roman" w:hAnsi="Times New Roman"/>
                <w:sz w:val="21"/>
                <w:szCs w:val="16"/>
                <w:lang w:val="en-US" w:eastAsia="zh-CN"/>
              </w:rPr>
              <w:t>73</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4</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全部投资回收期（所得税前）</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年</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w:t>
            </w:r>
            <w:r>
              <w:rPr>
                <w:rFonts w:hint="eastAsia"/>
                <w:sz w:val="21"/>
                <w:szCs w:val="16"/>
                <w:lang w:val="en-US" w:eastAsia="zh-CN"/>
              </w:rPr>
              <w:t>.</w:t>
            </w:r>
            <w:r>
              <w:rPr>
                <w:rFonts w:hint="eastAsia" w:ascii="Times New Roman" w:hAnsi="Times New Roman"/>
                <w:sz w:val="21"/>
                <w:szCs w:val="16"/>
                <w:lang w:val="en-US" w:eastAsia="zh-CN"/>
              </w:rPr>
              <w:t>34</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5</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财务内部收益率（所得税后）</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36</w:t>
            </w:r>
            <w:r>
              <w:rPr>
                <w:rFonts w:hint="eastAsia"/>
                <w:sz w:val="21"/>
                <w:szCs w:val="16"/>
                <w:lang w:val="en-US" w:eastAsia="zh-CN"/>
              </w:rPr>
              <w:t>.</w:t>
            </w:r>
            <w:r>
              <w:rPr>
                <w:rFonts w:hint="eastAsia" w:ascii="Times New Roman" w:hAnsi="Times New Roman"/>
                <w:sz w:val="21"/>
                <w:szCs w:val="16"/>
                <w:lang w:val="en-US" w:eastAsia="zh-CN"/>
              </w:rPr>
              <w:t>56</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6</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财务内部收益率（所得税前）</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sz w:val="21"/>
                <w:szCs w:val="16"/>
                <w:lang w:val="en-US" w:eastAsia="zh-CN"/>
              </w:rPr>
              <w:t>%</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44</w:t>
            </w:r>
            <w:r>
              <w:rPr>
                <w:rFonts w:hint="eastAsia"/>
                <w:sz w:val="21"/>
                <w:szCs w:val="16"/>
                <w:lang w:val="en-US" w:eastAsia="zh-CN"/>
              </w:rPr>
              <w:t>.</w:t>
            </w:r>
            <w:r>
              <w:rPr>
                <w:rFonts w:hint="eastAsia" w:ascii="Times New Roman" w:hAnsi="Times New Roman"/>
                <w:sz w:val="21"/>
                <w:szCs w:val="16"/>
                <w:lang w:val="en-US" w:eastAsia="zh-CN"/>
              </w:rPr>
              <w:t>25</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7</w:t>
            </w:r>
          </w:p>
        </w:tc>
        <w:tc>
          <w:tcPr>
            <w:tcW w:w="20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项目投资财务净现值（</w:t>
            </w:r>
            <w:r>
              <w:rPr>
                <w:rFonts w:hint="eastAsia" w:ascii="Times New Roman" w:hAnsi="Times New Roman"/>
                <w:sz w:val="21"/>
                <w:szCs w:val="16"/>
                <w:lang w:val="en-US" w:eastAsia="zh-CN"/>
              </w:rPr>
              <w:t>I</w:t>
            </w:r>
            <w:r>
              <w:rPr>
                <w:rFonts w:hint="eastAsia"/>
                <w:sz w:val="21"/>
                <w:szCs w:val="16"/>
                <w:lang w:val="en-US" w:eastAsia="zh-CN"/>
              </w:rPr>
              <w:t>=</w:t>
            </w:r>
            <w:r>
              <w:rPr>
                <w:rFonts w:hint="eastAsia" w:ascii="Times New Roman" w:hAnsi="Times New Roman"/>
                <w:sz w:val="21"/>
                <w:szCs w:val="16"/>
                <w:lang w:val="en-US" w:eastAsia="zh-CN"/>
              </w:rPr>
              <w:t>18</w:t>
            </w:r>
            <w:r>
              <w:rPr>
                <w:rFonts w:hint="eastAsia"/>
                <w:sz w:val="21"/>
                <w:szCs w:val="16"/>
                <w:lang w:val="en-US" w:eastAsia="zh-CN"/>
              </w:rPr>
              <w:t>%）</w:t>
            </w:r>
          </w:p>
        </w:tc>
        <w:tc>
          <w:tcPr>
            <w:tcW w:w="6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952</w:t>
            </w:r>
            <w:r>
              <w:rPr>
                <w:rFonts w:hint="eastAsia"/>
                <w:sz w:val="21"/>
                <w:szCs w:val="16"/>
                <w:lang w:val="en-US" w:eastAsia="zh-CN"/>
              </w:rPr>
              <w:t>.</w:t>
            </w:r>
            <w:r>
              <w:rPr>
                <w:rFonts w:hint="eastAsia" w:ascii="Times New Roman" w:hAnsi="Times New Roman"/>
                <w:sz w:val="21"/>
                <w:szCs w:val="16"/>
                <w:lang w:val="en-US" w:eastAsia="zh-CN"/>
              </w:rPr>
              <w:t>07</w:t>
            </w:r>
          </w:p>
        </w:tc>
        <w:tc>
          <w:tcPr>
            <w:tcW w:w="102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8</w:t>
            </w:r>
          </w:p>
        </w:tc>
        <w:tc>
          <w:tcPr>
            <w:tcW w:w="2040"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val="en-US" w:eastAsia="zh-CN"/>
              </w:rPr>
            </w:pPr>
            <w:r>
              <w:rPr>
                <w:rFonts w:hint="eastAsia"/>
                <w:sz w:val="21"/>
                <w:szCs w:val="16"/>
                <w:lang w:val="en-US" w:eastAsia="zh-CN"/>
              </w:rPr>
              <w:t>项目投资财务净现值（</w:t>
            </w:r>
            <w:r>
              <w:rPr>
                <w:rFonts w:hint="eastAsia" w:ascii="Times New Roman" w:hAnsi="Times New Roman"/>
                <w:sz w:val="21"/>
                <w:szCs w:val="16"/>
                <w:lang w:val="en-US" w:eastAsia="zh-CN"/>
              </w:rPr>
              <w:t>I</w:t>
            </w:r>
            <w:r>
              <w:rPr>
                <w:rFonts w:hint="eastAsia"/>
                <w:sz w:val="21"/>
                <w:szCs w:val="16"/>
                <w:lang w:val="en-US" w:eastAsia="zh-CN"/>
              </w:rPr>
              <w:t>=</w:t>
            </w:r>
            <w:r>
              <w:rPr>
                <w:rFonts w:hint="eastAsia" w:ascii="Times New Roman" w:hAnsi="Times New Roman"/>
                <w:sz w:val="21"/>
                <w:szCs w:val="16"/>
                <w:lang w:val="en-US" w:eastAsia="zh-CN"/>
              </w:rPr>
              <w:t>20</w:t>
            </w:r>
            <w:r>
              <w:rPr>
                <w:rFonts w:hint="eastAsia"/>
                <w:sz w:val="21"/>
                <w:szCs w:val="16"/>
                <w:lang w:val="en-US" w:eastAsia="zh-CN"/>
              </w:rPr>
              <w:t>%）</w:t>
            </w:r>
          </w:p>
        </w:tc>
        <w:tc>
          <w:tcPr>
            <w:tcW w:w="695"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r>
              <w:rPr>
                <w:rFonts w:hint="eastAsia"/>
                <w:sz w:val="21"/>
                <w:szCs w:val="16"/>
                <w:lang w:val="en-US" w:eastAsia="zh-CN"/>
              </w:rPr>
              <w:t>万元</w:t>
            </w:r>
          </w:p>
        </w:tc>
        <w:tc>
          <w:tcPr>
            <w:tcW w:w="731"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1209</w:t>
            </w:r>
            <w:r>
              <w:rPr>
                <w:rFonts w:hint="eastAsia"/>
                <w:sz w:val="21"/>
                <w:szCs w:val="16"/>
                <w:lang w:val="en-US" w:eastAsia="zh-CN"/>
              </w:rPr>
              <w:t>.</w:t>
            </w:r>
            <w:r>
              <w:rPr>
                <w:rFonts w:hint="eastAsia" w:ascii="Times New Roman" w:hAnsi="Times New Roman"/>
                <w:sz w:val="21"/>
                <w:szCs w:val="16"/>
                <w:lang w:val="en-US" w:eastAsia="zh-CN"/>
              </w:rPr>
              <w:t>68</w:t>
            </w:r>
          </w:p>
        </w:tc>
        <w:tc>
          <w:tcPr>
            <w:tcW w:w="1021"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lang w:val="en-US" w:eastAsia="zh-CN"/>
              </w:rPr>
            </w:pPr>
          </w:p>
        </w:tc>
      </w:tr>
    </w:tbl>
    <w:p>
      <w:pPr>
        <w:pStyle w:val="4"/>
        <w:spacing w:before="156" w:after="156"/>
        <w:rPr>
          <w:b w:val="0"/>
        </w:rPr>
      </w:pPr>
      <w:bookmarkStart w:id="124" w:name="_Toc11796"/>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工程分析</w:t>
      </w:r>
      <w:bookmarkEnd w:id="124"/>
    </w:p>
    <w:p>
      <w:pPr>
        <w:pStyle w:val="5"/>
        <w:spacing w:before="156"/>
        <w:rPr>
          <w:rFonts w:hint="eastAsia"/>
        </w:rPr>
      </w:pPr>
      <w:bookmarkStart w:id="125" w:name="_Toc14266"/>
      <w:bookmarkStart w:id="126" w:name="_Toc423102263"/>
      <w:bookmarkStart w:id="127" w:name="_Toc162260015"/>
      <w:bookmarkStart w:id="128" w:name="_Toc334779690"/>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w:t>
      </w:r>
      <w:r>
        <w:rPr>
          <w:rFonts w:hint="eastAsia" w:ascii="Times New Roman" w:hAnsi="Times New Roman"/>
        </w:rPr>
        <w:t>1</w:t>
      </w:r>
      <w:r>
        <w:rPr>
          <w:rFonts w:hint="eastAsia"/>
        </w:rPr>
        <w:t>工艺</w:t>
      </w:r>
      <w:r>
        <w:rPr>
          <w:rFonts w:hint="eastAsia"/>
          <w:lang w:eastAsia="zh-CN"/>
        </w:rPr>
        <w:t>原理</w:t>
      </w:r>
      <w:r>
        <w:rPr>
          <w:rFonts w:hint="eastAsia"/>
        </w:rPr>
        <w:t>概述</w:t>
      </w:r>
      <w:bookmarkEnd w:id="125"/>
    </w:p>
    <w:p>
      <w:pPr>
        <w:bidi w:val="0"/>
        <w:rPr>
          <w:rFonts w:hint="eastAsia"/>
          <w:lang w:eastAsia="zh-CN"/>
        </w:rPr>
      </w:pPr>
      <w:bookmarkStart w:id="129" w:name="_Toc9858"/>
      <w:r>
        <w:rPr>
          <w:rFonts w:hint="eastAsia"/>
          <w:lang w:eastAsia="zh-CN"/>
        </w:rPr>
        <w:t>本项目以现有工程中间产品</w:t>
      </w:r>
      <w:r>
        <w:rPr>
          <w:rFonts w:hint="eastAsia" w:ascii="Times New Roman" w:hAnsi="Times New Roman"/>
          <w:lang w:val="en-US" w:eastAsia="zh-CN"/>
        </w:rPr>
        <w:t>DN</w:t>
      </w:r>
      <w:r>
        <w:rPr>
          <w:rFonts w:hint="eastAsia"/>
          <w:lang w:val="en-US" w:eastAsia="zh-CN"/>
        </w:rPr>
        <w:t>溶液</w:t>
      </w:r>
      <w:r>
        <w:rPr>
          <w:rFonts w:hint="eastAsia"/>
          <w:lang w:eastAsia="zh-CN"/>
        </w:rPr>
        <w:t>为主要原料，采用催化环合反应制备粗</w:t>
      </w:r>
      <w:r>
        <w:rPr>
          <w:rFonts w:hint="eastAsia" w:ascii="Times New Roman" w:hAnsi="Times New Roman"/>
          <w:lang w:eastAsia="zh-CN"/>
        </w:rPr>
        <w:t>PD</w:t>
      </w:r>
      <w:r>
        <w:rPr>
          <w:rFonts w:hint="eastAsia"/>
          <w:lang w:eastAsia="zh-CN"/>
        </w:rPr>
        <w:t>，再经过二次反应并经过精馏提纯得到精</w:t>
      </w:r>
      <w:r>
        <w:rPr>
          <w:rFonts w:hint="eastAsia" w:ascii="Times New Roman" w:hAnsi="Times New Roman"/>
          <w:lang w:eastAsia="zh-CN"/>
        </w:rPr>
        <w:t>PD</w:t>
      </w:r>
      <w:r>
        <w:rPr>
          <w:rFonts w:hint="eastAsia"/>
          <w:lang w:eastAsia="zh-CN"/>
        </w:rPr>
        <w:t>产品。</w:t>
      </w:r>
    </w:p>
    <w:p>
      <w:pPr>
        <w:bidi w:val="0"/>
        <w:rPr>
          <w:rFonts w:hint="eastAsia"/>
          <w:lang w:val="en-US" w:eastAsia="zh-CN"/>
        </w:rPr>
      </w:pPr>
      <w:r>
        <w:rPr>
          <w:rFonts w:hint="eastAsia" w:ascii="Times New Roman" w:hAnsi="Times New Roman"/>
          <w:lang w:val="en-US" w:eastAsia="zh-CN"/>
        </w:rPr>
        <w:t>DN</w:t>
      </w:r>
      <w:r>
        <w:rPr>
          <w:rFonts w:hint="eastAsia"/>
          <w:lang w:val="en-US" w:eastAsia="zh-CN"/>
        </w:rPr>
        <w:t>溶液催化环合制备</w:t>
      </w:r>
      <w:r>
        <w:rPr>
          <w:rFonts w:hint="eastAsia" w:ascii="Times New Roman" w:hAnsi="Times New Roman"/>
          <w:lang w:val="en-US" w:eastAsia="zh-CN"/>
        </w:rPr>
        <w:t>PD</w:t>
      </w:r>
      <w:r>
        <w:rPr>
          <w:rFonts w:hint="eastAsia"/>
          <w:lang w:val="en-US" w:eastAsia="zh-CN"/>
        </w:rPr>
        <w:t>反应方程式：</w:t>
      </w:r>
    </w:p>
    <w:p>
      <w:pPr>
        <w:pStyle w:val="5"/>
        <w:bidi w:val="0"/>
        <w:rPr>
          <w:rFonts w:hint="eastAsia" w:ascii="Times New Roman" w:hAnsi="Times New Roman" w:eastAsia="华文楷体"/>
          <w:lang w:eastAsia="zh-CN"/>
        </w:rPr>
      </w:pPr>
      <w:r>
        <w:drawing>
          <wp:anchor distT="0" distB="0" distL="114300" distR="114300" simplePos="0" relativeHeight="251693056" behindDoc="0" locked="0" layoutInCell="1" allowOverlap="1">
            <wp:simplePos x="0" y="0"/>
            <wp:positionH relativeFrom="column">
              <wp:posOffset>476250</wp:posOffset>
            </wp:positionH>
            <wp:positionV relativeFrom="paragraph">
              <wp:posOffset>147320</wp:posOffset>
            </wp:positionV>
            <wp:extent cx="4305300" cy="733425"/>
            <wp:effectExtent l="0" t="0" r="0" b="9525"/>
            <wp:wrapTopAndBottom/>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51"/>
                    <a:stretch>
                      <a:fillRect/>
                    </a:stretch>
                  </pic:blipFill>
                  <pic:spPr>
                    <a:xfrm>
                      <a:off x="0" y="0"/>
                      <a:ext cx="4305300" cy="733425"/>
                    </a:xfrm>
                    <a:prstGeom prst="rect">
                      <a:avLst/>
                    </a:prstGeom>
                    <a:noFill/>
                    <a:ln>
                      <a:noFill/>
                    </a:ln>
                  </pic:spPr>
                </pic:pic>
              </a:graphicData>
            </a:graphic>
          </wp:anchor>
        </w:drawing>
      </w:r>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w:t>
      </w:r>
      <w:r>
        <w:rPr>
          <w:rFonts w:hint="eastAsia" w:ascii="Times New Roman" w:hAnsi="Times New Roman"/>
        </w:rPr>
        <w:t>2</w:t>
      </w:r>
      <w:bookmarkEnd w:id="129"/>
      <w:r>
        <w:rPr>
          <w:rFonts w:hint="eastAsia" w:hAnsi="Times New Roman"/>
          <w:lang w:eastAsia="zh-CN"/>
        </w:rPr>
        <w:t>装置负荷变化情况</w:t>
      </w:r>
    </w:p>
    <w:p>
      <w:pPr>
        <w:bidi w:val="0"/>
        <w:rPr>
          <w:rFonts w:hint="default" w:eastAsia="宋体"/>
          <w:lang w:val="en-US" w:eastAsia="zh-CN"/>
        </w:rPr>
      </w:pPr>
      <w:r>
        <w:rPr>
          <w:rFonts w:hint="eastAsia"/>
          <w:lang w:eastAsia="zh-CN"/>
        </w:rPr>
        <w:t>厂内现有工程</w:t>
      </w:r>
      <w:r>
        <w:rPr>
          <w:rFonts w:hint="eastAsia" w:ascii="Times New Roman" w:hAnsi="Times New Roman"/>
          <w:lang w:eastAsia="zh-CN"/>
        </w:rPr>
        <w:t>DN</w:t>
      </w:r>
      <w:r>
        <w:rPr>
          <w:rFonts w:hint="eastAsia"/>
          <w:lang w:eastAsia="zh-CN"/>
        </w:rPr>
        <w:t>溶液总产能为</w:t>
      </w:r>
      <w:r>
        <w:rPr>
          <w:rFonts w:hint="eastAsia" w:ascii="Times New Roman" w:hAnsi="Times New Roman"/>
          <w:lang w:val="en-US" w:eastAsia="zh-CN"/>
        </w:rPr>
        <w:t>5</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，其中凯赛（乌苏）生物技术有限公司长链聚酰胺项目使用</w:t>
      </w:r>
      <w:r>
        <w:rPr>
          <w:rFonts w:hint="eastAsia" w:ascii="Times New Roman" w:hAnsi="Times New Roman"/>
          <w:lang w:val="en-US" w:eastAsia="zh-CN"/>
        </w:rPr>
        <w:t>DN</w:t>
      </w:r>
      <w:r>
        <w:rPr>
          <w:rFonts w:hint="eastAsia"/>
          <w:lang w:val="en-US" w:eastAsia="zh-CN"/>
        </w:rPr>
        <w:t>溶液</w:t>
      </w:r>
      <w:r>
        <w:rPr>
          <w:rFonts w:hint="eastAsia" w:ascii="Times New Roman" w:hAnsi="Times New Roman"/>
          <w:lang w:val="en-US" w:eastAsia="zh-CN"/>
        </w:rPr>
        <w:t>6800t</w:t>
      </w:r>
      <w:r>
        <w:rPr>
          <w:rFonts w:hint="eastAsia"/>
          <w:lang w:val="en-US" w:eastAsia="zh-CN"/>
        </w:rPr>
        <w:t>/</w:t>
      </w:r>
      <w:r>
        <w:rPr>
          <w:rFonts w:hint="eastAsia" w:ascii="Times New Roman" w:hAnsi="Times New Roman"/>
          <w:lang w:val="en-US" w:eastAsia="zh-CN"/>
        </w:rPr>
        <w:t>a</w:t>
      </w:r>
      <w:r>
        <w:rPr>
          <w:rFonts w:hint="eastAsia"/>
          <w:lang w:val="en-US" w:eastAsia="zh-CN"/>
        </w:rPr>
        <w:t>，本项目使用</w:t>
      </w:r>
      <w:r>
        <w:rPr>
          <w:rFonts w:hint="eastAsia" w:ascii="Times New Roman" w:hAnsi="Times New Roman"/>
          <w:lang w:val="en-US" w:eastAsia="zh-CN"/>
        </w:rPr>
        <w:t>DN</w:t>
      </w:r>
      <w:r>
        <w:rPr>
          <w:rFonts w:hint="eastAsia"/>
          <w:lang w:val="en-US" w:eastAsia="zh-CN"/>
        </w:rPr>
        <w:t>溶液</w:t>
      </w:r>
      <w:r>
        <w:rPr>
          <w:rFonts w:hint="eastAsia" w:ascii="Times New Roman" w:hAnsi="Times New Roman"/>
          <w:lang w:val="en-US" w:eastAsia="zh-CN"/>
        </w:rPr>
        <w:t>16976</w:t>
      </w:r>
      <w:r>
        <w:rPr>
          <w:rFonts w:hint="eastAsia"/>
          <w:lang w:val="en-US" w:eastAsia="zh-CN"/>
        </w:rPr>
        <w:t>.</w:t>
      </w:r>
      <w:r>
        <w:rPr>
          <w:rFonts w:hint="eastAsia" w:ascii="Times New Roman" w:hAnsi="Times New Roman"/>
          <w:lang w:val="en-US" w:eastAsia="zh-CN"/>
        </w:rPr>
        <w:t>27t</w:t>
      </w:r>
      <w:r>
        <w:rPr>
          <w:rFonts w:hint="eastAsia"/>
          <w:lang w:val="en-US" w:eastAsia="zh-CN"/>
        </w:rPr>
        <w:t>/</w:t>
      </w:r>
      <w:r>
        <w:rPr>
          <w:rFonts w:hint="eastAsia" w:ascii="Times New Roman" w:hAnsi="Times New Roman"/>
          <w:lang w:val="en-US" w:eastAsia="zh-CN"/>
        </w:rPr>
        <w:t>a</w:t>
      </w:r>
      <w:r>
        <w:rPr>
          <w:rFonts w:hint="eastAsia"/>
          <w:lang w:val="en-US" w:eastAsia="zh-CN"/>
        </w:rPr>
        <w:t>，则剩余</w:t>
      </w:r>
      <w:r>
        <w:rPr>
          <w:rFonts w:hint="eastAsia" w:ascii="Times New Roman" w:hAnsi="Times New Roman"/>
          <w:lang w:val="en-US" w:eastAsia="zh-CN"/>
        </w:rPr>
        <w:t>26223</w:t>
      </w:r>
      <w:r>
        <w:rPr>
          <w:rFonts w:hint="eastAsia"/>
          <w:lang w:val="en-US" w:eastAsia="zh-CN"/>
        </w:rPr>
        <w:t>.</w:t>
      </w:r>
      <w:r>
        <w:rPr>
          <w:rFonts w:hint="eastAsia" w:ascii="Times New Roman" w:hAnsi="Times New Roman"/>
          <w:lang w:val="en-US" w:eastAsia="zh-CN"/>
        </w:rPr>
        <w:t>73t</w:t>
      </w:r>
      <w:r>
        <w:rPr>
          <w:rFonts w:hint="eastAsia"/>
          <w:lang w:val="en-US" w:eastAsia="zh-CN"/>
        </w:rPr>
        <w:t>/</w:t>
      </w:r>
      <w:r>
        <w:rPr>
          <w:rFonts w:hint="eastAsia" w:ascii="Times New Roman" w:hAnsi="Times New Roman"/>
          <w:lang w:val="en-US" w:eastAsia="zh-CN"/>
        </w:rPr>
        <w:t>a</w:t>
      </w:r>
      <w:r>
        <w:rPr>
          <w:rFonts w:hint="eastAsia"/>
          <w:lang w:val="en-US" w:eastAsia="zh-CN"/>
        </w:rPr>
        <w:t>用于现有工程聚酰胺的生产，根据</w:t>
      </w:r>
      <w:r>
        <w:rPr>
          <w:rFonts w:hint="eastAsia" w:ascii="Times New Roman" w:hAnsi="Times New Roman"/>
          <w:lang w:val="en-US" w:eastAsia="zh-CN"/>
        </w:rPr>
        <w:t>5</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aDN</w:t>
      </w:r>
      <w:r>
        <w:rPr>
          <w:rFonts w:hint="eastAsia"/>
          <w:lang w:val="en-US" w:eastAsia="zh-CN"/>
        </w:rPr>
        <w:t>溶液可以生产</w:t>
      </w:r>
      <w:r>
        <w:rPr>
          <w:rFonts w:hint="eastAsia" w:ascii="Times New Roman" w:hAnsi="Times New Roman"/>
          <w:lang w:val="en-US" w:eastAsia="zh-CN"/>
        </w:rPr>
        <w:t>10</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聚酰胺的比例，</w:t>
      </w:r>
      <w:r>
        <w:rPr>
          <w:rFonts w:hint="eastAsia" w:ascii="Times New Roman" w:hAnsi="Times New Roman"/>
          <w:lang w:val="en-US" w:eastAsia="zh-CN"/>
        </w:rPr>
        <w:t>26223</w:t>
      </w:r>
      <w:r>
        <w:rPr>
          <w:rFonts w:hint="eastAsia"/>
          <w:lang w:val="en-US" w:eastAsia="zh-CN"/>
        </w:rPr>
        <w:t>.</w:t>
      </w:r>
      <w:r>
        <w:rPr>
          <w:rFonts w:hint="eastAsia" w:ascii="Times New Roman" w:hAnsi="Times New Roman"/>
          <w:lang w:val="en-US" w:eastAsia="zh-CN"/>
        </w:rPr>
        <w:t>73t</w:t>
      </w:r>
      <w:r>
        <w:rPr>
          <w:rFonts w:hint="eastAsia"/>
          <w:lang w:val="en-US" w:eastAsia="zh-CN"/>
        </w:rPr>
        <w:t>/</w:t>
      </w:r>
      <w:r>
        <w:rPr>
          <w:rFonts w:hint="eastAsia" w:ascii="Times New Roman" w:hAnsi="Times New Roman"/>
          <w:lang w:val="en-US" w:eastAsia="zh-CN"/>
        </w:rPr>
        <w:t>aDN</w:t>
      </w:r>
      <w:r>
        <w:rPr>
          <w:rFonts w:hint="eastAsia"/>
          <w:lang w:val="en-US" w:eastAsia="zh-CN"/>
        </w:rPr>
        <w:t>溶液约可生产</w:t>
      </w:r>
      <w:r>
        <w:rPr>
          <w:rFonts w:hint="eastAsia" w:ascii="Times New Roman" w:hAnsi="Times New Roman"/>
          <w:lang w:val="en-US" w:eastAsia="zh-CN"/>
        </w:rPr>
        <w:t>52447</w:t>
      </w:r>
      <w:r>
        <w:rPr>
          <w:rFonts w:hint="eastAsia"/>
          <w:lang w:val="en-US" w:eastAsia="zh-CN"/>
        </w:rPr>
        <w:t>.</w:t>
      </w:r>
      <w:r>
        <w:rPr>
          <w:rFonts w:hint="eastAsia" w:ascii="Times New Roman" w:hAnsi="Times New Roman"/>
          <w:lang w:val="en-US" w:eastAsia="zh-CN"/>
        </w:rPr>
        <w:t>46t</w:t>
      </w:r>
      <w:r>
        <w:rPr>
          <w:rFonts w:hint="eastAsia"/>
          <w:lang w:val="en-US" w:eastAsia="zh-CN"/>
        </w:rPr>
        <w:t>/</w:t>
      </w:r>
      <w:r>
        <w:rPr>
          <w:rFonts w:hint="eastAsia" w:ascii="Times New Roman" w:hAnsi="Times New Roman"/>
          <w:lang w:val="en-US" w:eastAsia="zh-CN"/>
        </w:rPr>
        <w:t>a</w:t>
      </w:r>
      <w:r>
        <w:rPr>
          <w:rFonts w:hint="eastAsia"/>
          <w:lang w:val="en-US" w:eastAsia="zh-CN"/>
        </w:rPr>
        <w:t>聚酰胺，在二期工程短纤产品未建的情况下，现有工程</w:t>
      </w:r>
      <w:r>
        <w:rPr>
          <w:rFonts w:hint="eastAsia" w:ascii="Times New Roman" w:hAnsi="Times New Roman"/>
          <w:lang w:val="en-US" w:eastAsia="zh-CN"/>
        </w:rPr>
        <w:t>7</w:t>
      </w:r>
      <w:r>
        <w:rPr>
          <w:rFonts w:hint="eastAsia"/>
          <w:lang w:val="en-US" w:eastAsia="zh-CN"/>
        </w:rPr>
        <w:t>万</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r>
        <w:rPr>
          <w:rFonts w:hint="eastAsia"/>
          <w:lang w:val="en-US" w:eastAsia="zh-CN"/>
        </w:rPr>
        <w:t>聚酰胺规模减产至</w:t>
      </w:r>
      <w:r>
        <w:rPr>
          <w:rFonts w:hint="eastAsia" w:ascii="Times New Roman" w:hAnsi="Times New Roman"/>
          <w:lang w:val="en-US" w:eastAsia="zh-CN"/>
        </w:rPr>
        <w:t>52447</w:t>
      </w:r>
      <w:r>
        <w:rPr>
          <w:rFonts w:hint="eastAsia"/>
          <w:lang w:val="en-US" w:eastAsia="zh-CN"/>
        </w:rPr>
        <w:t>.</w:t>
      </w:r>
      <w:r>
        <w:rPr>
          <w:rFonts w:hint="eastAsia" w:ascii="Times New Roman" w:hAnsi="Times New Roman"/>
          <w:lang w:val="en-US" w:eastAsia="zh-CN"/>
        </w:rPr>
        <w:t>46t</w:t>
      </w:r>
      <w:r>
        <w:rPr>
          <w:rFonts w:hint="eastAsia"/>
          <w:lang w:val="en-US" w:eastAsia="zh-CN"/>
        </w:rPr>
        <w:t>/</w:t>
      </w:r>
      <w:r>
        <w:rPr>
          <w:rFonts w:hint="eastAsia" w:ascii="Times New Roman" w:hAnsi="Times New Roman"/>
          <w:lang w:val="en-US" w:eastAsia="zh-CN"/>
        </w:rPr>
        <w:t>a</w:t>
      </w:r>
      <w:r>
        <w:rPr>
          <w:rFonts w:hint="eastAsia"/>
          <w:lang w:val="en-US" w:eastAsia="zh-CN"/>
        </w:rPr>
        <w:t>，现有工程聚酰胺生产负荷降低至约</w:t>
      </w:r>
      <w:r>
        <w:rPr>
          <w:rFonts w:hint="eastAsia" w:ascii="Times New Roman" w:hAnsi="Times New Roman"/>
          <w:lang w:val="en-US" w:eastAsia="zh-CN"/>
        </w:rPr>
        <w:t>75</w:t>
      </w:r>
      <w:r>
        <w:rPr>
          <w:rFonts w:hint="eastAsia"/>
          <w:lang w:val="en-US" w:eastAsia="zh-CN"/>
        </w:rPr>
        <w:t>%。</w:t>
      </w:r>
    </w:p>
    <w:p>
      <w:pPr>
        <w:pStyle w:val="5"/>
        <w:bidi w:val="0"/>
        <w:rPr>
          <w:rFonts w:hint="default" w:ascii="Times New Roman" w:hAnsi="Times New Roman" w:eastAsia="华文楷体"/>
          <w:lang w:val="en-US" w:eastAsia="zh-CN"/>
        </w:rPr>
      </w:pPr>
      <w:r>
        <w:rPr>
          <w:rFonts w:hint="eastAsia" w:ascii="Times New Roman" w:hAnsi="Times New Roman"/>
          <w:lang w:val="en-US" w:eastAsia="zh-CN"/>
        </w:rPr>
        <w:t>4</w:t>
      </w:r>
      <w:r>
        <w:rPr>
          <w:rFonts w:hint="eastAsia" w:hAnsi="Times New Roman"/>
          <w:lang w:val="en-US" w:eastAsia="zh-CN"/>
        </w:rPr>
        <w:t>.</w:t>
      </w:r>
      <w:r>
        <w:rPr>
          <w:rFonts w:hint="eastAsia" w:ascii="Times New Roman" w:hAnsi="Times New Roman"/>
          <w:lang w:val="en-US" w:eastAsia="zh-CN"/>
        </w:rPr>
        <w:t>6</w:t>
      </w:r>
      <w:r>
        <w:rPr>
          <w:rFonts w:hint="eastAsia" w:hAnsi="Times New Roman"/>
          <w:lang w:val="en-US" w:eastAsia="zh-CN"/>
        </w:rPr>
        <w:t>.</w:t>
      </w:r>
      <w:r>
        <w:rPr>
          <w:rFonts w:hint="eastAsia" w:ascii="Times New Roman" w:hAnsi="Times New Roman"/>
          <w:lang w:val="en-US" w:eastAsia="zh-CN"/>
        </w:rPr>
        <w:t>3</w:t>
      </w:r>
      <w:r>
        <w:rPr>
          <w:rFonts w:hint="eastAsia" w:hAnsi="Times New Roman"/>
          <w:lang w:val="en-US" w:eastAsia="zh-CN"/>
        </w:rPr>
        <w:t>本项目相关依托可行性</w:t>
      </w:r>
    </w:p>
    <w:p>
      <w:pPr>
        <w:bidi w:val="0"/>
        <w:rPr>
          <w:rFonts w:hint="default"/>
          <w:color w:val="auto"/>
          <w:lang w:val="en-US" w:eastAsia="zh-CN"/>
        </w:rPr>
      </w:pPr>
      <w:r>
        <w:rPr>
          <w:rFonts w:hint="eastAsia"/>
          <w:lang w:val="en-US" w:eastAsia="zh-CN"/>
        </w:rPr>
        <w:t>本项目与</w:t>
      </w:r>
      <w:r>
        <w:rPr>
          <w:rFonts w:hint="eastAsia"/>
          <w:color w:val="auto"/>
          <w:lang w:val="en-US" w:eastAsia="zh-CN"/>
        </w:rPr>
        <w:t>现有工程在原料、公用工程等方面均存在依托关系，汇总相关依托关系具体见表</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p>
    <w:p>
      <w:pPr>
        <w:pStyle w:val="20"/>
        <w:bidi w:val="0"/>
        <w:rPr>
          <w:rFonts w:hint="eastAsia"/>
          <w:lang w:val="en-US" w:eastAsia="zh-CN"/>
        </w:rPr>
      </w:pPr>
      <w:r>
        <w:rPr>
          <w:rFonts w:hint="eastAsia"/>
          <w:color w:val="auto"/>
          <w:lang w:val="en-US" w:eastAsia="zh-CN"/>
        </w:rPr>
        <w:t>表</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本项目</w:t>
      </w:r>
      <w:r>
        <w:rPr>
          <w:rFonts w:hint="eastAsia"/>
          <w:lang w:val="en-US" w:eastAsia="zh-CN"/>
        </w:rPr>
        <w:t>相关依托可行性分析汇总表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
        <w:gridCol w:w="821"/>
        <w:gridCol w:w="1418"/>
        <w:gridCol w:w="2239"/>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序号</w:t>
            </w:r>
          </w:p>
        </w:tc>
        <w:tc>
          <w:tcPr>
            <w:tcW w:w="82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项目</w:t>
            </w:r>
          </w:p>
        </w:tc>
        <w:tc>
          <w:tcPr>
            <w:tcW w:w="1362"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依托关系</w:t>
            </w:r>
          </w:p>
        </w:tc>
        <w:tc>
          <w:tcPr>
            <w:tcW w:w="2258"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依托依据</w:t>
            </w:r>
          </w:p>
        </w:tc>
        <w:tc>
          <w:tcPr>
            <w:tcW w:w="4333" w:type="dxa"/>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依托可行性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原料</w:t>
            </w: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溶液</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pacing w:val="-11"/>
                <w:sz w:val="20"/>
                <w:szCs w:val="15"/>
                <w:vertAlign w:val="baseline"/>
                <w:lang w:val="en-US" w:eastAsia="zh-CN"/>
              </w:rPr>
            </w:pPr>
            <w:r>
              <w:rPr>
                <w:rFonts w:hint="eastAsia"/>
                <w:spacing w:val="-11"/>
                <w:sz w:val="20"/>
                <w:szCs w:val="15"/>
                <w:vertAlign w:val="baseline"/>
                <w:lang w:val="en-US" w:eastAsia="zh-CN"/>
              </w:rPr>
              <w:t>由现有工程</w:t>
            </w:r>
            <w:r>
              <w:rPr>
                <w:rFonts w:hint="eastAsia" w:ascii="Times New Roman" w:hAnsi="Times New Roman"/>
                <w:spacing w:val="-11"/>
                <w:sz w:val="20"/>
                <w:szCs w:val="15"/>
                <w:vertAlign w:val="baseline"/>
                <w:lang w:val="en-US" w:eastAsia="zh-CN"/>
              </w:rPr>
              <w:t>5</w:t>
            </w:r>
            <w:r>
              <w:rPr>
                <w:rFonts w:hint="eastAsia"/>
                <w:spacing w:val="-11"/>
                <w:sz w:val="20"/>
                <w:szCs w:val="15"/>
                <w:vertAlign w:val="baseline"/>
                <w:lang w:val="en-US" w:eastAsia="zh-CN"/>
              </w:rPr>
              <w:t>万</w:t>
            </w:r>
            <w:r>
              <w:rPr>
                <w:rFonts w:hint="eastAsia" w:ascii="Times New Roman" w:hAnsi="Times New Roman"/>
                <w:spacing w:val="-11"/>
                <w:sz w:val="20"/>
                <w:szCs w:val="15"/>
                <w:vertAlign w:val="baseline"/>
                <w:lang w:val="en-US" w:eastAsia="zh-CN"/>
              </w:rPr>
              <w:t>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aDN</w:t>
            </w:r>
            <w:r>
              <w:rPr>
                <w:rFonts w:hint="eastAsia"/>
                <w:spacing w:val="-11"/>
                <w:sz w:val="20"/>
                <w:szCs w:val="15"/>
                <w:vertAlign w:val="baseline"/>
                <w:lang w:val="en-US" w:eastAsia="zh-CN"/>
              </w:rPr>
              <w:t>溶液装置提供</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color w:val="auto"/>
                <w:spacing w:val="-11"/>
                <w:sz w:val="20"/>
                <w:szCs w:val="15"/>
                <w:vertAlign w:val="baseline"/>
                <w:lang w:val="en-US" w:eastAsia="zh-CN"/>
              </w:rPr>
              <w:t>现有工程于</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月取得批复（新环函[</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1315</w:t>
            </w:r>
            <w:r>
              <w:rPr>
                <w:rFonts w:hint="eastAsia"/>
                <w:color w:val="auto"/>
                <w:spacing w:val="-11"/>
                <w:sz w:val="20"/>
                <w:szCs w:val="15"/>
                <w:vertAlign w:val="baseline"/>
                <w:lang w:val="en-US" w:eastAsia="zh-CN"/>
              </w:rPr>
              <w:t>号），</w:t>
            </w:r>
            <w:r>
              <w:rPr>
                <w:rFonts w:hint="eastAsia" w:ascii="Times New Roman" w:hAnsi="Times New Roman"/>
                <w:color w:val="auto"/>
                <w:spacing w:val="-11"/>
                <w:sz w:val="20"/>
                <w:szCs w:val="15"/>
                <w:vertAlign w:val="baseline"/>
                <w:lang w:val="en-US" w:eastAsia="zh-CN"/>
              </w:rPr>
              <w:t>2019</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12</w:t>
            </w:r>
            <w:r>
              <w:rPr>
                <w:rFonts w:hint="eastAsia"/>
                <w:color w:val="auto"/>
                <w:spacing w:val="-11"/>
                <w:sz w:val="20"/>
                <w:szCs w:val="15"/>
                <w:vertAlign w:val="baseline"/>
                <w:lang w:val="en-US" w:eastAsia="zh-CN"/>
              </w:rPr>
              <w:t>月通过自主环保验收</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color w:val="auto"/>
                <w:spacing w:val="-11"/>
                <w:sz w:val="20"/>
                <w:szCs w:val="15"/>
                <w:vertAlign w:val="baseline"/>
                <w:lang w:val="en-US" w:eastAsia="zh-CN"/>
              </w:rPr>
              <w:t>凯赛（乌苏）生物技术有限公司长链聚酰胺项目使用</w:t>
            </w:r>
            <w:r>
              <w:rPr>
                <w:rFonts w:hint="eastAsia" w:ascii="Times New Roman" w:hAnsi="Times New Roman"/>
                <w:color w:val="auto"/>
                <w:spacing w:val="-11"/>
                <w:sz w:val="20"/>
                <w:szCs w:val="15"/>
                <w:vertAlign w:val="baseline"/>
                <w:lang w:val="en-US" w:eastAsia="zh-CN"/>
              </w:rPr>
              <w:t>DN</w:t>
            </w:r>
            <w:r>
              <w:rPr>
                <w:rFonts w:hint="eastAsia"/>
                <w:color w:val="auto"/>
                <w:spacing w:val="-11"/>
                <w:sz w:val="20"/>
                <w:szCs w:val="15"/>
                <w:vertAlign w:val="baseline"/>
                <w:lang w:val="en-US" w:eastAsia="zh-CN"/>
              </w:rPr>
              <w:t>溶液</w:t>
            </w:r>
            <w:r>
              <w:rPr>
                <w:rFonts w:hint="eastAsia" w:ascii="Times New Roman" w:hAnsi="Times New Roman"/>
                <w:color w:val="auto"/>
                <w:spacing w:val="-11"/>
                <w:sz w:val="20"/>
                <w:szCs w:val="15"/>
                <w:vertAlign w:val="baseline"/>
                <w:lang w:val="en-US" w:eastAsia="zh-CN"/>
              </w:rPr>
              <w:t>6800t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，本项目使用</w:t>
            </w:r>
            <w:r>
              <w:rPr>
                <w:rFonts w:hint="eastAsia" w:ascii="Times New Roman" w:hAnsi="Times New Roman"/>
                <w:color w:val="auto"/>
                <w:spacing w:val="-11"/>
                <w:sz w:val="20"/>
                <w:szCs w:val="15"/>
                <w:vertAlign w:val="baseline"/>
                <w:lang w:val="en-US" w:eastAsia="zh-CN"/>
              </w:rPr>
              <w:t>DN</w:t>
            </w:r>
            <w:r>
              <w:rPr>
                <w:rFonts w:hint="eastAsia"/>
                <w:color w:val="auto"/>
                <w:spacing w:val="-11"/>
                <w:sz w:val="20"/>
                <w:szCs w:val="15"/>
                <w:vertAlign w:val="baseline"/>
                <w:lang w:val="en-US" w:eastAsia="zh-CN"/>
              </w:rPr>
              <w:t>溶液</w:t>
            </w:r>
            <w:r>
              <w:rPr>
                <w:rFonts w:hint="eastAsia" w:ascii="Times New Roman" w:hAnsi="Times New Roman"/>
                <w:color w:val="auto"/>
                <w:spacing w:val="-11"/>
                <w:sz w:val="20"/>
                <w:szCs w:val="15"/>
                <w:vertAlign w:val="baseline"/>
                <w:lang w:val="en-US" w:eastAsia="zh-CN"/>
              </w:rPr>
              <w:t>16976</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27t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，其余</w:t>
            </w:r>
            <w:r>
              <w:rPr>
                <w:rFonts w:hint="eastAsia" w:ascii="Times New Roman" w:hAnsi="Times New Roman"/>
                <w:color w:val="auto"/>
                <w:spacing w:val="-11"/>
                <w:sz w:val="20"/>
                <w:szCs w:val="15"/>
                <w:vertAlign w:val="baseline"/>
                <w:lang w:val="en-US" w:eastAsia="zh-CN"/>
              </w:rPr>
              <w:t>DN</w:t>
            </w:r>
            <w:r>
              <w:rPr>
                <w:rFonts w:hint="eastAsia"/>
                <w:color w:val="auto"/>
                <w:spacing w:val="-11"/>
                <w:sz w:val="20"/>
                <w:szCs w:val="15"/>
                <w:vertAlign w:val="baseline"/>
                <w:lang w:val="en-US" w:eastAsia="zh-CN"/>
              </w:rPr>
              <w:t>溶液全部用于现有工程聚酰胺的生产，因此从原料用量上可行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2</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生产用水</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由现有工程</w:t>
            </w:r>
            <w:r>
              <w:rPr>
                <w:rFonts w:hint="eastAsia" w:ascii="Times New Roman" w:hAnsi="Times New Roman"/>
                <w:spacing w:val="-11"/>
                <w:sz w:val="20"/>
                <w:szCs w:val="15"/>
                <w:vertAlign w:val="baseline"/>
                <w:lang w:val="en-US" w:eastAsia="zh-CN"/>
              </w:rPr>
              <w:t>DN</w:t>
            </w:r>
            <w:r>
              <w:rPr>
                <w:rFonts w:hint="eastAsia"/>
                <w:spacing w:val="-11"/>
                <w:sz w:val="20"/>
                <w:szCs w:val="15"/>
                <w:vertAlign w:val="baseline"/>
                <w:lang w:val="en-US" w:eastAsia="zh-CN"/>
              </w:rPr>
              <w:t>提取装置管网接入</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0000FF"/>
                <w:spacing w:val="-11"/>
                <w:sz w:val="20"/>
                <w:szCs w:val="15"/>
                <w:vertAlign w:val="baseline"/>
                <w:lang w:val="en-US" w:eastAsia="zh-CN"/>
              </w:rPr>
            </w:pPr>
            <w:r>
              <w:rPr>
                <w:rFonts w:hint="eastAsia"/>
                <w:color w:val="auto"/>
                <w:spacing w:val="-11"/>
                <w:sz w:val="20"/>
                <w:szCs w:val="15"/>
                <w:vertAlign w:val="baseline"/>
                <w:lang w:val="en-US" w:eastAsia="zh-CN"/>
              </w:rPr>
              <w:t>于</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月取得批复（新环函[</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1315</w:t>
            </w:r>
            <w:r>
              <w:rPr>
                <w:rFonts w:hint="eastAsia"/>
                <w:color w:val="auto"/>
                <w:spacing w:val="-11"/>
                <w:sz w:val="20"/>
                <w:szCs w:val="15"/>
                <w:vertAlign w:val="baseline"/>
                <w:lang w:val="en-US" w:eastAsia="zh-CN"/>
              </w:rPr>
              <w:t>号），</w:t>
            </w:r>
            <w:r>
              <w:rPr>
                <w:rFonts w:hint="eastAsia" w:ascii="Times New Roman" w:hAnsi="Times New Roman"/>
                <w:color w:val="auto"/>
                <w:spacing w:val="-11"/>
                <w:sz w:val="20"/>
                <w:szCs w:val="15"/>
                <w:vertAlign w:val="baseline"/>
                <w:lang w:val="en-US" w:eastAsia="zh-CN"/>
              </w:rPr>
              <w:t>2019</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12</w:t>
            </w:r>
            <w:r>
              <w:rPr>
                <w:rFonts w:hint="eastAsia"/>
                <w:color w:val="auto"/>
                <w:spacing w:val="-11"/>
                <w:sz w:val="20"/>
                <w:szCs w:val="15"/>
                <w:vertAlign w:val="baseline"/>
                <w:lang w:val="en-US" w:eastAsia="zh-CN"/>
              </w:rPr>
              <w:t>月通过自主环保验收，本项目用水从现有工程</w:t>
            </w:r>
            <w:r>
              <w:rPr>
                <w:rFonts w:hint="eastAsia" w:ascii="Times New Roman" w:hAnsi="Times New Roman"/>
                <w:color w:val="auto"/>
                <w:spacing w:val="-11"/>
                <w:sz w:val="20"/>
                <w:szCs w:val="15"/>
                <w:vertAlign w:val="baseline"/>
                <w:lang w:val="en-US" w:eastAsia="zh-CN"/>
              </w:rPr>
              <w:t>DN</w:t>
            </w:r>
            <w:r>
              <w:rPr>
                <w:rFonts w:hint="eastAsia"/>
                <w:color w:val="auto"/>
                <w:spacing w:val="-11"/>
                <w:sz w:val="20"/>
                <w:szCs w:val="15"/>
                <w:vertAlign w:val="baseline"/>
                <w:lang w:val="en-US" w:eastAsia="zh-CN"/>
              </w:rPr>
              <w:t>提取装置供水管网引入</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0000FF"/>
                <w:spacing w:val="-11"/>
                <w:sz w:val="20"/>
                <w:szCs w:val="15"/>
                <w:vertAlign w:val="baseline"/>
                <w:lang w:val="en-US" w:eastAsia="zh-CN"/>
              </w:rPr>
            </w:pPr>
            <w:r>
              <w:rPr>
                <w:rFonts w:hint="eastAsia"/>
                <w:color w:val="auto"/>
                <w:spacing w:val="-11"/>
                <w:sz w:val="20"/>
                <w:szCs w:val="15"/>
                <w:vertAlign w:val="baseline"/>
                <w:lang w:val="en-US" w:eastAsia="zh-CN"/>
              </w:rPr>
              <w:t>本项目生产工艺本身不使用水，用水主要用于尾气处理、装置地面冲洗水、循环水系统补水等方面。本项目实施前需要的硫酸溶液和氨水需要配置，本项目实施后尾气处理产生的硫酸铵和氨水均回用于生产，节约了配置用水，总用水量不发生变化。厂内供水能力为</w:t>
            </w:r>
            <w:r>
              <w:rPr>
                <w:rFonts w:hint="eastAsia" w:ascii="Times New Roman" w:hAnsi="Times New Roman"/>
                <w:color w:val="auto"/>
                <w:spacing w:val="-11"/>
                <w:sz w:val="20"/>
                <w:szCs w:val="15"/>
                <w:vertAlign w:val="baseline"/>
                <w:lang w:val="en-US" w:eastAsia="zh-CN"/>
              </w:rPr>
              <w:t>700m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，现有工程用水量为</w:t>
            </w:r>
            <w:r>
              <w:rPr>
                <w:rFonts w:hint="eastAsia" w:ascii="Times New Roman" w:hAnsi="Times New Roman"/>
                <w:color w:val="auto"/>
                <w:spacing w:val="-11"/>
                <w:sz w:val="20"/>
                <w:szCs w:val="15"/>
                <w:vertAlign w:val="baseline"/>
                <w:lang w:val="en-US" w:eastAsia="zh-CN"/>
              </w:rPr>
              <w:t>291</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78m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，负荷降低后用水量为，</w:t>
            </w:r>
            <w:r>
              <w:rPr>
                <w:rFonts w:hint="eastAsia" w:ascii="Times New Roman" w:hAnsi="Times New Roman"/>
                <w:color w:val="auto"/>
                <w:spacing w:val="-11"/>
                <w:sz w:val="20"/>
                <w:szCs w:val="15"/>
                <w:vertAlign w:val="baseline"/>
                <w:lang w:val="en-US" w:eastAsia="zh-CN"/>
              </w:rPr>
              <w:t>218</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835m</w:t>
            </w:r>
            <w:r>
              <w:rPr>
                <w:rFonts w:hint="eastAsia"/>
                <w:color w:val="auto"/>
                <w:spacing w:val="-11"/>
                <w:sz w:val="20"/>
                <w:szCs w:val="15"/>
                <w:vertAlign w:val="baseline"/>
                <w:lang w:val="en-US" w:eastAsia="zh-CN"/>
              </w:rPr>
              <w:t>³，技术公司用水量为</w:t>
            </w:r>
            <w:r>
              <w:rPr>
                <w:rFonts w:hint="eastAsia" w:ascii="Times New Roman" w:hAnsi="Times New Roman"/>
                <w:color w:val="auto"/>
                <w:spacing w:val="-11"/>
                <w:sz w:val="20"/>
                <w:szCs w:val="15"/>
                <w:vertAlign w:val="baseline"/>
                <w:lang w:val="en-US" w:eastAsia="zh-CN"/>
              </w:rPr>
              <w:t>138</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33m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，合计</w:t>
            </w:r>
            <w:r>
              <w:rPr>
                <w:rFonts w:hint="eastAsia" w:ascii="Times New Roman" w:hAnsi="Times New Roman"/>
                <w:color w:val="auto"/>
                <w:spacing w:val="-11"/>
                <w:sz w:val="20"/>
                <w:szCs w:val="15"/>
                <w:vertAlign w:val="baseline"/>
                <w:lang w:val="en-US" w:eastAsia="zh-CN"/>
              </w:rPr>
              <w:t>357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165m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，富余</w:t>
            </w:r>
            <w:r>
              <w:rPr>
                <w:rFonts w:hint="eastAsia" w:ascii="Times New Roman" w:hAnsi="Times New Roman"/>
                <w:color w:val="auto"/>
                <w:spacing w:val="-11"/>
                <w:sz w:val="20"/>
                <w:szCs w:val="15"/>
                <w:vertAlign w:val="baseline"/>
                <w:lang w:val="en-US" w:eastAsia="zh-CN"/>
              </w:rPr>
              <w:t>342</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835m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，本项目工艺中仅增加装置地面冲洗水，用量约为</w:t>
            </w:r>
            <w:r>
              <w:rPr>
                <w:rFonts w:hint="eastAsia" w:ascii="Times New Roman" w:hAnsi="Times New Roman"/>
                <w:color w:val="auto"/>
                <w:spacing w:val="-11"/>
                <w:sz w:val="20"/>
                <w:szCs w:val="15"/>
                <w:vertAlign w:val="baseline"/>
                <w:lang w:val="en-US" w:eastAsia="zh-CN"/>
              </w:rPr>
              <w:t>332</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53m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，因此供水量可满足本项目需要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3</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循环水系统</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由现有工程聚合工艺</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#循环水场（</w:t>
            </w:r>
            <w:r>
              <w:rPr>
                <w:rFonts w:hint="eastAsia" w:ascii="Times New Roman" w:hAnsi="Times New Roman"/>
                <w:spacing w:val="-11"/>
                <w:sz w:val="20"/>
                <w:szCs w:val="15"/>
                <w:vertAlign w:val="baseline"/>
                <w:lang w:val="en-US" w:eastAsia="zh-CN"/>
              </w:rPr>
              <w:t>12000m</w:t>
            </w:r>
            <w:r>
              <w:rPr>
                <w:rFonts w:hint="eastAsia"/>
                <w:spacing w:val="-11"/>
                <w:sz w:val="20"/>
                <w:szCs w:val="15"/>
                <w:vertAlign w:val="baseline"/>
                <w:lang w:val="en-US" w:eastAsia="zh-CN"/>
              </w:rPr>
              <w:t>³/</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）提供</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于</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月取得批复（新环函[</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1315</w:t>
            </w:r>
            <w:r>
              <w:rPr>
                <w:rFonts w:hint="eastAsia"/>
                <w:color w:val="auto"/>
                <w:spacing w:val="-11"/>
                <w:sz w:val="20"/>
                <w:szCs w:val="15"/>
                <w:vertAlign w:val="baseline"/>
                <w:lang w:val="en-US" w:eastAsia="zh-CN"/>
              </w:rPr>
              <w:t>号）</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color w:val="auto"/>
                <w:spacing w:val="-11"/>
                <w:sz w:val="20"/>
                <w:szCs w:val="15"/>
                <w:vertAlign w:val="baseline"/>
                <w:lang w:val="en-US" w:eastAsia="zh-CN"/>
              </w:rPr>
              <w:t>现有工程聚合工艺采用</w:t>
            </w:r>
            <w:r>
              <w:rPr>
                <w:rFonts w:hint="eastAsia" w:ascii="Times New Roman" w:hAnsi="Times New Roman"/>
                <w:color w:val="auto"/>
                <w:spacing w:val="-11"/>
                <w:sz w:val="20"/>
                <w:szCs w:val="15"/>
                <w:vertAlign w:val="baseline"/>
                <w:lang w:val="en-US" w:eastAsia="zh-CN"/>
              </w:rPr>
              <w:t>3</w:t>
            </w:r>
            <w:r>
              <w:rPr>
                <w:rFonts w:hint="eastAsia"/>
                <w:color w:val="auto"/>
                <w:spacing w:val="-11"/>
                <w:sz w:val="20"/>
                <w:szCs w:val="15"/>
                <w:vertAlign w:val="baseline"/>
                <w:lang w:val="en-US" w:eastAsia="zh-CN"/>
              </w:rPr>
              <w:t>#循环水场提供，现有工程实际循环水使用量为</w:t>
            </w:r>
            <w:r>
              <w:rPr>
                <w:rFonts w:hint="eastAsia" w:ascii="Times New Roman" w:hAnsi="Times New Roman"/>
                <w:color w:val="auto"/>
                <w:spacing w:val="-11"/>
                <w:sz w:val="20"/>
                <w:szCs w:val="15"/>
                <w:vertAlign w:val="baseline"/>
                <w:lang w:val="en-US" w:eastAsia="zh-CN"/>
              </w:rPr>
              <w:t>7300m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，考虑到未建的短纤产品循环水规模约</w:t>
            </w:r>
            <w:r>
              <w:rPr>
                <w:rFonts w:hint="eastAsia" w:ascii="Times New Roman" w:hAnsi="Times New Roman"/>
                <w:color w:val="auto"/>
                <w:spacing w:val="-11"/>
                <w:sz w:val="20"/>
                <w:szCs w:val="15"/>
                <w:vertAlign w:val="baseline"/>
                <w:lang w:val="en-US" w:eastAsia="zh-CN"/>
              </w:rPr>
              <w:t>3130m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，则预计总循环水规模达到</w:t>
            </w:r>
            <w:r>
              <w:rPr>
                <w:rFonts w:hint="eastAsia" w:ascii="Times New Roman" w:hAnsi="Times New Roman"/>
                <w:color w:val="auto"/>
                <w:spacing w:val="-11"/>
                <w:sz w:val="20"/>
                <w:szCs w:val="15"/>
                <w:vertAlign w:val="baseline"/>
                <w:lang w:val="en-US" w:eastAsia="zh-CN"/>
              </w:rPr>
              <w:t>10430m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，现有工程聚酰胺工艺负荷降低为满负荷的约</w:t>
            </w:r>
            <w:r>
              <w:rPr>
                <w:rFonts w:hint="eastAsia" w:ascii="Times New Roman" w:hAnsi="Times New Roman"/>
                <w:color w:val="auto"/>
                <w:spacing w:val="-11"/>
                <w:sz w:val="20"/>
                <w:szCs w:val="15"/>
                <w:vertAlign w:val="baseline"/>
                <w:lang w:val="en-US" w:eastAsia="zh-CN"/>
              </w:rPr>
              <w:t>75</w:t>
            </w:r>
            <w:r>
              <w:rPr>
                <w:rFonts w:hint="eastAsia"/>
                <w:color w:val="auto"/>
                <w:spacing w:val="-11"/>
                <w:sz w:val="20"/>
                <w:szCs w:val="15"/>
                <w:vertAlign w:val="baseline"/>
                <w:lang w:val="en-US" w:eastAsia="zh-CN"/>
              </w:rPr>
              <w:t>%，则预计本项目实施后，现有聚酰胺工艺循环水规模为</w:t>
            </w:r>
            <w:r>
              <w:rPr>
                <w:rFonts w:hint="eastAsia" w:ascii="Times New Roman" w:hAnsi="Times New Roman"/>
                <w:color w:val="auto"/>
                <w:spacing w:val="-11"/>
                <w:sz w:val="20"/>
                <w:szCs w:val="15"/>
                <w:vertAlign w:val="baseline"/>
                <w:lang w:val="en-US" w:eastAsia="zh-CN"/>
              </w:rPr>
              <w:t>8605m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，富余循环水规模</w:t>
            </w:r>
            <w:r>
              <w:rPr>
                <w:rFonts w:hint="eastAsia" w:ascii="Times New Roman" w:hAnsi="Times New Roman"/>
                <w:color w:val="auto"/>
                <w:spacing w:val="-11"/>
                <w:sz w:val="20"/>
                <w:szCs w:val="15"/>
                <w:vertAlign w:val="baseline"/>
                <w:lang w:val="en-US" w:eastAsia="zh-CN"/>
              </w:rPr>
              <w:t>3395m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，本项目循环水量仅增加</w:t>
            </w:r>
            <w:r>
              <w:rPr>
                <w:rFonts w:hint="eastAsia" w:ascii="Times New Roman" w:hAnsi="Times New Roman"/>
                <w:color w:val="auto"/>
                <w:spacing w:val="-11"/>
                <w:sz w:val="20"/>
                <w:szCs w:val="15"/>
                <w:vertAlign w:val="baseline"/>
                <w:lang w:val="en-US" w:eastAsia="zh-CN"/>
              </w:rPr>
              <w:t>900m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，因此可行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4</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生活</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用水</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由现有工程生活用水管网提供</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来自园区净水厂，水源为特吾勒水库及吉尔格勒德水库地表水</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color w:val="auto"/>
                <w:spacing w:val="-11"/>
                <w:sz w:val="20"/>
                <w:szCs w:val="15"/>
                <w:vertAlign w:val="baseline"/>
                <w:lang w:val="en-US" w:eastAsia="zh-CN"/>
              </w:rPr>
              <w:t>本项目新增员工</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人，新增生活用水量很少，现有工程可满足生活用水需求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5</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纯水</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spacing w:val="-11"/>
                <w:sz w:val="20"/>
                <w:szCs w:val="15"/>
                <w:vertAlign w:val="baseline"/>
                <w:lang w:val="en-US" w:eastAsia="zh-CN"/>
              </w:rPr>
              <w:t>依托凯赛（乌苏）生物技术有限公司年产</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万吨长链二元酸和</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万吨长链聚酰胺项目纯水系统</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color w:val="auto"/>
                <w:spacing w:val="-11"/>
                <w:sz w:val="20"/>
                <w:szCs w:val="15"/>
                <w:vertAlign w:val="baseline"/>
                <w:lang w:val="en-US" w:eastAsia="zh-CN"/>
              </w:rPr>
              <w:t>于</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月取得批复（新环函[</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1326</w:t>
            </w:r>
            <w:r>
              <w:rPr>
                <w:rFonts w:hint="eastAsia"/>
                <w:color w:val="auto"/>
                <w:spacing w:val="-11"/>
                <w:sz w:val="20"/>
                <w:szCs w:val="15"/>
                <w:vertAlign w:val="baseline"/>
                <w:lang w:val="en-US" w:eastAsia="zh-CN"/>
              </w:rPr>
              <w:t>号）</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color w:val="auto"/>
                <w:spacing w:val="-11"/>
                <w:sz w:val="20"/>
                <w:szCs w:val="15"/>
                <w:vertAlign w:val="baseline"/>
                <w:lang w:val="en-US" w:eastAsia="zh-CN"/>
              </w:rPr>
              <w:t>厂内纯水系统设计规模</w:t>
            </w:r>
            <w:r>
              <w:rPr>
                <w:rFonts w:hint="eastAsia" w:ascii="Times New Roman" w:hAnsi="Times New Roman"/>
                <w:color w:val="auto"/>
                <w:spacing w:val="-11"/>
                <w:sz w:val="20"/>
                <w:szCs w:val="15"/>
                <w:vertAlign w:val="baseline"/>
                <w:lang w:val="en-US" w:eastAsia="zh-CN"/>
              </w:rPr>
              <w:t>75t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，目前为现有工程及凯赛</w:t>
            </w:r>
            <w:r>
              <w:rPr>
                <w:rFonts w:hint="eastAsia"/>
                <w:spacing w:val="-11"/>
                <w:sz w:val="20"/>
                <w:szCs w:val="15"/>
                <w:vertAlign w:val="baseline"/>
                <w:lang w:val="en-US" w:eastAsia="zh-CN"/>
              </w:rPr>
              <w:t>（乌苏）生物技术有限公司年产</w:t>
            </w:r>
            <w:r>
              <w:rPr>
                <w:rFonts w:hint="eastAsia" w:ascii="Times New Roman" w:hAnsi="Times New Roman"/>
                <w:spacing w:val="-11"/>
                <w:sz w:val="20"/>
                <w:szCs w:val="15"/>
                <w:vertAlign w:val="baseline"/>
                <w:lang w:val="en-US" w:eastAsia="zh-CN"/>
              </w:rPr>
              <w:t>3</w:t>
            </w:r>
            <w:r>
              <w:rPr>
                <w:rFonts w:hint="eastAsia"/>
                <w:spacing w:val="-11"/>
                <w:sz w:val="20"/>
                <w:szCs w:val="15"/>
                <w:vertAlign w:val="baseline"/>
                <w:lang w:val="en-US" w:eastAsia="zh-CN"/>
              </w:rPr>
              <w:t>万吨长链二元酸和</w:t>
            </w:r>
            <w:r>
              <w:rPr>
                <w:rFonts w:hint="eastAsia" w:ascii="Times New Roman" w:hAnsi="Times New Roman"/>
                <w:spacing w:val="-11"/>
                <w:sz w:val="20"/>
                <w:szCs w:val="15"/>
                <w:vertAlign w:val="baseline"/>
                <w:lang w:val="en-US" w:eastAsia="zh-CN"/>
              </w:rPr>
              <w:t>2</w:t>
            </w:r>
            <w:r>
              <w:rPr>
                <w:rFonts w:hint="eastAsia"/>
                <w:spacing w:val="-11"/>
                <w:sz w:val="20"/>
                <w:szCs w:val="15"/>
                <w:vertAlign w:val="baseline"/>
                <w:lang w:val="en-US" w:eastAsia="zh-CN"/>
              </w:rPr>
              <w:t>万吨长链聚酰胺项目供水，根据设计，两个项目使用电导率＜</w:t>
            </w:r>
            <w:r>
              <w:rPr>
                <w:rFonts w:hint="eastAsia" w:ascii="Times New Roman" w:hAnsi="Times New Roman"/>
                <w:spacing w:val="-11"/>
                <w:sz w:val="20"/>
                <w:szCs w:val="15"/>
                <w:vertAlign w:val="baseline"/>
                <w:lang w:val="en-US" w:eastAsia="zh-CN"/>
              </w:rPr>
              <w:t>20us</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cm</w:t>
            </w:r>
            <w:r>
              <w:rPr>
                <w:rFonts w:hint="eastAsia"/>
                <w:spacing w:val="-11"/>
                <w:sz w:val="20"/>
                <w:szCs w:val="15"/>
                <w:vertAlign w:val="baseline"/>
                <w:lang w:val="en-US" w:eastAsia="zh-CN"/>
              </w:rPr>
              <w:t>的纯水包括：现有工程精馏（吸收和水环密封）用量</w:t>
            </w:r>
            <w:r>
              <w:rPr>
                <w:rFonts w:hint="eastAsia" w:ascii="Times New Roman" w:hAnsi="Times New Roman"/>
                <w:spacing w:val="-11"/>
                <w:sz w:val="20"/>
                <w:szCs w:val="15"/>
                <w:vertAlign w:val="baseline"/>
                <w:lang w:val="en-US" w:eastAsia="zh-CN"/>
              </w:rPr>
              <w:t>5t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，长链二元酸项目提取工段</w:t>
            </w:r>
            <w:r>
              <w:rPr>
                <w:rFonts w:hint="eastAsia" w:ascii="Times New Roman" w:hAnsi="Times New Roman"/>
                <w:spacing w:val="-11"/>
                <w:sz w:val="20"/>
                <w:szCs w:val="15"/>
                <w:vertAlign w:val="baseline"/>
                <w:lang w:val="en-US" w:eastAsia="zh-CN"/>
              </w:rPr>
              <w:t>12t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、精制工段</w:t>
            </w:r>
            <w:r>
              <w:rPr>
                <w:rFonts w:hint="eastAsia" w:ascii="Times New Roman" w:hAnsi="Times New Roman"/>
                <w:spacing w:val="-11"/>
                <w:sz w:val="20"/>
                <w:szCs w:val="15"/>
                <w:vertAlign w:val="baseline"/>
                <w:lang w:val="en-US" w:eastAsia="zh-CN"/>
              </w:rPr>
              <w:t>19t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、重组分工段</w:t>
            </w:r>
            <w:r>
              <w:rPr>
                <w:rFonts w:hint="eastAsia" w:ascii="Times New Roman" w:hAnsi="Times New Roman"/>
                <w:spacing w:val="-11"/>
                <w:sz w:val="20"/>
                <w:szCs w:val="15"/>
                <w:vertAlign w:val="baseline"/>
                <w:lang w:val="en-US" w:eastAsia="zh-CN"/>
              </w:rPr>
              <w:t>4t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，共计约</w:t>
            </w:r>
            <w:r>
              <w:rPr>
                <w:rFonts w:hint="eastAsia" w:ascii="Times New Roman" w:hAnsi="Times New Roman"/>
                <w:spacing w:val="-11"/>
                <w:sz w:val="20"/>
                <w:szCs w:val="15"/>
                <w:vertAlign w:val="baseline"/>
                <w:lang w:val="en-US" w:eastAsia="zh-CN"/>
              </w:rPr>
              <w:t>40t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。需要使用电导率＜</w:t>
            </w:r>
            <w:r>
              <w:rPr>
                <w:rFonts w:hint="eastAsia" w:ascii="Times New Roman" w:hAnsi="Times New Roman"/>
                <w:spacing w:val="-11"/>
                <w:sz w:val="20"/>
                <w:szCs w:val="15"/>
                <w:vertAlign w:val="baseline"/>
                <w:lang w:val="en-US" w:eastAsia="zh-CN"/>
              </w:rPr>
              <w:t>0</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5us</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cm</w:t>
            </w:r>
            <w:r>
              <w:rPr>
                <w:rFonts w:hint="eastAsia"/>
                <w:spacing w:val="-11"/>
                <w:sz w:val="20"/>
                <w:szCs w:val="15"/>
                <w:vertAlign w:val="baseline"/>
                <w:lang w:val="en-US" w:eastAsia="zh-CN"/>
              </w:rPr>
              <w:t>的纯水包括：提取工段</w:t>
            </w:r>
            <w:r>
              <w:rPr>
                <w:rFonts w:hint="eastAsia" w:ascii="Times New Roman" w:hAnsi="Times New Roman"/>
                <w:spacing w:val="-11"/>
                <w:sz w:val="20"/>
                <w:szCs w:val="15"/>
                <w:vertAlign w:val="baseline"/>
                <w:lang w:val="en-US" w:eastAsia="zh-CN"/>
              </w:rPr>
              <w:t>4t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、间歇</w:t>
            </w:r>
            <w:r>
              <w:rPr>
                <w:rFonts w:hint="eastAsia" w:ascii="Times New Roman" w:hAnsi="Times New Roman"/>
                <w:spacing w:val="-11"/>
                <w:sz w:val="20"/>
                <w:szCs w:val="15"/>
                <w:vertAlign w:val="baseline"/>
                <w:lang w:val="en-US" w:eastAsia="zh-CN"/>
              </w:rPr>
              <w:t>12t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（未建）、连续</w:t>
            </w:r>
            <w:r>
              <w:rPr>
                <w:rFonts w:hint="eastAsia" w:ascii="Times New Roman" w:hAnsi="Times New Roman"/>
                <w:spacing w:val="-11"/>
                <w:sz w:val="20"/>
                <w:szCs w:val="15"/>
                <w:vertAlign w:val="baseline"/>
                <w:lang w:val="en-US" w:eastAsia="zh-CN"/>
              </w:rPr>
              <w:t>4t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、纺丝</w:t>
            </w:r>
            <w:r>
              <w:rPr>
                <w:rFonts w:hint="eastAsia" w:ascii="Times New Roman" w:hAnsi="Times New Roman"/>
                <w:spacing w:val="-11"/>
                <w:sz w:val="20"/>
                <w:szCs w:val="15"/>
                <w:vertAlign w:val="baseline"/>
                <w:lang w:val="en-US" w:eastAsia="zh-CN"/>
              </w:rPr>
              <w:t>10t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，共计</w:t>
            </w:r>
            <w:r>
              <w:rPr>
                <w:rFonts w:hint="eastAsia" w:ascii="Times New Roman" w:hAnsi="Times New Roman"/>
                <w:spacing w:val="-11"/>
                <w:sz w:val="20"/>
                <w:szCs w:val="15"/>
                <w:vertAlign w:val="baseline"/>
                <w:lang w:val="en-US" w:eastAsia="zh-CN"/>
              </w:rPr>
              <w:t>29t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，则厂内共设计使用纯水量为</w:t>
            </w:r>
            <w:r>
              <w:rPr>
                <w:rFonts w:hint="eastAsia" w:ascii="Times New Roman" w:hAnsi="Times New Roman"/>
                <w:spacing w:val="-11"/>
                <w:sz w:val="20"/>
                <w:szCs w:val="15"/>
                <w:vertAlign w:val="baseline"/>
                <w:lang w:val="en-US" w:eastAsia="zh-CN"/>
              </w:rPr>
              <w:t>69t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，余量为</w:t>
            </w:r>
            <w:r>
              <w:rPr>
                <w:rFonts w:hint="eastAsia" w:ascii="Times New Roman" w:hAnsi="Times New Roman"/>
                <w:spacing w:val="-11"/>
                <w:sz w:val="20"/>
                <w:szCs w:val="15"/>
                <w:vertAlign w:val="baseline"/>
                <w:lang w:val="en-US" w:eastAsia="zh-CN"/>
              </w:rPr>
              <w:t>6t</w:t>
            </w:r>
            <w:r>
              <w:rPr>
                <w:rFonts w:hint="eastAsia"/>
                <w:spacing w:val="-11"/>
                <w:sz w:val="20"/>
                <w:szCs w:val="15"/>
                <w:vertAlign w:val="baseline"/>
                <w:lang w:val="en-US" w:eastAsia="zh-CN"/>
              </w:rPr>
              <w:t>/</w:t>
            </w:r>
            <w:r>
              <w:rPr>
                <w:rFonts w:hint="eastAsia" w:ascii="Times New Roman" w:hAnsi="Times New Roman"/>
                <w:spacing w:val="-11"/>
                <w:sz w:val="20"/>
                <w:szCs w:val="15"/>
                <w:vertAlign w:val="baseline"/>
                <w:lang w:val="en-US" w:eastAsia="zh-CN"/>
              </w:rPr>
              <w:t>h</w:t>
            </w:r>
            <w:r>
              <w:rPr>
                <w:rFonts w:hint="eastAsia"/>
                <w:spacing w:val="-11"/>
                <w:sz w:val="20"/>
                <w:szCs w:val="15"/>
                <w:vertAlign w:val="baseline"/>
                <w:lang w:val="en-US" w:eastAsia="zh-CN"/>
              </w:rPr>
              <w:t>，</w:t>
            </w:r>
            <w:r>
              <w:rPr>
                <w:rFonts w:hint="eastAsia"/>
                <w:color w:val="auto"/>
                <w:spacing w:val="-11"/>
                <w:sz w:val="20"/>
                <w:szCs w:val="15"/>
                <w:vertAlign w:val="baseline"/>
                <w:lang w:val="en-US" w:eastAsia="zh-CN"/>
              </w:rPr>
              <w:t>本项目纯水用量</w:t>
            </w:r>
            <w:r>
              <w:rPr>
                <w:rFonts w:hint="eastAsia" w:ascii="Times New Roman" w:hAnsi="Times New Roman"/>
                <w:color w:val="auto"/>
                <w:spacing w:val="-11"/>
                <w:sz w:val="20"/>
                <w:szCs w:val="15"/>
                <w:vertAlign w:val="baseline"/>
                <w:lang w:val="en-US" w:eastAsia="zh-CN"/>
              </w:rPr>
              <w:t>3600t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，主要作为真空泵工作液使用，因此纯水余量可满足本项目需要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6</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蒸汽</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由现有动力锅炉提供</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0000FF"/>
                <w:spacing w:val="-11"/>
                <w:sz w:val="20"/>
                <w:szCs w:val="15"/>
                <w:vertAlign w:val="baseline"/>
                <w:lang w:val="en-US" w:eastAsia="zh-CN"/>
              </w:rPr>
            </w:pPr>
            <w:r>
              <w:rPr>
                <w:rFonts w:hint="eastAsia"/>
                <w:color w:val="auto"/>
                <w:spacing w:val="-11"/>
                <w:sz w:val="20"/>
                <w:szCs w:val="15"/>
                <w:vertAlign w:val="baseline"/>
                <w:lang w:val="en-US" w:eastAsia="zh-CN"/>
              </w:rPr>
              <w:t>于</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月取得批复（新环函[</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1315</w:t>
            </w:r>
            <w:r>
              <w:rPr>
                <w:rFonts w:hint="eastAsia"/>
                <w:color w:val="auto"/>
                <w:spacing w:val="-11"/>
                <w:sz w:val="20"/>
                <w:szCs w:val="15"/>
                <w:vertAlign w:val="baseline"/>
                <w:lang w:val="en-US" w:eastAsia="zh-CN"/>
              </w:rPr>
              <w:t>号），</w:t>
            </w:r>
            <w:r>
              <w:rPr>
                <w:rFonts w:hint="eastAsia" w:ascii="Times New Roman" w:hAnsi="Times New Roman"/>
                <w:color w:val="auto"/>
                <w:spacing w:val="-11"/>
                <w:sz w:val="20"/>
                <w:szCs w:val="15"/>
                <w:vertAlign w:val="baseline"/>
                <w:lang w:val="en-US" w:eastAsia="zh-CN"/>
              </w:rPr>
              <w:t>2019</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12</w:t>
            </w:r>
            <w:r>
              <w:rPr>
                <w:rFonts w:hint="eastAsia"/>
                <w:color w:val="auto"/>
                <w:spacing w:val="-11"/>
                <w:sz w:val="20"/>
                <w:szCs w:val="15"/>
                <w:vertAlign w:val="baseline"/>
                <w:lang w:val="en-US" w:eastAsia="zh-CN"/>
              </w:rPr>
              <w:t>月通过自主环保验收</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0000FF"/>
                <w:spacing w:val="-11"/>
                <w:sz w:val="20"/>
                <w:szCs w:val="15"/>
                <w:vertAlign w:val="baseline"/>
                <w:lang w:val="en-US" w:eastAsia="zh-CN"/>
              </w:rPr>
            </w:pPr>
            <w:r>
              <w:rPr>
                <w:rFonts w:hint="eastAsia"/>
                <w:color w:val="auto"/>
                <w:spacing w:val="-11"/>
                <w:sz w:val="20"/>
                <w:szCs w:val="15"/>
                <w:vertAlign w:val="baseline"/>
                <w:lang w:val="en-US" w:eastAsia="zh-CN"/>
              </w:rPr>
              <w:t>本项目蒸汽来自现有工程</w:t>
            </w:r>
            <w:r>
              <w:rPr>
                <w:rFonts w:hint="eastAsia" w:ascii="Times New Roman" w:hAnsi="Times New Roman"/>
                <w:color w:val="auto"/>
                <w:spacing w:val="-11"/>
                <w:sz w:val="20"/>
                <w:szCs w:val="15"/>
                <w:vertAlign w:val="baseline"/>
                <w:lang w:val="en-US" w:eastAsia="zh-CN"/>
              </w:rPr>
              <w:t>5</w:t>
            </w:r>
            <w:r>
              <w:rPr>
                <w:rFonts w:hint="eastAsia"/>
                <w:color w:val="auto"/>
                <w:spacing w:val="-11"/>
                <w:sz w:val="20"/>
                <w:szCs w:val="15"/>
                <w:vertAlign w:val="baseline"/>
                <w:lang w:val="en-US" w:eastAsia="zh-CN"/>
              </w:rPr>
              <w:t>台</w:t>
            </w:r>
            <w:r>
              <w:rPr>
                <w:rFonts w:hint="eastAsia" w:ascii="Times New Roman" w:hAnsi="Times New Roman"/>
                <w:color w:val="auto"/>
                <w:spacing w:val="-11"/>
                <w:sz w:val="20"/>
                <w:szCs w:val="15"/>
                <w:vertAlign w:val="baseline"/>
                <w:lang w:val="en-US" w:eastAsia="zh-CN"/>
              </w:rPr>
              <w:t>75t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循环流化床锅炉（</w:t>
            </w:r>
            <w:r>
              <w:rPr>
                <w:rFonts w:hint="eastAsia" w:ascii="Times New Roman" w:hAnsi="Times New Roman"/>
                <w:color w:val="auto"/>
                <w:spacing w:val="-11"/>
                <w:sz w:val="20"/>
                <w:szCs w:val="15"/>
                <w:vertAlign w:val="baseline"/>
                <w:lang w:val="en-US" w:eastAsia="zh-CN"/>
              </w:rPr>
              <w:t>4</w:t>
            </w:r>
            <w:r>
              <w:rPr>
                <w:rFonts w:hint="eastAsia"/>
                <w:color w:val="auto"/>
                <w:spacing w:val="-11"/>
                <w:sz w:val="20"/>
                <w:szCs w:val="15"/>
                <w:vertAlign w:val="baseline"/>
                <w:lang w:val="en-US" w:eastAsia="zh-CN"/>
              </w:rPr>
              <w:t>开</w:t>
            </w:r>
            <w:r>
              <w:rPr>
                <w:rFonts w:hint="eastAsia" w:ascii="Times New Roman" w:hAnsi="Times New Roman"/>
                <w:color w:val="auto"/>
                <w:spacing w:val="-11"/>
                <w:sz w:val="20"/>
                <w:szCs w:val="15"/>
                <w:vertAlign w:val="baseline"/>
                <w:lang w:val="en-US" w:eastAsia="zh-CN"/>
              </w:rPr>
              <w:t>1</w:t>
            </w:r>
            <w:r>
              <w:rPr>
                <w:rFonts w:hint="eastAsia"/>
                <w:color w:val="auto"/>
                <w:spacing w:val="-11"/>
                <w:sz w:val="20"/>
                <w:szCs w:val="15"/>
                <w:vertAlign w:val="baseline"/>
                <w:lang w:val="en-US" w:eastAsia="zh-CN"/>
              </w:rPr>
              <w:t>备）蒸汽，最大供汽量</w:t>
            </w:r>
            <w:r>
              <w:rPr>
                <w:rFonts w:hint="eastAsia" w:ascii="Times New Roman" w:hAnsi="Times New Roman"/>
                <w:color w:val="auto"/>
                <w:spacing w:val="-11"/>
                <w:sz w:val="20"/>
                <w:szCs w:val="15"/>
                <w:vertAlign w:val="baseline"/>
                <w:lang w:val="en-US" w:eastAsia="zh-CN"/>
              </w:rPr>
              <w:t>300t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，凯赛（乌苏）生物技术有限公司年产</w:t>
            </w:r>
            <w:r>
              <w:rPr>
                <w:rFonts w:hint="eastAsia" w:ascii="Times New Roman" w:hAnsi="Times New Roman"/>
                <w:color w:val="auto"/>
                <w:spacing w:val="-11"/>
                <w:sz w:val="20"/>
                <w:szCs w:val="15"/>
                <w:vertAlign w:val="baseline"/>
                <w:lang w:val="en-US" w:eastAsia="zh-CN"/>
              </w:rPr>
              <w:t>3</w:t>
            </w:r>
            <w:r>
              <w:rPr>
                <w:rFonts w:hint="eastAsia"/>
                <w:color w:val="auto"/>
                <w:spacing w:val="-11"/>
                <w:sz w:val="20"/>
                <w:szCs w:val="15"/>
                <w:vertAlign w:val="baseline"/>
                <w:lang w:val="en-US" w:eastAsia="zh-CN"/>
              </w:rPr>
              <w:t>万吨长链二元酸和</w:t>
            </w:r>
            <w:r>
              <w:rPr>
                <w:rFonts w:hint="eastAsia" w:ascii="Times New Roman" w:hAnsi="Times New Roman"/>
                <w:color w:val="auto"/>
                <w:spacing w:val="-11"/>
                <w:sz w:val="20"/>
                <w:szCs w:val="15"/>
                <w:vertAlign w:val="baseline"/>
                <w:lang w:val="en-US" w:eastAsia="zh-CN"/>
              </w:rPr>
              <w:t>2</w:t>
            </w:r>
            <w:r>
              <w:rPr>
                <w:rFonts w:hint="eastAsia"/>
                <w:color w:val="auto"/>
                <w:spacing w:val="-11"/>
                <w:sz w:val="20"/>
                <w:szCs w:val="15"/>
                <w:vertAlign w:val="baseline"/>
                <w:lang w:val="en-US" w:eastAsia="zh-CN"/>
              </w:rPr>
              <w:t>万吨长链聚酰胺项目用汽量</w:t>
            </w:r>
            <w:r>
              <w:rPr>
                <w:rFonts w:hint="eastAsia" w:ascii="Times New Roman" w:hAnsi="Times New Roman"/>
                <w:color w:val="auto"/>
                <w:spacing w:val="-11"/>
                <w:sz w:val="20"/>
                <w:szCs w:val="15"/>
                <w:vertAlign w:val="baseline"/>
                <w:lang w:val="en-US" w:eastAsia="zh-CN"/>
              </w:rPr>
              <w:t>72t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，园区采暖用汽量</w:t>
            </w:r>
            <w:r>
              <w:rPr>
                <w:rFonts w:hint="eastAsia" w:ascii="Times New Roman" w:hAnsi="Times New Roman"/>
                <w:color w:val="auto"/>
                <w:spacing w:val="-11"/>
                <w:sz w:val="20"/>
                <w:szCs w:val="15"/>
                <w:vertAlign w:val="baseline"/>
                <w:lang w:val="en-US" w:eastAsia="zh-CN"/>
              </w:rPr>
              <w:t>9</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6t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，凯赛（乌苏）生物材料有限公司年产</w:t>
            </w:r>
            <w:r>
              <w:rPr>
                <w:rFonts w:hint="eastAsia" w:ascii="Times New Roman" w:hAnsi="Times New Roman"/>
                <w:color w:val="auto"/>
                <w:spacing w:val="-11"/>
                <w:sz w:val="20"/>
                <w:szCs w:val="15"/>
                <w:vertAlign w:val="baseline"/>
                <w:lang w:val="en-US" w:eastAsia="zh-CN"/>
              </w:rPr>
              <w:t>10</w:t>
            </w:r>
            <w:r>
              <w:rPr>
                <w:rFonts w:hint="eastAsia"/>
                <w:color w:val="auto"/>
                <w:spacing w:val="-11"/>
                <w:sz w:val="20"/>
                <w:szCs w:val="15"/>
                <w:vertAlign w:val="baseline"/>
                <w:lang w:val="en-US" w:eastAsia="zh-CN"/>
              </w:rPr>
              <w:t>万吨生物基聚酰胺项目用汽量</w:t>
            </w:r>
            <w:r>
              <w:rPr>
                <w:rFonts w:hint="eastAsia" w:ascii="Times New Roman" w:hAnsi="Times New Roman"/>
                <w:color w:val="auto"/>
                <w:spacing w:val="-11"/>
                <w:sz w:val="20"/>
                <w:szCs w:val="15"/>
                <w:vertAlign w:val="baseline"/>
                <w:lang w:val="en-US" w:eastAsia="zh-CN"/>
              </w:rPr>
              <w:t>185t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，总用气量</w:t>
            </w:r>
            <w:r>
              <w:rPr>
                <w:rFonts w:hint="eastAsia" w:ascii="Times New Roman" w:hAnsi="Times New Roman"/>
                <w:color w:val="auto"/>
                <w:spacing w:val="-11"/>
                <w:sz w:val="20"/>
                <w:szCs w:val="15"/>
                <w:vertAlign w:val="baseline"/>
                <w:lang w:val="en-US" w:eastAsia="zh-CN"/>
              </w:rPr>
              <w:t>266</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6t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，富余蒸汽量</w:t>
            </w:r>
            <w:r>
              <w:rPr>
                <w:rFonts w:hint="eastAsia" w:ascii="Times New Roman" w:hAnsi="Times New Roman"/>
                <w:color w:val="auto"/>
                <w:spacing w:val="-11"/>
                <w:sz w:val="20"/>
                <w:szCs w:val="15"/>
                <w:vertAlign w:val="baseline"/>
                <w:lang w:val="en-US" w:eastAsia="zh-CN"/>
              </w:rPr>
              <w:t>33</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4t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，本项目蒸汽需求量为</w:t>
            </w:r>
            <w:r>
              <w:rPr>
                <w:rFonts w:hint="eastAsia" w:ascii="Times New Roman" w:hAnsi="Times New Roman"/>
                <w:color w:val="auto"/>
                <w:spacing w:val="-11"/>
                <w:sz w:val="20"/>
                <w:szCs w:val="15"/>
                <w:vertAlign w:val="baseline"/>
                <w:lang w:val="en-US" w:eastAsia="zh-CN"/>
              </w:rPr>
              <w:t>2</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23t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，因此在不考虑本项目实施后，聚合单元负荷下降的情况，现有工程锅炉供汽可满足本项目需求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7</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废水处理</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依托现有污水站处理</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0000FF"/>
                <w:spacing w:val="-11"/>
                <w:sz w:val="20"/>
                <w:szCs w:val="15"/>
                <w:vertAlign w:val="baseline"/>
                <w:lang w:val="en-US" w:eastAsia="zh-CN"/>
              </w:rPr>
            </w:pPr>
            <w:r>
              <w:rPr>
                <w:rFonts w:hint="eastAsia"/>
                <w:color w:val="auto"/>
                <w:spacing w:val="-11"/>
                <w:sz w:val="20"/>
                <w:szCs w:val="15"/>
                <w:vertAlign w:val="baseline"/>
                <w:lang w:val="en-US" w:eastAsia="zh-CN"/>
              </w:rPr>
              <w:t>于</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月取得批复（新环函[</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1315</w:t>
            </w:r>
            <w:r>
              <w:rPr>
                <w:rFonts w:hint="eastAsia"/>
                <w:color w:val="auto"/>
                <w:spacing w:val="-11"/>
                <w:sz w:val="20"/>
                <w:szCs w:val="15"/>
                <w:vertAlign w:val="baseline"/>
                <w:lang w:val="en-US" w:eastAsia="zh-CN"/>
              </w:rPr>
              <w:t>号），</w:t>
            </w:r>
            <w:r>
              <w:rPr>
                <w:rFonts w:hint="eastAsia" w:ascii="Times New Roman" w:hAnsi="Times New Roman"/>
                <w:color w:val="auto"/>
                <w:spacing w:val="-11"/>
                <w:sz w:val="20"/>
                <w:szCs w:val="15"/>
                <w:vertAlign w:val="baseline"/>
                <w:lang w:val="en-US" w:eastAsia="zh-CN"/>
              </w:rPr>
              <w:t>2019</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12</w:t>
            </w:r>
            <w:r>
              <w:rPr>
                <w:rFonts w:hint="eastAsia"/>
                <w:color w:val="auto"/>
                <w:spacing w:val="-11"/>
                <w:sz w:val="20"/>
                <w:szCs w:val="15"/>
                <w:vertAlign w:val="baseline"/>
                <w:lang w:val="en-US" w:eastAsia="zh-CN"/>
              </w:rPr>
              <w:t>月通过自主环保验收</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0000FF"/>
                <w:spacing w:val="-11"/>
                <w:sz w:val="20"/>
                <w:szCs w:val="15"/>
                <w:vertAlign w:val="baseline"/>
                <w:lang w:val="en-US" w:eastAsia="zh-CN"/>
              </w:rPr>
            </w:pPr>
            <w:r>
              <w:rPr>
                <w:rFonts w:hint="eastAsia"/>
                <w:color w:val="auto"/>
                <w:spacing w:val="-11"/>
                <w:sz w:val="20"/>
                <w:szCs w:val="15"/>
                <w:vertAlign w:val="baseline"/>
                <w:lang w:val="en-US" w:eastAsia="zh-CN"/>
              </w:rPr>
              <w:t>现有工程污水站设计处理规模</w:t>
            </w:r>
            <w:r>
              <w:rPr>
                <w:rFonts w:hint="eastAsia" w:ascii="Times New Roman" w:hAnsi="Times New Roman"/>
                <w:color w:val="auto"/>
                <w:spacing w:val="-11"/>
                <w:sz w:val="20"/>
                <w:szCs w:val="15"/>
                <w:vertAlign w:val="baseline"/>
                <w:lang w:val="en-US" w:eastAsia="zh-CN"/>
              </w:rPr>
              <w:t>1</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w:t>
            </w:r>
            <w:r>
              <w:rPr>
                <w:rFonts w:hint="eastAsia"/>
                <w:color w:val="auto"/>
                <w:spacing w:val="-11"/>
                <w:sz w:val="20"/>
                <w:szCs w:val="15"/>
                <w:vertAlign w:val="baseline"/>
                <w:lang w:val="en-US" w:eastAsia="zh-CN"/>
              </w:rPr>
              <w:t>万</w:t>
            </w:r>
            <w:r>
              <w:rPr>
                <w:rFonts w:hint="eastAsia" w:ascii="Times New Roman" w:hAnsi="Times New Roman"/>
                <w:color w:val="auto"/>
                <w:spacing w:val="-11"/>
                <w:sz w:val="20"/>
                <w:szCs w:val="15"/>
                <w:vertAlign w:val="baseline"/>
                <w:lang w:val="en-US" w:eastAsia="zh-CN"/>
              </w:rPr>
              <w:t>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d</w:t>
            </w:r>
            <w:r>
              <w:rPr>
                <w:rFonts w:hint="eastAsia"/>
                <w:color w:val="auto"/>
                <w:spacing w:val="-11"/>
                <w:sz w:val="20"/>
                <w:szCs w:val="15"/>
                <w:vertAlign w:val="baseline"/>
                <w:lang w:val="en-US" w:eastAsia="zh-CN"/>
              </w:rPr>
              <w:t>，现有工程满负荷情况下污水处理量为</w:t>
            </w:r>
            <w:r>
              <w:rPr>
                <w:rFonts w:hint="eastAsia" w:ascii="Times New Roman" w:hAnsi="Times New Roman"/>
                <w:color w:val="auto"/>
                <w:spacing w:val="-11"/>
                <w:sz w:val="20"/>
                <w:szCs w:val="15"/>
                <w:vertAlign w:val="baseline"/>
                <w:lang w:val="en-US" w:eastAsia="zh-CN"/>
              </w:rPr>
              <w:t>153</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08t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3673</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92m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d</w:t>
            </w:r>
            <w:r>
              <w:rPr>
                <w:rFonts w:hint="eastAsia"/>
                <w:color w:val="auto"/>
                <w:spacing w:val="-11"/>
                <w:sz w:val="20"/>
                <w:szCs w:val="15"/>
                <w:vertAlign w:val="baseline"/>
                <w:lang w:val="en-US" w:eastAsia="zh-CN"/>
              </w:rPr>
              <w:t>），污水站富余量</w:t>
            </w:r>
            <w:r>
              <w:rPr>
                <w:rFonts w:hint="eastAsia" w:ascii="Times New Roman" w:hAnsi="Times New Roman"/>
                <w:color w:val="auto"/>
                <w:spacing w:val="-11"/>
                <w:sz w:val="20"/>
                <w:szCs w:val="15"/>
                <w:vertAlign w:val="baseline"/>
                <w:lang w:val="en-US" w:eastAsia="zh-CN"/>
              </w:rPr>
              <w:t>7326</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08m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d</w:t>
            </w:r>
            <w:r>
              <w:rPr>
                <w:rFonts w:hint="eastAsia"/>
                <w:color w:val="auto"/>
                <w:spacing w:val="-11"/>
                <w:sz w:val="20"/>
                <w:szCs w:val="15"/>
                <w:vertAlign w:val="baseline"/>
                <w:lang w:val="en-US" w:eastAsia="zh-CN"/>
              </w:rPr>
              <w:t>，本项目排入污水站废水量</w:t>
            </w:r>
            <w:r>
              <w:rPr>
                <w:rFonts w:hint="eastAsia" w:ascii="Times New Roman" w:hAnsi="Times New Roman"/>
                <w:color w:val="auto"/>
                <w:spacing w:val="-11"/>
                <w:sz w:val="20"/>
                <w:szCs w:val="15"/>
                <w:vertAlign w:val="baseline"/>
                <w:lang w:val="en-US" w:eastAsia="zh-CN"/>
              </w:rPr>
              <w:t>479</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14m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，因此污水处理站可以满足本项目需要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8</w:t>
            </w:r>
          </w:p>
        </w:tc>
        <w:tc>
          <w:tcPr>
            <w:tcW w:w="8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危险废物暂存</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依托现有工程危险废物贮存库</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0000FF"/>
                <w:spacing w:val="-11"/>
                <w:sz w:val="20"/>
                <w:szCs w:val="15"/>
                <w:vertAlign w:val="baseline"/>
                <w:lang w:val="en-US" w:eastAsia="zh-CN"/>
              </w:rPr>
            </w:pPr>
            <w:r>
              <w:rPr>
                <w:rFonts w:hint="eastAsia"/>
                <w:color w:val="auto"/>
                <w:spacing w:val="-11"/>
                <w:sz w:val="20"/>
                <w:szCs w:val="15"/>
                <w:vertAlign w:val="baseline"/>
                <w:lang w:val="en-US" w:eastAsia="zh-CN"/>
              </w:rPr>
              <w:t>于</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8</w:t>
            </w:r>
            <w:r>
              <w:rPr>
                <w:rFonts w:hint="eastAsia"/>
                <w:color w:val="auto"/>
                <w:spacing w:val="-11"/>
                <w:sz w:val="20"/>
                <w:szCs w:val="15"/>
                <w:vertAlign w:val="baseline"/>
                <w:lang w:val="en-US" w:eastAsia="zh-CN"/>
              </w:rPr>
              <w:t>月取得批复（新环函[</w:t>
            </w:r>
            <w:r>
              <w:rPr>
                <w:rFonts w:hint="eastAsia" w:ascii="Times New Roman" w:hAnsi="Times New Roman"/>
                <w:color w:val="auto"/>
                <w:spacing w:val="-11"/>
                <w:sz w:val="20"/>
                <w:szCs w:val="15"/>
                <w:vertAlign w:val="baseline"/>
                <w:lang w:val="en-US" w:eastAsia="zh-CN"/>
              </w:rPr>
              <w:t>2017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1315</w:t>
            </w:r>
            <w:r>
              <w:rPr>
                <w:rFonts w:hint="eastAsia"/>
                <w:color w:val="auto"/>
                <w:spacing w:val="-11"/>
                <w:sz w:val="20"/>
                <w:szCs w:val="15"/>
                <w:vertAlign w:val="baseline"/>
                <w:lang w:val="en-US" w:eastAsia="zh-CN"/>
              </w:rPr>
              <w:t>号），</w:t>
            </w:r>
            <w:r>
              <w:rPr>
                <w:rFonts w:hint="eastAsia" w:ascii="Times New Roman" w:hAnsi="Times New Roman"/>
                <w:color w:val="auto"/>
                <w:spacing w:val="-11"/>
                <w:sz w:val="20"/>
                <w:szCs w:val="15"/>
                <w:vertAlign w:val="baseline"/>
                <w:lang w:val="en-US" w:eastAsia="zh-CN"/>
              </w:rPr>
              <w:t>2019</w:t>
            </w:r>
            <w:r>
              <w:rPr>
                <w:rFonts w:hint="eastAsia"/>
                <w:color w:val="auto"/>
                <w:spacing w:val="-11"/>
                <w:sz w:val="20"/>
                <w:szCs w:val="15"/>
                <w:vertAlign w:val="baseline"/>
                <w:lang w:val="en-US" w:eastAsia="zh-CN"/>
              </w:rPr>
              <w:t>年</w:t>
            </w:r>
            <w:r>
              <w:rPr>
                <w:rFonts w:hint="eastAsia" w:ascii="Times New Roman" w:hAnsi="Times New Roman"/>
                <w:color w:val="auto"/>
                <w:spacing w:val="-11"/>
                <w:sz w:val="20"/>
                <w:szCs w:val="15"/>
                <w:vertAlign w:val="baseline"/>
                <w:lang w:val="en-US" w:eastAsia="zh-CN"/>
              </w:rPr>
              <w:t>12</w:t>
            </w:r>
            <w:r>
              <w:rPr>
                <w:rFonts w:hint="eastAsia"/>
                <w:color w:val="auto"/>
                <w:spacing w:val="-11"/>
                <w:sz w:val="20"/>
                <w:szCs w:val="15"/>
                <w:vertAlign w:val="baseline"/>
                <w:lang w:val="en-US" w:eastAsia="zh-CN"/>
              </w:rPr>
              <w:t>月通过自主环保验收</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0000FF"/>
                <w:spacing w:val="-11"/>
                <w:sz w:val="20"/>
                <w:szCs w:val="15"/>
                <w:vertAlign w:val="baseline"/>
                <w:lang w:val="en-US" w:eastAsia="zh-CN"/>
              </w:rPr>
            </w:pPr>
            <w:r>
              <w:rPr>
                <w:rFonts w:hint="eastAsia"/>
                <w:color w:val="auto"/>
                <w:spacing w:val="-11"/>
                <w:sz w:val="20"/>
                <w:szCs w:val="15"/>
                <w:vertAlign w:val="baseline"/>
                <w:lang w:val="en-US" w:eastAsia="zh-CN"/>
              </w:rPr>
              <w:t>现有工程危险废物贮存库占地面积</w:t>
            </w:r>
            <w:r>
              <w:rPr>
                <w:rFonts w:hint="eastAsia" w:ascii="Times New Roman" w:hAnsi="Times New Roman"/>
                <w:color w:val="auto"/>
                <w:spacing w:val="-11"/>
                <w:sz w:val="20"/>
                <w:szCs w:val="15"/>
                <w:vertAlign w:val="baseline"/>
                <w:lang w:val="en-US" w:eastAsia="zh-CN"/>
              </w:rPr>
              <w:t>800</w:t>
            </w:r>
            <w:r>
              <w:rPr>
                <w:rFonts w:hint="eastAsia"/>
                <w:color w:val="auto"/>
                <w:spacing w:val="-11"/>
                <w:sz w:val="20"/>
                <w:szCs w:val="15"/>
                <w:vertAlign w:val="baseline"/>
                <w:lang w:val="en-US" w:eastAsia="zh-CN"/>
              </w:rPr>
              <w:t>㎡，危险废物暂存时间通常不大于</w:t>
            </w:r>
            <w:r>
              <w:rPr>
                <w:rFonts w:hint="eastAsia" w:ascii="Times New Roman" w:hAnsi="Times New Roman"/>
                <w:color w:val="auto"/>
                <w:spacing w:val="-11"/>
                <w:sz w:val="20"/>
                <w:szCs w:val="15"/>
                <w:vertAlign w:val="baseline"/>
                <w:lang w:val="en-US" w:eastAsia="zh-CN"/>
              </w:rPr>
              <w:t>1a</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2021</w:t>
            </w:r>
            <w:r>
              <w:rPr>
                <w:rFonts w:hint="eastAsia"/>
                <w:color w:val="auto"/>
                <w:spacing w:val="-11"/>
                <w:sz w:val="20"/>
                <w:szCs w:val="15"/>
                <w:vertAlign w:val="baseline"/>
                <w:lang w:val="en-US" w:eastAsia="zh-CN"/>
              </w:rPr>
              <w:t>年危险废物贮存量合计</w:t>
            </w:r>
            <w:r>
              <w:rPr>
                <w:rFonts w:hint="eastAsia" w:ascii="Times New Roman" w:hAnsi="Times New Roman"/>
                <w:color w:val="auto"/>
                <w:spacing w:val="-11"/>
                <w:sz w:val="20"/>
                <w:szCs w:val="15"/>
                <w:vertAlign w:val="baseline"/>
                <w:lang w:val="en-US" w:eastAsia="zh-CN"/>
              </w:rPr>
              <w:t>68t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，危险废物产生量远小于现有设施贮存能力，现有危险废物贮存库可满足本项目需要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9</w:t>
            </w:r>
          </w:p>
        </w:tc>
        <w:tc>
          <w:tcPr>
            <w:tcW w:w="82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r>
              <w:rPr>
                <w:rFonts w:hint="eastAsia"/>
                <w:spacing w:val="-11"/>
                <w:sz w:val="20"/>
                <w:szCs w:val="15"/>
                <w:vertAlign w:val="baseline"/>
                <w:lang w:val="en-US" w:eastAsia="zh-CN"/>
              </w:rPr>
              <w:t>综合利用</w:t>
            </w:r>
          </w:p>
        </w:tc>
        <w:tc>
          <w:tcPr>
            <w:tcW w:w="13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氨吸收液用于脱硫设施</w:t>
            </w:r>
          </w:p>
        </w:tc>
        <w:tc>
          <w:tcPr>
            <w:tcW w:w="22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现有工程动力站、导热油炉脱硫设施、厂内硫酸铵配置均需要使用氨水</w:t>
            </w:r>
          </w:p>
        </w:tc>
        <w:tc>
          <w:tcPr>
            <w:tcW w:w="433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color w:val="auto"/>
                <w:spacing w:val="-11"/>
                <w:sz w:val="20"/>
                <w:szCs w:val="15"/>
                <w:vertAlign w:val="baseline"/>
                <w:lang w:val="en-US" w:eastAsia="zh-CN"/>
              </w:rPr>
              <w:t>现有工程氨法脱硫设施氨水年消耗量为</w:t>
            </w:r>
            <w:r>
              <w:rPr>
                <w:rFonts w:hint="eastAsia" w:ascii="Times New Roman" w:hAnsi="Times New Roman"/>
                <w:color w:val="auto"/>
                <w:spacing w:val="-11"/>
                <w:sz w:val="20"/>
                <w:szCs w:val="15"/>
                <w:vertAlign w:val="baseline"/>
                <w:lang w:val="en-US" w:eastAsia="zh-CN"/>
              </w:rPr>
              <w:t>8104t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，满负荷时，现有工程动力站脱硫用氨水</w:t>
            </w:r>
            <w:r>
              <w:rPr>
                <w:rFonts w:hint="eastAsia" w:ascii="Times New Roman" w:hAnsi="Times New Roman"/>
                <w:color w:val="auto"/>
                <w:spacing w:val="-11"/>
                <w:sz w:val="20"/>
                <w:szCs w:val="15"/>
                <w:vertAlign w:val="baseline"/>
                <w:lang w:val="en-US" w:eastAsia="zh-CN"/>
              </w:rPr>
              <w:t>844</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7kg</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h</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6757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6t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），现有工程</w:t>
            </w:r>
            <w:r>
              <w:rPr>
                <w:rFonts w:hint="eastAsia" w:ascii="Times New Roman" w:hAnsi="Times New Roman"/>
                <w:color w:val="auto"/>
                <w:spacing w:val="-11"/>
                <w:sz w:val="20"/>
                <w:szCs w:val="15"/>
                <w:vertAlign w:val="baseline"/>
                <w:lang w:val="en-US" w:eastAsia="zh-CN"/>
              </w:rPr>
              <w:t>10</w:t>
            </w:r>
            <w:r>
              <w:rPr>
                <w:rFonts w:hint="eastAsia"/>
                <w:color w:val="auto"/>
                <w:spacing w:val="-11"/>
                <w:sz w:val="20"/>
                <w:szCs w:val="15"/>
                <w:vertAlign w:val="baseline"/>
                <w:lang w:val="en-US" w:eastAsia="zh-CN"/>
              </w:rPr>
              <w:t>万</w:t>
            </w:r>
            <w:r>
              <w:rPr>
                <w:rFonts w:hint="eastAsia" w:ascii="Times New Roman" w:hAnsi="Times New Roman"/>
                <w:color w:val="auto"/>
                <w:spacing w:val="-11"/>
                <w:sz w:val="20"/>
                <w:szCs w:val="15"/>
                <w:vertAlign w:val="baseline"/>
                <w:lang w:val="en-US" w:eastAsia="zh-CN"/>
              </w:rPr>
              <w:t>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聚酰胺生产需要硫酸铵用量</w:t>
            </w:r>
            <w:r>
              <w:rPr>
                <w:rFonts w:hint="eastAsia" w:ascii="Times New Roman" w:hAnsi="Times New Roman"/>
                <w:color w:val="auto"/>
                <w:spacing w:val="-11"/>
                <w:sz w:val="20"/>
                <w:szCs w:val="15"/>
                <w:vertAlign w:val="baseline"/>
                <w:lang w:val="en-US" w:eastAsia="zh-CN"/>
              </w:rPr>
              <w:t>3636t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，则负荷降低至</w:t>
            </w:r>
            <w:r>
              <w:rPr>
                <w:rFonts w:hint="eastAsia" w:ascii="Times New Roman" w:hAnsi="Times New Roman"/>
                <w:color w:val="auto"/>
                <w:spacing w:val="-11"/>
                <w:sz w:val="20"/>
                <w:szCs w:val="15"/>
                <w:vertAlign w:val="baseline"/>
                <w:lang w:val="en-US" w:eastAsia="zh-CN"/>
              </w:rPr>
              <w:t>75</w:t>
            </w:r>
            <w:r>
              <w:rPr>
                <w:rFonts w:hint="eastAsia"/>
                <w:color w:val="auto"/>
                <w:spacing w:val="-11"/>
                <w:sz w:val="20"/>
                <w:szCs w:val="15"/>
                <w:vertAlign w:val="baseline"/>
                <w:lang w:val="en-US" w:eastAsia="zh-CN"/>
              </w:rPr>
              <w:t>%后，</w:t>
            </w:r>
            <w:r>
              <w:rPr>
                <w:rFonts w:hint="eastAsia" w:ascii="Times New Roman" w:hAnsi="Times New Roman"/>
                <w:color w:val="auto"/>
                <w:spacing w:val="-11"/>
                <w:sz w:val="20"/>
                <w:szCs w:val="15"/>
                <w:vertAlign w:val="baseline"/>
                <w:lang w:val="en-US" w:eastAsia="zh-CN"/>
              </w:rPr>
              <w:t>7</w:t>
            </w:r>
            <w:r>
              <w:rPr>
                <w:rFonts w:hint="eastAsia"/>
                <w:color w:val="auto"/>
                <w:spacing w:val="-11"/>
                <w:sz w:val="20"/>
                <w:szCs w:val="15"/>
                <w:vertAlign w:val="baseline"/>
                <w:lang w:val="en-US" w:eastAsia="zh-CN"/>
              </w:rPr>
              <w:t>万</w:t>
            </w:r>
            <w:r>
              <w:rPr>
                <w:rFonts w:hint="eastAsia" w:ascii="Times New Roman" w:hAnsi="Times New Roman"/>
                <w:color w:val="auto"/>
                <w:spacing w:val="-11"/>
                <w:sz w:val="20"/>
                <w:szCs w:val="15"/>
                <w:vertAlign w:val="baseline"/>
                <w:lang w:val="en-US" w:eastAsia="zh-CN"/>
              </w:rPr>
              <w:t>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聚酰胺生产需要硫酸铵用量为</w:t>
            </w:r>
            <w:r>
              <w:rPr>
                <w:rFonts w:hint="eastAsia" w:ascii="Times New Roman" w:hAnsi="Times New Roman"/>
                <w:color w:val="auto"/>
                <w:spacing w:val="-11"/>
                <w:sz w:val="20"/>
                <w:szCs w:val="15"/>
                <w:vertAlign w:val="baseline"/>
                <w:lang w:val="en-US" w:eastAsia="zh-CN"/>
              </w:rPr>
              <w:t>1908</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9t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，该部分硫酸铵配置需要使用</w:t>
            </w:r>
            <w:r>
              <w:rPr>
                <w:rFonts w:hint="eastAsia" w:ascii="Times New Roman" w:hAnsi="Times New Roman"/>
                <w:color w:val="auto"/>
                <w:spacing w:val="-11"/>
                <w:sz w:val="20"/>
                <w:szCs w:val="15"/>
                <w:vertAlign w:val="baseline"/>
                <w:lang w:val="en-US" w:eastAsia="zh-CN"/>
              </w:rPr>
              <w:t>30</w:t>
            </w:r>
            <w:r>
              <w:rPr>
                <w:rFonts w:hint="eastAsia"/>
                <w:color w:val="auto"/>
                <w:spacing w:val="-11"/>
                <w:sz w:val="20"/>
                <w:szCs w:val="15"/>
                <w:vertAlign w:val="baseline"/>
                <w:lang w:val="en-US" w:eastAsia="zh-CN"/>
              </w:rPr>
              <w:t>%氨水量约为</w:t>
            </w:r>
            <w:r>
              <w:rPr>
                <w:rFonts w:hint="eastAsia" w:ascii="Times New Roman" w:hAnsi="Times New Roman"/>
                <w:color w:val="auto"/>
                <w:spacing w:val="-11"/>
                <w:sz w:val="20"/>
                <w:szCs w:val="15"/>
                <w:vertAlign w:val="baseline"/>
                <w:lang w:val="en-US" w:eastAsia="zh-CN"/>
              </w:rPr>
              <w:t>1638</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9t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（按摩尔比计算），则共需要</w:t>
            </w:r>
            <w:r>
              <w:rPr>
                <w:rFonts w:hint="eastAsia" w:ascii="Times New Roman" w:hAnsi="Times New Roman"/>
                <w:color w:val="auto"/>
                <w:spacing w:val="-11"/>
                <w:sz w:val="20"/>
                <w:szCs w:val="15"/>
                <w:vertAlign w:val="baseline"/>
                <w:lang w:val="en-US" w:eastAsia="zh-CN"/>
              </w:rPr>
              <w:t>6757</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6</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1638</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9</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8396</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5t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a30</w:t>
            </w:r>
            <w:r>
              <w:rPr>
                <w:rFonts w:hint="eastAsia"/>
                <w:color w:val="auto"/>
                <w:spacing w:val="-11"/>
                <w:sz w:val="20"/>
                <w:szCs w:val="15"/>
                <w:vertAlign w:val="baseline"/>
                <w:lang w:val="en-US" w:eastAsia="zh-CN"/>
              </w:rPr>
              <w:t>%氨水。厂内设置有</w:t>
            </w:r>
            <w:r>
              <w:rPr>
                <w:rFonts w:hint="eastAsia" w:ascii="Times New Roman" w:hAnsi="Times New Roman"/>
                <w:color w:val="auto"/>
                <w:spacing w:val="-11"/>
                <w:sz w:val="20"/>
                <w:szCs w:val="15"/>
                <w:vertAlign w:val="baseline"/>
                <w:lang w:val="en-US" w:eastAsia="zh-CN"/>
              </w:rPr>
              <w:t>1</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5m</w:t>
            </w:r>
            <w:r>
              <w:rPr>
                <w:rFonts w:hint="eastAsia"/>
                <w:color w:val="auto"/>
                <w:spacing w:val="-11"/>
                <w:sz w:val="20"/>
                <w:szCs w:val="15"/>
                <w:vertAlign w:val="baseline"/>
                <w:lang w:val="en-US" w:eastAsia="zh-CN"/>
              </w:rPr>
              <w:t>³的液氨罐和</w:t>
            </w:r>
            <w:r>
              <w:rPr>
                <w:rFonts w:hint="eastAsia" w:ascii="Times New Roman" w:hAnsi="Times New Roman"/>
                <w:color w:val="auto"/>
                <w:spacing w:val="-11"/>
                <w:sz w:val="20"/>
                <w:szCs w:val="15"/>
                <w:vertAlign w:val="baseline"/>
                <w:lang w:val="en-US" w:eastAsia="zh-CN"/>
              </w:rPr>
              <w:t>2</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150m</w:t>
            </w:r>
            <w:r>
              <w:rPr>
                <w:rFonts w:hint="eastAsia"/>
                <w:color w:val="auto"/>
                <w:spacing w:val="-11"/>
                <w:sz w:val="20"/>
                <w:szCs w:val="15"/>
                <w:vertAlign w:val="baseline"/>
                <w:lang w:val="en-US" w:eastAsia="zh-CN"/>
              </w:rPr>
              <w:t>³的氨水罐。本项目理论上可提供</w:t>
            </w:r>
            <w:r>
              <w:rPr>
                <w:rFonts w:hint="eastAsia" w:ascii="Times New Roman" w:hAnsi="Times New Roman"/>
                <w:color w:val="auto"/>
                <w:spacing w:val="-11"/>
                <w:sz w:val="20"/>
                <w:szCs w:val="15"/>
                <w:vertAlign w:val="baseline"/>
                <w:lang w:val="en-US" w:eastAsia="zh-CN"/>
              </w:rPr>
              <w:t>30</w:t>
            </w:r>
            <w:r>
              <w:rPr>
                <w:rFonts w:hint="eastAsia"/>
                <w:color w:val="auto"/>
                <w:spacing w:val="-11"/>
                <w:sz w:val="20"/>
                <w:szCs w:val="15"/>
                <w:vertAlign w:val="baseline"/>
                <w:lang w:val="en-US" w:eastAsia="zh-CN"/>
              </w:rPr>
              <w:t>%的氨水溶液</w:t>
            </w:r>
            <w:r>
              <w:rPr>
                <w:rFonts w:hint="eastAsia" w:ascii="Times New Roman" w:hAnsi="Times New Roman"/>
                <w:color w:val="auto"/>
                <w:spacing w:val="-11"/>
                <w:sz w:val="20"/>
                <w:szCs w:val="15"/>
                <w:vertAlign w:val="baseline"/>
                <w:lang w:val="en-US" w:eastAsia="zh-CN"/>
              </w:rPr>
              <w:t>7290</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99m</w:t>
            </w:r>
            <w:r>
              <w:rPr>
                <w:rFonts w:hint="eastAsia"/>
                <w:color w:val="auto"/>
                <w:spacing w:val="-11"/>
                <w:sz w:val="20"/>
                <w:szCs w:val="15"/>
                <w:vertAlign w:val="baseline"/>
                <w:lang w:val="en-US" w:eastAsia="zh-CN"/>
              </w:rPr>
              <w:t>³/</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，因此本项目产生的氨水可以全部综合利用，不会产生多余氨水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0"/>
                <w:szCs w:val="15"/>
                <w:vertAlign w:val="baseline"/>
                <w:lang w:val="en-US" w:eastAsia="zh-CN"/>
              </w:rPr>
            </w:pPr>
            <w:r>
              <w:rPr>
                <w:rFonts w:hint="eastAsia" w:ascii="Times New Roman" w:hAnsi="Times New Roman"/>
                <w:spacing w:val="-11"/>
                <w:sz w:val="20"/>
                <w:szCs w:val="15"/>
                <w:vertAlign w:val="baseline"/>
                <w:lang w:val="en-US" w:eastAsia="zh-CN"/>
              </w:rPr>
              <w:t>10</w:t>
            </w:r>
          </w:p>
        </w:tc>
        <w:tc>
          <w:tcPr>
            <w:tcW w:w="827"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15"/>
                <w:vertAlign w:val="baseline"/>
                <w:lang w:val="en-US" w:eastAsia="zh-CN"/>
              </w:rPr>
            </w:pPr>
          </w:p>
        </w:tc>
        <w:tc>
          <w:tcPr>
            <w:tcW w:w="1362"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硫酸铵溶液用于现有工程</w:t>
            </w:r>
          </w:p>
        </w:tc>
        <w:tc>
          <w:tcPr>
            <w:tcW w:w="2258"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olor w:val="auto"/>
                <w:spacing w:val="-11"/>
                <w:sz w:val="20"/>
                <w:szCs w:val="15"/>
                <w:vertAlign w:val="baseline"/>
                <w:lang w:val="en-US" w:eastAsia="zh-CN"/>
              </w:rPr>
            </w:pPr>
            <w:r>
              <w:rPr>
                <w:rFonts w:hint="eastAsia"/>
                <w:color w:val="auto"/>
                <w:spacing w:val="-11"/>
                <w:sz w:val="20"/>
                <w:szCs w:val="15"/>
                <w:vertAlign w:val="baseline"/>
                <w:lang w:val="en-US" w:eastAsia="zh-CN"/>
              </w:rPr>
              <w:t>现有工程聚酰胺发酵供应需要使用硫酸铵</w:t>
            </w:r>
          </w:p>
        </w:tc>
        <w:tc>
          <w:tcPr>
            <w:tcW w:w="4333"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olor w:val="auto"/>
                <w:spacing w:val="-11"/>
                <w:sz w:val="20"/>
                <w:szCs w:val="15"/>
                <w:vertAlign w:val="baseline"/>
                <w:lang w:val="en-US" w:eastAsia="zh-CN"/>
              </w:rPr>
            </w:pPr>
            <w:r>
              <w:rPr>
                <w:rFonts w:hint="eastAsia" w:ascii="Times New Roman" w:hAnsi="Times New Roman"/>
                <w:color w:val="auto"/>
                <w:spacing w:val="-11"/>
                <w:sz w:val="20"/>
                <w:szCs w:val="15"/>
                <w:vertAlign w:val="baseline"/>
                <w:lang w:val="en-US" w:eastAsia="zh-CN"/>
              </w:rPr>
              <w:t>DN</w:t>
            </w:r>
            <w:r>
              <w:rPr>
                <w:rFonts w:hint="eastAsia"/>
                <w:color w:val="auto"/>
                <w:spacing w:val="-11"/>
                <w:sz w:val="20"/>
                <w:szCs w:val="15"/>
                <w:vertAlign w:val="baseline"/>
                <w:lang w:val="en-US" w:eastAsia="zh-CN"/>
              </w:rPr>
              <w:t>溶液制取发酵过程需要用到大量硫酸铵，现有工程的硫酸铵主要来自动力锅炉脱硫设施提供，其余自己配置，使用的硫酸铵溶液为</w:t>
            </w:r>
            <w:r>
              <w:rPr>
                <w:rFonts w:hint="eastAsia" w:ascii="Times New Roman" w:hAnsi="Times New Roman"/>
                <w:color w:val="auto"/>
                <w:spacing w:val="-11"/>
                <w:sz w:val="20"/>
                <w:szCs w:val="15"/>
                <w:vertAlign w:val="baseline"/>
                <w:lang w:val="en-US" w:eastAsia="zh-CN"/>
              </w:rPr>
              <w:t>40</w:t>
            </w:r>
            <w:r>
              <w:rPr>
                <w:rFonts w:hint="eastAsia"/>
                <w:color w:val="auto"/>
                <w:spacing w:val="-11"/>
                <w:sz w:val="20"/>
                <w:szCs w:val="15"/>
                <w:vertAlign w:val="baseline"/>
                <w:lang w:val="en-US" w:eastAsia="zh-CN"/>
              </w:rPr>
              <w:t>%硫酸铵溶液，现有工程</w:t>
            </w:r>
            <w:r>
              <w:rPr>
                <w:rFonts w:hint="eastAsia" w:ascii="Times New Roman" w:hAnsi="Times New Roman"/>
                <w:color w:val="auto"/>
                <w:spacing w:val="-11"/>
                <w:sz w:val="20"/>
                <w:szCs w:val="15"/>
                <w:vertAlign w:val="baseline"/>
                <w:lang w:val="en-US" w:eastAsia="zh-CN"/>
              </w:rPr>
              <w:t>DN</w:t>
            </w:r>
            <w:r>
              <w:rPr>
                <w:rFonts w:hint="eastAsia"/>
                <w:color w:val="auto"/>
                <w:spacing w:val="-11"/>
                <w:sz w:val="20"/>
                <w:szCs w:val="15"/>
                <w:vertAlign w:val="baseline"/>
                <w:lang w:val="en-US" w:eastAsia="zh-CN"/>
              </w:rPr>
              <w:t>溶液发酵工艺硫酸铵的使用量约为</w:t>
            </w:r>
            <w:r>
              <w:rPr>
                <w:rFonts w:hint="eastAsia" w:ascii="Times New Roman" w:hAnsi="Times New Roman"/>
                <w:color w:val="auto"/>
                <w:spacing w:val="-11"/>
                <w:sz w:val="20"/>
                <w:szCs w:val="15"/>
                <w:vertAlign w:val="baseline"/>
                <w:lang w:val="en-US" w:eastAsia="zh-CN"/>
              </w:rPr>
              <w:t>32727t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，本项目投产后，产生</w:t>
            </w:r>
            <w:r>
              <w:rPr>
                <w:rFonts w:hint="eastAsia" w:ascii="Times New Roman" w:hAnsi="Times New Roman"/>
                <w:color w:val="auto"/>
                <w:spacing w:val="-11"/>
                <w:sz w:val="20"/>
                <w:szCs w:val="15"/>
                <w:vertAlign w:val="baseline"/>
                <w:lang w:val="en-US" w:eastAsia="zh-CN"/>
              </w:rPr>
              <w:t>36</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6</w:t>
            </w:r>
            <w:r>
              <w:rPr>
                <w:rFonts w:hint="eastAsia"/>
                <w:color w:val="auto"/>
                <w:spacing w:val="-11"/>
                <w:sz w:val="20"/>
                <w:szCs w:val="15"/>
                <w:vertAlign w:val="baseline"/>
                <w:lang w:val="en-US" w:eastAsia="zh-CN"/>
              </w:rPr>
              <w:t>%的硫酸铵溶液</w:t>
            </w:r>
            <w:r>
              <w:rPr>
                <w:rFonts w:hint="eastAsia" w:ascii="Times New Roman" w:hAnsi="Times New Roman"/>
                <w:color w:val="auto"/>
                <w:spacing w:val="-11"/>
                <w:sz w:val="20"/>
                <w:szCs w:val="15"/>
                <w:vertAlign w:val="baseline"/>
                <w:lang w:val="en-US" w:eastAsia="zh-CN"/>
              </w:rPr>
              <w:t>2552</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2t</w:t>
            </w:r>
            <w:r>
              <w:rPr>
                <w:rFonts w:hint="eastAsia"/>
                <w:color w:val="auto"/>
                <w:spacing w:val="-11"/>
                <w:sz w:val="20"/>
                <w:szCs w:val="15"/>
                <w:vertAlign w:val="baseline"/>
                <w:lang w:val="en-US" w:eastAsia="zh-CN"/>
              </w:rPr>
              <w:t>/</w:t>
            </w:r>
            <w:r>
              <w:rPr>
                <w:rFonts w:hint="eastAsia" w:ascii="Times New Roman" w:hAnsi="Times New Roman"/>
                <w:color w:val="auto"/>
                <w:spacing w:val="-11"/>
                <w:sz w:val="20"/>
                <w:szCs w:val="15"/>
                <w:vertAlign w:val="baseline"/>
                <w:lang w:val="en-US" w:eastAsia="zh-CN"/>
              </w:rPr>
              <w:t>a</w:t>
            </w:r>
            <w:r>
              <w:rPr>
                <w:rFonts w:hint="eastAsia"/>
                <w:color w:val="auto"/>
                <w:spacing w:val="-11"/>
                <w:sz w:val="20"/>
                <w:szCs w:val="15"/>
                <w:vertAlign w:val="baseline"/>
                <w:lang w:val="en-US" w:eastAsia="zh-CN"/>
              </w:rPr>
              <w:t>，因此本项目实施后，不会产生多余硫酸铵，能满足回用的要求</w:t>
            </w:r>
          </w:p>
        </w:tc>
      </w:tr>
    </w:tbl>
    <w:p>
      <w:pPr>
        <w:bidi w:val="0"/>
        <w:rPr>
          <w:rFonts w:hint="default" w:eastAsia="宋体"/>
          <w:lang w:val="en-US" w:eastAsia="zh-CN"/>
        </w:rPr>
      </w:pPr>
      <w:r>
        <w:rPr>
          <w:rFonts w:hint="eastAsia"/>
          <w:lang w:eastAsia="zh-CN"/>
        </w:rPr>
        <w:t>从表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可见，本项目主要原料、副产品和公用工程依托现有设施均是可行的。</w:t>
      </w:r>
    </w:p>
    <w:p>
      <w:pPr>
        <w:pStyle w:val="5"/>
        <w:bidi w:val="0"/>
        <w:rPr>
          <w:rFonts w:hint="eastAsia" w:eastAsia="华文楷体"/>
          <w:lang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4</w:t>
      </w:r>
      <w:r>
        <w:rPr>
          <w:rFonts w:hint="eastAsia"/>
          <w:lang w:eastAsia="zh-CN"/>
        </w:rPr>
        <w:t>工艺流程及产污环节</w:t>
      </w:r>
    </w:p>
    <w:p>
      <w:pPr>
        <w:bidi w:val="0"/>
        <w:rPr>
          <w:rFonts w:hint="eastAsia"/>
          <w:lang w:val="en-US" w:eastAsia="zh-CN"/>
        </w:rPr>
      </w:pPr>
      <w:r>
        <w:rPr>
          <w:rFonts w:hint="eastAsia"/>
          <w:lang w:val="en-US" w:eastAsia="zh-CN"/>
        </w:rPr>
        <w:t>来自现有工程的</w:t>
      </w:r>
      <w:r>
        <w:rPr>
          <w:rFonts w:hint="eastAsia" w:ascii="Times New Roman" w:hAnsi="Times New Roman"/>
          <w:lang w:val="en-US" w:eastAsia="zh-CN"/>
        </w:rPr>
        <w:t>DN</w:t>
      </w:r>
      <w:r>
        <w:rPr>
          <w:rFonts w:hint="eastAsia"/>
          <w:lang w:val="en-US" w:eastAsia="zh-CN"/>
        </w:rPr>
        <w:t>溶液原料经反应后介质换热及蒸汽间接加热后，进入</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PD</w:t>
      </w:r>
      <w:r>
        <w:rPr>
          <w:rFonts w:hint="eastAsia"/>
          <w:lang w:val="en-US" w:eastAsia="zh-CN"/>
        </w:rPr>
        <w:t>反应器，在一定的温度和压力下</w:t>
      </w:r>
      <w:r>
        <w:rPr>
          <w:rFonts w:hint="eastAsia" w:ascii="Times New Roman" w:hAnsi="Times New Roman"/>
          <w:lang w:val="en-US" w:eastAsia="zh-CN"/>
        </w:rPr>
        <w:t>DN</w:t>
      </w:r>
      <w:r>
        <w:rPr>
          <w:rFonts w:hint="eastAsia"/>
          <w:lang w:val="en-US" w:eastAsia="zh-CN"/>
        </w:rPr>
        <w:t>溶液在催化剂的作用下发生催化环合反应转化为</w:t>
      </w:r>
      <w:r>
        <w:rPr>
          <w:rFonts w:hint="eastAsia" w:ascii="Times New Roman" w:hAnsi="Times New Roman"/>
          <w:lang w:val="en-US" w:eastAsia="zh-CN"/>
        </w:rPr>
        <w:t>PD</w:t>
      </w:r>
      <w:r>
        <w:rPr>
          <w:rFonts w:hint="eastAsia"/>
          <w:lang w:val="en-US" w:eastAsia="zh-CN"/>
        </w:rPr>
        <w:t>；生成的</w:t>
      </w:r>
      <w:r>
        <w:rPr>
          <w:rFonts w:hint="eastAsia" w:ascii="Times New Roman" w:hAnsi="Times New Roman"/>
          <w:lang w:val="en-US" w:eastAsia="zh-CN"/>
        </w:rPr>
        <w:t>PD</w:t>
      </w:r>
      <w:r>
        <w:rPr>
          <w:rFonts w:hint="eastAsia"/>
          <w:lang w:val="en-US" w:eastAsia="zh-CN"/>
        </w:rPr>
        <w:t>溶液与原料换热经出料冷却器降温后，进入闪蒸罐闪蒸脱气，闪蒸脱气后的</w:t>
      </w:r>
      <w:r>
        <w:rPr>
          <w:rFonts w:hint="eastAsia" w:ascii="Times New Roman" w:hAnsi="Times New Roman"/>
          <w:lang w:val="en-US" w:eastAsia="zh-CN"/>
        </w:rPr>
        <w:t>PD</w:t>
      </w:r>
      <w:r>
        <w:rPr>
          <w:rFonts w:hint="eastAsia"/>
          <w:lang w:val="en-US" w:eastAsia="zh-CN"/>
        </w:rPr>
        <w:t>溶液收集至产品中间罐，根据</w:t>
      </w:r>
      <w:bookmarkStart w:id="130" w:name="OLE_LINK2"/>
      <w:r>
        <w:rPr>
          <w:rFonts w:hint="eastAsia" w:ascii="Times New Roman" w:hAnsi="Times New Roman"/>
          <w:lang w:val="en-US" w:eastAsia="zh-CN"/>
        </w:rPr>
        <w:t>1</w:t>
      </w:r>
      <w:r>
        <w:rPr>
          <w:rFonts w:hint="eastAsia"/>
          <w:lang w:val="en-US" w:eastAsia="zh-CN"/>
        </w:rPr>
        <w:t>#反应产品质量</w:t>
      </w:r>
      <w:bookmarkEnd w:id="130"/>
      <w:r>
        <w:rPr>
          <w:rFonts w:hint="eastAsia"/>
          <w:lang w:val="en-US" w:eastAsia="zh-CN"/>
        </w:rPr>
        <w:t>结果和组份组成选择进行二级辅助反应或入精馏系统提纯；闪蒸器闪蒸后尾气入尾气处理系统处理。</w:t>
      </w:r>
    </w:p>
    <w:p>
      <w:pPr>
        <w:bidi w:val="0"/>
        <w:rPr>
          <w:rFonts w:hint="eastAsia"/>
          <w:lang w:val="en-US" w:eastAsia="zh-CN"/>
        </w:rPr>
      </w:pPr>
      <w:r>
        <w:rPr>
          <w:rFonts w:hint="eastAsia"/>
          <w:lang w:val="en-US" w:eastAsia="zh-CN"/>
        </w:rPr>
        <w:t>根据检测结果，反应不够完全时，产品中间罐的反应产物进入</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PD</w:t>
      </w:r>
      <w:r>
        <w:rPr>
          <w:rFonts w:hint="eastAsia"/>
          <w:lang w:val="en-US" w:eastAsia="zh-CN"/>
        </w:rPr>
        <w:t>反应器进行辅助反应，</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PD</w:t>
      </w:r>
      <w:r>
        <w:rPr>
          <w:rFonts w:hint="eastAsia"/>
          <w:lang w:val="en-US" w:eastAsia="zh-CN"/>
        </w:rPr>
        <w:t>反应器反应后产生的中间品根据水份含量和产品质量要求分为两路：当含水量较高时进入脱水塔脱水后再进入脱轻塔；当含水量较低时直接进入脱轻塔脱轻，后经成品塔塔顶采出</w:t>
      </w:r>
      <w:r>
        <w:rPr>
          <w:rFonts w:hint="eastAsia" w:ascii="Times New Roman" w:hAnsi="Times New Roman"/>
          <w:lang w:val="en-US" w:eastAsia="zh-CN"/>
        </w:rPr>
        <w:t>PD</w:t>
      </w:r>
      <w:r>
        <w:rPr>
          <w:rFonts w:hint="eastAsia"/>
          <w:lang w:val="en-US" w:eastAsia="zh-CN"/>
        </w:rPr>
        <w:t>产品入产品中间罐，产品中间罐产品根据其产品质量，符合高纯度产品质量标准入</w:t>
      </w:r>
      <w:r>
        <w:rPr>
          <w:rFonts w:hint="eastAsia" w:ascii="Times New Roman" w:hAnsi="Times New Roman"/>
          <w:lang w:val="en-US" w:eastAsia="zh-CN"/>
        </w:rPr>
        <w:t>1</w:t>
      </w:r>
      <w:r>
        <w:rPr>
          <w:rFonts w:hint="eastAsia"/>
          <w:lang w:val="en-US" w:eastAsia="zh-CN"/>
        </w:rPr>
        <w:t>#成品罐，符合一般产品质量标准入</w:t>
      </w:r>
      <w:r>
        <w:rPr>
          <w:rFonts w:hint="eastAsia" w:ascii="Times New Roman" w:hAnsi="Times New Roman"/>
          <w:lang w:val="en-US" w:eastAsia="zh-CN"/>
        </w:rPr>
        <w:t>2</w:t>
      </w:r>
      <w:r>
        <w:rPr>
          <w:rFonts w:hint="eastAsia"/>
          <w:lang w:val="en-US" w:eastAsia="zh-CN"/>
        </w:rPr>
        <w:t>#成品罐储存。</w:t>
      </w:r>
    </w:p>
    <w:p>
      <w:pPr>
        <w:bidi w:val="0"/>
        <w:rPr>
          <w:rFonts w:hint="eastAsia"/>
          <w:lang w:val="en-US" w:eastAsia="zh-CN"/>
        </w:rPr>
      </w:pPr>
      <w:r>
        <w:rPr>
          <w:rFonts w:hint="eastAsia" w:ascii="Times New Roman" w:hAnsi="Times New Roman"/>
          <w:lang w:val="en-US" w:eastAsia="zh-CN"/>
        </w:rPr>
        <w:t>1</w:t>
      </w:r>
      <w:r>
        <w:rPr>
          <w:rFonts w:hint="eastAsia"/>
          <w:lang w:val="en-US" w:eastAsia="zh-CN"/>
        </w:rPr>
        <w:t>#反应器后中间产品根据其水份含量的多少，入脱水塔精馏分为两种方式进行控制；一种方式为，如</w:t>
      </w:r>
      <w:r>
        <w:rPr>
          <w:rFonts w:hint="eastAsia" w:ascii="Times New Roman" w:hAnsi="Times New Roman"/>
          <w:lang w:val="en-US" w:eastAsia="zh-CN"/>
        </w:rPr>
        <w:t>1</w:t>
      </w:r>
      <w:r>
        <w:rPr>
          <w:rFonts w:hint="eastAsia"/>
          <w:lang w:val="en-US" w:eastAsia="zh-CN"/>
        </w:rPr>
        <w:t>#反应中间产品水份含量低符合要求，自脱水塔塔顶直接采出</w:t>
      </w:r>
      <w:r>
        <w:rPr>
          <w:rFonts w:hint="eastAsia" w:ascii="Times New Roman" w:hAnsi="Times New Roman"/>
          <w:lang w:val="en-US" w:eastAsia="zh-CN"/>
        </w:rPr>
        <w:t>PD</w:t>
      </w:r>
      <w:r>
        <w:rPr>
          <w:rFonts w:hint="eastAsia"/>
          <w:lang w:val="en-US" w:eastAsia="zh-CN"/>
        </w:rPr>
        <w:t xml:space="preserve">产品；另一种方式为，如 </w:t>
      </w:r>
      <w:r>
        <w:rPr>
          <w:rFonts w:hint="eastAsia" w:ascii="Times New Roman" w:hAnsi="Times New Roman"/>
          <w:lang w:val="en-US" w:eastAsia="zh-CN"/>
        </w:rPr>
        <w:t>1</w:t>
      </w:r>
      <w:r>
        <w:rPr>
          <w:rFonts w:hint="eastAsia"/>
          <w:lang w:val="en-US" w:eastAsia="zh-CN"/>
        </w:rPr>
        <w:t>#反应中间产品水份含量高，自脱水塔塔顶脱水，脱水后塔底物料入脱轻/成品塔后自成品塔塔顶采出得</w:t>
      </w:r>
      <w:r>
        <w:rPr>
          <w:rFonts w:hint="eastAsia" w:ascii="Times New Roman" w:hAnsi="Times New Roman"/>
          <w:lang w:val="en-US" w:eastAsia="zh-CN"/>
        </w:rPr>
        <w:t>PD</w:t>
      </w:r>
      <w:r>
        <w:rPr>
          <w:rFonts w:hint="eastAsia"/>
          <w:lang w:val="en-US" w:eastAsia="zh-CN"/>
        </w:rPr>
        <w:t>产品，根据其产品质量，符合高纯度产品质量标准入</w:t>
      </w:r>
      <w:r>
        <w:rPr>
          <w:rFonts w:hint="eastAsia" w:ascii="Times New Roman" w:hAnsi="Times New Roman"/>
          <w:lang w:val="en-US" w:eastAsia="zh-CN"/>
        </w:rPr>
        <w:t>1</w:t>
      </w:r>
      <w:r>
        <w:rPr>
          <w:rFonts w:hint="eastAsia"/>
          <w:lang w:val="en-US" w:eastAsia="zh-CN"/>
        </w:rPr>
        <w:t>#成品罐，符合一般产品质量标准入</w:t>
      </w:r>
      <w:r>
        <w:rPr>
          <w:rFonts w:hint="eastAsia" w:ascii="Times New Roman" w:hAnsi="Times New Roman"/>
          <w:lang w:val="en-US" w:eastAsia="zh-CN"/>
        </w:rPr>
        <w:t>2</w:t>
      </w:r>
      <w:r>
        <w:rPr>
          <w:rFonts w:hint="eastAsia"/>
          <w:lang w:val="en-US" w:eastAsia="zh-CN"/>
        </w:rPr>
        <w:t>#成品罐储存。精馏后塔釜重组分回反应器回制。</w:t>
      </w:r>
    </w:p>
    <w:p>
      <w:pPr>
        <w:bidi w:val="0"/>
        <w:rPr>
          <w:rFonts w:hint="eastAsia"/>
          <w:lang w:val="en-US" w:eastAsia="zh-CN"/>
        </w:rPr>
      </w:pPr>
      <w:r>
        <w:rPr>
          <w:rFonts w:hint="eastAsia"/>
          <w:lang w:val="en-US" w:eastAsia="zh-CN"/>
        </w:rPr>
        <w:t>系统中所有排气集中收集后进入尾气处理系统进行处理，处理后的尾气吸收液主要包括氨水和硫酸铵两部分，分别进入现有工程脱硫系统和</w:t>
      </w:r>
      <w:r>
        <w:rPr>
          <w:rFonts w:hint="eastAsia" w:ascii="Times New Roman" w:hAnsi="Times New Roman"/>
          <w:lang w:val="en-US" w:eastAsia="zh-CN"/>
        </w:rPr>
        <w:t>DN</w:t>
      </w:r>
      <w:r>
        <w:rPr>
          <w:rFonts w:hint="eastAsia"/>
          <w:lang w:val="en-US" w:eastAsia="zh-CN"/>
        </w:rPr>
        <w:t>溶液发酵工艺利用。</w:t>
      </w:r>
    </w:p>
    <w:p>
      <w:pPr>
        <w:bidi w:val="0"/>
        <w:rPr>
          <w:rFonts w:hint="default" w:eastAsia="宋体"/>
          <w:lang w:val="en-US" w:eastAsia="zh-CN"/>
        </w:rPr>
      </w:pPr>
      <w:r>
        <w:rPr>
          <w:rFonts w:hint="eastAsia" w:ascii="Times New Roman" w:hAnsi="Times New Roman"/>
          <w:lang w:val="en-US" w:eastAsia="zh-CN"/>
        </w:rPr>
        <w:t>PD</w:t>
      </w:r>
      <w:r>
        <w:rPr>
          <w:rFonts w:hint="eastAsia"/>
          <w:lang w:eastAsia="zh-CN"/>
        </w:rPr>
        <w:t>制备工艺废气、废水和固废产生情况及治理措施见表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p>
    <w:p>
      <w:pPr>
        <w:pStyle w:val="20"/>
        <w:spacing w:before="156"/>
        <w:rPr>
          <w:rFonts w:hint="eastAsia"/>
        </w:rPr>
      </w:pPr>
      <w:r>
        <w:rPr>
          <w:rFonts w:hint="eastAsia"/>
        </w:rPr>
        <w:t>表</w:t>
      </w:r>
      <w:r>
        <w:rPr>
          <w:rFonts w:hint="eastAsia" w:ascii="Times New Roman" w:hAnsi="Times New Roman"/>
          <w:lang w:val="en-US" w:eastAsia="zh-CN"/>
        </w:rPr>
        <w:t>4</w:t>
      </w:r>
      <w:r>
        <w:rPr>
          <w:rFonts w:hint="eastAsia" w:ascii="Times New Roman" w:hAnsi="Times New Roman"/>
        </w:rPr>
        <w:t>.</w:t>
      </w: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 xml:space="preserve"> </w:t>
      </w:r>
      <w:r>
        <w:rPr>
          <w:rFonts w:hint="eastAsia" w:ascii="Times New Roman" w:hAnsi="Times New Roman"/>
          <w:lang w:val="en-US" w:eastAsia="zh-CN"/>
        </w:rPr>
        <w:t>PD</w:t>
      </w:r>
      <w:r>
        <w:rPr>
          <w:rFonts w:hint="eastAsia"/>
          <w:lang w:eastAsia="zh-CN"/>
        </w:rPr>
        <w:t>制备</w:t>
      </w:r>
      <w:r>
        <w:rPr>
          <w:rFonts w:hint="eastAsia"/>
        </w:rPr>
        <w:t>工艺污染物产生情况一览表</w:t>
      </w:r>
    </w:p>
    <w:tbl>
      <w:tblPr>
        <w:tblStyle w:val="8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849"/>
        <w:gridCol w:w="2062"/>
        <w:gridCol w:w="2166"/>
        <w:gridCol w:w="2390"/>
        <w:gridCol w:w="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926" w:type="pct"/>
            <w:gridSpan w:val="2"/>
            <w:noWrap w:val="0"/>
            <w:vAlign w:val="center"/>
          </w:tcPr>
          <w:p>
            <w:pPr>
              <w:spacing w:line="240" w:lineRule="auto"/>
              <w:ind w:firstLine="0"/>
              <w:jc w:val="center"/>
              <w:rPr>
                <w:rFonts w:hint="eastAsia" w:hAnsi="宋体" w:cs="宋体"/>
                <w:spacing w:val="0"/>
                <w:sz w:val="21"/>
                <w:szCs w:val="21"/>
              </w:rPr>
            </w:pPr>
            <w:r>
              <w:rPr>
                <w:rFonts w:hint="eastAsia" w:hAnsi="宋体" w:cs="宋体"/>
                <w:spacing w:val="0"/>
                <w:sz w:val="21"/>
                <w:szCs w:val="21"/>
              </w:rPr>
              <w:t>编号</w:t>
            </w:r>
          </w:p>
        </w:tc>
        <w:tc>
          <w:tcPr>
            <w:tcW w:w="1124" w:type="pct"/>
            <w:noWrap w:val="0"/>
            <w:vAlign w:val="center"/>
          </w:tcPr>
          <w:p>
            <w:pPr>
              <w:spacing w:line="240" w:lineRule="auto"/>
              <w:ind w:firstLine="0"/>
              <w:jc w:val="center"/>
              <w:rPr>
                <w:rFonts w:hint="eastAsia" w:hAnsi="宋体" w:cs="宋体"/>
                <w:spacing w:val="0"/>
                <w:sz w:val="21"/>
                <w:szCs w:val="21"/>
              </w:rPr>
            </w:pPr>
            <w:r>
              <w:rPr>
                <w:rFonts w:hint="eastAsia" w:hAnsi="宋体" w:cs="宋体"/>
                <w:spacing w:val="0"/>
                <w:sz w:val="21"/>
                <w:szCs w:val="21"/>
              </w:rPr>
              <w:t>名称</w:t>
            </w:r>
          </w:p>
        </w:tc>
        <w:tc>
          <w:tcPr>
            <w:tcW w:w="1181" w:type="pct"/>
            <w:noWrap w:val="0"/>
            <w:vAlign w:val="center"/>
          </w:tcPr>
          <w:p>
            <w:pPr>
              <w:spacing w:line="240" w:lineRule="auto"/>
              <w:ind w:firstLine="0"/>
              <w:jc w:val="center"/>
              <w:rPr>
                <w:rFonts w:hint="eastAsia" w:hAnsi="宋体" w:cs="宋体"/>
                <w:spacing w:val="0"/>
                <w:sz w:val="21"/>
                <w:szCs w:val="21"/>
              </w:rPr>
            </w:pPr>
            <w:r>
              <w:rPr>
                <w:rFonts w:hint="eastAsia" w:hAnsi="宋体" w:cs="宋体"/>
                <w:spacing w:val="0"/>
                <w:sz w:val="21"/>
                <w:szCs w:val="21"/>
              </w:rPr>
              <w:t>处理方式</w:t>
            </w:r>
          </w:p>
        </w:tc>
        <w:tc>
          <w:tcPr>
            <w:tcW w:w="1303" w:type="pct"/>
            <w:noWrap w:val="0"/>
            <w:vAlign w:val="center"/>
          </w:tcPr>
          <w:p>
            <w:pPr>
              <w:spacing w:line="240" w:lineRule="auto"/>
              <w:ind w:firstLine="0"/>
              <w:jc w:val="center"/>
              <w:rPr>
                <w:rFonts w:hint="eastAsia" w:hAnsi="宋体" w:eastAsia="宋体" w:cs="宋体"/>
                <w:spacing w:val="0"/>
                <w:sz w:val="21"/>
                <w:szCs w:val="21"/>
                <w:lang w:eastAsia="zh-CN"/>
              </w:rPr>
            </w:pPr>
            <w:r>
              <w:rPr>
                <w:rFonts w:hint="eastAsia" w:cs="宋体"/>
                <w:spacing w:val="0"/>
                <w:sz w:val="21"/>
                <w:szCs w:val="21"/>
                <w:lang w:eastAsia="zh-CN"/>
              </w:rPr>
              <w:t>主要污染物</w:t>
            </w:r>
          </w:p>
        </w:tc>
        <w:tc>
          <w:tcPr>
            <w:tcW w:w="464" w:type="pct"/>
            <w:noWrap w:val="0"/>
            <w:vAlign w:val="center"/>
          </w:tcPr>
          <w:p>
            <w:pPr>
              <w:spacing w:line="240" w:lineRule="auto"/>
              <w:ind w:firstLine="0"/>
              <w:jc w:val="center"/>
              <w:rPr>
                <w:rFonts w:hint="eastAsia" w:hAnsi="宋体" w:cs="宋体"/>
                <w:spacing w:val="0"/>
                <w:sz w:val="21"/>
                <w:szCs w:val="21"/>
              </w:rPr>
            </w:pPr>
            <w:r>
              <w:rPr>
                <w:rFonts w:hint="eastAsia" w:hAnsi="宋体" w:cs="宋体"/>
                <w:spacing w:val="0"/>
                <w:sz w:val="21"/>
                <w:szCs w:val="21"/>
              </w:rPr>
              <w:t>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63" w:type="pct"/>
            <w:vMerge w:val="restart"/>
            <w:noWrap w:val="0"/>
            <w:vAlign w:val="center"/>
          </w:tcPr>
          <w:p>
            <w:pPr>
              <w:spacing w:line="240" w:lineRule="auto"/>
              <w:ind w:firstLine="0"/>
              <w:jc w:val="center"/>
              <w:rPr>
                <w:rFonts w:hint="eastAsia" w:hAnsi="宋体" w:cs="宋体"/>
                <w:spacing w:val="0"/>
                <w:sz w:val="21"/>
                <w:szCs w:val="21"/>
              </w:rPr>
            </w:pPr>
            <w:r>
              <w:rPr>
                <w:rFonts w:hint="eastAsia" w:hAnsi="宋体" w:cs="宋体"/>
                <w:spacing w:val="0"/>
                <w:sz w:val="21"/>
                <w:szCs w:val="21"/>
              </w:rPr>
              <w:t>废气</w:t>
            </w:r>
          </w:p>
        </w:tc>
        <w:tc>
          <w:tcPr>
            <w:tcW w:w="463" w:type="pct"/>
            <w:noWrap w:val="0"/>
            <w:vAlign w:val="center"/>
          </w:tcPr>
          <w:p>
            <w:pPr>
              <w:spacing w:line="240" w:lineRule="auto"/>
              <w:ind w:firstLine="0"/>
              <w:jc w:val="center"/>
              <w:rPr>
                <w:rFonts w:hint="default" w:hAnsi="宋体" w:eastAsia="宋体" w:cs="宋体"/>
                <w:spacing w:val="0"/>
                <w:sz w:val="21"/>
                <w:szCs w:val="21"/>
                <w:lang w:val="en-US" w:eastAsia="zh-CN"/>
              </w:rPr>
            </w:pPr>
            <w:r>
              <w:rPr>
                <w:rFonts w:hint="eastAsia" w:ascii="Times New Roman" w:hAnsi="Times New Roman"/>
                <w:spacing w:val="0"/>
                <w:sz w:val="21"/>
                <w:szCs w:val="21"/>
              </w:rPr>
              <w:t>G</w:t>
            </w:r>
            <w:r>
              <w:rPr>
                <w:rFonts w:hint="eastAsia" w:ascii="Times New Roman" w:hAnsi="Times New Roman"/>
                <w:spacing w:val="0"/>
                <w:sz w:val="21"/>
                <w:szCs w:val="21"/>
                <w:vertAlign w:val="subscript"/>
              </w:rPr>
              <w:t>1</w:t>
            </w:r>
            <w:r>
              <w:rPr>
                <w:rFonts w:hint="eastAsia" w:ascii="Times New Roman" w:hAnsi="Times New Roman"/>
                <w:spacing w:val="0"/>
                <w:sz w:val="21"/>
                <w:szCs w:val="21"/>
                <w:vertAlign w:val="baseline"/>
                <w:lang w:val="en-US" w:eastAsia="zh-CN"/>
              </w:rPr>
              <w:t>+</w:t>
            </w:r>
            <w:r>
              <w:rPr>
                <w:rFonts w:hint="eastAsia" w:ascii="Times New Roman" w:hAnsi="Times New Roman"/>
                <w:spacing w:val="0"/>
                <w:sz w:val="21"/>
                <w:szCs w:val="21"/>
                <w:vertAlign w:val="baseline"/>
                <w:lang w:val="en-US" w:eastAsia="zh-CN"/>
              </w:rPr>
              <w:t>G</w:t>
            </w:r>
            <w:r>
              <w:rPr>
                <w:rFonts w:hint="eastAsia" w:ascii="Times New Roman" w:hAnsi="Times New Roman"/>
                <w:spacing w:val="0"/>
                <w:sz w:val="21"/>
                <w:szCs w:val="21"/>
                <w:vertAlign w:val="subscript"/>
                <w:lang w:val="en-US" w:eastAsia="zh-CN"/>
              </w:rPr>
              <w:t>3</w:t>
            </w:r>
          </w:p>
        </w:tc>
        <w:tc>
          <w:tcPr>
            <w:tcW w:w="1124" w:type="pct"/>
            <w:noWrap w:val="0"/>
            <w:vAlign w:val="center"/>
          </w:tcPr>
          <w:p>
            <w:pPr>
              <w:spacing w:line="240" w:lineRule="auto"/>
              <w:ind w:firstLine="0"/>
              <w:jc w:val="center"/>
              <w:rPr>
                <w:rFonts w:hint="default" w:hAnsi="宋体" w:eastAsia="宋体" w:cs="宋体"/>
                <w:spacing w:val="0"/>
                <w:sz w:val="21"/>
                <w:szCs w:val="21"/>
                <w:lang w:val="en-US" w:eastAsia="zh-CN"/>
              </w:rPr>
            </w:pPr>
            <w:r>
              <w:rPr>
                <w:rFonts w:hint="eastAsia" w:ascii="Times New Roman" w:hAnsi="Times New Roman" w:cs="宋体"/>
                <w:spacing w:val="0"/>
                <w:sz w:val="21"/>
                <w:szCs w:val="21"/>
                <w:lang w:val="en-US" w:eastAsia="zh-CN"/>
              </w:rPr>
              <w:t>PD</w:t>
            </w:r>
            <w:r>
              <w:rPr>
                <w:rFonts w:hint="eastAsia" w:cs="宋体"/>
                <w:spacing w:val="0"/>
                <w:sz w:val="21"/>
                <w:szCs w:val="21"/>
                <w:lang w:val="en-US" w:eastAsia="zh-CN"/>
              </w:rPr>
              <w:t>反应器不凝气</w:t>
            </w:r>
          </w:p>
        </w:tc>
        <w:tc>
          <w:tcPr>
            <w:tcW w:w="1181" w:type="pct"/>
            <w:noWrap w:val="0"/>
            <w:vAlign w:val="center"/>
          </w:tcPr>
          <w:p>
            <w:pPr>
              <w:spacing w:line="240" w:lineRule="auto"/>
              <w:ind w:firstLine="0"/>
              <w:jc w:val="center"/>
              <w:rPr>
                <w:rFonts w:hint="eastAsia" w:hAnsi="宋体" w:eastAsia="宋体" w:cs="宋体"/>
                <w:spacing w:val="0"/>
                <w:sz w:val="21"/>
                <w:szCs w:val="21"/>
                <w:lang w:eastAsia="zh-CN"/>
              </w:rPr>
            </w:pPr>
            <w:r>
              <w:rPr>
                <w:rFonts w:hint="eastAsia" w:cs="宋体"/>
                <w:spacing w:val="0"/>
                <w:sz w:val="21"/>
                <w:szCs w:val="21"/>
                <w:lang w:eastAsia="zh-CN"/>
              </w:rPr>
              <w:t>尾气吸收塔</w:t>
            </w:r>
          </w:p>
        </w:tc>
        <w:tc>
          <w:tcPr>
            <w:tcW w:w="1303" w:type="pct"/>
            <w:noWrap w:val="0"/>
            <w:vAlign w:val="center"/>
          </w:tcPr>
          <w:p>
            <w:pPr>
              <w:spacing w:line="240" w:lineRule="auto"/>
              <w:ind w:firstLine="0"/>
              <w:jc w:val="center"/>
              <w:rPr>
                <w:rFonts w:hint="default" w:hAnsi="宋体" w:eastAsia="宋体" w:cs="宋体"/>
                <w:spacing w:val="0"/>
                <w:sz w:val="21"/>
                <w:szCs w:val="21"/>
                <w:lang w:val="en-US" w:eastAsia="zh-CN"/>
              </w:rPr>
            </w:pPr>
            <w:r>
              <w:rPr>
                <w:rFonts w:hint="eastAsia" w:ascii="Times New Roman" w:hAnsi="Times New Roman" w:cs="宋体"/>
                <w:spacing w:val="0"/>
                <w:sz w:val="21"/>
                <w:szCs w:val="21"/>
                <w:lang w:val="en-US" w:eastAsia="zh-CN"/>
              </w:rPr>
              <w:t>NH</w:t>
            </w:r>
            <w:r>
              <w:rPr>
                <w:rFonts w:hint="eastAsia" w:ascii="Times New Roman" w:hAnsi="Times New Roman" w:cs="宋体"/>
                <w:spacing w:val="0"/>
                <w:sz w:val="21"/>
                <w:szCs w:val="21"/>
                <w:vertAlign w:val="subscript"/>
                <w:lang w:val="en-US" w:eastAsia="zh-CN"/>
              </w:rPr>
              <w:t>3</w:t>
            </w:r>
            <w:r>
              <w:rPr>
                <w:rFonts w:hint="eastAsia" w:cs="宋体"/>
                <w:spacing w:val="0"/>
                <w:sz w:val="21"/>
                <w:szCs w:val="21"/>
                <w:vertAlign w:val="baseline"/>
                <w:lang w:val="en-US" w:eastAsia="zh-CN"/>
              </w:rPr>
              <w:t>、</w:t>
            </w:r>
            <w:r>
              <w:rPr>
                <w:rFonts w:hint="eastAsia" w:ascii="Times New Roman" w:hAnsi="Times New Roman" w:cs="宋体"/>
                <w:spacing w:val="0"/>
                <w:sz w:val="21"/>
                <w:szCs w:val="21"/>
                <w:vertAlign w:val="baseline"/>
                <w:lang w:val="en-US" w:eastAsia="zh-CN"/>
              </w:rPr>
              <w:t>NMHC</w:t>
            </w:r>
            <w:r>
              <w:rPr>
                <w:rFonts w:hint="eastAsia" w:cs="宋体"/>
                <w:spacing w:val="0"/>
                <w:sz w:val="21"/>
                <w:szCs w:val="21"/>
                <w:vertAlign w:val="baseline"/>
                <w:lang w:val="en-US" w:eastAsia="zh-CN"/>
              </w:rPr>
              <w:t>（以</w:t>
            </w:r>
            <w:r>
              <w:rPr>
                <w:rFonts w:hint="eastAsia" w:ascii="Times New Roman" w:hAnsi="Times New Roman" w:cs="宋体"/>
                <w:spacing w:val="0"/>
                <w:sz w:val="21"/>
                <w:szCs w:val="21"/>
                <w:vertAlign w:val="baseline"/>
                <w:lang w:val="en-US" w:eastAsia="zh-CN"/>
              </w:rPr>
              <w:t>PD</w:t>
            </w:r>
            <w:r>
              <w:rPr>
                <w:rFonts w:hint="eastAsia" w:cs="宋体"/>
                <w:spacing w:val="0"/>
                <w:sz w:val="21"/>
                <w:szCs w:val="21"/>
                <w:vertAlign w:val="baseline"/>
                <w:lang w:val="en-US" w:eastAsia="zh-CN"/>
              </w:rPr>
              <w:t>计）</w:t>
            </w:r>
          </w:p>
        </w:tc>
        <w:tc>
          <w:tcPr>
            <w:tcW w:w="464" w:type="pct"/>
            <w:noWrap w:val="0"/>
            <w:vAlign w:val="center"/>
          </w:tcPr>
          <w:p>
            <w:pPr>
              <w:spacing w:line="240" w:lineRule="auto"/>
              <w:ind w:firstLine="0"/>
              <w:jc w:val="center"/>
              <w:rPr>
                <w:rFonts w:hint="eastAsia" w:hAnsi="宋体" w:eastAsia="宋体" w:cs="宋体"/>
                <w:spacing w:val="0"/>
                <w:sz w:val="21"/>
                <w:szCs w:val="21"/>
                <w:lang w:eastAsia="zh-CN"/>
              </w:rPr>
            </w:pPr>
            <w:r>
              <w:rPr>
                <w:rFonts w:hint="eastAsia" w:cs="宋体"/>
                <w:spacing w:val="0"/>
                <w:sz w:val="21"/>
                <w:szCs w:val="21"/>
                <w:lang w:eastAsia="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63" w:type="pct"/>
            <w:vMerge w:val="continue"/>
            <w:noWrap w:val="0"/>
            <w:vAlign w:val="center"/>
          </w:tcPr>
          <w:p>
            <w:pPr>
              <w:spacing w:line="240" w:lineRule="auto"/>
              <w:ind w:firstLine="0"/>
              <w:jc w:val="center"/>
              <w:rPr>
                <w:rFonts w:hint="eastAsia" w:hAnsi="宋体" w:cs="宋体"/>
                <w:spacing w:val="0"/>
                <w:sz w:val="21"/>
                <w:szCs w:val="21"/>
              </w:rPr>
            </w:pPr>
          </w:p>
        </w:tc>
        <w:tc>
          <w:tcPr>
            <w:tcW w:w="463" w:type="pct"/>
            <w:noWrap w:val="0"/>
            <w:vAlign w:val="center"/>
          </w:tcPr>
          <w:p>
            <w:pPr>
              <w:spacing w:line="240" w:lineRule="auto"/>
              <w:ind w:firstLine="0"/>
              <w:jc w:val="center"/>
              <w:rPr>
                <w:rFonts w:hint="default" w:ascii="Times New Roman" w:eastAsia="宋体"/>
                <w:spacing w:val="0"/>
                <w:sz w:val="21"/>
                <w:szCs w:val="21"/>
                <w:lang w:val="en-US" w:eastAsia="zh-CN"/>
              </w:rPr>
            </w:pPr>
            <w:r>
              <w:rPr>
                <w:rFonts w:hint="eastAsia" w:ascii="Times New Roman" w:hAnsi="Times New Roman"/>
                <w:spacing w:val="0"/>
                <w:sz w:val="21"/>
                <w:szCs w:val="21"/>
                <w:lang w:val="en-US" w:eastAsia="zh-CN"/>
              </w:rPr>
              <w:t>G</w:t>
            </w:r>
            <w:r>
              <w:rPr>
                <w:rFonts w:hint="eastAsia" w:ascii="Times New Roman" w:hAnsi="Times New Roman"/>
                <w:spacing w:val="0"/>
                <w:sz w:val="21"/>
                <w:szCs w:val="21"/>
                <w:vertAlign w:val="subscript"/>
                <w:lang w:val="en-US" w:eastAsia="zh-CN"/>
              </w:rPr>
              <w:t>2</w:t>
            </w:r>
            <w:r>
              <w:rPr>
                <w:rFonts w:hint="eastAsia" w:ascii="Times New Roman" w:hAnsi="Times New Roman"/>
                <w:spacing w:val="0"/>
                <w:sz w:val="21"/>
                <w:szCs w:val="21"/>
                <w:vertAlign w:val="baseline"/>
                <w:lang w:val="en-US" w:eastAsia="zh-CN"/>
              </w:rPr>
              <w:t>+</w:t>
            </w:r>
            <w:r>
              <w:rPr>
                <w:rFonts w:hint="eastAsia" w:ascii="Times New Roman" w:hAnsi="Times New Roman"/>
                <w:spacing w:val="0"/>
                <w:sz w:val="21"/>
                <w:szCs w:val="21"/>
                <w:vertAlign w:val="baseline"/>
                <w:lang w:val="en-US" w:eastAsia="zh-CN"/>
              </w:rPr>
              <w:t>G</w:t>
            </w:r>
            <w:r>
              <w:rPr>
                <w:rFonts w:hint="eastAsia" w:ascii="Times New Roman" w:hAnsi="Times New Roman"/>
                <w:spacing w:val="0"/>
                <w:sz w:val="21"/>
                <w:szCs w:val="21"/>
                <w:vertAlign w:val="subscript"/>
                <w:lang w:val="en-US" w:eastAsia="zh-CN"/>
              </w:rPr>
              <w:t>6</w:t>
            </w:r>
          </w:p>
        </w:tc>
        <w:tc>
          <w:tcPr>
            <w:tcW w:w="1124" w:type="pct"/>
            <w:noWrap w:val="0"/>
            <w:vAlign w:val="center"/>
          </w:tcPr>
          <w:p>
            <w:pPr>
              <w:spacing w:line="240" w:lineRule="auto"/>
              <w:ind w:firstLine="0"/>
              <w:jc w:val="center"/>
              <w:rPr>
                <w:rFonts w:hint="default" w:cs="宋体"/>
                <w:spacing w:val="0"/>
                <w:sz w:val="21"/>
                <w:szCs w:val="21"/>
                <w:lang w:val="en-US" w:eastAsia="zh-CN"/>
              </w:rPr>
            </w:pPr>
            <w:r>
              <w:rPr>
                <w:rFonts w:hint="eastAsia" w:cs="宋体"/>
                <w:spacing w:val="0"/>
                <w:sz w:val="21"/>
                <w:szCs w:val="21"/>
                <w:lang w:val="en-US" w:eastAsia="zh-CN"/>
              </w:rPr>
              <w:t>闪蒸废气、</w:t>
            </w:r>
            <w:r>
              <w:rPr>
                <w:rFonts w:hint="eastAsia" w:ascii="Times New Roman" w:hAnsi="Times New Roman" w:cs="宋体"/>
                <w:spacing w:val="0"/>
                <w:sz w:val="21"/>
                <w:szCs w:val="21"/>
                <w:lang w:val="en-US" w:eastAsia="zh-CN"/>
              </w:rPr>
              <w:t>PD</w:t>
            </w:r>
            <w:r>
              <w:rPr>
                <w:rFonts w:hint="eastAsia" w:cs="宋体"/>
                <w:spacing w:val="0"/>
                <w:sz w:val="21"/>
                <w:szCs w:val="21"/>
                <w:lang w:val="en-US" w:eastAsia="zh-CN"/>
              </w:rPr>
              <w:t>成品塔不凝气</w:t>
            </w:r>
          </w:p>
        </w:tc>
        <w:tc>
          <w:tcPr>
            <w:tcW w:w="1181" w:type="pct"/>
            <w:noWrap w:val="0"/>
            <w:vAlign w:val="center"/>
          </w:tcPr>
          <w:p>
            <w:pPr>
              <w:spacing w:line="240" w:lineRule="auto"/>
              <w:ind w:firstLine="0"/>
              <w:jc w:val="center"/>
              <w:rPr>
                <w:rFonts w:hint="eastAsia" w:cs="宋体"/>
                <w:spacing w:val="0"/>
                <w:sz w:val="21"/>
                <w:szCs w:val="21"/>
                <w:lang w:eastAsia="zh-CN"/>
              </w:rPr>
            </w:pPr>
            <w:r>
              <w:rPr>
                <w:rFonts w:hint="eastAsia" w:cs="宋体"/>
                <w:spacing w:val="0"/>
                <w:sz w:val="21"/>
                <w:szCs w:val="21"/>
                <w:lang w:eastAsia="zh-CN"/>
              </w:rPr>
              <w:t>尾气吸收塔</w:t>
            </w:r>
          </w:p>
        </w:tc>
        <w:tc>
          <w:tcPr>
            <w:tcW w:w="1303" w:type="pct"/>
            <w:noWrap w:val="0"/>
            <w:vAlign w:val="center"/>
          </w:tcPr>
          <w:p>
            <w:pPr>
              <w:spacing w:line="240" w:lineRule="auto"/>
              <w:ind w:firstLine="0" w:firstLineChars="0"/>
              <w:jc w:val="center"/>
              <w:rPr>
                <w:rFonts w:hint="default" w:ascii="宋体" w:hAnsi="宋体" w:eastAsia="宋体" w:cs="宋体"/>
                <w:spacing w:val="0"/>
                <w:sz w:val="21"/>
                <w:szCs w:val="21"/>
                <w:lang w:val="en-US" w:eastAsia="zh-CN" w:bidi="ar-SA"/>
              </w:rPr>
            </w:pPr>
            <w:r>
              <w:rPr>
                <w:rFonts w:hint="eastAsia" w:ascii="Times New Roman" w:hAnsi="Times New Roman" w:cs="宋体"/>
                <w:spacing w:val="0"/>
                <w:sz w:val="21"/>
                <w:szCs w:val="21"/>
                <w:lang w:val="en-US" w:eastAsia="zh-CN"/>
              </w:rPr>
              <w:t>NH</w:t>
            </w:r>
            <w:r>
              <w:rPr>
                <w:rFonts w:hint="eastAsia" w:ascii="Times New Roman" w:hAnsi="Times New Roman" w:cs="宋体"/>
                <w:spacing w:val="0"/>
                <w:sz w:val="21"/>
                <w:szCs w:val="21"/>
                <w:vertAlign w:val="subscript"/>
                <w:lang w:val="en-US" w:eastAsia="zh-CN"/>
              </w:rPr>
              <w:t>3</w:t>
            </w:r>
            <w:r>
              <w:rPr>
                <w:rFonts w:hint="eastAsia" w:cs="宋体"/>
                <w:spacing w:val="0"/>
                <w:sz w:val="21"/>
                <w:szCs w:val="21"/>
                <w:vertAlign w:val="baseline"/>
                <w:lang w:val="en-US" w:eastAsia="zh-CN"/>
              </w:rPr>
              <w:t>、</w:t>
            </w:r>
            <w:r>
              <w:rPr>
                <w:rFonts w:hint="eastAsia" w:ascii="Times New Roman" w:hAnsi="Times New Roman" w:cs="宋体"/>
                <w:spacing w:val="0"/>
                <w:sz w:val="21"/>
                <w:szCs w:val="21"/>
                <w:vertAlign w:val="baseline"/>
                <w:lang w:val="en-US" w:eastAsia="zh-CN"/>
              </w:rPr>
              <w:t>NMHC</w:t>
            </w:r>
            <w:r>
              <w:rPr>
                <w:rFonts w:hint="eastAsia" w:cs="宋体"/>
                <w:spacing w:val="0"/>
                <w:sz w:val="21"/>
                <w:szCs w:val="21"/>
                <w:vertAlign w:val="baseline"/>
                <w:lang w:val="en-US" w:eastAsia="zh-CN"/>
              </w:rPr>
              <w:t>（以</w:t>
            </w:r>
            <w:r>
              <w:rPr>
                <w:rFonts w:hint="eastAsia" w:ascii="Times New Roman" w:hAnsi="Times New Roman" w:cs="宋体"/>
                <w:spacing w:val="0"/>
                <w:sz w:val="21"/>
                <w:szCs w:val="21"/>
                <w:vertAlign w:val="baseline"/>
                <w:lang w:val="en-US" w:eastAsia="zh-CN"/>
              </w:rPr>
              <w:t>PD</w:t>
            </w:r>
            <w:r>
              <w:rPr>
                <w:rFonts w:hint="eastAsia" w:cs="宋体"/>
                <w:spacing w:val="0"/>
                <w:sz w:val="21"/>
                <w:szCs w:val="21"/>
                <w:vertAlign w:val="baseline"/>
                <w:lang w:val="en-US" w:eastAsia="zh-CN"/>
              </w:rPr>
              <w:t>计）</w:t>
            </w:r>
          </w:p>
        </w:tc>
        <w:tc>
          <w:tcPr>
            <w:tcW w:w="464" w:type="pct"/>
            <w:noWrap w:val="0"/>
            <w:vAlign w:val="center"/>
          </w:tcPr>
          <w:p>
            <w:pPr>
              <w:spacing w:line="240" w:lineRule="auto"/>
              <w:ind w:firstLine="0" w:firstLineChars="0"/>
              <w:jc w:val="center"/>
              <w:rPr>
                <w:rFonts w:hint="eastAsia" w:ascii="宋体" w:hAnsi="宋体" w:eastAsia="宋体" w:cs="宋体"/>
                <w:spacing w:val="0"/>
                <w:sz w:val="21"/>
                <w:szCs w:val="21"/>
                <w:lang w:val="en-US" w:eastAsia="zh-CN" w:bidi="ar-SA"/>
              </w:rPr>
            </w:pPr>
            <w:r>
              <w:rPr>
                <w:rFonts w:hint="eastAsia" w:cs="宋体"/>
                <w:spacing w:val="0"/>
                <w:sz w:val="21"/>
                <w:szCs w:val="21"/>
                <w:lang w:eastAsia="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63" w:type="pct"/>
            <w:vMerge w:val="continue"/>
            <w:noWrap w:val="0"/>
            <w:vAlign w:val="center"/>
          </w:tcPr>
          <w:p>
            <w:pPr>
              <w:spacing w:line="240" w:lineRule="auto"/>
              <w:ind w:firstLine="0"/>
              <w:jc w:val="center"/>
              <w:rPr>
                <w:rFonts w:hint="eastAsia" w:hAnsi="宋体" w:cs="宋体"/>
                <w:spacing w:val="0"/>
                <w:sz w:val="21"/>
                <w:szCs w:val="21"/>
              </w:rPr>
            </w:pPr>
          </w:p>
        </w:tc>
        <w:tc>
          <w:tcPr>
            <w:tcW w:w="463" w:type="pct"/>
            <w:noWrap w:val="0"/>
            <w:vAlign w:val="center"/>
          </w:tcPr>
          <w:p>
            <w:pPr>
              <w:spacing w:line="240" w:lineRule="auto"/>
              <w:ind w:firstLine="0"/>
              <w:jc w:val="center"/>
              <w:rPr>
                <w:rFonts w:hint="default" w:ascii="Times New Roman" w:hAnsi="Times New Roman"/>
                <w:spacing w:val="0"/>
                <w:sz w:val="21"/>
                <w:szCs w:val="21"/>
                <w:lang w:val="en-US" w:eastAsia="zh-CN"/>
              </w:rPr>
            </w:pPr>
            <w:r>
              <w:rPr>
                <w:rFonts w:hint="eastAsia" w:ascii="Times New Roman" w:hAnsi="Times New Roman"/>
                <w:spacing w:val="0"/>
                <w:sz w:val="21"/>
                <w:szCs w:val="21"/>
                <w:lang w:val="en-US" w:eastAsia="zh-CN"/>
              </w:rPr>
              <w:t>G</w:t>
            </w:r>
            <w:r>
              <w:rPr>
                <w:rFonts w:hint="eastAsia" w:ascii="Times New Roman" w:hAnsi="Times New Roman"/>
                <w:spacing w:val="0"/>
                <w:sz w:val="21"/>
                <w:szCs w:val="21"/>
                <w:vertAlign w:val="subscript"/>
                <w:lang w:val="en-US" w:eastAsia="zh-CN"/>
              </w:rPr>
              <w:t>4</w:t>
            </w:r>
            <w:r>
              <w:rPr>
                <w:rFonts w:hint="eastAsia" w:ascii="Times New Roman" w:hAnsi="Times New Roman"/>
                <w:spacing w:val="0"/>
                <w:sz w:val="21"/>
                <w:szCs w:val="21"/>
                <w:lang w:val="en-US" w:eastAsia="zh-CN"/>
              </w:rPr>
              <w:t>+</w:t>
            </w:r>
            <w:r>
              <w:rPr>
                <w:rFonts w:hint="eastAsia" w:ascii="Times New Roman" w:hAnsi="Times New Roman"/>
                <w:spacing w:val="0"/>
                <w:sz w:val="21"/>
                <w:szCs w:val="21"/>
                <w:lang w:val="en-US" w:eastAsia="zh-CN"/>
              </w:rPr>
              <w:t>G</w:t>
            </w:r>
            <w:r>
              <w:rPr>
                <w:rFonts w:hint="eastAsia" w:ascii="Times New Roman" w:hAnsi="Times New Roman"/>
                <w:spacing w:val="0"/>
                <w:sz w:val="21"/>
                <w:szCs w:val="21"/>
                <w:vertAlign w:val="subscript"/>
                <w:lang w:val="en-US" w:eastAsia="zh-CN"/>
              </w:rPr>
              <w:t>5</w:t>
            </w:r>
          </w:p>
        </w:tc>
        <w:tc>
          <w:tcPr>
            <w:tcW w:w="1124" w:type="pct"/>
            <w:noWrap w:val="0"/>
            <w:vAlign w:val="center"/>
          </w:tcPr>
          <w:p>
            <w:pPr>
              <w:spacing w:line="240" w:lineRule="auto"/>
              <w:ind w:firstLine="0"/>
              <w:jc w:val="center"/>
              <w:rPr>
                <w:rFonts w:hint="default" w:cs="宋体"/>
                <w:spacing w:val="0"/>
                <w:sz w:val="21"/>
                <w:szCs w:val="21"/>
                <w:lang w:val="en-US" w:eastAsia="zh-CN"/>
              </w:rPr>
            </w:pPr>
            <w:r>
              <w:rPr>
                <w:rFonts w:hint="eastAsia" w:ascii="Times New Roman" w:hAnsi="Times New Roman" w:cs="宋体"/>
                <w:spacing w:val="0"/>
                <w:sz w:val="21"/>
                <w:szCs w:val="21"/>
                <w:lang w:val="en-US" w:eastAsia="zh-CN"/>
              </w:rPr>
              <w:t>2</w:t>
            </w:r>
            <w:r>
              <w:rPr>
                <w:rFonts w:hint="eastAsia" w:cs="宋体"/>
                <w:spacing w:val="0"/>
                <w:sz w:val="21"/>
                <w:szCs w:val="21"/>
                <w:lang w:val="en-US" w:eastAsia="zh-CN"/>
              </w:rPr>
              <w:t>#产品脱水塔、脱轻塔不凝气</w:t>
            </w:r>
          </w:p>
        </w:tc>
        <w:tc>
          <w:tcPr>
            <w:tcW w:w="1181" w:type="pct"/>
            <w:noWrap w:val="0"/>
            <w:vAlign w:val="center"/>
          </w:tcPr>
          <w:p>
            <w:pPr>
              <w:spacing w:line="240" w:lineRule="auto"/>
              <w:ind w:firstLine="0"/>
              <w:jc w:val="center"/>
              <w:rPr>
                <w:rFonts w:hint="eastAsia" w:cs="宋体"/>
                <w:spacing w:val="0"/>
                <w:sz w:val="21"/>
                <w:szCs w:val="21"/>
                <w:lang w:eastAsia="zh-CN"/>
              </w:rPr>
            </w:pPr>
            <w:r>
              <w:rPr>
                <w:rFonts w:hint="eastAsia" w:cs="宋体"/>
                <w:spacing w:val="0"/>
                <w:sz w:val="21"/>
                <w:szCs w:val="21"/>
                <w:lang w:eastAsia="zh-CN"/>
              </w:rPr>
              <w:t>尾气吸收塔</w:t>
            </w:r>
          </w:p>
        </w:tc>
        <w:tc>
          <w:tcPr>
            <w:tcW w:w="1303" w:type="pct"/>
            <w:noWrap w:val="0"/>
            <w:vAlign w:val="center"/>
          </w:tcPr>
          <w:p>
            <w:pPr>
              <w:spacing w:line="240" w:lineRule="auto"/>
              <w:ind w:firstLine="0" w:firstLineChars="0"/>
              <w:jc w:val="center"/>
              <w:rPr>
                <w:rFonts w:hint="eastAsia" w:ascii="宋体" w:hAnsi="宋体" w:eastAsia="宋体" w:cs="宋体"/>
                <w:spacing w:val="0"/>
                <w:sz w:val="21"/>
                <w:szCs w:val="21"/>
                <w:lang w:val="en-US" w:eastAsia="zh-CN" w:bidi="ar-SA"/>
              </w:rPr>
            </w:pPr>
            <w:r>
              <w:rPr>
                <w:rFonts w:hint="eastAsia" w:ascii="Times New Roman" w:hAnsi="Times New Roman" w:cs="宋体"/>
                <w:spacing w:val="0"/>
                <w:sz w:val="21"/>
                <w:szCs w:val="21"/>
                <w:lang w:val="en-US" w:eastAsia="zh-CN"/>
              </w:rPr>
              <w:t>NH</w:t>
            </w:r>
            <w:r>
              <w:rPr>
                <w:rFonts w:hint="eastAsia" w:ascii="Times New Roman" w:hAnsi="Times New Roman" w:cs="宋体"/>
                <w:spacing w:val="0"/>
                <w:sz w:val="21"/>
                <w:szCs w:val="21"/>
                <w:vertAlign w:val="subscript"/>
                <w:lang w:val="en-US" w:eastAsia="zh-CN"/>
              </w:rPr>
              <w:t>3</w:t>
            </w:r>
            <w:r>
              <w:rPr>
                <w:rFonts w:hint="eastAsia" w:cs="宋体"/>
                <w:spacing w:val="0"/>
                <w:sz w:val="21"/>
                <w:szCs w:val="21"/>
                <w:vertAlign w:val="baseline"/>
                <w:lang w:val="en-US" w:eastAsia="zh-CN"/>
              </w:rPr>
              <w:t>、</w:t>
            </w:r>
            <w:r>
              <w:rPr>
                <w:rFonts w:hint="eastAsia" w:ascii="Times New Roman" w:hAnsi="Times New Roman" w:cs="宋体"/>
                <w:spacing w:val="0"/>
                <w:sz w:val="21"/>
                <w:szCs w:val="21"/>
                <w:vertAlign w:val="baseline"/>
                <w:lang w:val="en-US" w:eastAsia="zh-CN"/>
              </w:rPr>
              <w:t>NMHC</w:t>
            </w:r>
            <w:r>
              <w:rPr>
                <w:rFonts w:hint="eastAsia" w:cs="宋体"/>
                <w:spacing w:val="0"/>
                <w:sz w:val="21"/>
                <w:szCs w:val="21"/>
                <w:vertAlign w:val="baseline"/>
                <w:lang w:val="en-US" w:eastAsia="zh-CN"/>
              </w:rPr>
              <w:t>（以</w:t>
            </w:r>
            <w:r>
              <w:rPr>
                <w:rFonts w:hint="eastAsia" w:ascii="Times New Roman" w:hAnsi="Times New Roman" w:cs="宋体"/>
                <w:spacing w:val="0"/>
                <w:sz w:val="21"/>
                <w:szCs w:val="21"/>
                <w:vertAlign w:val="baseline"/>
                <w:lang w:val="en-US" w:eastAsia="zh-CN"/>
              </w:rPr>
              <w:t>PD</w:t>
            </w:r>
            <w:r>
              <w:rPr>
                <w:rFonts w:hint="eastAsia" w:cs="宋体"/>
                <w:spacing w:val="0"/>
                <w:sz w:val="21"/>
                <w:szCs w:val="21"/>
                <w:vertAlign w:val="baseline"/>
                <w:lang w:val="en-US" w:eastAsia="zh-CN"/>
              </w:rPr>
              <w:t>计）</w:t>
            </w:r>
          </w:p>
        </w:tc>
        <w:tc>
          <w:tcPr>
            <w:tcW w:w="464" w:type="pct"/>
            <w:noWrap w:val="0"/>
            <w:vAlign w:val="center"/>
          </w:tcPr>
          <w:p>
            <w:pPr>
              <w:spacing w:line="240" w:lineRule="auto"/>
              <w:ind w:firstLine="0" w:firstLineChars="0"/>
              <w:jc w:val="center"/>
              <w:rPr>
                <w:rFonts w:hint="eastAsia" w:ascii="宋体" w:hAnsi="宋体" w:eastAsia="宋体" w:cs="宋体"/>
                <w:spacing w:val="0"/>
                <w:sz w:val="21"/>
                <w:szCs w:val="21"/>
                <w:lang w:val="en-US" w:eastAsia="zh-CN" w:bidi="ar-SA"/>
              </w:rPr>
            </w:pPr>
            <w:r>
              <w:rPr>
                <w:rFonts w:hint="eastAsia" w:cs="宋体"/>
                <w:spacing w:val="0"/>
                <w:sz w:val="21"/>
                <w:szCs w:val="21"/>
                <w:lang w:eastAsia="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63" w:type="pct"/>
            <w:vMerge w:val="restart"/>
            <w:noWrap w:val="0"/>
            <w:vAlign w:val="center"/>
          </w:tcPr>
          <w:p>
            <w:pPr>
              <w:spacing w:line="240" w:lineRule="auto"/>
              <w:ind w:firstLine="0"/>
              <w:jc w:val="center"/>
              <w:rPr>
                <w:rFonts w:hint="eastAsia" w:hAnsi="宋体" w:cs="宋体"/>
                <w:spacing w:val="0"/>
                <w:sz w:val="21"/>
                <w:szCs w:val="21"/>
              </w:rPr>
            </w:pPr>
            <w:r>
              <w:rPr>
                <w:rFonts w:hint="eastAsia" w:hAnsi="宋体" w:cs="宋体"/>
                <w:spacing w:val="0"/>
                <w:sz w:val="21"/>
                <w:szCs w:val="21"/>
              </w:rPr>
              <w:t>固废</w:t>
            </w:r>
          </w:p>
        </w:tc>
        <w:tc>
          <w:tcPr>
            <w:tcW w:w="463" w:type="pct"/>
            <w:noWrap w:val="0"/>
            <w:vAlign w:val="center"/>
          </w:tcPr>
          <w:p>
            <w:pPr>
              <w:spacing w:line="240" w:lineRule="auto"/>
              <w:ind w:firstLine="0"/>
              <w:jc w:val="center"/>
              <w:rPr>
                <w:rFonts w:hint="default" w:ascii="Times New Roman" w:eastAsia="宋体" w:cs="宋体"/>
                <w:spacing w:val="0"/>
                <w:sz w:val="21"/>
                <w:szCs w:val="21"/>
                <w:lang w:val="en-US" w:eastAsia="zh-CN"/>
              </w:rPr>
            </w:pPr>
            <w:r>
              <w:rPr>
                <w:rFonts w:hint="eastAsia" w:ascii="Times New Roman" w:hAnsi="Times New Roman"/>
                <w:spacing w:val="0"/>
                <w:sz w:val="21"/>
                <w:szCs w:val="21"/>
              </w:rPr>
              <w:t>S</w:t>
            </w:r>
            <w:r>
              <w:rPr>
                <w:rFonts w:hint="eastAsia" w:ascii="Times New Roman" w:hAnsi="Times New Roman"/>
                <w:spacing w:val="0"/>
                <w:sz w:val="21"/>
                <w:szCs w:val="21"/>
                <w:vertAlign w:val="subscript"/>
                <w:lang w:val="en-US" w:eastAsia="zh-CN"/>
              </w:rPr>
              <w:t>1</w:t>
            </w:r>
          </w:p>
        </w:tc>
        <w:tc>
          <w:tcPr>
            <w:tcW w:w="1124" w:type="pct"/>
            <w:noWrap w:val="0"/>
            <w:vAlign w:val="center"/>
          </w:tcPr>
          <w:p>
            <w:pPr>
              <w:spacing w:line="240" w:lineRule="auto"/>
              <w:ind w:firstLine="0"/>
              <w:jc w:val="center"/>
              <w:rPr>
                <w:rFonts w:hint="default" w:hAnsi="宋体" w:eastAsia="宋体" w:cs="宋体"/>
                <w:spacing w:val="0"/>
                <w:sz w:val="21"/>
                <w:szCs w:val="21"/>
                <w:lang w:val="en-US" w:eastAsia="zh-CN"/>
              </w:rPr>
            </w:pPr>
            <w:r>
              <w:rPr>
                <w:rFonts w:hint="eastAsia" w:ascii="Times New Roman" w:hAnsi="Times New Roman" w:cs="宋体"/>
                <w:spacing w:val="0"/>
                <w:sz w:val="21"/>
                <w:szCs w:val="21"/>
                <w:lang w:val="en-US" w:eastAsia="zh-CN"/>
              </w:rPr>
              <w:t>1</w:t>
            </w:r>
            <w:r>
              <w:rPr>
                <w:rFonts w:hint="eastAsia" w:cs="宋体"/>
                <w:spacing w:val="0"/>
                <w:sz w:val="21"/>
                <w:szCs w:val="21"/>
                <w:lang w:val="en-US" w:eastAsia="zh-CN"/>
              </w:rPr>
              <w:t>#反应器废催化剂</w:t>
            </w:r>
          </w:p>
        </w:tc>
        <w:tc>
          <w:tcPr>
            <w:tcW w:w="1181" w:type="pct"/>
            <w:noWrap w:val="0"/>
            <w:vAlign w:val="center"/>
          </w:tcPr>
          <w:p>
            <w:pPr>
              <w:spacing w:line="240" w:lineRule="auto"/>
              <w:ind w:firstLine="0"/>
              <w:jc w:val="center"/>
              <w:rPr>
                <w:rFonts w:hint="eastAsia" w:hAnsi="宋体" w:eastAsia="宋体" w:cs="宋体"/>
                <w:spacing w:val="0"/>
                <w:sz w:val="21"/>
                <w:szCs w:val="21"/>
                <w:lang w:eastAsia="zh-CN"/>
              </w:rPr>
            </w:pPr>
            <w:r>
              <w:rPr>
                <w:rFonts w:hint="eastAsia" w:cs="宋体"/>
                <w:spacing w:val="0"/>
                <w:sz w:val="21"/>
                <w:szCs w:val="21"/>
                <w:lang w:eastAsia="zh-CN"/>
              </w:rPr>
              <w:t>规范收集，委托处理</w:t>
            </w:r>
          </w:p>
        </w:tc>
        <w:tc>
          <w:tcPr>
            <w:tcW w:w="1303" w:type="pct"/>
            <w:noWrap w:val="0"/>
            <w:vAlign w:val="center"/>
          </w:tcPr>
          <w:p>
            <w:pPr>
              <w:spacing w:line="240" w:lineRule="auto"/>
              <w:ind w:firstLine="0"/>
              <w:jc w:val="center"/>
              <w:rPr>
                <w:rFonts w:hint="default" w:hAnsi="宋体" w:eastAsia="宋体" w:cs="宋体"/>
                <w:spacing w:val="0"/>
                <w:sz w:val="21"/>
                <w:szCs w:val="21"/>
                <w:lang w:val="en-US" w:eastAsia="zh-CN"/>
              </w:rPr>
            </w:pPr>
            <w:r>
              <w:rPr>
                <w:rFonts w:hint="eastAsia" w:cs="宋体"/>
                <w:spacing w:val="0"/>
                <w:sz w:val="21"/>
                <w:szCs w:val="21"/>
                <w:lang w:val="en-US" w:eastAsia="zh-CN"/>
              </w:rPr>
              <w:t>危险废物</w:t>
            </w:r>
            <w:r>
              <w:rPr>
                <w:rFonts w:hint="eastAsia" w:ascii="Times New Roman" w:hAnsi="Times New Roman" w:cs="宋体"/>
                <w:spacing w:val="0"/>
                <w:sz w:val="21"/>
                <w:szCs w:val="21"/>
                <w:lang w:val="en-US" w:eastAsia="zh-CN"/>
              </w:rPr>
              <w:t>276</w:t>
            </w:r>
            <w:r>
              <w:rPr>
                <w:rFonts w:hint="eastAsia" w:cs="宋体"/>
                <w:spacing w:val="0"/>
                <w:sz w:val="21"/>
                <w:szCs w:val="21"/>
                <w:lang w:val="en-US" w:eastAsia="zh-CN"/>
              </w:rPr>
              <w:t>-</w:t>
            </w:r>
            <w:r>
              <w:rPr>
                <w:rFonts w:hint="eastAsia" w:ascii="Times New Roman" w:hAnsi="Times New Roman" w:cs="宋体"/>
                <w:spacing w:val="0"/>
                <w:sz w:val="21"/>
                <w:szCs w:val="21"/>
                <w:lang w:val="en-US" w:eastAsia="zh-CN"/>
              </w:rPr>
              <w:t>006</w:t>
            </w:r>
            <w:r>
              <w:rPr>
                <w:rFonts w:hint="eastAsia" w:cs="宋体"/>
                <w:spacing w:val="0"/>
                <w:sz w:val="21"/>
                <w:szCs w:val="21"/>
                <w:lang w:val="en-US" w:eastAsia="zh-CN"/>
              </w:rPr>
              <w:t>-</w:t>
            </w:r>
            <w:r>
              <w:rPr>
                <w:rFonts w:hint="eastAsia" w:ascii="Times New Roman" w:hAnsi="Times New Roman" w:cs="宋体"/>
                <w:spacing w:val="0"/>
                <w:sz w:val="21"/>
                <w:szCs w:val="21"/>
                <w:lang w:val="en-US" w:eastAsia="zh-CN"/>
              </w:rPr>
              <w:t>50</w:t>
            </w:r>
          </w:p>
        </w:tc>
        <w:tc>
          <w:tcPr>
            <w:tcW w:w="464" w:type="pct"/>
            <w:noWrap w:val="0"/>
            <w:vAlign w:val="center"/>
          </w:tcPr>
          <w:p>
            <w:pPr>
              <w:spacing w:line="240" w:lineRule="auto"/>
              <w:ind w:firstLine="0"/>
              <w:jc w:val="center"/>
              <w:rPr>
                <w:rFonts w:hint="eastAsia" w:hAnsi="宋体" w:cs="宋体"/>
                <w:spacing w:val="0"/>
                <w:sz w:val="21"/>
                <w:szCs w:val="21"/>
              </w:rPr>
            </w:pPr>
            <w:r>
              <w:rPr>
                <w:rFonts w:hint="eastAsia" w:hAnsi="宋体" w:cs="宋体"/>
                <w:spacing w:val="0"/>
                <w:sz w:val="21"/>
                <w:szCs w:val="21"/>
              </w:rPr>
              <w:t>间歇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63" w:type="pct"/>
            <w:vMerge w:val="continue"/>
            <w:noWrap w:val="0"/>
            <w:vAlign w:val="center"/>
          </w:tcPr>
          <w:p>
            <w:pPr>
              <w:spacing w:line="240" w:lineRule="auto"/>
              <w:ind w:firstLine="0"/>
              <w:jc w:val="center"/>
              <w:rPr>
                <w:rFonts w:hint="eastAsia" w:hAnsi="宋体" w:cs="宋体"/>
                <w:spacing w:val="0"/>
                <w:sz w:val="21"/>
                <w:szCs w:val="21"/>
              </w:rPr>
            </w:pPr>
          </w:p>
        </w:tc>
        <w:tc>
          <w:tcPr>
            <w:tcW w:w="463" w:type="pct"/>
            <w:noWrap w:val="0"/>
            <w:vAlign w:val="center"/>
          </w:tcPr>
          <w:p>
            <w:pPr>
              <w:spacing w:line="240" w:lineRule="auto"/>
              <w:ind w:firstLine="0" w:firstLineChars="0"/>
              <w:jc w:val="center"/>
              <w:rPr>
                <w:rFonts w:hint="eastAsia" w:ascii="Times New Roman" w:hAnsi="Times New Roman"/>
                <w:spacing w:val="0"/>
                <w:sz w:val="21"/>
                <w:szCs w:val="21"/>
              </w:rPr>
            </w:pPr>
            <w:r>
              <w:rPr>
                <w:rFonts w:hint="eastAsia" w:ascii="Times New Roman" w:hAnsi="Times New Roman"/>
                <w:spacing w:val="0"/>
                <w:sz w:val="21"/>
                <w:szCs w:val="21"/>
              </w:rPr>
              <w:t>S</w:t>
            </w:r>
            <w:r>
              <w:rPr>
                <w:rFonts w:hint="eastAsia" w:ascii="Times New Roman" w:hAnsi="Times New Roman"/>
                <w:spacing w:val="0"/>
                <w:sz w:val="21"/>
                <w:szCs w:val="21"/>
                <w:vertAlign w:val="subscript"/>
                <w:lang w:val="en-US" w:eastAsia="zh-CN"/>
              </w:rPr>
              <w:t>2</w:t>
            </w:r>
          </w:p>
        </w:tc>
        <w:tc>
          <w:tcPr>
            <w:tcW w:w="1124" w:type="pct"/>
            <w:noWrap w:val="0"/>
            <w:vAlign w:val="center"/>
          </w:tcPr>
          <w:p>
            <w:pPr>
              <w:spacing w:line="240" w:lineRule="auto"/>
              <w:ind w:firstLine="0" w:firstLineChars="0"/>
              <w:jc w:val="center"/>
              <w:rPr>
                <w:rFonts w:hint="eastAsia" w:cs="宋体"/>
                <w:spacing w:val="0"/>
                <w:sz w:val="21"/>
                <w:szCs w:val="21"/>
                <w:lang w:val="en-US" w:eastAsia="zh-CN"/>
              </w:rPr>
            </w:pPr>
            <w:r>
              <w:rPr>
                <w:rFonts w:hint="eastAsia" w:ascii="Times New Roman" w:hAnsi="Times New Roman" w:cs="宋体"/>
                <w:spacing w:val="0"/>
                <w:sz w:val="21"/>
                <w:szCs w:val="21"/>
                <w:lang w:val="en-US" w:eastAsia="zh-CN"/>
              </w:rPr>
              <w:t>2</w:t>
            </w:r>
            <w:r>
              <w:rPr>
                <w:rFonts w:hint="eastAsia" w:cs="宋体"/>
                <w:spacing w:val="0"/>
                <w:sz w:val="21"/>
                <w:szCs w:val="21"/>
                <w:lang w:val="en-US" w:eastAsia="zh-CN"/>
              </w:rPr>
              <w:t>#反应器废催化剂</w:t>
            </w:r>
          </w:p>
        </w:tc>
        <w:tc>
          <w:tcPr>
            <w:tcW w:w="1181" w:type="pct"/>
            <w:noWrap w:val="0"/>
            <w:vAlign w:val="center"/>
          </w:tcPr>
          <w:p>
            <w:pPr>
              <w:spacing w:line="240" w:lineRule="auto"/>
              <w:ind w:firstLine="0" w:firstLineChars="0"/>
              <w:jc w:val="center"/>
              <w:rPr>
                <w:rFonts w:hint="eastAsia" w:cs="宋体"/>
                <w:spacing w:val="0"/>
                <w:sz w:val="21"/>
                <w:szCs w:val="21"/>
                <w:lang w:eastAsia="zh-CN"/>
              </w:rPr>
            </w:pPr>
            <w:r>
              <w:rPr>
                <w:rFonts w:hint="eastAsia" w:cs="宋体"/>
                <w:spacing w:val="0"/>
                <w:sz w:val="21"/>
                <w:szCs w:val="21"/>
                <w:lang w:eastAsia="zh-CN"/>
              </w:rPr>
              <w:t>规范收集，委托处理</w:t>
            </w:r>
          </w:p>
        </w:tc>
        <w:tc>
          <w:tcPr>
            <w:tcW w:w="1303" w:type="pct"/>
            <w:noWrap w:val="0"/>
            <w:vAlign w:val="center"/>
          </w:tcPr>
          <w:p>
            <w:pPr>
              <w:spacing w:line="240" w:lineRule="auto"/>
              <w:ind w:firstLine="0" w:firstLineChars="0"/>
              <w:jc w:val="center"/>
              <w:rPr>
                <w:rFonts w:hint="eastAsia" w:cs="宋体"/>
                <w:spacing w:val="0"/>
                <w:sz w:val="21"/>
                <w:szCs w:val="21"/>
                <w:lang w:val="en-US" w:eastAsia="zh-CN"/>
              </w:rPr>
            </w:pPr>
            <w:r>
              <w:rPr>
                <w:rFonts w:hint="eastAsia" w:cs="宋体"/>
                <w:spacing w:val="0"/>
                <w:sz w:val="21"/>
                <w:szCs w:val="21"/>
                <w:lang w:val="en-US" w:eastAsia="zh-CN"/>
              </w:rPr>
              <w:t>危险废物</w:t>
            </w:r>
            <w:r>
              <w:rPr>
                <w:rFonts w:hint="eastAsia" w:ascii="Times New Roman" w:hAnsi="Times New Roman" w:cs="宋体"/>
                <w:spacing w:val="0"/>
                <w:sz w:val="21"/>
                <w:szCs w:val="21"/>
                <w:lang w:val="en-US" w:eastAsia="zh-CN"/>
              </w:rPr>
              <w:t>276</w:t>
            </w:r>
            <w:r>
              <w:rPr>
                <w:rFonts w:hint="eastAsia" w:cs="宋体"/>
                <w:spacing w:val="0"/>
                <w:sz w:val="21"/>
                <w:szCs w:val="21"/>
                <w:lang w:val="en-US" w:eastAsia="zh-CN"/>
              </w:rPr>
              <w:t>-</w:t>
            </w:r>
            <w:r>
              <w:rPr>
                <w:rFonts w:hint="eastAsia" w:ascii="Times New Roman" w:hAnsi="Times New Roman" w:cs="宋体"/>
                <w:spacing w:val="0"/>
                <w:sz w:val="21"/>
                <w:szCs w:val="21"/>
                <w:lang w:val="en-US" w:eastAsia="zh-CN"/>
              </w:rPr>
              <w:t>006</w:t>
            </w:r>
            <w:r>
              <w:rPr>
                <w:rFonts w:hint="eastAsia" w:cs="宋体"/>
                <w:spacing w:val="0"/>
                <w:sz w:val="21"/>
                <w:szCs w:val="21"/>
                <w:lang w:val="en-US" w:eastAsia="zh-CN"/>
              </w:rPr>
              <w:t>-</w:t>
            </w:r>
            <w:r>
              <w:rPr>
                <w:rFonts w:hint="eastAsia" w:ascii="Times New Roman" w:hAnsi="Times New Roman" w:cs="宋体"/>
                <w:spacing w:val="0"/>
                <w:sz w:val="21"/>
                <w:szCs w:val="21"/>
                <w:lang w:val="en-US" w:eastAsia="zh-CN"/>
              </w:rPr>
              <w:t>50</w:t>
            </w:r>
          </w:p>
        </w:tc>
        <w:tc>
          <w:tcPr>
            <w:tcW w:w="464" w:type="pct"/>
            <w:noWrap w:val="0"/>
            <w:vAlign w:val="center"/>
          </w:tcPr>
          <w:p>
            <w:pPr>
              <w:spacing w:line="240" w:lineRule="auto"/>
              <w:ind w:firstLine="0" w:firstLineChars="0"/>
              <w:jc w:val="center"/>
              <w:rPr>
                <w:rFonts w:hint="eastAsia" w:hAnsi="宋体" w:cs="宋体"/>
                <w:spacing w:val="0"/>
                <w:sz w:val="21"/>
                <w:szCs w:val="21"/>
              </w:rPr>
            </w:pPr>
            <w:r>
              <w:rPr>
                <w:rFonts w:hint="eastAsia" w:hAnsi="宋体" w:cs="宋体"/>
                <w:spacing w:val="0"/>
                <w:sz w:val="21"/>
                <w:szCs w:val="21"/>
              </w:rPr>
              <w:t>间歇</w:t>
            </w:r>
          </w:p>
        </w:tc>
      </w:tr>
      <w:bookmarkEnd w:id="126"/>
      <w:bookmarkEnd w:id="127"/>
      <w:bookmarkEnd w:id="128"/>
    </w:tbl>
    <w:p>
      <w:pPr>
        <w:bidi w:val="0"/>
        <w:rPr>
          <w:rFonts w:hint="eastAsia" w:ascii="Times New Roman" w:hAnsi="Times New Roman"/>
          <w:lang w:val="en-US" w:eastAsia="zh-CN"/>
        </w:rPr>
      </w:pPr>
      <w:r>
        <w:rPr>
          <w:rFonts w:hint="eastAsia"/>
          <w:lang w:eastAsia="zh-CN"/>
        </w:rPr>
        <w:t>由于本项目原料</w:t>
      </w:r>
      <w:r>
        <w:rPr>
          <w:rFonts w:hint="eastAsia" w:ascii="Times New Roman" w:hAnsi="Times New Roman"/>
          <w:lang w:val="en-US" w:eastAsia="zh-CN"/>
        </w:rPr>
        <w:t>DN</w:t>
      </w:r>
      <w:r>
        <w:rPr>
          <w:rFonts w:hint="eastAsia"/>
          <w:lang w:val="en-US" w:eastAsia="zh-CN"/>
        </w:rPr>
        <w:t>溶液</w:t>
      </w:r>
      <w:r>
        <w:rPr>
          <w:rFonts w:hint="eastAsia"/>
          <w:lang w:eastAsia="zh-CN"/>
        </w:rPr>
        <w:t>纯度高，且成品塔精馏温度较低（通常在</w:t>
      </w:r>
      <w:r>
        <w:rPr>
          <w:rFonts w:hint="eastAsia" w:ascii="Times New Roman" w:hAnsi="Times New Roman"/>
          <w:lang w:val="en-US" w:eastAsia="zh-CN"/>
        </w:rPr>
        <w:t>110</w:t>
      </w:r>
      <w:r>
        <w:rPr>
          <w:rFonts w:hint="eastAsia"/>
          <w:lang w:val="en-US" w:eastAsia="zh-CN"/>
        </w:rPr>
        <w:t>℃～</w:t>
      </w:r>
      <w:r>
        <w:rPr>
          <w:rFonts w:hint="eastAsia" w:ascii="Times New Roman" w:hAnsi="Times New Roman"/>
          <w:lang w:val="en-US" w:eastAsia="zh-CN"/>
        </w:rPr>
        <w:t>150</w:t>
      </w:r>
      <w:r>
        <w:rPr>
          <w:rFonts w:hint="eastAsia"/>
          <w:lang w:val="en-US" w:eastAsia="zh-CN"/>
        </w:rPr>
        <w:t>℃</w:t>
      </w:r>
      <w:r>
        <w:rPr>
          <w:rFonts w:hint="eastAsia"/>
          <w:lang w:eastAsia="zh-CN"/>
        </w:rPr>
        <w:t>），因此</w:t>
      </w:r>
      <w:r>
        <w:rPr>
          <w:rFonts w:hint="eastAsia" w:ascii="Times New Roman" w:hAnsi="Times New Roman"/>
          <w:lang w:eastAsia="zh-CN"/>
        </w:rPr>
        <w:t>PD</w:t>
      </w:r>
      <w:r>
        <w:rPr>
          <w:rFonts w:hint="eastAsia"/>
          <w:lang w:eastAsia="zh-CN"/>
        </w:rPr>
        <w:t>精馏过程不产生重组分残渣；本项目生产过程产生的固体废物主要为废催化剂，规范收集，在现有危险废物贮存库暂存，定期委托有资质的单位处理。</w:t>
      </w:r>
    </w:p>
    <w:p>
      <w:pPr>
        <w:pStyle w:val="5"/>
        <w:bidi w:val="0"/>
      </w:pPr>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w:t>
      </w:r>
      <w:r>
        <w:rPr>
          <w:rFonts w:hint="eastAsia" w:ascii="Times New Roman" w:hAnsi="Times New Roman"/>
          <w:lang w:val="en-US" w:eastAsia="zh-CN"/>
        </w:rPr>
        <w:t>5</w:t>
      </w:r>
      <w:r>
        <w:rPr>
          <w:rFonts w:hint="eastAsia"/>
        </w:rPr>
        <w:t>物料平衡</w:t>
      </w:r>
    </w:p>
    <w:p>
      <w:pPr>
        <w:bidi w:val="0"/>
        <w:rPr>
          <w:rFonts w:hint="default" w:eastAsia="宋体"/>
          <w:lang w:val="en-US" w:eastAsia="zh-CN"/>
        </w:rPr>
      </w:pPr>
      <w:r>
        <w:rPr>
          <w:rFonts w:hint="eastAsia"/>
          <w:lang w:eastAsia="zh-CN"/>
        </w:rPr>
        <w:t>本项目生产过程主要分为制备和提纯精馏两部分，</w:t>
      </w:r>
      <w:r>
        <w:rPr>
          <w:rFonts w:hint="eastAsia" w:ascii="Times New Roman" w:hAnsi="Times New Roman"/>
          <w:lang w:val="en-US" w:eastAsia="zh-CN"/>
        </w:rPr>
        <w:t>DN</w:t>
      </w:r>
      <w:r>
        <w:rPr>
          <w:rFonts w:hint="eastAsia"/>
          <w:lang w:val="en-US" w:eastAsia="zh-CN"/>
        </w:rPr>
        <w:t>溶液</w:t>
      </w:r>
      <w:r>
        <w:rPr>
          <w:rFonts w:hint="eastAsia"/>
          <w:lang w:eastAsia="zh-CN"/>
        </w:rPr>
        <w:t>经催化环合反应后将生成</w:t>
      </w:r>
      <w:r>
        <w:rPr>
          <w:rFonts w:hint="eastAsia" w:ascii="Times New Roman" w:hAnsi="Times New Roman"/>
          <w:lang w:eastAsia="zh-CN"/>
        </w:rPr>
        <w:t>PD</w:t>
      </w:r>
      <w:r>
        <w:rPr>
          <w:rFonts w:hint="eastAsia"/>
          <w:lang w:eastAsia="zh-CN"/>
        </w:rPr>
        <w:t>和氨，</w:t>
      </w:r>
      <w:r>
        <w:rPr>
          <w:rFonts w:hint="eastAsia"/>
        </w:rPr>
        <w:t>物料平衡见表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w:t>
      </w:r>
      <w:r>
        <w:rPr>
          <w:rFonts w:hint="eastAsia" w:ascii="Times New Roman" w:hAnsi="Times New Roman"/>
          <w:lang w:val="en-US" w:eastAsia="zh-CN"/>
        </w:rPr>
        <w:t>3</w:t>
      </w:r>
      <w:r>
        <w:rPr>
          <w:rFonts w:hint="eastAsia"/>
          <w:lang w:eastAsia="zh-CN"/>
        </w:rPr>
        <w:t>，</w:t>
      </w:r>
      <w:r>
        <w:rPr>
          <w:rFonts w:hint="eastAsia" w:ascii="Times New Roman" w:hAnsi="Times New Roman"/>
          <w:lang w:val="en-US" w:eastAsia="zh-CN"/>
        </w:rPr>
        <w:t>PD</w:t>
      </w:r>
      <w:r>
        <w:rPr>
          <w:rFonts w:hint="eastAsia"/>
          <w:lang w:eastAsia="zh-CN"/>
        </w:rPr>
        <w:t>精馏物料平衡见表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4</w:t>
      </w:r>
      <w:r>
        <w:rPr>
          <w:rFonts w:hint="eastAsia"/>
        </w:rPr>
        <w:t>。</w:t>
      </w:r>
    </w:p>
    <w:p>
      <w:pPr>
        <w:pStyle w:val="20"/>
        <w:spacing w:before="156"/>
        <w:rPr>
          <w:rFonts w:hint="default" w:eastAsia="宋体"/>
          <w:lang w:val="en-US" w:eastAsia="zh-CN"/>
        </w:rPr>
      </w:pPr>
      <w:r>
        <w:rPr>
          <w:rFonts w:hint="eastAsia"/>
          <w:lang w:eastAsia="zh-CN"/>
        </w:rPr>
        <w:t>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3</w:t>
      </w:r>
      <w:r>
        <w:rPr>
          <w:rFonts w:hint="eastAsia"/>
          <w:lang w:val="en-US" w:eastAsia="zh-CN"/>
        </w:rPr>
        <w:t xml:space="preserve">  </w:t>
      </w:r>
      <w:r>
        <w:rPr>
          <w:rFonts w:hint="eastAsia" w:ascii="Times New Roman" w:hAnsi="Times New Roman"/>
          <w:lang w:val="en-US" w:eastAsia="zh-CN"/>
        </w:rPr>
        <w:t>PD</w:t>
      </w:r>
      <w:r>
        <w:rPr>
          <w:rFonts w:hint="eastAsia"/>
          <w:lang w:val="en-US" w:eastAsia="zh-CN"/>
        </w:rPr>
        <w:t>制备物料平衡一览表  单位：</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p>
    <w:tbl>
      <w:tblPr>
        <w:tblStyle w:val="8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213"/>
        <w:gridCol w:w="979"/>
        <w:gridCol w:w="739"/>
        <w:gridCol w:w="981"/>
        <w:gridCol w:w="1260"/>
        <w:gridCol w:w="796"/>
        <w:gridCol w:w="30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220" w:type="pct"/>
            <w:gridSpan w:val="2"/>
            <w:tcBorders>
              <w:righ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lang w:bidi="ar"/>
              </w:rPr>
            </w:pPr>
            <w:r>
              <w:rPr>
                <w:rFonts w:hint="eastAsia" w:hAnsi="宋体" w:cs="宋体"/>
                <w:color w:val="000000"/>
                <w:spacing w:val="0"/>
                <w:sz w:val="21"/>
                <w:szCs w:val="21"/>
                <w:lang w:bidi="ar"/>
              </w:rPr>
              <w:t>进项</w:t>
            </w:r>
          </w:p>
        </w:tc>
        <w:tc>
          <w:tcPr>
            <w:tcW w:w="3779" w:type="pct"/>
            <w:gridSpan w:val="5"/>
            <w:tcBorders>
              <w:lef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lang w:bidi="ar"/>
              </w:rPr>
            </w:pPr>
            <w:r>
              <w:rPr>
                <w:rFonts w:hint="eastAsia" w:hAnsi="宋体" w:cs="宋体"/>
                <w:color w:val="000000"/>
                <w:spacing w:val="0"/>
                <w:sz w:val="21"/>
                <w:szCs w:val="21"/>
                <w:lang w:bidi="ar"/>
              </w:rPr>
              <w:t>出项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0" w:hRule="atLeast"/>
        </w:trPr>
        <w:tc>
          <w:tcPr>
            <w:tcW w:w="675" w:type="pct"/>
            <w:tcBorders>
              <w:righ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rPr>
            </w:pPr>
            <w:r>
              <w:rPr>
                <w:rFonts w:hint="eastAsia" w:hAnsi="宋体" w:cs="宋体"/>
                <w:color w:val="000000"/>
                <w:spacing w:val="0"/>
                <w:sz w:val="21"/>
                <w:szCs w:val="21"/>
                <w:lang w:bidi="ar"/>
              </w:rPr>
              <w:t>项目</w:t>
            </w:r>
          </w:p>
        </w:tc>
        <w:tc>
          <w:tcPr>
            <w:tcW w:w="544"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hAnsi="宋体" w:eastAsia="宋体" w:cs="宋体"/>
                <w:color w:val="000000"/>
                <w:spacing w:val="0"/>
                <w:sz w:val="21"/>
                <w:szCs w:val="21"/>
                <w:lang w:eastAsia="zh-CN"/>
              </w:rPr>
            </w:pPr>
            <w:r>
              <w:rPr>
                <w:rFonts w:hint="eastAsia" w:cs="宋体"/>
                <w:color w:val="000000"/>
                <w:spacing w:val="0"/>
                <w:sz w:val="21"/>
                <w:szCs w:val="21"/>
                <w:lang w:eastAsia="zh-CN"/>
              </w:rPr>
              <w:t>消耗量</w:t>
            </w:r>
          </w:p>
        </w:tc>
        <w:tc>
          <w:tcPr>
            <w:tcW w:w="957" w:type="pct"/>
            <w:gridSpan w:val="2"/>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hAnsi="宋体" w:eastAsia="宋体" w:cs="宋体"/>
                <w:color w:val="000000"/>
                <w:spacing w:val="0"/>
                <w:sz w:val="21"/>
                <w:szCs w:val="21"/>
                <w:lang w:eastAsia="zh-CN"/>
              </w:rPr>
            </w:pPr>
            <w:r>
              <w:rPr>
                <w:rFonts w:hint="eastAsia" w:cs="宋体"/>
                <w:color w:val="000000"/>
                <w:spacing w:val="0"/>
                <w:sz w:val="21"/>
                <w:szCs w:val="21"/>
                <w:lang w:eastAsia="zh-CN"/>
              </w:rPr>
              <w:t>产品</w:t>
            </w:r>
          </w:p>
        </w:tc>
        <w:tc>
          <w:tcPr>
            <w:tcW w:w="1144" w:type="pct"/>
            <w:gridSpan w:val="2"/>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hAnsi="宋体" w:eastAsia="宋体" w:cs="宋体"/>
                <w:color w:val="000000"/>
                <w:spacing w:val="0"/>
                <w:sz w:val="21"/>
                <w:szCs w:val="21"/>
                <w:lang w:eastAsia="zh-CN"/>
              </w:rPr>
            </w:pPr>
            <w:r>
              <w:rPr>
                <w:rFonts w:hint="eastAsia" w:cs="宋体"/>
                <w:color w:val="000000"/>
                <w:spacing w:val="0"/>
                <w:sz w:val="21"/>
                <w:szCs w:val="21"/>
                <w:lang w:eastAsia="zh-CN"/>
              </w:rPr>
              <w:t>损失</w:t>
            </w:r>
          </w:p>
        </w:tc>
        <w:tc>
          <w:tcPr>
            <w:tcW w:w="1678" w:type="pct"/>
            <w:tcBorders>
              <w:left w:val="single" w:color="000000" w:sz="4" w:space="0"/>
            </w:tcBorders>
            <w:noWrap w:val="0"/>
            <w:vAlign w:val="center"/>
          </w:tcPr>
          <w:p>
            <w:pPr>
              <w:widowControl/>
              <w:spacing w:line="240" w:lineRule="auto"/>
              <w:ind w:firstLine="0"/>
              <w:jc w:val="center"/>
              <w:textAlignment w:val="center"/>
              <w:rPr>
                <w:rFonts w:hint="eastAsia" w:cs="宋体"/>
                <w:color w:val="000000"/>
                <w:spacing w:val="0"/>
                <w:sz w:val="21"/>
                <w:szCs w:val="21"/>
                <w:lang w:eastAsia="zh-CN"/>
              </w:rPr>
            </w:pPr>
            <w:r>
              <w:rPr>
                <w:rFonts w:hint="eastAsia" w:cs="宋体"/>
                <w:color w:val="000000"/>
                <w:spacing w:val="0"/>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75" w:type="pct"/>
            <w:tcBorders>
              <w:right w:val="single" w:color="000000" w:sz="4" w:space="0"/>
            </w:tcBorders>
            <w:noWrap w:val="0"/>
            <w:vAlign w:val="center"/>
          </w:tcPr>
          <w:p>
            <w:pPr>
              <w:widowControl/>
              <w:spacing w:line="240" w:lineRule="auto"/>
              <w:ind w:firstLine="0"/>
              <w:jc w:val="center"/>
              <w:textAlignment w:val="center"/>
              <w:rPr>
                <w:rFonts w:hint="eastAsia" w:hAnsi="宋体" w:eastAsia="宋体" w:cs="宋体"/>
                <w:color w:val="000000"/>
                <w:spacing w:val="0"/>
                <w:sz w:val="21"/>
                <w:szCs w:val="21"/>
                <w:lang w:eastAsia="zh-CN"/>
              </w:rPr>
            </w:pPr>
            <w:r>
              <w:rPr>
                <w:rFonts w:hint="eastAsia" w:ascii="Times New Roman" w:hAnsi="Times New Roman" w:cs="宋体"/>
                <w:color w:val="000000"/>
                <w:spacing w:val="0"/>
                <w:sz w:val="21"/>
                <w:szCs w:val="21"/>
                <w:lang w:val="en-US" w:eastAsia="zh-CN"/>
              </w:rPr>
              <w:t>DN</w:t>
            </w:r>
            <w:r>
              <w:rPr>
                <w:rFonts w:hint="eastAsia" w:cs="宋体"/>
                <w:color w:val="000000"/>
                <w:spacing w:val="0"/>
                <w:sz w:val="21"/>
                <w:szCs w:val="21"/>
                <w:lang w:val="en-US" w:eastAsia="zh-CN"/>
              </w:rPr>
              <w:t>溶液</w:t>
            </w:r>
          </w:p>
        </w:tc>
        <w:tc>
          <w:tcPr>
            <w:tcW w:w="544"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hAnsi="宋体" w:eastAsia="宋体"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16976</w:t>
            </w:r>
            <w:r>
              <w:rPr>
                <w:rFonts w:hint="eastAsia" w:cs="宋体"/>
                <w:color w:val="000000"/>
                <w:spacing w:val="0"/>
                <w:sz w:val="21"/>
                <w:szCs w:val="21"/>
                <w:lang w:val="en-US" w:eastAsia="zh-CN"/>
              </w:rPr>
              <w:t>.</w:t>
            </w:r>
            <w:r>
              <w:rPr>
                <w:rFonts w:hint="eastAsia" w:ascii="Times New Roman" w:hAnsi="Times New Roman" w:cs="宋体"/>
                <w:color w:val="000000"/>
                <w:spacing w:val="0"/>
                <w:sz w:val="21"/>
                <w:szCs w:val="21"/>
                <w:lang w:val="en-US" w:eastAsia="zh-CN"/>
              </w:rPr>
              <w:t>27</w:t>
            </w:r>
          </w:p>
        </w:tc>
        <w:tc>
          <w:tcPr>
            <w:tcW w:w="411"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hAnsi="宋体" w:eastAsia="宋体" w:cs="宋体"/>
                <w:color w:val="000000"/>
                <w:spacing w:val="0"/>
                <w:sz w:val="21"/>
                <w:szCs w:val="21"/>
                <w:lang w:val="en-US" w:eastAsia="zh-CN"/>
              </w:rPr>
            </w:pPr>
            <w:r>
              <w:rPr>
                <w:rFonts w:hint="eastAsia" w:cs="宋体"/>
                <w:color w:val="000000"/>
                <w:spacing w:val="0"/>
                <w:sz w:val="21"/>
                <w:szCs w:val="21"/>
                <w:lang w:val="en-US" w:eastAsia="zh-CN"/>
              </w:rPr>
              <w:t>粗</w:t>
            </w:r>
            <w:r>
              <w:rPr>
                <w:rFonts w:hint="eastAsia" w:ascii="Times New Roman" w:hAnsi="Times New Roman" w:cs="宋体"/>
                <w:color w:val="000000"/>
                <w:spacing w:val="0"/>
                <w:sz w:val="21"/>
                <w:szCs w:val="21"/>
                <w:lang w:val="en-US" w:eastAsia="zh-CN"/>
              </w:rPr>
              <w:t>PD</w:t>
            </w:r>
          </w:p>
        </w:tc>
        <w:tc>
          <w:tcPr>
            <w:tcW w:w="546"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14545</w:t>
            </w:r>
            <w:r>
              <w:rPr>
                <w:rFonts w:hint="eastAsia" w:ascii="Times New Roman" w:hAnsi="Times New Roman" w:cs="宋体"/>
                <w:color w:val="000000"/>
                <w:spacing w:val="0"/>
                <w:sz w:val="21"/>
                <w:szCs w:val="21"/>
                <w:lang w:val="en-US" w:eastAsia="zh-CN"/>
              </w:rPr>
              <w:t>.</w:t>
            </w:r>
            <w:r>
              <w:rPr>
                <w:rFonts w:hint="eastAsia" w:ascii="Times New Roman" w:hAnsi="Times New Roman" w:cs="宋体"/>
                <w:color w:val="000000"/>
                <w:spacing w:val="0"/>
                <w:sz w:val="21"/>
                <w:szCs w:val="21"/>
                <w:lang w:val="en-US" w:eastAsia="zh-CN"/>
              </w:rPr>
              <w:t>4</w:t>
            </w:r>
          </w:p>
        </w:tc>
        <w:tc>
          <w:tcPr>
            <w:tcW w:w="701" w:type="pct"/>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spacing w:val="0"/>
                <w:sz w:val="21"/>
                <w:szCs w:val="21"/>
                <w:lang w:val="en-US" w:eastAsia="zh-CN" w:bidi="ar"/>
              </w:rPr>
            </w:pPr>
            <w:r>
              <w:rPr>
                <w:rFonts w:hint="eastAsia" w:cs="宋体"/>
                <w:color w:val="000000"/>
                <w:spacing w:val="0"/>
                <w:sz w:val="21"/>
                <w:szCs w:val="21"/>
                <w:lang w:eastAsia="zh-CN" w:bidi="ar"/>
              </w:rPr>
              <w:t>废气</w:t>
            </w:r>
          </w:p>
        </w:tc>
        <w:tc>
          <w:tcPr>
            <w:tcW w:w="443" w:type="pct"/>
            <w:tcBorders>
              <w:left w:val="single" w:color="000000" w:sz="4" w:space="0"/>
              <w:right w:val="single" w:color="000000" w:sz="4" w:space="0"/>
            </w:tcBorders>
            <w:noWrap w:val="0"/>
            <w:vAlign w:val="center"/>
          </w:tcPr>
          <w:p>
            <w:pPr>
              <w:widowControl/>
              <w:spacing w:line="240" w:lineRule="auto"/>
              <w:ind w:firstLine="0" w:firstLineChars="0"/>
              <w:jc w:val="center"/>
              <w:rPr>
                <w:rFonts w:hint="default" w:ascii="宋体" w:hAnsi="宋体" w:eastAsia="宋体" w:cs="宋体"/>
                <w:color w:val="000000"/>
                <w:spacing w:val="0"/>
                <w:sz w:val="21"/>
                <w:szCs w:val="21"/>
                <w:lang w:val="en-US" w:eastAsia="zh-CN" w:bidi="ar"/>
              </w:rPr>
            </w:pPr>
            <w:r>
              <w:rPr>
                <w:rFonts w:hint="eastAsia" w:ascii="Times New Roman" w:hAnsi="Times New Roman" w:cs="宋体"/>
                <w:color w:val="000000"/>
                <w:spacing w:val="0"/>
                <w:sz w:val="21"/>
                <w:szCs w:val="21"/>
                <w:lang w:val="en-US" w:eastAsia="zh-CN" w:bidi="ar"/>
              </w:rPr>
              <w:t>2431</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27</w:t>
            </w:r>
          </w:p>
        </w:tc>
        <w:tc>
          <w:tcPr>
            <w:tcW w:w="1678" w:type="pct"/>
            <w:tcBorders>
              <w:left w:val="single" w:color="000000" w:sz="4" w:space="0"/>
            </w:tcBorders>
            <w:noWrap w:val="0"/>
            <w:vAlign w:val="center"/>
          </w:tcPr>
          <w:p>
            <w:pPr>
              <w:widowControl/>
              <w:spacing w:line="240" w:lineRule="auto"/>
              <w:ind w:firstLine="0" w:firstLineChars="0"/>
              <w:jc w:val="center"/>
              <w:rPr>
                <w:rFonts w:hint="default" w:ascii="宋体" w:hAnsi="宋体" w:eastAsia="宋体" w:cs="宋体"/>
                <w:color w:val="000000"/>
                <w:spacing w:val="0"/>
                <w:sz w:val="21"/>
                <w:szCs w:val="21"/>
                <w:lang w:val="en-US" w:eastAsia="zh-CN" w:bidi="ar"/>
              </w:rPr>
            </w:pPr>
            <w:r>
              <w:rPr>
                <w:rFonts w:hint="eastAsia" w:ascii="Times New Roman" w:hAnsi="Times New Roman" w:cs="宋体"/>
                <w:color w:val="000000"/>
                <w:spacing w:val="0"/>
                <w:sz w:val="21"/>
                <w:szCs w:val="21"/>
                <w:lang w:val="en-US" w:eastAsia="zh-CN" w:bidi="ar"/>
              </w:rPr>
              <w:t>2025</w:t>
            </w:r>
            <w:r>
              <w:rPr>
                <w:rFonts w:hint="eastAsia" w:ascii="Times New Roman" w:hAnsi="Times New Roman"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27</w:t>
            </w:r>
            <w:r>
              <w:rPr>
                <w:rFonts w:hint="eastAsia" w:cs="宋体"/>
                <w:color w:val="000000"/>
                <w:spacing w:val="0"/>
                <w:sz w:val="21"/>
                <w:szCs w:val="21"/>
                <w:lang w:val="en-US" w:eastAsia="zh-CN" w:bidi="ar"/>
              </w:rPr>
              <w:t>为氨气，</w:t>
            </w:r>
            <w:r>
              <w:rPr>
                <w:rFonts w:hint="eastAsia" w:ascii="Times New Roman" w:hAnsi="Times New Roman" w:cs="宋体"/>
                <w:color w:val="000000"/>
                <w:spacing w:val="0"/>
                <w:sz w:val="21"/>
                <w:szCs w:val="21"/>
                <w:lang w:val="en-US" w:eastAsia="zh-CN" w:bidi="ar"/>
              </w:rPr>
              <w:t>0</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2</w:t>
            </w:r>
            <w:r>
              <w:rPr>
                <w:rFonts w:hint="eastAsia" w:cs="宋体"/>
                <w:color w:val="000000"/>
                <w:spacing w:val="0"/>
                <w:sz w:val="21"/>
                <w:szCs w:val="21"/>
                <w:lang w:val="en-US" w:eastAsia="zh-CN" w:bidi="ar"/>
              </w:rPr>
              <w:t>为</w:t>
            </w:r>
            <w:r>
              <w:rPr>
                <w:rFonts w:hint="eastAsia" w:ascii="Times New Roman" w:hAnsi="Times New Roman" w:cs="宋体"/>
                <w:color w:val="000000"/>
                <w:spacing w:val="0"/>
                <w:sz w:val="21"/>
                <w:szCs w:val="21"/>
                <w:lang w:val="en-US" w:eastAsia="zh-CN" w:bidi="ar"/>
              </w:rPr>
              <w:t>PD</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405</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8</w:t>
            </w:r>
            <w:r>
              <w:rPr>
                <w:rFonts w:hint="eastAsia" w:cs="宋体"/>
                <w:color w:val="000000"/>
                <w:spacing w:val="0"/>
                <w:sz w:val="21"/>
                <w:szCs w:val="21"/>
                <w:lang w:val="en-US" w:eastAsia="zh-CN" w:bidi="ar"/>
              </w:rPr>
              <w:t>为水蒸气，去尾气吸收塔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675" w:type="pct"/>
            <w:tcBorders>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spacing w:val="0"/>
                <w:sz w:val="21"/>
                <w:szCs w:val="21"/>
                <w:lang w:val="en-US" w:eastAsia="zh-CN" w:bidi="ar-SA"/>
              </w:rPr>
            </w:pPr>
            <w:r>
              <w:rPr>
                <w:rFonts w:hint="eastAsia" w:ascii="Times New Roman" w:hAnsi="Times New Roman" w:cs="宋体"/>
                <w:color w:val="000000"/>
                <w:spacing w:val="0"/>
                <w:sz w:val="21"/>
                <w:szCs w:val="21"/>
                <w:lang w:eastAsia="zh-CN"/>
              </w:rPr>
              <w:t>PD</w:t>
            </w:r>
            <w:r>
              <w:rPr>
                <w:rFonts w:hint="eastAsia" w:cs="宋体"/>
                <w:color w:val="000000"/>
                <w:spacing w:val="0"/>
                <w:sz w:val="21"/>
                <w:szCs w:val="21"/>
                <w:lang w:eastAsia="zh-CN"/>
              </w:rPr>
              <w:t>催化剂</w:t>
            </w:r>
          </w:p>
        </w:tc>
        <w:tc>
          <w:tcPr>
            <w:tcW w:w="544" w:type="pct"/>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default" w:ascii="宋体" w:hAnsi="宋体" w:eastAsia="宋体" w:cs="宋体"/>
                <w:color w:val="000000"/>
                <w:spacing w:val="0"/>
                <w:sz w:val="21"/>
                <w:szCs w:val="21"/>
                <w:lang w:val="en-US" w:eastAsia="zh-CN" w:bidi="ar-SA"/>
              </w:rPr>
            </w:pPr>
            <w:r>
              <w:rPr>
                <w:rFonts w:hint="eastAsia" w:ascii="Times New Roman" w:hAnsi="Times New Roman" w:cs="宋体"/>
                <w:color w:val="000000"/>
                <w:spacing w:val="0"/>
                <w:sz w:val="21"/>
                <w:szCs w:val="21"/>
                <w:lang w:val="en-US" w:eastAsia="zh-CN"/>
              </w:rPr>
              <w:t>1</w:t>
            </w:r>
          </w:p>
        </w:tc>
        <w:tc>
          <w:tcPr>
            <w:tcW w:w="411"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cs="宋体"/>
                <w:color w:val="000000"/>
                <w:spacing w:val="0"/>
                <w:sz w:val="21"/>
                <w:szCs w:val="21"/>
                <w:lang w:val="en-US" w:eastAsia="zh-CN"/>
              </w:rPr>
            </w:pPr>
          </w:p>
        </w:tc>
        <w:tc>
          <w:tcPr>
            <w:tcW w:w="546"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cs="宋体"/>
                <w:color w:val="000000"/>
                <w:spacing w:val="0"/>
                <w:sz w:val="21"/>
                <w:szCs w:val="21"/>
                <w:lang w:val="en-US" w:eastAsia="zh-CN"/>
              </w:rPr>
            </w:pPr>
          </w:p>
        </w:tc>
        <w:tc>
          <w:tcPr>
            <w:tcW w:w="701" w:type="pct"/>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spacing w:val="0"/>
                <w:sz w:val="21"/>
                <w:szCs w:val="21"/>
                <w:lang w:val="en-US" w:eastAsia="zh-CN" w:bidi="ar"/>
              </w:rPr>
            </w:pPr>
            <w:r>
              <w:rPr>
                <w:rFonts w:hint="eastAsia" w:cs="宋体"/>
                <w:color w:val="000000"/>
                <w:spacing w:val="0"/>
                <w:sz w:val="21"/>
                <w:szCs w:val="21"/>
                <w:lang w:eastAsia="zh-CN" w:bidi="ar"/>
              </w:rPr>
              <w:t>废催化剂</w:t>
            </w:r>
          </w:p>
        </w:tc>
        <w:tc>
          <w:tcPr>
            <w:tcW w:w="443" w:type="pct"/>
            <w:tcBorders>
              <w:left w:val="single" w:color="000000" w:sz="4" w:space="0"/>
              <w:right w:val="single" w:color="000000" w:sz="4" w:space="0"/>
            </w:tcBorders>
            <w:noWrap w:val="0"/>
            <w:vAlign w:val="center"/>
          </w:tcPr>
          <w:p>
            <w:pPr>
              <w:widowControl/>
              <w:spacing w:line="240" w:lineRule="auto"/>
              <w:ind w:firstLine="0" w:firstLineChars="0"/>
              <w:jc w:val="center"/>
              <w:rPr>
                <w:rFonts w:hint="default" w:ascii="宋体" w:hAnsi="宋体" w:eastAsia="宋体" w:cs="宋体"/>
                <w:color w:val="000000"/>
                <w:spacing w:val="0"/>
                <w:sz w:val="21"/>
                <w:szCs w:val="21"/>
                <w:lang w:val="en-US" w:eastAsia="zh-CN" w:bidi="ar"/>
              </w:rPr>
            </w:pPr>
            <w:r>
              <w:rPr>
                <w:rFonts w:hint="eastAsia" w:ascii="Times New Roman" w:hAnsi="Times New Roman" w:cs="宋体"/>
                <w:color w:val="000000"/>
                <w:spacing w:val="0"/>
                <w:sz w:val="21"/>
                <w:szCs w:val="21"/>
                <w:lang w:val="en-US" w:eastAsia="zh-CN" w:bidi="ar"/>
              </w:rPr>
              <w:t>0</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6</w:t>
            </w:r>
          </w:p>
        </w:tc>
        <w:tc>
          <w:tcPr>
            <w:tcW w:w="1678" w:type="pct"/>
            <w:tcBorders>
              <w:left w:val="single" w:color="000000" w:sz="4" w:space="0"/>
            </w:tcBorders>
            <w:noWrap w:val="0"/>
            <w:vAlign w:val="center"/>
          </w:tcPr>
          <w:p>
            <w:pPr>
              <w:widowControl/>
              <w:spacing w:line="240" w:lineRule="auto"/>
              <w:ind w:firstLine="0" w:firstLineChars="0"/>
              <w:jc w:val="center"/>
              <w:rPr>
                <w:rFonts w:hint="eastAsia" w:ascii="宋体" w:hAnsi="宋体" w:eastAsia="宋体" w:cs="宋体"/>
                <w:color w:val="000000"/>
                <w:spacing w:val="0"/>
                <w:sz w:val="21"/>
                <w:szCs w:val="21"/>
                <w:lang w:val="en-US" w:eastAsia="zh-CN" w:bidi="ar"/>
              </w:rPr>
            </w:pPr>
            <w:r>
              <w:rPr>
                <w:rFonts w:hint="eastAsia" w:cs="宋体"/>
                <w:color w:val="000000"/>
                <w:spacing w:val="0"/>
                <w:sz w:val="21"/>
                <w:szCs w:val="21"/>
                <w:lang w:val="en-US" w:eastAsia="zh-CN" w:bidi="ar"/>
              </w:rPr>
              <w:t>规范收集，委托处理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14" w:hRule="atLeast"/>
        </w:trPr>
        <w:tc>
          <w:tcPr>
            <w:tcW w:w="675" w:type="pct"/>
            <w:tcBorders>
              <w:righ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rPr>
            </w:pPr>
            <w:r>
              <w:rPr>
                <w:rFonts w:hint="eastAsia" w:hAnsi="宋体" w:cs="宋体"/>
                <w:color w:val="000000"/>
                <w:spacing w:val="0"/>
                <w:sz w:val="21"/>
                <w:szCs w:val="21"/>
                <w:lang w:bidi="ar"/>
              </w:rPr>
              <w:t>合计</w:t>
            </w:r>
          </w:p>
        </w:tc>
        <w:tc>
          <w:tcPr>
            <w:tcW w:w="544"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hAnsi="宋体" w:eastAsia="宋体"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16977</w:t>
            </w:r>
            <w:r>
              <w:rPr>
                <w:rFonts w:hint="eastAsia" w:cs="宋体"/>
                <w:color w:val="000000"/>
                <w:spacing w:val="0"/>
                <w:sz w:val="21"/>
                <w:szCs w:val="21"/>
                <w:lang w:val="en-US" w:eastAsia="zh-CN"/>
              </w:rPr>
              <w:t>.</w:t>
            </w:r>
            <w:r>
              <w:rPr>
                <w:rFonts w:hint="eastAsia" w:ascii="Times New Roman" w:hAnsi="Times New Roman" w:cs="宋体"/>
                <w:color w:val="000000"/>
                <w:spacing w:val="0"/>
                <w:sz w:val="21"/>
                <w:szCs w:val="21"/>
                <w:lang w:val="en-US" w:eastAsia="zh-CN"/>
              </w:rPr>
              <w:t>27</w:t>
            </w:r>
          </w:p>
        </w:tc>
        <w:tc>
          <w:tcPr>
            <w:tcW w:w="2101" w:type="pct"/>
            <w:gridSpan w:val="4"/>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16977</w:t>
            </w:r>
            <w:r>
              <w:rPr>
                <w:rFonts w:hint="eastAsia" w:cs="宋体"/>
                <w:color w:val="000000"/>
                <w:spacing w:val="0"/>
                <w:sz w:val="21"/>
                <w:szCs w:val="21"/>
                <w:lang w:val="en-US" w:eastAsia="zh-CN"/>
              </w:rPr>
              <w:t>.</w:t>
            </w:r>
            <w:r>
              <w:rPr>
                <w:rFonts w:hint="eastAsia" w:ascii="Times New Roman" w:hAnsi="Times New Roman" w:cs="宋体"/>
                <w:color w:val="000000"/>
                <w:spacing w:val="0"/>
                <w:sz w:val="21"/>
                <w:szCs w:val="21"/>
                <w:lang w:val="en-US" w:eastAsia="zh-CN"/>
              </w:rPr>
              <w:t>27</w:t>
            </w:r>
          </w:p>
        </w:tc>
        <w:tc>
          <w:tcPr>
            <w:tcW w:w="1678" w:type="pct"/>
            <w:tcBorders>
              <w:left w:val="single" w:color="000000" w:sz="4" w:space="0"/>
            </w:tcBorders>
            <w:noWrap w:val="0"/>
            <w:vAlign w:val="center"/>
          </w:tcPr>
          <w:p>
            <w:pPr>
              <w:widowControl/>
              <w:spacing w:line="240" w:lineRule="auto"/>
              <w:ind w:firstLine="0"/>
              <w:jc w:val="center"/>
              <w:textAlignment w:val="center"/>
              <w:rPr>
                <w:rFonts w:hint="eastAsia" w:cs="宋体"/>
                <w:color w:val="000000"/>
                <w:spacing w:val="0"/>
                <w:sz w:val="21"/>
                <w:szCs w:val="21"/>
                <w:lang w:val="en-US" w:eastAsia="zh-CN"/>
              </w:rPr>
            </w:pPr>
          </w:p>
        </w:tc>
      </w:tr>
    </w:tbl>
    <w:p>
      <w:pPr>
        <w:pStyle w:val="20"/>
        <w:spacing w:before="156"/>
        <w:rPr>
          <w:rFonts w:hint="default" w:eastAsia="宋体"/>
          <w:lang w:val="en-US" w:eastAsia="zh-CN"/>
        </w:rPr>
      </w:pPr>
      <w:r>
        <w:rPr>
          <w:rFonts w:hint="eastAsia"/>
          <w:lang w:eastAsia="zh-CN"/>
        </w:rPr>
        <w:t>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4</w:t>
      </w:r>
      <w:r>
        <w:rPr>
          <w:rFonts w:hint="eastAsia"/>
          <w:lang w:val="en-US" w:eastAsia="zh-CN"/>
        </w:rPr>
        <w:t xml:space="preserve">  </w:t>
      </w:r>
      <w:r>
        <w:rPr>
          <w:rFonts w:hint="eastAsia" w:ascii="Times New Roman" w:hAnsi="Times New Roman"/>
          <w:lang w:val="en-US" w:eastAsia="zh-CN"/>
        </w:rPr>
        <w:t>PD</w:t>
      </w:r>
      <w:r>
        <w:rPr>
          <w:rFonts w:hint="eastAsia"/>
          <w:lang w:val="en-US" w:eastAsia="zh-CN"/>
        </w:rPr>
        <w:t>脱水塔脱轻塔成品塔物料平衡一览表  单位：</w:t>
      </w:r>
      <w:r>
        <w:rPr>
          <w:rFonts w:hint="eastAsia" w:ascii="Times New Roman" w:hAnsi="Times New Roman"/>
          <w:lang w:val="en-US" w:eastAsia="zh-CN"/>
        </w:rPr>
        <w:t>t</w:t>
      </w:r>
      <w:r>
        <w:rPr>
          <w:rFonts w:hint="eastAsia"/>
          <w:lang w:val="en-US" w:eastAsia="zh-CN"/>
        </w:rPr>
        <w:t>/</w:t>
      </w:r>
      <w:r>
        <w:rPr>
          <w:rFonts w:hint="eastAsia" w:ascii="Times New Roman" w:hAnsi="Times New Roman"/>
          <w:lang w:val="en-US" w:eastAsia="zh-CN"/>
        </w:rPr>
        <w:t>a</w:t>
      </w:r>
    </w:p>
    <w:tbl>
      <w:tblPr>
        <w:tblStyle w:val="8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864"/>
        <w:gridCol w:w="1008"/>
        <w:gridCol w:w="864"/>
        <w:gridCol w:w="731"/>
        <w:gridCol w:w="697"/>
        <w:gridCol w:w="884"/>
        <w:gridCol w:w="39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042" w:type="pct"/>
            <w:gridSpan w:val="2"/>
            <w:tcBorders>
              <w:righ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lang w:bidi="ar"/>
              </w:rPr>
            </w:pPr>
            <w:r>
              <w:rPr>
                <w:rFonts w:hint="eastAsia" w:hAnsi="宋体" w:cs="宋体"/>
                <w:color w:val="000000"/>
                <w:spacing w:val="0"/>
                <w:sz w:val="21"/>
                <w:szCs w:val="21"/>
                <w:lang w:bidi="ar"/>
              </w:rPr>
              <w:t>进项</w:t>
            </w:r>
          </w:p>
        </w:tc>
        <w:tc>
          <w:tcPr>
            <w:tcW w:w="3957" w:type="pct"/>
            <w:gridSpan w:val="5"/>
            <w:tcBorders>
              <w:lef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lang w:bidi="ar"/>
              </w:rPr>
            </w:pPr>
            <w:r>
              <w:rPr>
                <w:rFonts w:hint="eastAsia" w:hAnsi="宋体" w:cs="宋体"/>
                <w:color w:val="000000"/>
                <w:spacing w:val="0"/>
                <w:sz w:val="21"/>
                <w:szCs w:val="21"/>
                <w:lang w:bidi="ar"/>
              </w:rPr>
              <w:t>出项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0" w:hRule="atLeast"/>
        </w:trPr>
        <w:tc>
          <w:tcPr>
            <w:tcW w:w="481" w:type="pct"/>
            <w:tcBorders>
              <w:righ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rPr>
            </w:pPr>
            <w:r>
              <w:rPr>
                <w:rFonts w:hint="eastAsia" w:hAnsi="宋体" w:cs="宋体"/>
                <w:color w:val="000000"/>
                <w:spacing w:val="0"/>
                <w:sz w:val="21"/>
                <w:szCs w:val="21"/>
                <w:lang w:bidi="ar"/>
              </w:rPr>
              <w:t>项目</w:t>
            </w:r>
          </w:p>
        </w:tc>
        <w:tc>
          <w:tcPr>
            <w:tcW w:w="560"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hAnsi="宋体" w:eastAsia="宋体" w:cs="宋体"/>
                <w:color w:val="000000"/>
                <w:spacing w:val="0"/>
                <w:sz w:val="21"/>
                <w:szCs w:val="21"/>
                <w:lang w:eastAsia="zh-CN"/>
              </w:rPr>
            </w:pPr>
            <w:r>
              <w:rPr>
                <w:rFonts w:hint="eastAsia" w:cs="宋体"/>
                <w:color w:val="000000"/>
                <w:spacing w:val="0"/>
                <w:sz w:val="21"/>
                <w:szCs w:val="21"/>
                <w:lang w:eastAsia="zh-CN"/>
              </w:rPr>
              <w:t>消耗量</w:t>
            </w:r>
          </w:p>
        </w:tc>
        <w:tc>
          <w:tcPr>
            <w:tcW w:w="888" w:type="pct"/>
            <w:gridSpan w:val="2"/>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hAnsi="宋体" w:eastAsia="宋体" w:cs="宋体"/>
                <w:color w:val="000000"/>
                <w:spacing w:val="0"/>
                <w:sz w:val="21"/>
                <w:szCs w:val="21"/>
                <w:lang w:eastAsia="zh-CN"/>
              </w:rPr>
            </w:pPr>
            <w:r>
              <w:rPr>
                <w:rFonts w:hint="eastAsia" w:cs="宋体"/>
                <w:color w:val="000000"/>
                <w:spacing w:val="0"/>
                <w:sz w:val="21"/>
                <w:szCs w:val="21"/>
                <w:lang w:eastAsia="zh-CN"/>
              </w:rPr>
              <w:t>产品</w:t>
            </w:r>
          </w:p>
        </w:tc>
        <w:tc>
          <w:tcPr>
            <w:tcW w:w="879" w:type="pct"/>
            <w:gridSpan w:val="2"/>
            <w:tcBorders>
              <w:left w:val="single" w:color="000000" w:sz="4" w:space="0"/>
              <w:right w:val="single" w:color="000000" w:sz="4" w:space="0"/>
            </w:tcBorders>
            <w:noWrap w:val="0"/>
            <w:vAlign w:val="center"/>
          </w:tcPr>
          <w:p>
            <w:pPr>
              <w:widowControl/>
              <w:spacing w:line="240" w:lineRule="auto"/>
              <w:ind w:firstLine="0"/>
              <w:jc w:val="center"/>
              <w:textAlignment w:val="center"/>
              <w:rPr>
                <w:rFonts w:hint="eastAsia" w:hAnsi="宋体" w:eastAsia="宋体" w:cs="宋体"/>
                <w:color w:val="000000"/>
                <w:spacing w:val="0"/>
                <w:sz w:val="21"/>
                <w:szCs w:val="21"/>
                <w:lang w:eastAsia="zh-CN"/>
              </w:rPr>
            </w:pPr>
            <w:r>
              <w:rPr>
                <w:rFonts w:hint="eastAsia" w:cs="宋体"/>
                <w:color w:val="000000"/>
                <w:spacing w:val="0"/>
                <w:sz w:val="21"/>
                <w:szCs w:val="21"/>
                <w:lang w:eastAsia="zh-CN"/>
              </w:rPr>
              <w:t>损失</w:t>
            </w:r>
          </w:p>
        </w:tc>
        <w:tc>
          <w:tcPr>
            <w:tcW w:w="2188" w:type="pct"/>
            <w:tcBorders>
              <w:left w:val="single" w:color="000000" w:sz="4" w:space="0"/>
            </w:tcBorders>
            <w:noWrap w:val="0"/>
            <w:vAlign w:val="center"/>
          </w:tcPr>
          <w:p>
            <w:pPr>
              <w:widowControl/>
              <w:spacing w:line="240" w:lineRule="auto"/>
              <w:ind w:firstLine="0"/>
              <w:jc w:val="center"/>
              <w:textAlignment w:val="center"/>
              <w:rPr>
                <w:rFonts w:hint="eastAsia" w:cs="宋体"/>
                <w:color w:val="000000"/>
                <w:spacing w:val="0"/>
                <w:sz w:val="21"/>
                <w:szCs w:val="21"/>
                <w:lang w:eastAsia="zh-CN"/>
              </w:rPr>
            </w:pPr>
            <w:r>
              <w:rPr>
                <w:rFonts w:hint="eastAsia" w:cs="宋体"/>
                <w:color w:val="000000"/>
                <w:spacing w:val="0"/>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481" w:type="pct"/>
            <w:tcBorders>
              <w:right w:val="single" w:color="000000" w:sz="4" w:space="0"/>
            </w:tcBorders>
            <w:noWrap w:val="0"/>
            <w:vAlign w:val="center"/>
          </w:tcPr>
          <w:p>
            <w:pPr>
              <w:widowControl/>
              <w:spacing w:line="240" w:lineRule="auto"/>
              <w:ind w:firstLine="0"/>
              <w:jc w:val="center"/>
              <w:textAlignment w:val="center"/>
              <w:rPr>
                <w:rFonts w:hint="default" w:hAnsi="宋体" w:eastAsia="宋体" w:cs="宋体"/>
                <w:color w:val="000000"/>
                <w:spacing w:val="0"/>
                <w:sz w:val="21"/>
                <w:szCs w:val="21"/>
                <w:lang w:val="en-US" w:eastAsia="zh-CN"/>
              </w:rPr>
            </w:pPr>
            <w:bookmarkStart w:id="131" w:name="OLE_LINK4" w:colFirst="1" w:colLast="1"/>
            <w:r>
              <w:rPr>
                <w:rFonts w:hint="eastAsia" w:cs="宋体"/>
                <w:color w:val="000000"/>
                <w:spacing w:val="0"/>
                <w:sz w:val="21"/>
                <w:szCs w:val="21"/>
                <w:lang w:eastAsia="zh-CN"/>
              </w:rPr>
              <w:t>粗</w:t>
            </w:r>
            <w:r>
              <w:rPr>
                <w:rFonts w:hint="eastAsia" w:ascii="Times New Roman" w:hAnsi="Times New Roman" w:cs="宋体"/>
                <w:color w:val="000000"/>
                <w:spacing w:val="0"/>
                <w:sz w:val="21"/>
                <w:szCs w:val="21"/>
                <w:lang w:val="en-US" w:eastAsia="zh-CN"/>
              </w:rPr>
              <w:t>PD</w:t>
            </w:r>
          </w:p>
        </w:tc>
        <w:tc>
          <w:tcPr>
            <w:tcW w:w="560"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hAnsi="宋体" w:eastAsia="宋体"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14545</w:t>
            </w:r>
            <w:r>
              <w:rPr>
                <w:rFonts w:hint="eastAsia" w:ascii="Times New Roman" w:hAnsi="Times New Roman" w:cs="宋体"/>
                <w:color w:val="000000"/>
                <w:spacing w:val="0"/>
                <w:sz w:val="21"/>
                <w:szCs w:val="21"/>
                <w:lang w:val="en-US" w:eastAsia="zh-CN"/>
              </w:rPr>
              <w:t>.</w:t>
            </w:r>
            <w:r>
              <w:rPr>
                <w:rFonts w:hint="eastAsia" w:ascii="Times New Roman" w:hAnsi="Times New Roman" w:cs="宋体"/>
                <w:color w:val="000000"/>
                <w:spacing w:val="0"/>
                <w:sz w:val="21"/>
                <w:szCs w:val="21"/>
                <w:lang w:val="en-US" w:eastAsia="zh-CN"/>
              </w:rPr>
              <w:t>4</w:t>
            </w:r>
          </w:p>
        </w:tc>
        <w:tc>
          <w:tcPr>
            <w:tcW w:w="481"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hAnsi="宋体" w:eastAsia="宋体"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PD</w:t>
            </w:r>
          </w:p>
        </w:tc>
        <w:tc>
          <w:tcPr>
            <w:tcW w:w="406"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10000</w:t>
            </w:r>
          </w:p>
        </w:tc>
        <w:tc>
          <w:tcPr>
            <w:tcW w:w="388" w:type="pct"/>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spacing w:val="0"/>
                <w:sz w:val="21"/>
                <w:szCs w:val="21"/>
                <w:lang w:val="en-US" w:eastAsia="zh-CN" w:bidi="ar"/>
              </w:rPr>
            </w:pPr>
            <w:r>
              <w:rPr>
                <w:rFonts w:hint="eastAsia" w:cs="宋体"/>
                <w:color w:val="000000"/>
                <w:spacing w:val="0"/>
                <w:sz w:val="21"/>
                <w:szCs w:val="21"/>
                <w:lang w:eastAsia="zh-CN" w:bidi="ar"/>
              </w:rPr>
              <w:t>废气</w:t>
            </w:r>
          </w:p>
        </w:tc>
        <w:tc>
          <w:tcPr>
            <w:tcW w:w="490" w:type="pct"/>
            <w:tcBorders>
              <w:left w:val="single" w:color="000000" w:sz="4" w:space="0"/>
              <w:right w:val="single" w:color="000000" w:sz="4" w:space="0"/>
            </w:tcBorders>
            <w:noWrap w:val="0"/>
            <w:vAlign w:val="center"/>
          </w:tcPr>
          <w:p>
            <w:pPr>
              <w:widowControl/>
              <w:spacing w:line="240" w:lineRule="auto"/>
              <w:ind w:firstLine="0" w:firstLineChars="0"/>
              <w:jc w:val="center"/>
              <w:rPr>
                <w:rFonts w:hint="default" w:ascii="宋体" w:hAnsi="宋体" w:eastAsia="宋体" w:cs="宋体"/>
                <w:color w:val="000000"/>
                <w:spacing w:val="0"/>
                <w:sz w:val="21"/>
                <w:szCs w:val="21"/>
                <w:lang w:val="en-US" w:eastAsia="zh-CN" w:bidi="ar"/>
              </w:rPr>
            </w:pPr>
            <w:r>
              <w:rPr>
                <w:rFonts w:hint="eastAsia" w:ascii="Times New Roman" w:hAnsi="Times New Roman" w:cs="宋体"/>
                <w:color w:val="000000"/>
                <w:spacing w:val="0"/>
                <w:sz w:val="21"/>
                <w:szCs w:val="21"/>
                <w:lang w:val="en-US" w:eastAsia="zh-CN" w:bidi="ar"/>
              </w:rPr>
              <w:t>2545</w:t>
            </w:r>
            <w:r>
              <w:rPr>
                <w:rFonts w:hint="eastAsia" w:ascii="Times New Roman" w:hAnsi="Times New Roman"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4</w:t>
            </w:r>
          </w:p>
        </w:tc>
        <w:tc>
          <w:tcPr>
            <w:tcW w:w="2188" w:type="pct"/>
            <w:tcBorders>
              <w:left w:val="single" w:color="000000" w:sz="4" w:space="0"/>
            </w:tcBorders>
            <w:noWrap w:val="0"/>
            <w:vAlign w:val="center"/>
          </w:tcPr>
          <w:p>
            <w:pPr>
              <w:widowControl/>
              <w:spacing w:line="240" w:lineRule="auto"/>
              <w:ind w:firstLine="0" w:firstLineChars="0"/>
              <w:jc w:val="center"/>
              <w:rPr>
                <w:rFonts w:hint="default" w:ascii="宋体" w:hAnsi="宋体" w:eastAsia="宋体" w:cs="宋体"/>
                <w:color w:val="000000"/>
                <w:spacing w:val="0"/>
                <w:sz w:val="21"/>
                <w:szCs w:val="21"/>
                <w:lang w:val="en-US" w:eastAsia="zh-CN" w:bidi="ar"/>
              </w:rPr>
            </w:pPr>
            <w:r>
              <w:rPr>
                <w:rFonts w:hint="eastAsia" w:ascii="Times New Roman" w:hAnsi="Times New Roman" w:cs="宋体"/>
                <w:color w:val="000000"/>
                <w:spacing w:val="0"/>
                <w:sz w:val="21"/>
                <w:szCs w:val="21"/>
                <w:lang w:val="en-US" w:eastAsia="zh-CN" w:bidi="ar"/>
              </w:rPr>
              <w:t>405</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06</w:t>
            </w:r>
            <w:r>
              <w:rPr>
                <w:rFonts w:hint="eastAsia" w:cs="宋体"/>
                <w:color w:val="000000"/>
                <w:spacing w:val="0"/>
                <w:sz w:val="21"/>
                <w:szCs w:val="21"/>
                <w:lang w:val="en-US" w:eastAsia="zh-CN" w:bidi="ar"/>
              </w:rPr>
              <w:t>为氨气，</w:t>
            </w:r>
            <w:r>
              <w:rPr>
                <w:rFonts w:hint="eastAsia" w:ascii="Times New Roman" w:hAnsi="Times New Roman" w:cs="宋体"/>
                <w:color w:val="000000"/>
                <w:spacing w:val="0"/>
                <w:sz w:val="21"/>
                <w:szCs w:val="21"/>
                <w:lang w:val="en-US" w:eastAsia="zh-CN" w:bidi="ar"/>
              </w:rPr>
              <w:t>0</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18</w:t>
            </w:r>
            <w:r>
              <w:rPr>
                <w:rFonts w:hint="eastAsia" w:cs="宋体"/>
                <w:color w:val="000000"/>
                <w:spacing w:val="0"/>
                <w:sz w:val="21"/>
                <w:szCs w:val="21"/>
                <w:lang w:val="en-US" w:eastAsia="zh-CN" w:bidi="ar"/>
              </w:rPr>
              <w:t>为</w:t>
            </w:r>
            <w:r>
              <w:rPr>
                <w:rFonts w:hint="eastAsia" w:ascii="Times New Roman" w:hAnsi="Times New Roman" w:cs="宋体"/>
                <w:color w:val="000000"/>
                <w:spacing w:val="0"/>
                <w:sz w:val="21"/>
                <w:szCs w:val="21"/>
                <w:lang w:val="en-US" w:eastAsia="zh-CN" w:bidi="ar"/>
              </w:rPr>
              <w:t>PD</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2140</w:t>
            </w:r>
            <w:r>
              <w:rPr>
                <w:rFonts w:hint="eastAsia" w:cs="宋体"/>
                <w:color w:val="000000"/>
                <w:spacing w:val="0"/>
                <w:sz w:val="21"/>
                <w:szCs w:val="21"/>
                <w:lang w:val="en-US" w:eastAsia="zh-CN" w:bidi="ar"/>
              </w:rPr>
              <w:t>.</w:t>
            </w:r>
            <w:r>
              <w:rPr>
                <w:rFonts w:hint="eastAsia" w:ascii="Times New Roman" w:hAnsi="Times New Roman" w:cs="宋体"/>
                <w:color w:val="000000"/>
                <w:spacing w:val="0"/>
                <w:sz w:val="21"/>
                <w:szCs w:val="21"/>
                <w:lang w:val="en-US" w:eastAsia="zh-CN" w:bidi="ar"/>
              </w:rPr>
              <w:t>16</w:t>
            </w:r>
            <w:r>
              <w:rPr>
                <w:rFonts w:hint="eastAsia" w:cs="宋体"/>
                <w:color w:val="000000"/>
                <w:spacing w:val="0"/>
                <w:sz w:val="21"/>
                <w:szCs w:val="21"/>
                <w:lang w:val="en-US" w:eastAsia="zh-CN" w:bidi="ar"/>
              </w:rPr>
              <w:t>为水蒸气，去尾气吸收塔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481" w:type="pct"/>
            <w:tcBorders>
              <w:right w:val="single" w:color="000000" w:sz="4" w:space="0"/>
            </w:tcBorders>
            <w:noWrap w:val="0"/>
            <w:vAlign w:val="center"/>
          </w:tcPr>
          <w:p>
            <w:pPr>
              <w:widowControl/>
              <w:spacing w:line="240" w:lineRule="auto"/>
              <w:ind w:firstLine="0"/>
              <w:jc w:val="center"/>
              <w:textAlignment w:val="center"/>
              <w:rPr>
                <w:rFonts w:hint="eastAsia" w:cs="宋体"/>
                <w:color w:val="000000"/>
                <w:spacing w:val="0"/>
                <w:sz w:val="21"/>
                <w:szCs w:val="21"/>
                <w:lang w:eastAsia="zh-CN"/>
              </w:rPr>
            </w:pPr>
          </w:p>
        </w:tc>
        <w:tc>
          <w:tcPr>
            <w:tcW w:w="560"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ascii="Times New Roman" w:hAnsi="Times New Roman" w:cs="宋体"/>
                <w:color w:val="000000"/>
                <w:spacing w:val="0"/>
                <w:sz w:val="21"/>
                <w:szCs w:val="21"/>
                <w:lang w:val="en-US" w:eastAsia="zh-CN"/>
              </w:rPr>
            </w:pPr>
          </w:p>
        </w:tc>
        <w:tc>
          <w:tcPr>
            <w:tcW w:w="481" w:type="pct"/>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spacing w:val="0"/>
                <w:sz w:val="21"/>
                <w:szCs w:val="21"/>
                <w:lang w:val="en-US" w:eastAsia="zh-CN" w:bidi="ar-SA"/>
              </w:rPr>
            </w:pPr>
            <w:r>
              <w:rPr>
                <w:rFonts w:hint="eastAsia" w:cs="宋体"/>
                <w:color w:val="000000"/>
                <w:spacing w:val="0"/>
                <w:sz w:val="21"/>
                <w:szCs w:val="21"/>
                <w:lang w:val="en-US" w:eastAsia="zh-CN"/>
              </w:rPr>
              <w:t>粗</w:t>
            </w:r>
            <w:r>
              <w:rPr>
                <w:rFonts w:hint="eastAsia" w:ascii="Times New Roman" w:hAnsi="Times New Roman" w:cs="宋体"/>
                <w:color w:val="000000"/>
                <w:spacing w:val="0"/>
                <w:sz w:val="21"/>
                <w:szCs w:val="21"/>
                <w:lang w:val="en-US" w:eastAsia="zh-CN"/>
              </w:rPr>
              <w:t>PD</w:t>
            </w:r>
          </w:p>
        </w:tc>
        <w:tc>
          <w:tcPr>
            <w:tcW w:w="406" w:type="pct"/>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ascii="宋体" w:hAnsi="宋体" w:eastAsia="宋体" w:cs="宋体"/>
                <w:color w:val="000000"/>
                <w:spacing w:val="0"/>
                <w:sz w:val="21"/>
                <w:szCs w:val="21"/>
                <w:lang w:val="en-US" w:eastAsia="zh-CN" w:bidi="ar-SA"/>
              </w:rPr>
            </w:pPr>
            <w:r>
              <w:rPr>
                <w:rFonts w:hint="eastAsia" w:ascii="Times New Roman" w:hAnsi="Times New Roman" w:cs="宋体"/>
                <w:color w:val="000000"/>
                <w:spacing w:val="0"/>
                <w:sz w:val="21"/>
                <w:szCs w:val="21"/>
                <w:lang w:val="en-US" w:eastAsia="zh-CN"/>
              </w:rPr>
              <w:t>2000</w:t>
            </w:r>
          </w:p>
        </w:tc>
        <w:tc>
          <w:tcPr>
            <w:tcW w:w="388" w:type="pct"/>
            <w:tcBorders>
              <w:left w:val="single" w:color="000000" w:sz="4" w:space="0"/>
              <w:right w:val="single" w:color="000000" w:sz="4" w:space="0"/>
            </w:tcBorders>
            <w:noWrap w:val="0"/>
            <w:vAlign w:val="center"/>
          </w:tcPr>
          <w:p>
            <w:pPr>
              <w:widowControl/>
              <w:spacing w:line="240" w:lineRule="auto"/>
              <w:ind w:firstLine="0" w:firstLineChars="0"/>
              <w:jc w:val="center"/>
              <w:textAlignment w:val="center"/>
              <w:rPr>
                <w:rFonts w:hint="eastAsia" w:cs="宋体"/>
                <w:color w:val="000000"/>
                <w:spacing w:val="0"/>
                <w:sz w:val="21"/>
                <w:szCs w:val="21"/>
                <w:lang w:eastAsia="zh-CN" w:bidi="ar"/>
              </w:rPr>
            </w:pPr>
          </w:p>
        </w:tc>
        <w:tc>
          <w:tcPr>
            <w:tcW w:w="490" w:type="pct"/>
            <w:tcBorders>
              <w:left w:val="single" w:color="000000" w:sz="4" w:space="0"/>
              <w:right w:val="single" w:color="000000" w:sz="4" w:space="0"/>
            </w:tcBorders>
            <w:noWrap w:val="0"/>
            <w:vAlign w:val="center"/>
          </w:tcPr>
          <w:p>
            <w:pPr>
              <w:widowControl/>
              <w:spacing w:line="240" w:lineRule="auto"/>
              <w:ind w:firstLine="0" w:firstLineChars="0"/>
              <w:jc w:val="center"/>
              <w:rPr>
                <w:rFonts w:hint="eastAsia" w:ascii="Times New Roman" w:hAnsi="Times New Roman" w:cs="宋体"/>
                <w:color w:val="000000"/>
                <w:spacing w:val="0"/>
                <w:sz w:val="21"/>
                <w:szCs w:val="21"/>
                <w:lang w:val="en-US" w:eastAsia="zh-CN" w:bidi="ar"/>
              </w:rPr>
            </w:pPr>
          </w:p>
        </w:tc>
        <w:tc>
          <w:tcPr>
            <w:tcW w:w="2188" w:type="pct"/>
            <w:tcBorders>
              <w:left w:val="single" w:color="000000" w:sz="4" w:space="0"/>
            </w:tcBorders>
            <w:noWrap w:val="0"/>
            <w:vAlign w:val="center"/>
          </w:tcPr>
          <w:p>
            <w:pPr>
              <w:widowControl/>
              <w:spacing w:line="240" w:lineRule="auto"/>
              <w:ind w:firstLine="0" w:firstLineChars="0"/>
              <w:jc w:val="center"/>
              <w:rPr>
                <w:rFonts w:hint="eastAsia" w:cs="宋体"/>
                <w:color w:val="000000"/>
                <w:spacing w:val="0"/>
                <w:sz w:val="21"/>
                <w:szCs w:val="21"/>
                <w:lang w:val="en-US" w:eastAsia="zh-CN" w:bidi="ar"/>
              </w:rPr>
            </w:pPr>
          </w:p>
        </w:tc>
      </w:tr>
      <w:bookmarkEnd w:id="131"/>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481" w:type="pct"/>
            <w:tcBorders>
              <w:right w:val="single" w:color="000000" w:sz="4" w:space="0"/>
            </w:tcBorders>
            <w:noWrap w:val="0"/>
            <w:vAlign w:val="center"/>
          </w:tcPr>
          <w:p>
            <w:pPr>
              <w:widowControl/>
              <w:spacing w:line="240" w:lineRule="auto"/>
              <w:ind w:firstLine="0"/>
              <w:jc w:val="center"/>
              <w:textAlignment w:val="center"/>
              <w:rPr>
                <w:rFonts w:hint="eastAsia" w:hAnsi="宋体" w:cs="宋体"/>
                <w:color w:val="000000"/>
                <w:spacing w:val="0"/>
                <w:sz w:val="21"/>
                <w:szCs w:val="21"/>
              </w:rPr>
            </w:pPr>
            <w:r>
              <w:rPr>
                <w:rFonts w:hint="eastAsia" w:hAnsi="宋体" w:cs="宋体"/>
                <w:color w:val="000000"/>
                <w:spacing w:val="0"/>
                <w:sz w:val="21"/>
                <w:szCs w:val="21"/>
                <w:lang w:bidi="ar"/>
              </w:rPr>
              <w:t>合计</w:t>
            </w:r>
          </w:p>
        </w:tc>
        <w:tc>
          <w:tcPr>
            <w:tcW w:w="560" w:type="pct"/>
            <w:tcBorders>
              <w:left w:val="single" w:color="000000" w:sz="4" w:space="0"/>
              <w:right w:val="single" w:color="000000" w:sz="4" w:space="0"/>
            </w:tcBorders>
            <w:noWrap w:val="0"/>
            <w:vAlign w:val="center"/>
          </w:tcPr>
          <w:p>
            <w:pPr>
              <w:widowControl/>
              <w:spacing w:line="240" w:lineRule="auto"/>
              <w:ind w:firstLine="0"/>
              <w:jc w:val="center"/>
              <w:textAlignment w:val="center"/>
              <w:rPr>
                <w:rFonts w:hint="default" w:hAnsi="宋体" w:eastAsia="宋体" w:cs="宋体"/>
                <w:color w:val="000000"/>
                <w:spacing w:val="0"/>
                <w:sz w:val="21"/>
                <w:szCs w:val="21"/>
                <w:lang w:val="en-US" w:eastAsia="zh-CN"/>
              </w:rPr>
            </w:pPr>
            <w:r>
              <w:rPr>
                <w:rFonts w:hint="eastAsia" w:ascii="Times New Roman" w:hAnsi="Times New Roman" w:cs="宋体"/>
                <w:color w:val="000000"/>
                <w:spacing w:val="0"/>
                <w:sz w:val="21"/>
                <w:szCs w:val="21"/>
                <w:lang w:val="en-US" w:eastAsia="zh-CN"/>
              </w:rPr>
              <w:t>14545</w:t>
            </w:r>
            <w:r>
              <w:rPr>
                <w:rFonts w:hint="eastAsia" w:cs="宋体"/>
                <w:color w:val="000000"/>
                <w:spacing w:val="0"/>
                <w:sz w:val="21"/>
                <w:szCs w:val="21"/>
                <w:lang w:val="en-US" w:eastAsia="zh-CN"/>
              </w:rPr>
              <w:t>.</w:t>
            </w:r>
            <w:r>
              <w:rPr>
                <w:rFonts w:hint="eastAsia" w:ascii="Times New Roman" w:hAnsi="Times New Roman" w:cs="宋体"/>
                <w:color w:val="000000"/>
                <w:spacing w:val="0"/>
                <w:sz w:val="21"/>
                <w:szCs w:val="21"/>
                <w:lang w:val="en-US" w:eastAsia="zh-CN"/>
              </w:rPr>
              <w:t>4</w:t>
            </w:r>
          </w:p>
        </w:tc>
        <w:tc>
          <w:tcPr>
            <w:tcW w:w="1768" w:type="pct"/>
            <w:gridSpan w:val="4"/>
            <w:tcBorders>
              <w:left w:val="single" w:color="000000" w:sz="4" w:space="0"/>
              <w:right w:val="single" w:color="000000" w:sz="4" w:space="0"/>
            </w:tcBorders>
            <w:noWrap w:val="0"/>
            <w:vAlign w:val="center"/>
          </w:tcPr>
          <w:p>
            <w:pPr>
              <w:widowControl/>
              <w:spacing w:line="240" w:lineRule="auto"/>
              <w:ind w:firstLine="0"/>
              <w:jc w:val="center"/>
              <w:rPr>
                <w:rFonts w:hint="default" w:ascii="等线" w:hAnsi="等线" w:eastAsia="等线" w:cs="等线"/>
                <w:color w:val="000000"/>
                <w:spacing w:val="0"/>
                <w:sz w:val="21"/>
                <w:szCs w:val="21"/>
                <w:lang w:val="en-US" w:eastAsia="zh-CN"/>
              </w:rPr>
            </w:pPr>
            <w:r>
              <w:rPr>
                <w:rFonts w:hint="eastAsia" w:ascii="Times New Roman" w:hAnsi="Times New Roman"/>
                <w:color w:val="000000"/>
                <w:spacing w:val="0"/>
                <w:sz w:val="21"/>
                <w:szCs w:val="21"/>
                <w:lang w:val="en-US" w:eastAsia="zh-CN" w:bidi="ar"/>
              </w:rPr>
              <w:t>14545</w:t>
            </w:r>
            <w:r>
              <w:rPr>
                <w:rFonts w:hint="eastAsia" w:ascii="Times New Roman" w:hAnsi="Times New Roman"/>
                <w:color w:val="000000"/>
                <w:spacing w:val="0"/>
                <w:sz w:val="21"/>
                <w:szCs w:val="21"/>
                <w:lang w:val="en-US" w:eastAsia="zh-CN" w:bidi="ar"/>
              </w:rPr>
              <w:t>.</w:t>
            </w:r>
            <w:r>
              <w:rPr>
                <w:rFonts w:hint="eastAsia" w:ascii="Times New Roman" w:hAnsi="Times New Roman"/>
                <w:color w:val="000000"/>
                <w:spacing w:val="0"/>
                <w:sz w:val="21"/>
                <w:szCs w:val="21"/>
                <w:lang w:val="en-US" w:eastAsia="zh-CN" w:bidi="ar"/>
              </w:rPr>
              <w:t>4</w:t>
            </w:r>
          </w:p>
        </w:tc>
        <w:tc>
          <w:tcPr>
            <w:tcW w:w="2188" w:type="pct"/>
            <w:tcBorders>
              <w:left w:val="single" w:color="000000" w:sz="4" w:space="0"/>
            </w:tcBorders>
            <w:noWrap w:val="0"/>
            <w:vAlign w:val="center"/>
          </w:tcPr>
          <w:p>
            <w:pPr>
              <w:widowControl/>
              <w:spacing w:line="240" w:lineRule="auto"/>
              <w:ind w:firstLine="0"/>
              <w:jc w:val="center"/>
              <w:rPr>
                <w:rFonts w:hint="eastAsia" w:ascii="Times New Roman" w:eastAsia="等线"/>
                <w:color w:val="000000"/>
                <w:spacing w:val="0"/>
                <w:sz w:val="21"/>
                <w:szCs w:val="21"/>
                <w:lang w:val="en-US" w:eastAsia="zh-CN" w:bidi="ar"/>
              </w:rPr>
            </w:pPr>
          </w:p>
        </w:tc>
      </w:tr>
    </w:tbl>
    <w:p>
      <w:pPr>
        <w:rPr>
          <w:rFonts w:hint="eastAsia" w:ascii="Times New Roman"/>
          <w:lang w:val="en-US" w:eastAsia="zh-CN"/>
        </w:rPr>
      </w:pPr>
      <w:bookmarkStart w:id="132" w:name="_Toc10069"/>
      <w:r>
        <w:rPr>
          <w:rFonts w:hint="eastAsia" w:ascii="Times New Roman"/>
          <w:lang w:eastAsia="zh-CN"/>
        </w:rPr>
        <w:t>本项目工艺流程及产污环节见图</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1</w:t>
      </w:r>
      <w:r>
        <w:rPr>
          <w:rFonts w:hint="eastAsia" w:ascii="Times New Roman"/>
          <w:lang w:val="en-US" w:eastAsia="zh-CN"/>
        </w:rPr>
        <w:t>。</w:t>
      </w:r>
    </w:p>
    <w:p>
      <w:pPr>
        <w:pStyle w:val="20"/>
        <w:bidi w:val="0"/>
        <w:rPr>
          <w:rFonts w:hint="eastAsia"/>
          <w:lang w:val="en-US" w:eastAsia="zh-CN"/>
        </w:rPr>
      </w:pPr>
      <w:r>
        <w:rPr>
          <w:rFonts w:hint="eastAsia"/>
          <w:lang w:val="en-US" w:eastAsia="zh-CN"/>
        </w:rPr>
        <w:pict>
          <v:shape id="_x0000_s2117" o:spid="_x0000_s2117" o:spt="75" alt="" type="#_x0000_t75" style="position:absolute;left:0pt;margin-left:-3.8pt;margin-top:11.75pt;height:328.65pt;width:447.7pt;mso-wrap-distance-bottom:0pt;mso-wrap-distance-top:0pt;z-index:251687936;mso-width-relative:page;mso-height-relative:page;" o:ole="t" filled="f" o:preferrelative="t" stroked="f" coordsize="21600,21600">
            <v:path/>
            <v:fill on="f" focussize="0,0"/>
            <v:stroke on="f"/>
            <v:imagedata r:id="rId53" o:title=""/>
            <o:lock v:ext="edit" aspectratio="f"/>
            <w10:wrap type="topAndBottom"/>
          </v:shape>
          <o:OLEObject Type="Embed" ProgID="Visio.Drawing.11" ShapeID="_x0000_s2117" DrawAspect="Content" ObjectID="_1468075739" r:id="rId52">
            <o:LockedField>false</o:LockedField>
          </o:OLEObject>
        </w:pict>
      </w:r>
      <w:r>
        <w:rPr>
          <w:rFonts w:hint="eastAsia"/>
        </w:rPr>
        <w:t>图</w:t>
      </w:r>
      <w:r>
        <w:rPr>
          <w:rFonts w:hint="eastAsia" w:ascii="Times New Roman" w:hAnsi="Times New Roman"/>
          <w:lang w:val="en-US" w:eastAsia="zh-CN"/>
        </w:rPr>
        <w:t>4</w:t>
      </w:r>
      <w:r>
        <w:rPr>
          <w:rFonts w:hint="eastAsia" w:ascii="Times New Roman" w:hAnsi="Times New Roman"/>
        </w:rPr>
        <w:t>.</w:t>
      </w:r>
      <w:r>
        <w:rPr>
          <w:rFonts w:hint="eastAsia" w:ascii="Times New Roman" w:hAnsi="Times New Roman"/>
          <w:lang w:val="en-US" w:eastAsia="zh-CN"/>
        </w:rPr>
        <w:t>6</w:t>
      </w:r>
      <w:r>
        <w:rPr>
          <w:rFonts w:hint="eastAsia" w:ascii="Times New Roman" w:hAnsi="Times New Roman"/>
        </w:rPr>
        <w:t>-</w:t>
      </w:r>
      <w:r>
        <w:rPr>
          <w:rFonts w:hint="eastAsia" w:ascii="Times New Roman" w:hAnsi="Times New Roman"/>
          <w:lang w:val="en-US" w:eastAsia="zh-CN"/>
        </w:rPr>
        <w:t>1</w:t>
      </w:r>
      <w:r>
        <w:rPr>
          <w:rFonts w:hint="eastAsia"/>
        </w:rPr>
        <w:t xml:space="preserve">  </w:t>
      </w:r>
      <w:r>
        <w:rPr>
          <w:rFonts w:hint="eastAsia"/>
          <w:lang w:eastAsia="zh-CN"/>
        </w:rPr>
        <w:t>本项目</w:t>
      </w:r>
      <w:r>
        <w:rPr>
          <w:rFonts w:hint="eastAsia"/>
        </w:rPr>
        <w:t>工艺流程及产污节点图</w:t>
      </w:r>
    </w:p>
    <w:p>
      <w:pPr>
        <w:pStyle w:val="5"/>
        <w:spacing w:before="156"/>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w:t>
      </w:r>
      <w:bookmarkEnd w:id="132"/>
      <w:bookmarkStart w:id="133" w:name="_Toc27911"/>
      <w:r>
        <w:rPr>
          <w:rFonts w:hint="eastAsia" w:ascii="Times New Roman" w:hAnsi="Times New Roman"/>
          <w:lang w:val="en-US" w:eastAsia="zh-CN"/>
        </w:rPr>
        <w:t>6</w:t>
      </w:r>
      <w:r>
        <w:rPr>
          <w:rFonts w:hint="eastAsia"/>
        </w:rPr>
        <w:t>环保工程</w:t>
      </w:r>
      <w:bookmarkEnd w:id="133"/>
    </w:p>
    <w:p>
      <w:pPr>
        <w:bidi w:val="0"/>
        <w:rPr>
          <w:rFonts w:hint="eastAsia"/>
          <w:lang w:eastAsia="zh-CN"/>
        </w:rPr>
      </w:pPr>
      <w:r>
        <w:rPr>
          <w:rFonts w:hint="eastAsia"/>
        </w:rPr>
        <w:t>（</w:t>
      </w:r>
      <w:r>
        <w:rPr>
          <w:rFonts w:hint="eastAsia" w:ascii="Times New Roman" w:hAnsi="Times New Roman"/>
        </w:rPr>
        <w:t>1</w:t>
      </w:r>
      <w:r>
        <w:rPr>
          <w:rFonts w:hint="eastAsia"/>
        </w:rPr>
        <w:t>）</w:t>
      </w:r>
      <w:r>
        <w:rPr>
          <w:rFonts w:hint="eastAsia"/>
          <w:lang w:eastAsia="zh-CN"/>
        </w:rPr>
        <w:t>尾气吸收塔</w:t>
      </w:r>
    </w:p>
    <w:p>
      <w:pPr>
        <w:bidi w:val="0"/>
        <w:rPr>
          <w:rFonts w:hint="eastAsia"/>
          <w:lang w:val="en-US" w:eastAsia="zh-CN"/>
        </w:rPr>
      </w:pPr>
      <w:r>
        <w:rPr>
          <w:rFonts w:hint="eastAsia"/>
          <w:lang w:val="en-US" w:eastAsia="zh-CN"/>
        </w:rPr>
        <w:t>本项目设置一套尾气吸收装置，由一级水吸收+二级酸吸收（</w:t>
      </w:r>
      <w:r>
        <w:rPr>
          <w:rFonts w:hint="eastAsia" w:ascii="Times New Roman" w:hAnsi="Times New Roman"/>
          <w:lang w:val="en-US" w:eastAsia="zh-CN"/>
        </w:rPr>
        <w:t>30</w:t>
      </w:r>
      <w:r>
        <w:rPr>
          <w:rFonts w:hint="eastAsia"/>
          <w:lang w:val="en-US" w:eastAsia="zh-CN"/>
        </w:rPr>
        <w:t>%稀硫酸）组成。吸收塔本身是利用气体与液体间逆流接触，将气体中的污染物传送到液体中，达到清洁气体的目的。本项目废气收集过程如下：</w:t>
      </w:r>
    </w:p>
    <w:p>
      <w:pPr>
        <w:bidi w:val="0"/>
        <w:rPr>
          <w:rFonts w:hint="eastAsia"/>
          <w:lang w:val="en-US" w:eastAsia="zh-CN"/>
        </w:rPr>
      </w:pPr>
      <w:r>
        <w:rPr>
          <w:rFonts w:hint="eastAsia"/>
          <w:lang w:val="en-US" w:eastAsia="zh-CN"/>
        </w:rPr>
        <w:t>①本项目</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PD</w:t>
      </w:r>
      <w:r>
        <w:rPr>
          <w:rFonts w:hint="eastAsia"/>
          <w:lang w:val="en-US" w:eastAsia="zh-CN"/>
        </w:rPr>
        <w:t>反应器和</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PD</w:t>
      </w:r>
      <w:r>
        <w:rPr>
          <w:rFonts w:hint="eastAsia"/>
          <w:lang w:val="en-US" w:eastAsia="zh-CN"/>
        </w:rPr>
        <w:t>反应器共用一台反应器冷凝器，</w:t>
      </w:r>
      <w:r>
        <w:rPr>
          <w:rFonts w:hint="eastAsia" w:ascii="Times New Roman" w:hAnsi="Times New Roman"/>
          <w:lang w:val="en-US" w:eastAsia="zh-CN"/>
        </w:rPr>
        <w:t>PD1</w:t>
      </w:r>
      <w:r>
        <w:rPr>
          <w:rFonts w:hint="eastAsia"/>
          <w:lang w:val="en-US" w:eastAsia="zh-CN"/>
        </w:rPr>
        <w:t>#反应器和</w:t>
      </w:r>
      <w:r>
        <w:rPr>
          <w:rFonts w:hint="eastAsia" w:ascii="Times New Roman" w:hAnsi="Times New Roman"/>
          <w:lang w:val="en-US" w:eastAsia="zh-CN"/>
        </w:rPr>
        <w:t>PD2</w:t>
      </w:r>
      <w:r>
        <w:rPr>
          <w:rFonts w:hint="eastAsia"/>
          <w:lang w:val="en-US" w:eastAsia="zh-CN"/>
        </w:rPr>
        <w:t>#反应器产生的废气（</w:t>
      </w:r>
      <w:r>
        <w:rPr>
          <w:rFonts w:hint="eastAsia" w:ascii="Times New Roman" w:hAnsi="Times New Roman"/>
          <w:lang w:val="en-US" w:eastAsia="zh-CN"/>
        </w:rPr>
        <w:t>G</w:t>
      </w:r>
      <w:r>
        <w:rPr>
          <w:rFonts w:hint="eastAsia" w:ascii="Times New Roman" w:hAnsi="Times New Roman"/>
          <w:vertAlign w:val="subscript"/>
          <w:lang w:val="en-US" w:eastAsia="zh-CN"/>
        </w:rPr>
        <w:t>1</w:t>
      </w:r>
      <w:r>
        <w:rPr>
          <w:rFonts w:hint="eastAsia"/>
          <w:lang w:val="en-US" w:eastAsia="zh-CN"/>
        </w:rPr>
        <w:t>、</w:t>
      </w:r>
      <w:r>
        <w:rPr>
          <w:rFonts w:hint="eastAsia" w:ascii="Times New Roman" w:hAnsi="Times New Roman"/>
          <w:lang w:val="en-US" w:eastAsia="zh-CN"/>
        </w:rPr>
        <w:t>G</w:t>
      </w:r>
      <w:r>
        <w:rPr>
          <w:rFonts w:hint="eastAsia" w:ascii="Times New Roman" w:hAnsi="Times New Roman"/>
          <w:vertAlign w:val="subscript"/>
          <w:lang w:val="en-US" w:eastAsia="zh-CN"/>
        </w:rPr>
        <w:t>3</w:t>
      </w:r>
      <w:r>
        <w:rPr>
          <w:rFonts w:hint="eastAsia"/>
          <w:lang w:val="en-US" w:eastAsia="zh-CN"/>
        </w:rPr>
        <w:t>）经冷凝器冷凝后，不凝气通过真空泵收集后经尾气吸收塔（一级水吸收+二级酸吸收）处理后排放。主要发生如下反应：</w:t>
      </w:r>
    </w:p>
    <w:p>
      <w:pPr>
        <w:bidi w:val="0"/>
        <w:jc w:val="center"/>
        <w:rPr>
          <w:rFonts w:hint="eastAsia"/>
          <w:lang w:val="en-US" w:eastAsia="zh-CN"/>
        </w:rPr>
      </w:pPr>
      <w:r>
        <w:rPr>
          <w:rFonts w:hint="eastAsia"/>
          <w:position w:val="-12"/>
          <w:lang w:val="en-US" w:eastAsia="zh-CN"/>
        </w:rPr>
        <w:object>
          <v:shape id="_x0000_i1036" o:spt="75" type="#_x0000_t75" style="height:18pt;width:123pt;" o:ole="t" filled="f" o:preferrelative="t" stroked="f" coordsize="21600,21600">
            <v:path/>
            <v:fill on="f" focussize="0,0"/>
            <v:stroke on="f"/>
            <v:imagedata r:id="rId55" o:title=""/>
            <o:lock v:ext="edit" aspectratio="t"/>
            <w10:wrap type="none"/>
            <w10:anchorlock/>
          </v:shape>
          <o:OLEObject Type="Embed" ProgID="Equation.KSEE3" ShapeID="_x0000_i1036" DrawAspect="Content" ObjectID="_1468075740" r:id="rId54">
            <o:LockedField>false</o:LockedField>
          </o:OLEObject>
        </w:object>
      </w:r>
    </w:p>
    <w:p>
      <w:pPr>
        <w:bidi w:val="0"/>
        <w:rPr>
          <w:rFonts w:hint="eastAsia"/>
          <w:lang w:val="en-US" w:eastAsia="zh-CN"/>
        </w:rPr>
      </w:pPr>
      <w:r>
        <w:rPr>
          <w:rFonts w:hint="eastAsia" w:ascii="Times New Roman" w:hAnsi="Times New Roman"/>
          <w:lang w:val="en-US" w:eastAsia="zh-CN"/>
        </w:rPr>
        <w:t>PD</w:t>
      </w:r>
      <w:r>
        <w:rPr>
          <w:rFonts w:hint="eastAsia"/>
          <w:lang w:val="en-US" w:eastAsia="zh-CN"/>
        </w:rPr>
        <w:t>反应器不凝气中主要污染物为</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和</w:t>
      </w:r>
      <w:r>
        <w:rPr>
          <w:rFonts w:hint="eastAsia" w:ascii="Times New Roman" w:hAnsi="Times New Roman"/>
          <w:lang w:val="en-US" w:eastAsia="zh-CN"/>
        </w:rPr>
        <w:t>NMHC</w:t>
      </w:r>
      <w:r>
        <w:rPr>
          <w:rFonts w:hint="eastAsia"/>
          <w:lang w:val="en-US" w:eastAsia="zh-CN"/>
        </w:rPr>
        <w:t>，由于</w:t>
      </w:r>
      <w:r>
        <w:rPr>
          <w:rFonts w:hint="eastAsia" w:ascii="Times New Roman" w:hAnsi="Times New Roman"/>
          <w:lang w:val="en-US" w:eastAsia="zh-CN"/>
        </w:rPr>
        <w:t>PD</w:t>
      </w:r>
      <w:r>
        <w:rPr>
          <w:rFonts w:hint="eastAsia"/>
          <w:lang w:val="en-US" w:eastAsia="zh-CN"/>
        </w:rPr>
        <w:t>和</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均溶于水，因此采用一级水吸收+二级酸吸收工艺具有较好的效果，在净化废气，去除废气污染物的同时，可回收吸收液。</w:t>
      </w:r>
    </w:p>
    <w:p>
      <w:pPr>
        <w:bidi w:val="0"/>
        <w:rPr>
          <w:rFonts w:hint="default"/>
          <w:lang w:val="en-US" w:eastAsia="zh-CN"/>
        </w:rPr>
      </w:pPr>
      <w:r>
        <w:rPr>
          <w:rFonts w:hint="eastAsia"/>
          <w:lang w:val="en-US" w:eastAsia="zh-CN"/>
        </w:rPr>
        <w:t>②闪蒸罐产生的闪蒸废气（</w:t>
      </w:r>
      <w:r>
        <w:rPr>
          <w:rFonts w:hint="eastAsia" w:ascii="Times New Roman" w:hAnsi="Times New Roman"/>
          <w:lang w:val="en-US" w:eastAsia="zh-CN"/>
        </w:rPr>
        <w:t>G</w:t>
      </w:r>
      <w:r>
        <w:rPr>
          <w:rFonts w:hint="eastAsia" w:ascii="Times New Roman" w:hAnsi="Times New Roman"/>
          <w:vertAlign w:val="subscript"/>
          <w:lang w:val="en-US" w:eastAsia="zh-CN"/>
        </w:rPr>
        <w:t>2</w:t>
      </w:r>
      <w:r>
        <w:rPr>
          <w:rFonts w:hint="eastAsia"/>
          <w:lang w:val="en-US" w:eastAsia="zh-CN"/>
        </w:rPr>
        <w:t>），主要成份为反应生成且溶解在物料中的氨。通过真空泵收集后经尾气吸收塔处理后排放。</w:t>
      </w:r>
    </w:p>
    <w:p>
      <w:pPr>
        <w:bidi w:val="0"/>
        <w:rPr>
          <w:rFonts w:hint="eastAsia"/>
          <w:lang w:val="en-US" w:eastAsia="zh-CN"/>
        </w:rPr>
      </w:pPr>
      <w:r>
        <w:rPr>
          <w:rFonts w:hint="eastAsia"/>
          <w:lang w:val="en-US" w:eastAsia="zh-CN"/>
        </w:rPr>
        <w:t>③脱水塔顶部设置塔顶冷凝器，脱水塔废气（</w:t>
      </w:r>
      <w:r>
        <w:rPr>
          <w:rFonts w:hint="eastAsia" w:ascii="Times New Roman" w:hAnsi="Times New Roman"/>
          <w:lang w:val="en-US" w:eastAsia="zh-CN"/>
        </w:rPr>
        <w:t>G</w:t>
      </w:r>
      <w:r>
        <w:rPr>
          <w:rFonts w:hint="eastAsia" w:ascii="Times New Roman" w:hAnsi="Times New Roman"/>
          <w:vertAlign w:val="subscript"/>
          <w:lang w:val="en-US" w:eastAsia="zh-CN"/>
        </w:rPr>
        <w:t>4</w:t>
      </w:r>
      <w:r>
        <w:rPr>
          <w:rFonts w:hint="eastAsia"/>
          <w:lang w:val="en-US" w:eastAsia="zh-CN"/>
        </w:rPr>
        <w:t>）经塔顶冷凝器冷凝后，不凝气主要成份为水蒸气、氨和少量</w:t>
      </w:r>
      <w:r>
        <w:rPr>
          <w:rFonts w:hint="eastAsia" w:ascii="Times New Roman" w:hAnsi="Times New Roman"/>
          <w:lang w:val="en-US" w:eastAsia="zh-CN"/>
        </w:rPr>
        <w:t>PD</w:t>
      </w:r>
      <w:r>
        <w:rPr>
          <w:rFonts w:hint="eastAsia"/>
          <w:lang w:val="en-US" w:eastAsia="zh-CN"/>
        </w:rPr>
        <w:t>，排入尾气吸收塔，经尾气吸收塔处理后排放。</w:t>
      </w:r>
    </w:p>
    <w:p>
      <w:pPr>
        <w:bidi w:val="0"/>
        <w:rPr>
          <w:rFonts w:hint="eastAsia"/>
          <w:lang w:val="en-US" w:eastAsia="zh-CN"/>
        </w:rPr>
      </w:pPr>
      <w:r>
        <w:rPr>
          <w:rFonts w:hint="eastAsia"/>
          <w:lang w:val="en-US" w:eastAsia="zh-CN"/>
        </w:rPr>
        <w:t>④脱轻塔顶部设置塔顶冷凝器，脱轻塔废气（</w:t>
      </w:r>
      <w:r>
        <w:rPr>
          <w:rFonts w:hint="eastAsia" w:ascii="Times New Roman" w:hAnsi="Times New Roman"/>
          <w:lang w:val="en-US" w:eastAsia="zh-CN"/>
        </w:rPr>
        <w:t>G</w:t>
      </w:r>
      <w:r>
        <w:rPr>
          <w:rFonts w:hint="eastAsia" w:ascii="Times New Roman" w:hAnsi="Times New Roman"/>
          <w:vertAlign w:val="subscript"/>
          <w:lang w:val="en-US" w:eastAsia="zh-CN"/>
        </w:rPr>
        <w:t>5</w:t>
      </w:r>
      <w:r>
        <w:rPr>
          <w:rFonts w:hint="eastAsia"/>
          <w:lang w:val="en-US" w:eastAsia="zh-CN"/>
        </w:rPr>
        <w:t>）经塔顶冷凝器冷凝后，不凝气主要成份为水蒸气、氨和少量</w:t>
      </w:r>
      <w:r>
        <w:rPr>
          <w:rFonts w:hint="eastAsia" w:ascii="Times New Roman" w:hAnsi="Times New Roman"/>
          <w:lang w:val="en-US" w:eastAsia="zh-CN"/>
        </w:rPr>
        <w:t>PD</w:t>
      </w:r>
      <w:r>
        <w:rPr>
          <w:rFonts w:hint="eastAsia"/>
          <w:lang w:val="en-US" w:eastAsia="zh-CN"/>
        </w:rPr>
        <w:t>，排入尾气吸收塔，经尾气吸收塔处理后排放。</w:t>
      </w:r>
    </w:p>
    <w:p>
      <w:pPr>
        <w:bidi w:val="0"/>
        <w:rPr>
          <w:rFonts w:hint="eastAsia"/>
          <w:lang w:val="en-US" w:eastAsia="zh-CN"/>
        </w:rPr>
      </w:pPr>
      <w:r>
        <w:rPr>
          <w:rFonts w:hint="eastAsia"/>
          <w:lang w:val="en-US" w:eastAsia="zh-CN"/>
        </w:rPr>
        <w:t>⑤</w:t>
      </w:r>
      <w:r>
        <w:rPr>
          <w:rFonts w:hint="eastAsia" w:ascii="Times New Roman" w:hAnsi="Times New Roman"/>
          <w:lang w:val="en-US" w:eastAsia="zh-CN"/>
        </w:rPr>
        <w:t>PD</w:t>
      </w:r>
      <w:r>
        <w:rPr>
          <w:rFonts w:hint="eastAsia"/>
          <w:lang w:val="en-US" w:eastAsia="zh-CN"/>
        </w:rPr>
        <w:t>成品塔不凝气（</w:t>
      </w:r>
      <w:r>
        <w:rPr>
          <w:rFonts w:hint="eastAsia" w:ascii="Times New Roman" w:hAnsi="Times New Roman"/>
          <w:lang w:val="en-US" w:eastAsia="zh-CN"/>
        </w:rPr>
        <w:t>G</w:t>
      </w:r>
      <w:r>
        <w:rPr>
          <w:rFonts w:hint="eastAsia" w:ascii="Times New Roman" w:hAnsi="Times New Roman"/>
          <w:vertAlign w:val="subscript"/>
          <w:lang w:val="en-US" w:eastAsia="zh-CN"/>
        </w:rPr>
        <w:t>6</w:t>
      </w:r>
      <w:r>
        <w:rPr>
          <w:rFonts w:hint="eastAsia"/>
          <w:lang w:val="en-US" w:eastAsia="zh-CN"/>
        </w:rPr>
        <w:t>），主要成份为少量水蒸气和</w:t>
      </w:r>
      <w:r>
        <w:rPr>
          <w:rFonts w:hint="eastAsia" w:ascii="Times New Roman" w:hAnsi="Times New Roman"/>
          <w:lang w:val="en-US" w:eastAsia="zh-CN"/>
        </w:rPr>
        <w:t>PD</w:t>
      </w:r>
      <w:r>
        <w:rPr>
          <w:rFonts w:hint="eastAsia"/>
          <w:lang w:val="en-US" w:eastAsia="zh-CN"/>
        </w:rPr>
        <w:t>，通过真空泵收集后经尾气吸收塔处理后排放。</w:t>
      </w:r>
    </w:p>
    <w:p>
      <w:pPr>
        <w:rPr>
          <w:rFonts w:hint="eastAsia" w:eastAsia="宋体"/>
          <w:lang w:eastAsia="zh-CN"/>
        </w:rPr>
      </w:pPr>
      <w:r>
        <w:rPr>
          <w:rFonts w:hint="eastAsia"/>
        </w:rPr>
        <w:t>（</w:t>
      </w:r>
      <w:r>
        <w:rPr>
          <w:rFonts w:hint="eastAsia" w:ascii="Times New Roman" w:hAnsi="Times New Roman"/>
          <w:lang w:val="en-US" w:eastAsia="zh-CN"/>
        </w:rPr>
        <w:t>2</w:t>
      </w:r>
      <w:r>
        <w:rPr>
          <w:rFonts w:hint="eastAsia"/>
        </w:rPr>
        <w:t>）</w:t>
      </w:r>
      <w:r>
        <w:rPr>
          <w:rFonts w:hint="eastAsia"/>
          <w:lang w:eastAsia="zh-CN"/>
        </w:rPr>
        <w:t>污水处理站</w:t>
      </w:r>
    </w:p>
    <w:p>
      <w:pPr>
        <w:bidi w:val="0"/>
        <w:rPr>
          <w:rFonts w:hint="eastAsia"/>
          <w:lang w:val="en-US" w:eastAsia="zh-CN"/>
        </w:rPr>
      </w:pPr>
      <w:r>
        <w:rPr>
          <w:rFonts w:hint="eastAsia"/>
          <w:lang w:eastAsia="zh-CN"/>
        </w:rPr>
        <w:t>本项目需要处理废水中，</w:t>
      </w:r>
      <w:r>
        <w:rPr>
          <w:rFonts w:hint="eastAsia"/>
          <w:lang w:val="en-US" w:eastAsia="zh-CN"/>
        </w:rPr>
        <w:t>装置地面冲洗废水主要污染物为</w:t>
      </w:r>
      <w:r>
        <w:rPr>
          <w:rFonts w:hint="eastAsia" w:ascii="Times New Roman" w:hAnsi="Times New Roman"/>
          <w:lang w:val="en-US" w:eastAsia="zh-CN"/>
        </w:rPr>
        <w:t>COD</w:t>
      </w:r>
      <w:r>
        <w:rPr>
          <w:rFonts w:hint="eastAsia"/>
          <w:lang w:val="en-US" w:eastAsia="zh-CN"/>
        </w:rPr>
        <w:t>、</w:t>
      </w:r>
      <w:r>
        <w:rPr>
          <w:rFonts w:hint="eastAsia" w:ascii="Times New Roman" w:hAnsi="Times New Roman"/>
          <w:lang w:val="en-US" w:eastAsia="zh-CN"/>
        </w:rPr>
        <w:t>BOD</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w:t>
      </w:r>
      <w:r>
        <w:rPr>
          <w:rFonts w:hint="eastAsia"/>
          <w:lang w:val="en-US" w:eastAsia="zh-CN"/>
        </w:rPr>
        <w:t>，员工生活污水主要污染物为</w:t>
      </w:r>
      <w:r>
        <w:rPr>
          <w:rFonts w:hint="eastAsia" w:ascii="Times New Roman" w:hAnsi="Times New Roman"/>
          <w:lang w:val="en-US" w:eastAsia="zh-CN"/>
        </w:rPr>
        <w:t>COD</w:t>
      </w:r>
      <w:r>
        <w:rPr>
          <w:rFonts w:hint="eastAsia"/>
          <w:lang w:val="en-US" w:eastAsia="zh-CN"/>
        </w:rPr>
        <w:t>、</w:t>
      </w:r>
      <w:r>
        <w:rPr>
          <w:rFonts w:hint="eastAsia" w:ascii="Times New Roman" w:hAnsi="Times New Roman"/>
          <w:lang w:val="en-US" w:eastAsia="zh-CN"/>
        </w:rPr>
        <w:t>BOD</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w:t>
      </w:r>
      <w:r>
        <w:rPr>
          <w:rFonts w:hint="eastAsia"/>
          <w:lang w:val="en-US" w:eastAsia="zh-CN"/>
        </w:rPr>
        <w:t>。本项目依托现有</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万</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d</w:t>
      </w:r>
      <w:r>
        <w:rPr>
          <w:rFonts w:hint="eastAsia"/>
          <w:lang w:val="en-US" w:eastAsia="zh-CN"/>
        </w:rPr>
        <w:t>污水处理站采用水解酸化+</w:t>
      </w:r>
      <w:r>
        <w:rPr>
          <w:rFonts w:hint="eastAsia" w:ascii="Times New Roman" w:hAnsi="Times New Roman"/>
          <w:lang w:val="en-US" w:eastAsia="zh-CN"/>
        </w:rPr>
        <w:t>A2O</w:t>
      </w:r>
      <w:r>
        <w:rPr>
          <w:rFonts w:hint="eastAsia"/>
          <w:lang w:val="en-US" w:eastAsia="zh-CN"/>
        </w:rPr>
        <w:t>处理工艺处理后，达到《污水排入城镇下水道水质标准》（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1B</w:t>
      </w:r>
      <w:r>
        <w:rPr>
          <w:rFonts w:hint="eastAsia"/>
          <w:lang w:val="en-US" w:eastAsia="zh-CN"/>
        </w:rPr>
        <w:t>级限值，可吸附卤化物满足《合成树脂工业污染物排放标准》（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1</w:t>
      </w:r>
      <w:r>
        <w:rPr>
          <w:rFonts w:hint="eastAsia"/>
          <w:lang w:val="en-US" w:eastAsia="zh-CN"/>
        </w:rPr>
        <w:t>间接排放限值，排入园区管网。</w:t>
      </w:r>
    </w:p>
    <w:p>
      <w:pPr>
        <w:bidi w:val="0"/>
        <w:rPr>
          <w:rFonts w:hint="eastAsia"/>
          <w:lang w:eastAsia="zh-CN"/>
        </w:rPr>
      </w:pPr>
      <w:r>
        <w:rPr>
          <w:rFonts w:hint="eastAsia"/>
          <w:lang w:eastAsia="zh-CN"/>
        </w:rPr>
        <w:t>本项目装置地面冲洗废水和生活污水依托现有工程污水站处理，将增加少量生化污泥。</w:t>
      </w:r>
    </w:p>
    <w:p>
      <w:pPr>
        <w:pStyle w:val="5"/>
        <w:bidi w:val="0"/>
        <w:rPr>
          <w:rFonts w:hint="eastAsia" w:eastAsia="华文楷体"/>
          <w:lang w:eastAsia="zh-CN"/>
        </w:rPr>
      </w:pPr>
      <w:bookmarkStart w:id="134" w:name="_Toc12046"/>
      <w:r>
        <w:rPr>
          <w:rFonts w:hint="eastAsia" w:ascii="Times New Roman" w:hAnsi="Times New Roman"/>
          <w:lang w:val="en-US" w:eastAsia="zh-CN"/>
        </w:rPr>
        <w:t>4</w:t>
      </w:r>
      <w:r>
        <w:rPr>
          <w:rFonts w:hint="eastAsia"/>
        </w:rPr>
        <w:t>.</w:t>
      </w:r>
      <w:r>
        <w:rPr>
          <w:rFonts w:hint="eastAsia" w:ascii="Times New Roman" w:hAnsi="Times New Roman"/>
          <w:lang w:val="en-US" w:eastAsia="zh-CN"/>
        </w:rPr>
        <w:t>6</w:t>
      </w:r>
      <w:r>
        <w:rPr>
          <w:rFonts w:hint="eastAsia"/>
        </w:rPr>
        <w:t>.</w:t>
      </w:r>
      <w:bookmarkEnd w:id="134"/>
      <w:r>
        <w:rPr>
          <w:rFonts w:hint="eastAsia" w:ascii="Times New Roman" w:hAnsi="Times New Roman"/>
          <w:lang w:val="en-US" w:eastAsia="zh-CN"/>
        </w:rPr>
        <w:t>7</w:t>
      </w:r>
      <w:r>
        <w:rPr>
          <w:rFonts w:hint="eastAsia"/>
          <w:lang w:eastAsia="zh-CN"/>
        </w:rPr>
        <w:t>总物料平衡</w:t>
      </w:r>
    </w:p>
    <w:p>
      <w:r>
        <w:rPr>
          <w:rFonts w:hint="eastAsia"/>
        </w:rPr>
        <w:t>本项目</w:t>
      </w:r>
      <w:r>
        <w:rPr>
          <w:rFonts w:hint="eastAsia"/>
          <w:lang w:eastAsia="zh-CN"/>
        </w:rPr>
        <w:t>总</w:t>
      </w:r>
      <w:r>
        <w:rPr>
          <w:rFonts w:hint="eastAsia"/>
        </w:rPr>
        <w:t>物料平衡见表</w:t>
      </w:r>
      <w:r>
        <w:rPr>
          <w:rFonts w:hint="eastAsia" w:ascii="Times New Roman" w:hAnsi="Times New Roman"/>
          <w:lang w:val="en-US" w:eastAsia="zh-CN"/>
        </w:rPr>
        <w:t>4</w:t>
      </w:r>
      <w:r>
        <w:rPr>
          <w:rFonts w:hint="eastAsia" w:ascii="Times New Roman"/>
        </w:rPr>
        <w:t>.</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5</w:t>
      </w:r>
      <w:r>
        <w:rPr>
          <w:rFonts w:hint="eastAsia" w:ascii="Times New Roman"/>
          <w:lang w:val="en-US" w:eastAsia="zh-CN"/>
        </w:rPr>
        <w:t>，尾气吸收塔物料平衡见表</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6</w:t>
      </w:r>
      <w:r>
        <w:rPr>
          <w:rFonts w:hint="eastAsia"/>
        </w:rPr>
        <w:t>。</w:t>
      </w:r>
    </w:p>
    <w:p>
      <w:pPr>
        <w:pStyle w:val="20"/>
        <w:spacing w:before="156"/>
        <w:rPr>
          <w:color w:val="auto"/>
        </w:rPr>
      </w:pPr>
      <w:r>
        <w:rPr>
          <w:rFonts w:hint="eastAsia"/>
          <w:color w:val="auto"/>
        </w:rPr>
        <w:t>表</w:t>
      </w:r>
      <w:r>
        <w:rPr>
          <w:rFonts w:hint="eastAsia" w:ascii="Times New Roman" w:hAnsi="Times New Roman"/>
          <w:color w:val="auto"/>
          <w:lang w:val="en-US" w:eastAsia="zh-CN"/>
        </w:rPr>
        <w:t>4</w:t>
      </w:r>
      <w:r>
        <w:rPr>
          <w:rFonts w:hint="eastAsia" w:ascii="Times New Roman" w:hAnsi="Times New Roman"/>
          <w:color w:val="auto"/>
        </w:rPr>
        <w:t>.</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5</w:t>
      </w:r>
      <w:r>
        <w:rPr>
          <w:rFonts w:hint="eastAsia"/>
          <w:color w:val="auto"/>
        </w:rPr>
        <w:t xml:space="preserve">  本项目</w:t>
      </w:r>
      <w:r>
        <w:rPr>
          <w:rFonts w:hint="eastAsia"/>
          <w:color w:val="auto"/>
          <w:lang w:eastAsia="zh-CN"/>
        </w:rPr>
        <w:t>总</w:t>
      </w:r>
      <w:r>
        <w:rPr>
          <w:rFonts w:hint="eastAsia"/>
          <w:color w:val="auto"/>
        </w:rPr>
        <w:t>物料平衡</w:t>
      </w:r>
    </w:p>
    <w:tbl>
      <w:tblPr>
        <w:tblStyle w:val="80"/>
        <w:tblW w:w="4997" w:type="pct"/>
        <w:tblInd w:w="0" w:type="dxa"/>
        <w:tblLayout w:type="autofit"/>
        <w:tblCellMar>
          <w:top w:w="15" w:type="dxa"/>
          <w:left w:w="15" w:type="dxa"/>
          <w:bottom w:w="15" w:type="dxa"/>
          <w:right w:w="15" w:type="dxa"/>
        </w:tblCellMar>
      </w:tblPr>
      <w:tblGrid>
        <w:gridCol w:w="1206"/>
        <w:gridCol w:w="1089"/>
        <w:gridCol w:w="1445"/>
        <w:gridCol w:w="1085"/>
        <w:gridCol w:w="4158"/>
      </w:tblGrid>
      <w:tr>
        <w:tblPrEx>
          <w:tblCellMar>
            <w:top w:w="15" w:type="dxa"/>
            <w:left w:w="15" w:type="dxa"/>
            <w:bottom w:w="15" w:type="dxa"/>
            <w:right w:w="15" w:type="dxa"/>
          </w:tblCellMar>
        </w:tblPrEx>
        <w:trPr>
          <w:trHeight w:val="90" w:hRule="atLeast"/>
        </w:trPr>
        <w:tc>
          <w:tcPr>
            <w:tcW w:w="1277" w:type="pct"/>
            <w:gridSpan w:val="2"/>
            <w:tcBorders>
              <w:top w:val="single" w:color="000000" w:sz="12" w:space="0"/>
              <w:left w:val="single" w:color="000000" w:sz="12"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进项</w:t>
            </w:r>
          </w:p>
        </w:tc>
        <w:tc>
          <w:tcPr>
            <w:tcW w:w="3722" w:type="pct"/>
            <w:gridSpan w:val="3"/>
            <w:tcBorders>
              <w:top w:val="single" w:color="000000" w:sz="12" w:space="0"/>
              <w:left w:val="single" w:color="000000" w:sz="4" w:space="0"/>
              <w:bottom w:val="single" w:color="000000" w:sz="4" w:space="0"/>
              <w:right w:val="single" w:color="000000" w:sz="12"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出项</w:t>
            </w:r>
          </w:p>
        </w:tc>
      </w:tr>
      <w:tr>
        <w:tblPrEx>
          <w:tblCellMar>
            <w:top w:w="15" w:type="dxa"/>
            <w:left w:w="15" w:type="dxa"/>
            <w:bottom w:w="15" w:type="dxa"/>
            <w:right w:w="15" w:type="dxa"/>
          </w:tblCellMar>
        </w:tblPrEx>
        <w:trPr>
          <w:trHeight w:val="90" w:hRule="atLeast"/>
        </w:trPr>
        <w:tc>
          <w:tcPr>
            <w:tcW w:w="671"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项目</w:t>
            </w:r>
          </w:p>
        </w:tc>
        <w:tc>
          <w:tcPr>
            <w:tcW w:w="606"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耗用量</w:t>
            </w:r>
            <w:r>
              <w:rPr>
                <w:rFonts w:hint="eastAsia" w:ascii="Times New Roman" w:hAnsi="Times New Roman"/>
                <w:color w:val="auto"/>
                <w:sz w:val="21"/>
                <w:szCs w:val="21"/>
              </w:rPr>
              <w:t>t</w:t>
            </w:r>
            <w:r>
              <w:rPr>
                <w:rFonts w:hint="eastAsia"/>
                <w:color w:val="auto"/>
                <w:sz w:val="21"/>
                <w:szCs w:val="21"/>
              </w:rPr>
              <w:t>/</w:t>
            </w:r>
            <w:r>
              <w:rPr>
                <w:rFonts w:hint="eastAsia" w:ascii="Times New Roman" w:hAnsi="Times New Roman"/>
                <w:color w:val="auto"/>
                <w:sz w:val="21"/>
                <w:szCs w:val="21"/>
              </w:rPr>
              <w:t>a</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项目</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产出量</w:t>
            </w:r>
            <w:r>
              <w:rPr>
                <w:rFonts w:hint="eastAsia" w:ascii="Times New Roman" w:hAnsi="Times New Roman"/>
                <w:color w:val="auto"/>
                <w:sz w:val="21"/>
                <w:szCs w:val="21"/>
              </w:rPr>
              <w:t>t</w:t>
            </w:r>
            <w:r>
              <w:rPr>
                <w:rFonts w:hint="eastAsia"/>
                <w:color w:val="auto"/>
                <w:sz w:val="21"/>
                <w:szCs w:val="21"/>
              </w:rPr>
              <w:t>/</w:t>
            </w:r>
            <w:r>
              <w:rPr>
                <w:rFonts w:hint="eastAsia" w:ascii="Times New Roman" w:hAnsi="Times New Roman"/>
                <w:color w:val="auto"/>
                <w:sz w:val="21"/>
                <w:szCs w:val="21"/>
              </w:rPr>
              <w:t>a</w:t>
            </w:r>
          </w:p>
        </w:tc>
        <w:tc>
          <w:tcPr>
            <w:tcW w:w="2313"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jc w:val="center"/>
              <w:rPr>
                <w:rFonts w:hint="eastAsia" w:eastAsia="宋体"/>
                <w:color w:val="auto"/>
                <w:sz w:val="21"/>
                <w:szCs w:val="21"/>
                <w:lang w:val="en-US" w:eastAsia="zh-CN"/>
              </w:rPr>
            </w:pPr>
            <w:r>
              <w:rPr>
                <w:rFonts w:hint="eastAsia"/>
                <w:color w:val="auto"/>
                <w:sz w:val="21"/>
                <w:szCs w:val="21"/>
              </w:rPr>
              <w:t>处理方法</w:t>
            </w:r>
            <w:r>
              <w:rPr>
                <w:rFonts w:hint="eastAsia"/>
                <w:color w:val="auto"/>
                <w:sz w:val="21"/>
                <w:szCs w:val="21"/>
                <w:lang w:val="en-US" w:eastAsia="zh-CN"/>
              </w:rPr>
              <w:t>/去向</w:t>
            </w:r>
          </w:p>
        </w:tc>
      </w:tr>
      <w:tr>
        <w:tblPrEx>
          <w:tblCellMar>
            <w:top w:w="15" w:type="dxa"/>
            <w:left w:w="15" w:type="dxa"/>
            <w:bottom w:w="15" w:type="dxa"/>
            <w:right w:w="15" w:type="dxa"/>
          </w:tblCellMar>
        </w:tblPrEx>
        <w:trPr>
          <w:trHeight w:val="90" w:hRule="atLeast"/>
        </w:trPr>
        <w:tc>
          <w:tcPr>
            <w:tcW w:w="671"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jc w:val="center"/>
              <w:rPr>
                <w:rFonts w:hint="eastAsia" w:eastAsia="宋体"/>
                <w:color w:val="auto"/>
                <w:sz w:val="21"/>
                <w:szCs w:val="21"/>
                <w:lang w:eastAsia="zh-CN"/>
              </w:rPr>
            </w:pPr>
            <w:r>
              <w:rPr>
                <w:rFonts w:hint="eastAsia" w:ascii="Times New Roman" w:hAnsi="Times New Roman"/>
                <w:color w:val="auto"/>
                <w:sz w:val="21"/>
                <w:szCs w:val="21"/>
                <w:lang w:val="en-US" w:eastAsia="zh-CN"/>
              </w:rPr>
              <w:t>DN</w:t>
            </w:r>
            <w:r>
              <w:rPr>
                <w:rFonts w:hint="eastAsia"/>
                <w:color w:val="auto"/>
                <w:sz w:val="21"/>
                <w:szCs w:val="21"/>
                <w:lang w:val="en-US" w:eastAsia="zh-CN"/>
              </w:rPr>
              <w:t>溶液</w:t>
            </w:r>
          </w:p>
        </w:tc>
        <w:tc>
          <w:tcPr>
            <w:tcW w:w="606"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16976</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27</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PD</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10000</w:t>
            </w:r>
          </w:p>
        </w:tc>
        <w:tc>
          <w:tcPr>
            <w:tcW w:w="2313"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外售</w:t>
            </w:r>
          </w:p>
        </w:tc>
      </w:tr>
      <w:tr>
        <w:tblPrEx>
          <w:tblCellMar>
            <w:top w:w="15" w:type="dxa"/>
            <w:left w:w="15" w:type="dxa"/>
            <w:bottom w:w="15" w:type="dxa"/>
            <w:right w:w="15" w:type="dxa"/>
          </w:tblCellMar>
        </w:tblPrEx>
        <w:trPr>
          <w:trHeight w:val="90" w:hRule="atLeast"/>
        </w:trPr>
        <w:tc>
          <w:tcPr>
            <w:tcW w:w="671"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olor w:val="auto"/>
                <w:sz w:val="21"/>
                <w:szCs w:val="21"/>
                <w:lang w:eastAsia="zh-CN"/>
              </w:rPr>
              <w:t>PD</w:t>
            </w:r>
            <w:r>
              <w:rPr>
                <w:rFonts w:hint="eastAsia"/>
                <w:color w:val="auto"/>
                <w:sz w:val="21"/>
                <w:szCs w:val="21"/>
                <w:lang w:eastAsia="zh-CN"/>
              </w:rPr>
              <w:t>催化剂</w:t>
            </w:r>
          </w:p>
        </w:tc>
        <w:tc>
          <w:tcPr>
            <w:tcW w:w="606"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1</w:t>
            </w:r>
          </w:p>
        </w:tc>
        <w:tc>
          <w:tcPr>
            <w:tcW w:w="8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粗</w:t>
            </w:r>
            <w:r>
              <w:rPr>
                <w:rFonts w:hint="eastAsia" w:ascii="Times New Roman" w:hAnsi="Times New Roman" w:cs="Times New Roman"/>
                <w:color w:val="auto"/>
                <w:sz w:val="21"/>
                <w:szCs w:val="21"/>
                <w:lang w:val="en-US" w:eastAsia="zh-CN" w:bidi="ar-SA"/>
              </w:rPr>
              <w:t>PD</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2000</w:t>
            </w:r>
          </w:p>
        </w:tc>
        <w:tc>
          <w:tcPr>
            <w:tcW w:w="2313"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外售</w:t>
            </w:r>
          </w:p>
        </w:tc>
      </w:tr>
      <w:tr>
        <w:tblPrEx>
          <w:tblCellMar>
            <w:top w:w="15" w:type="dxa"/>
            <w:left w:w="15" w:type="dxa"/>
            <w:bottom w:w="15" w:type="dxa"/>
            <w:right w:w="15" w:type="dxa"/>
          </w:tblCellMar>
        </w:tblPrEx>
        <w:trPr>
          <w:trHeight w:val="90" w:hRule="atLeast"/>
        </w:trPr>
        <w:tc>
          <w:tcPr>
            <w:tcW w:w="671"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p>
        </w:tc>
        <w:tc>
          <w:tcPr>
            <w:tcW w:w="606"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p>
        </w:tc>
        <w:tc>
          <w:tcPr>
            <w:tcW w:w="8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废气</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4976</w:t>
            </w:r>
            <w:r>
              <w:rPr>
                <w:rFonts w:hint="eastAsia"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67</w:t>
            </w:r>
          </w:p>
        </w:tc>
        <w:tc>
          <w:tcPr>
            <w:tcW w:w="2313"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尾气吸收塔（一级水吸收+二级酸吸收）</w:t>
            </w:r>
          </w:p>
        </w:tc>
      </w:tr>
      <w:tr>
        <w:tblPrEx>
          <w:tblCellMar>
            <w:top w:w="15" w:type="dxa"/>
            <w:left w:w="15" w:type="dxa"/>
            <w:bottom w:w="15" w:type="dxa"/>
            <w:right w:w="15" w:type="dxa"/>
          </w:tblCellMar>
        </w:tblPrEx>
        <w:trPr>
          <w:trHeight w:val="90" w:hRule="atLeast"/>
        </w:trPr>
        <w:tc>
          <w:tcPr>
            <w:tcW w:w="671"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p>
        </w:tc>
        <w:tc>
          <w:tcPr>
            <w:tcW w:w="606"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p>
        </w:tc>
        <w:tc>
          <w:tcPr>
            <w:tcW w:w="8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废</w:t>
            </w:r>
            <w:r>
              <w:rPr>
                <w:rFonts w:hint="eastAsia" w:ascii="Times New Roman" w:hAnsi="Times New Roman" w:cs="Times New Roman"/>
                <w:color w:val="auto"/>
                <w:sz w:val="21"/>
                <w:szCs w:val="21"/>
                <w:lang w:val="en-US" w:eastAsia="zh-CN" w:bidi="ar-SA"/>
              </w:rPr>
              <w:t>PD</w:t>
            </w:r>
            <w:r>
              <w:rPr>
                <w:rFonts w:hint="eastAsia" w:cs="Times New Roman"/>
                <w:color w:val="auto"/>
                <w:sz w:val="21"/>
                <w:szCs w:val="21"/>
                <w:lang w:val="en-US" w:eastAsia="zh-CN" w:bidi="ar-SA"/>
              </w:rPr>
              <w:t>催化剂</w:t>
            </w:r>
          </w:p>
        </w:tc>
        <w:tc>
          <w:tcPr>
            <w:tcW w:w="604"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0</w:t>
            </w:r>
            <w:r>
              <w:rPr>
                <w:rFonts w:hint="eastAsia"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6</w:t>
            </w:r>
          </w:p>
        </w:tc>
        <w:tc>
          <w:tcPr>
            <w:tcW w:w="2313"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规范收集，委托处理</w:t>
            </w:r>
          </w:p>
        </w:tc>
      </w:tr>
      <w:tr>
        <w:tblPrEx>
          <w:tblCellMar>
            <w:top w:w="15" w:type="dxa"/>
            <w:left w:w="15" w:type="dxa"/>
            <w:bottom w:w="15" w:type="dxa"/>
            <w:right w:w="15" w:type="dxa"/>
          </w:tblCellMar>
        </w:tblPrEx>
        <w:trPr>
          <w:trHeight w:val="90" w:hRule="atLeast"/>
        </w:trPr>
        <w:tc>
          <w:tcPr>
            <w:tcW w:w="671" w:type="pct"/>
            <w:tcBorders>
              <w:top w:val="single" w:color="000000" w:sz="4" w:space="0"/>
              <w:left w:val="single" w:color="000000" w:sz="12" w:space="0"/>
              <w:bottom w:val="single" w:color="000000" w:sz="12" w:space="0"/>
              <w:right w:val="single" w:color="000000" w:sz="4" w:space="0"/>
            </w:tcBorders>
            <w:noWrap w:val="0"/>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合计</w:t>
            </w:r>
          </w:p>
        </w:tc>
        <w:tc>
          <w:tcPr>
            <w:tcW w:w="606" w:type="pct"/>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16977</w:t>
            </w:r>
            <w:r>
              <w:rPr>
                <w:rFonts w:hint="eastAsia"/>
                <w:color w:val="auto"/>
                <w:sz w:val="21"/>
                <w:szCs w:val="21"/>
                <w:lang w:val="en-US" w:eastAsia="zh-CN"/>
              </w:rPr>
              <w:t>.</w:t>
            </w:r>
            <w:r>
              <w:rPr>
                <w:rFonts w:hint="eastAsia" w:ascii="Times New Roman" w:hAnsi="Times New Roman"/>
                <w:color w:val="auto"/>
                <w:sz w:val="21"/>
                <w:szCs w:val="21"/>
                <w:lang w:val="en-US" w:eastAsia="zh-CN"/>
              </w:rPr>
              <w:t>27</w:t>
            </w:r>
          </w:p>
        </w:tc>
        <w:tc>
          <w:tcPr>
            <w:tcW w:w="804" w:type="pct"/>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jc w:val="center"/>
              <w:rPr>
                <w:rFonts w:hint="eastAsia"/>
                <w:color w:val="auto"/>
                <w:sz w:val="21"/>
                <w:szCs w:val="21"/>
              </w:rPr>
            </w:pPr>
          </w:p>
        </w:tc>
        <w:tc>
          <w:tcPr>
            <w:tcW w:w="604" w:type="pct"/>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16977</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27</w:t>
            </w:r>
          </w:p>
        </w:tc>
        <w:tc>
          <w:tcPr>
            <w:tcW w:w="2313" w:type="pct"/>
            <w:tcBorders>
              <w:top w:val="single" w:color="000000" w:sz="4" w:space="0"/>
              <w:left w:val="single" w:color="000000" w:sz="4" w:space="0"/>
              <w:bottom w:val="single" w:color="000000" w:sz="12" w:space="0"/>
              <w:right w:val="single" w:color="000000" w:sz="12" w:space="0"/>
            </w:tcBorders>
            <w:noWrap w:val="0"/>
            <w:vAlign w:val="center"/>
          </w:tcPr>
          <w:p>
            <w:pPr>
              <w:spacing w:line="240" w:lineRule="auto"/>
              <w:ind w:firstLine="0"/>
              <w:jc w:val="center"/>
              <w:rPr>
                <w:rFonts w:hint="eastAsia"/>
                <w:color w:val="auto"/>
                <w:sz w:val="21"/>
                <w:szCs w:val="21"/>
              </w:rPr>
            </w:pPr>
          </w:p>
        </w:tc>
      </w:tr>
    </w:tbl>
    <w:p>
      <w:pPr>
        <w:pStyle w:val="20"/>
        <w:spacing w:before="156"/>
        <w:rPr>
          <w:color w:val="auto"/>
        </w:rPr>
      </w:pPr>
      <w:bookmarkStart w:id="135" w:name="_Toc335315141"/>
      <w:bookmarkStart w:id="136" w:name="_Toc353358323"/>
      <w:bookmarkStart w:id="137" w:name="_Toc423102265"/>
      <w:bookmarkStart w:id="138" w:name="_Toc322967088"/>
      <w:r>
        <w:rPr>
          <w:rFonts w:hint="eastAsia"/>
          <w:color w:val="auto"/>
        </w:rPr>
        <w:t>表</w:t>
      </w:r>
      <w:r>
        <w:rPr>
          <w:rFonts w:hint="eastAsia" w:ascii="Times New Roman" w:hAnsi="Times New Roman"/>
          <w:color w:val="auto"/>
          <w:lang w:val="en-US" w:eastAsia="zh-CN"/>
        </w:rPr>
        <w:t>4</w:t>
      </w:r>
      <w:r>
        <w:rPr>
          <w:rFonts w:hint="eastAsia" w:ascii="Times New Roman" w:hAnsi="Times New Roman"/>
          <w:color w:val="auto"/>
        </w:rPr>
        <w:t>.</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6</w:t>
      </w:r>
      <w:r>
        <w:rPr>
          <w:rFonts w:hint="eastAsia"/>
          <w:color w:val="auto"/>
        </w:rPr>
        <w:t xml:space="preserve">  </w:t>
      </w:r>
      <w:r>
        <w:rPr>
          <w:rFonts w:hint="eastAsia"/>
          <w:color w:val="auto"/>
          <w:lang w:eastAsia="zh-CN"/>
        </w:rPr>
        <w:t>尾气吸收塔</w:t>
      </w:r>
      <w:r>
        <w:rPr>
          <w:rFonts w:hint="eastAsia"/>
          <w:color w:val="auto"/>
        </w:rPr>
        <w:t>物料平衡</w:t>
      </w:r>
    </w:p>
    <w:tbl>
      <w:tblPr>
        <w:tblStyle w:val="80"/>
        <w:tblW w:w="4998" w:type="pct"/>
        <w:tblInd w:w="0" w:type="dxa"/>
        <w:tblLayout w:type="autofit"/>
        <w:tblCellMar>
          <w:top w:w="15" w:type="dxa"/>
          <w:left w:w="15" w:type="dxa"/>
          <w:bottom w:w="15" w:type="dxa"/>
          <w:right w:w="15" w:type="dxa"/>
        </w:tblCellMar>
      </w:tblPr>
      <w:tblGrid>
        <w:gridCol w:w="1428"/>
        <w:gridCol w:w="1423"/>
        <w:gridCol w:w="1891"/>
        <w:gridCol w:w="1422"/>
        <w:gridCol w:w="2820"/>
      </w:tblGrid>
      <w:tr>
        <w:tblPrEx>
          <w:tblCellMar>
            <w:top w:w="15" w:type="dxa"/>
            <w:left w:w="15" w:type="dxa"/>
            <w:bottom w:w="15" w:type="dxa"/>
            <w:right w:w="15" w:type="dxa"/>
          </w:tblCellMar>
        </w:tblPrEx>
        <w:trPr>
          <w:trHeight w:val="90" w:hRule="atLeast"/>
        </w:trPr>
        <w:tc>
          <w:tcPr>
            <w:tcW w:w="1587" w:type="pct"/>
            <w:gridSpan w:val="2"/>
            <w:tcBorders>
              <w:top w:val="single" w:color="000000" w:sz="12" w:space="0"/>
              <w:left w:val="single" w:color="000000" w:sz="12"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进项</w:t>
            </w:r>
          </w:p>
        </w:tc>
        <w:tc>
          <w:tcPr>
            <w:tcW w:w="3412" w:type="pct"/>
            <w:gridSpan w:val="3"/>
            <w:tcBorders>
              <w:top w:val="single" w:color="000000" w:sz="12" w:space="0"/>
              <w:left w:val="single" w:color="000000" w:sz="4" w:space="0"/>
              <w:bottom w:val="single" w:color="000000" w:sz="4" w:space="0"/>
              <w:right w:val="single" w:color="000000" w:sz="12"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出项</w:t>
            </w:r>
          </w:p>
        </w:tc>
      </w:tr>
      <w:tr>
        <w:tblPrEx>
          <w:tblCellMar>
            <w:top w:w="15" w:type="dxa"/>
            <w:left w:w="15" w:type="dxa"/>
            <w:bottom w:w="15" w:type="dxa"/>
            <w:right w:w="15" w:type="dxa"/>
          </w:tblCellMar>
        </w:tblPrEx>
        <w:trPr>
          <w:trHeight w:val="90" w:hRule="atLeast"/>
        </w:trPr>
        <w:tc>
          <w:tcPr>
            <w:tcW w:w="795"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项目</w:t>
            </w:r>
          </w:p>
        </w:tc>
        <w:tc>
          <w:tcPr>
            <w:tcW w:w="79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耗用量</w:t>
            </w:r>
            <w:r>
              <w:rPr>
                <w:rFonts w:hint="eastAsia" w:ascii="Times New Roman" w:hAnsi="Times New Roman"/>
                <w:color w:val="auto"/>
                <w:sz w:val="21"/>
                <w:szCs w:val="21"/>
              </w:rPr>
              <w:t>t</w:t>
            </w:r>
            <w:r>
              <w:rPr>
                <w:rFonts w:hint="eastAsia"/>
                <w:color w:val="auto"/>
                <w:sz w:val="21"/>
                <w:szCs w:val="21"/>
              </w:rPr>
              <w:t>/</w:t>
            </w:r>
            <w:r>
              <w:rPr>
                <w:rFonts w:hint="eastAsia" w:ascii="Times New Roman" w:hAnsi="Times New Roman"/>
                <w:color w:val="auto"/>
                <w:sz w:val="21"/>
                <w:szCs w:val="21"/>
              </w:rPr>
              <w:t>a</w:t>
            </w:r>
          </w:p>
        </w:tc>
        <w:tc>
          <w:tcPr>
            <w:tcW w:w="105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项目</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eastAsia"/>
                <w:color w:val="auto"/>
                <w:sz w:val="21"/>
                <w:szCs w:val="21"/>
              </w:rPr>
            </w:pPr>
            <w:r>
              <w:rPr>
                <w:rFonts w:hint="eastAsia"/>
                <w:color w:val="auto"/>
                <w:sz w:val="21"/>
                <w:szCs w:val="21"/>
              </w:rPr>
              <w:t>产出量</w:t>
            </w:r>
            <w:r>
              <w:rPr>
                <w:rFonts w:hint="eastAsia" w:ascii="Times New Roman" w:hAnsi="Times New Roman"/>
                <w:color w:val="auto"/>
                <w:sz w:val="21"/>
                <w:szCs w:val="21"/>
              </w:rPr>
              <w:t>t</w:t>
            </w:r>
            <w:r>
              <w:rPr>
                <w:rFonts w:hint="eastAsia"/>
                <w:color w:val="auto"/>
                <w:sz w:val="21"/>
                <w:szCs w:val="21"/>
              </w:rPr>
              <w:t>/</w:t>
            </w:r>
            <w:r>
              <w:rPr>
                <w:rFonts w:hint="eastAsia" w:ascii="Times New Roman" w:hAnsi="Times New Roman"/>
                <w:color w:val="auto"/>
                <w:sz w:val="21"/>
                <w:szCs w:val="21"/>
              </w:rPr>
              <w:t>a</w:t>
            </w:r>
          </w:p>
        </w:tc>
        <w:tc>
          <w:tcPr>
            <w:tcW w:w="1569"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jc w:val="center"/>
              <w:rPr>
                <w:rFonts w:hint="eastAsia" w:eastAsia="宋体"/>
                <w:color w:val="auto"/>
                <w:sz w:val="21"/>
                <w:szCs w:val="21"/>
                <w:lang w:val="en-US" w:eastAsia="zh-CN"/>
              </w:rPr>
            </w:pPr>
            <w:r>
              <w:rPr>
                <w:rFonts w:hint="eastAsia"/>
                <w:color w:val="auto"/>
                <w:sz w:val="21"/>
                <w:szCs w:val="21"/>
              </w:rPr>
              <w:t>处理方法</w:t>
            </w:r>
            <w:r>
              <w:rPr>
                <w:rFonts w:hint="eastAsia"/>
                <w:color w:val="auto"/>
                <w:sz w:val="21"/>
                <w:szCs w:val="21"/>
                <w:lang w:val="en-US" w:eastAsia="zh-CN"/>
              </w:rPr>
              <w:t>/去向</w:t>
            </w:r>
          </w:p>
        </w:tc>
      </w:tr>
      <w:tr>
        <w:tblPrEx>
          <w:tblCellMar>
            <w:top w:w="15" w:type="dxa"/>
            <w:left w:w="15" w:type="dxa"/>
            <w:bottom w:w="15" w:type="dxa"/>
            <w:right w:w="15" w:type="dxa"/>
          </w:tblCellMar>
        </w:tblPrEx>
        <w:trPr>
          <w:trHeight w:val="90" w:hRule="atLeast"/>
        </w:trPr>
        <w:tc>
          <w:tcPr>
            <w:tcW w:w="795"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废气</w:t>
            </w:r>
          </w:p>
        </w:tc>
        <w:tc>
          <w:tcPr>
            <w:tcW w:w="79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4976</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67</w:t>
            </w:r>
          </w:p>
        </w:tc>
        <w:tc>
          <w:tcPr>
            <w:tcW w:w="105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废气</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3</w:t>
            </w:r>
            <w:r>
              <w:rPr>
                <w:rFonts w:hint="eastAsia"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53</w:t>
            </w:r>
          </w:p>
        </w:tc>
        <w:tc>
          <w:tcPr>
            <w:tcW w:w="1569"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大气</w:t>
            </w:r>
          </w:p>
        </w:tc>
      </w:tr>
      <w:tr>
        <w:tblPrEx>
          <w:tblCellMar>
            <w:top w:w="15" w:type="dxa"/>
            <w:left w:w="15" w:type="dxa"/>
            <w:bottom w:w="15" w:type="dxa"/>
            <w:right w:w="15" w:type="dxa"/>
          </w:tblCellMar>
        </w:tblPrEx>
        <w:trPr>
          <w:trHeight w:val="90" w:hRule="atLeast"/>
        </w:trPr>
        <w:tc>
          <w:tcPr>
            <w:tcW w:w="795"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color w:val="auto"/>
                <w:sz w:val="21"/>
                <w:szCs w:val="21"/>
                <w:lang w:eastAsia="zh-CN"/>
              </w:rPr>
              <w:t>水</w:t>
            </w:r>
          </w:p>
        </w:tc>
        <w:tc>
          <w:tcPr>
            <w:tcW w:w="79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2558</w:t>
            </w:r>
            <w:r>
              <w:rPr>
                <w:rFonts w:hint="eastAsia"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45</w:t>
            </w:r>
          </w:p>
        </w:tc>
        <w:tc>
          <w:tcPr>
            <w:tcW w:w="105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氨气吸收液</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7290</w:t>
            </w:r>
            <w:r>
              <w:rPr>
                <w:rFonts w:hint="eastAsia"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99</w:t>
            </w:r>
          </w:p>
        </w:tc>
        <w:tc>
          <w:tcPr>
            <w:tcW w:w="1569"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送动力站配置脱硫剂</w:t>
            </w:r>
          </w:p>
        </w:tc>
      </w:tr>
      <w:tr>
        <w:tblPrEx>
          <w:tblCellMar>
            <w:top w:w="15" w:type="dxa"/>
            <w:left w:w="15" w:type="dxa"/>
            <w:bottom w:w="15" w:type="dxa"/>
            <w:right w:w="15" w:type="dxa"/>
          </w:tblCellMar>
        </w:tblPrEx>
        <w:trPr>
          <w:trHeight w:val="90" w:hRule="atLeast"/>
        </w:trPr>
        <w:tc>
          <w:tcPr>
            <w:tcW w:w="795" w:type="pct"/>
            <w:tcBorders>
              <w:top w:val="single" w:color="000000" w:sz="4" w:space="0"/>
              <w:left w:val="single" w:color="000000" w:sz="12"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30</w:t>
            </w:r>
            <w:r>
              <w:rPr>
                <w:rFonts w:hint="eastAsia" w:cs="Times New Roman"/>
                <w:color w:val="auto"/>
                <w:sz w:val="21"/>
                <w:szCs w:val="21"/>
                <w:lang w:val="en-US" w:eastAsia="zh-CN" w:bidi="ar-SA"/>
              </w:rPr>
              <w:t>%稀硫酸</w:t>
            </w:r>
          </w:p>
        </w:tc>
        <w:tc>
          <w:tcPr>
            <w:tcW w:w="79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2311</w:t>
            </w:r>
            <w:r>
              <w:rPr>
                <w:rFonts w:hint="eastAsia"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6</w:t>
            </w:r>
          </w:p>
        </w:tc>
        <w:tc>
          <w:tcPr>
            <w:tcW w:w="1052"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硫酸铵吸收液</w:t>
            </w:r>
          </w:p>
        </w:tc>
        <w:tc>
          <w:tcPr>
            <w:tcW w:w="791" w:type="pct"/>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2552</w:t>
            </w:r>
            <w:r>
              <w:rPr>
                <w:rFonts w:hint="eastAsia"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2</w:t>
            </w:r>
          </w:p>
        </w:tc>
        <w:tc>
          <w:tcPr>
            <w:tcW w:w="1569" w:type="pct"/>
            <w:tcBorders>
              <w:top w:val="single" w:color="000000" w:sz="4" w:space="0"/>
              <w:left w:val="single" w:color="000000" w:sz="4" w:space="0"/>
              <w:bottom w:val="single" w:color="000000" w:sz="4" w:space="0"/>
              <w:right w:val="single" w:color="000000" w:sz="12" w:space="0"/>
            </w:tcBorders>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s="Times New Roman"/>
                <w:color w:val="auto"/>
                <w:sz w:val="21"/>
                <w:szCs w:val="21"/>
                <w:lang w:val="en-US" w:eastAsia="zh-CN" w:bidi="ar-SA"/>
              </w:rPr>
              <w:t>送现有工程发酵装置</w:t>
            </w:r>
          </w:p>
        </w:tc>
      </w:tr>
      <w:tr>
        <w:tblPrEx>
          <w:tblCellMar>
            <w:top w:w="15" w:type="dxa"/>
            <w:left w:w="15" w:type="dxa"/>
            <w:bottom w:w="15" w:type="dxa"/>
            <w:right w:w="15" w:type="dxa"/>
          </w:tblCellMar>
        </w:tblPrEx>
        <w:trPr>
          <w:trHeight w:val="90" w:hRule="atLeast"/>
        </w:trPr>
        <w:tc>
          <w:tcPr>
            <w:tcW w:w="795" w:type="pct"/>
            <w:tcBorders>
              <w:top w:val="single" w:color="000000" w:sz="4" w:space="0"/>
              <w:left w:val="single" w:color="000000" w:sz="12" w:space="0"/>
              <w:bottom w:val="single" w:color="000000" w:sz="12" w:space="0"/>
              <w:right w:val="single" w:color="000000" w:sz="4" w:space="0"/>
            </w:tcBorders>
            <w:noWrap w:val="0"/>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合计</w:t>
            </w:r>
          </w:p>
        </w:tc>
        <w:tc>
          <w:tcPr>
            <w:tcW w:w="792" w:type="pct"/>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9846</w:t>
            </w:r>
            <w:r>
              <w:rPr>
                <w:rFonts w:hint="eastAsia"/>
                <w:color w:val="auto"/>
                <w:sz w:val="21"/>
                <w:szCs w:val="21"/>
                <w:lang w:val="en-US" w:eastAsia="zh-CN"/>
              </w:rPr>
              <w:t>.</w:t>
            </w:r>
            <w:r>
              <w:rPr>
                <w:rFonts w:hint="eastAsia" w:ascii="Times New Roman" w:hAnsi="Times New Roman"/>
                <w:color w:val="auto"/>
                <w:sz w:val="21"/>
                <w:szCs w:val="21"/>
                <w:lang w:val="en-US" w:eastAsia="zh-CN"/>
              </w:rPr>
              <w:t>72</w:t>
            </w:r>
          </w:p>
        </w:tc>
        <w:tc>
          <w:tcPr>
            <w:tcW w:w="1052" w:type="pct"/>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jc w:val="center"/>
              <w:rPr>
                <w:rFonts w:hint="eastAsia"/>
                <w:color w:val="auto"/>
                <w:sz w:val="21"/>
                <w:szCs w:val="21"/>
              </w:rPr>
            </w:pPr>
          </w:p>
        </w:tc>
        <w:tc>
          <w:tcPr>
            <w:tcW w:w="791" w:type="pct"/>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9846</w:t>
            </w:r>
            <w:r>
              <w:rPr>
                <w:rFonts w:hint="eastAsia"/>
                <w:color w:val="auto"/>
                <w:sz w:val="21"/>
                <w:szCs w:val="21"/>
                <w:lang w:val="en-US" w:eastAsia="zh-CN"/>
              </w:rPr>
              <w:t>.</w:t>
            </w:r>
            <w:r>
              <w:rPr>
                <w:rFonts w:hint="eastAsia" w:ascii="Times New Roman" w:hAnsi="Times New Roman"/>
                <w:color w:val="auto"/>
                <w:sz w:val="21"/>
                <w:szCs w:val="21"/>
                <w:lang w:val="en-US" w:eastAsia="zh-CN"/>
              </w:rPr>
              <w:t>72</w:t>
            </w:r>
          </w:p>
        </w:tc>
        <w:tc>
          <w:tcPr>
            <w:tcW w:w="1569" w:type="pct"/>
            <w:tcBorders>
              <w:top w:val="single" w:color="000000" w:sz="4" w:space="0"/>
              <w:left w:val="single" w:color="000000" w:sz="4" w:space="0"/>
              <w:bottom w:val="single" w:color="000000" w:sz="12" w:space="0"/>
              <w:right w:val="single" w:color="000000" w:sz="12" w:space="0"/>
            </w:tcBorders>
            <w:noWrap w:val="0"/>
            <w:vAlign w:val="center"/>
          </w:tcPr>
          <w:p>
            <w:pPr>
              <w:spacing w:line="240" w:lineRule="auto"/>
              <w:ind w:firstLine="0"/>
              <w:jc w:val="center"/>
              <w:rPr>
                <w:rFonts w:hint="eastAsia"/>
                <w:color w:val="auto"/>
                <w:sz w:val="21"/>
                <w:szCs w:val="21"/>
              </w:rPr>
            </w:pPr>
          </w:p>
        </w:tc>
      </w:tr>
    </w:tbl>
    <w:p>
      <w:pPr>
        <w:pStyle w:val="4"/>
        <w:spacing w:before="156" w:after="156"/>
      </w:pPr>
      <w:bookmarkStart w:id="139" w:name="_Toc30068"/>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rPr>
        <w:t>运营期污染源分析</w:t>
      </w:r>
      <w:bookmarkEnd w:id="139"/>
    </w:p>
    <w:p>
      <w:pPr>
        <w:pStyle w:val="5"/>
        <w:spacing w:before="156"/>
        <w:rPr>
          <w:rFonts w:hint="eastAsia" w:eastAsia="华文楷体"/>
          <w:lang w:eastAsia="zh-CN"/>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t>.</w:t>
      </w:r>
      <w:r>
        <w:rPr>
          <w:rFonts w:hint="eastAsia" w:ascii="Times New Roman" w:hAnsi="Times New Roman"/>
          <w:lang w:val="en-US" w:eastAsia="zh-CN"/>
        </w:rPr>
        <w:t>1</w:t>
      </w:r>
      <w:r>
        <w:rPr>
          <w:rFonts w:hint="eastAsia"/>
          <w:lang w:eastAsia="zh-CN"/>
        </w:rPr>
        <w:t>废气</w:t>
      </w:r>
    </w:p>
    <w:p>
      <w:pPr>
        <w:pStyle w:val="6"/>
        <w:spacing w:before="156" w:after="156" w:line="440" w:lineRule="exact"/>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rPr>
        <w:t>.</w:t>
      </w:r>
      <w:r>
        <w:rPr>
          <w:rFonts w:hint="eastAsia" w:ascii="Times New Roman" w:hAnsi="Times New Roman"/>
          <w:lang w:val="en-US" w:eastAsia="zh-CN"/>
        </w:rPr>
        <w:t>1</w:t>
      </w:r>
      <w:r>
        <w:rPr>
          <w:rFonts w:hint="eastAsia"/>
        </w:rPr>
        <w:t>.</w:t>
      </w:r>
      <w:r>
        <w:rPr>
          <w:rFonts w:hint="eastAsia" w:ascii="Times New Roman" w:hAnsi="Times New Roman"/>
        </w:rPr>
        <w:t>1</w:t>
      </w:r>
      <w:r>
        <w:rPr>
          <w:rFonts w:hint="eastAsia" w:ascii="Times New Roman" w:hAnsi="Times New Roman"/>
        </w:rPr>
        <w:t>有组织</w:t>
      </w:r>
      <w:r>
        <w:rPr>
          <w:rFonts w:hint="eastAsia"/>
        </w:rPr>
        <w:t>废气</w:t>
      </w:r>
    </w:p>
    <w:p>
      <w:pPr>
        <w:rPr>
          <w:rFonts w:hint="eastAsia"/>
          <w:color w:val="auto"/>
        </w:rPr>
      </w:pPr>
      <w:r>
        <w:rPr>
          <w:rFonts w:hint="eastAsia"/>
          <w:color w:val="auto"/>
          <w:lang w:val="en-US" w:eastAsia="zh-CN"/>
        </w:rPr>
        <w:t>本项目设置有</w:t>
      </w:r>
      <w:r>
        <w:rPr>
          <w:rFonts w:hint="eastAsia" w:ascii="Times New Roman" w:hAnsi="Times New Roman"/>
          <w:color w:val="auto"/>
          <w:lang w:val="en-US" w:eastAsia="zh-CN"/>
        </w:rPr>
        <w:t>5</w:t>
      </w:r>
      <w:r>
        <w:rPr>
          <w:rFonts w:hint="eastAsia"/>
          <w:color w:val="auto"/>
          <w:lang w:val="en-US" w:eastAsia="zh-CN"/>
        </w:rPr>
        <w:t>处有组织排放源（</w:t>
      </w:r>
      <w:r>
        <w:rPr>
          <w:rFonts w:hint="eastAsia" w:ascii="Times New Roman" w:hAnsi="Times New Roman"/>
          <w:color w:val="auto"/>
          <w:lang w:val="en-US" w:eastAsia="zh-CN"/>
        </w:rPr>
        <w:t>PD1</w:t>
      </w:r>
      <w:r>
        <w:rPr>
          <w:rFonts w:hint="eastAsia"/>
          <w:color w:val="auto"/>
          <w:lang w:val="en-US" w:eastAsia="zh-CN"/>
        </w:rPr>
        <w:t>#反应器、</w:t>
      </w:r>
      <w:r>
        <w:rPr>
          <w:rFonts w:hint="eastAsia" w:ascii="Times New Roman" w:hAnsi="Times New Roman"/>
          <w:color w:val="auto"/>
          <w:lang w:val="en-US" w:eastAsia="zh-CN"/>
        </w:rPr>
        <w:t>PD2</w:t>
      </w:r>
      <w:r>
        <w:rPr>
          <w:rFonts w:hint="eastAsia"/>
          <w:color w:val="auto"/>
          <w:lang w:val="en-US" w:eastAsia="zh-CN"/>
        </w:rPr>
        <w:t>#反应器、</w:t>
      </w:r>
      <w:r>
        <w:rPr>
          <w:rFonts w:hint="eastAsia" w:ascii="Times New Roman" w:hAnsi="Times New Roman"/>
          <w:color w:val="auto"/>
          <w:lang w:val="en-US" w:eastAsia="zh-CN"/>
        </w:rPr>
        <w:t>PD</w:t>
      </w:r>
      <w:r>
        <w:rPr>
          <w:rFonts w:hint="eastAsia"/>
          <w:color w:val="auto"/>
          <w:lang w:val="en-US" w:eastAsia="zh-CN"/>
        </w:rPr>
        <w:t>成品塔、</w:t>
      </w:r>
      <w:r>
        <w:rPr>
          <w:rFonts w:hint="eastAsia" w:ascii="Times New Roman" w:hAnsi="Times New Roman"/>
          <w:color w:val="auto"/>
          <w:lang w:val="en-US" w:eastAsia="zh-CN"/>
        </w:rPr>
        <w:t>PD</w:t>
      </w:r>
      <w:r>
        <w:rPr>
          <w:rFonts w:hint="eastAsia"/>
          <w:color w:val="auto"/>
          <w:lang w:val="en-US" w:eastAsia="zh-CN"/>
        </w:rPr>
        <w:t>脱轻塔、</w:t>
      </w:r>
      <w:r>
        <w:rPr>
          <w:rFonts w:hint="eastAsia" w:ascii="Times New Roman" w:hAnsi="Times New Roman"/>
          <w:color w:val="auto"/>
          <w:lang w:val="en-US" w:eastAsia="zh-CN"/>
        </w:rPr>
        <w:t>PD</w:t>
      </w:r>
      <w:r>
        <w:rPr>
          <w:rFonts w:hint="eastAsia"/>
          <w:color w:val="auto"/>
          <w:lang w:val="en-US" w:eastAsia="zh-CN"/>
        </w:rPr>
        <w:t>脱水塔）,采用氮气作为输送气体，各工艺平均氮气耗量相同。</w:t>
      </w:r>
    </w:p>
    <w:p>
      <w:pPr>
        <w:rPr>
          <w:rFonts w:hint="eastAsia" w:eastAsia="宋体"/>
          <w:color w:val="auto"/>
          <w:lang w:eastAsia="zh-CN"/>
        </w:rPr>
      </w:pPr>
      <w:r>
        <w:rPr>
          <w:rFonts w:hint="eastAsia"/>
          <w:color w:val="auto"/>
        </w:rPr>
        <w:t>（</w:t>
      </w:r>
      <w:r>
        <w:rPr>
          <w:rFonts w:hint="eastAsia" w:ascii="Times New Roman" w:hAnsi="Times New Roman"/>
          <w:color w:val="auto"/>
        </w:rPr>
        <w:t>1</w:t>
      </w:r>
      <w:r>
        <w:rPr>
          <w:rFonts w:hint="eastAsia"/>
          <w:color w:val="auto"/>
        </w:rPr>
        <w:t>）</w:t>
      </w:r>
      <w:r>
        <w:rPr>
          <w:rFonts w:hint="eastAsia" w:ascii="Times New Roman" w:hAnsi="Times New Roman"/>
          <w:color w:val="auto"/>
          <w:lang w:eastAsia="zh-CN"/>
        </w:rPr>
        <w:t>PD</w:t>
      </w:r>
      <w:r>
        <w:rPr>
          <w:rFonts w:hint="eastAsia" w:ascii="Times New Roman" w:hAnsi="Times New Roman"/>
          <w:color w:val="auto"/>
          <w:lang w:val="en-US" w:eastAsia="zh-CN"/>
        </w:rPr>
        <w:t>1</w:t>
      </w:r>
      <w:r>
        <w:rPr>
          <w:rFonts w:hint="eastAsia" w:ascii="Times New Roman"/>
          <w:color w:val="auto"/>
          <w:lang w:val="en-US" w:eastAsia="zh-CN"/>
        </w:rPr>
        <w:t>#</w:t>
      </w:r>
      <w:r>
        <w:rPr>
          <w:rFonts w:hint="eastAsia" w:ascii="Times New Roman"/>
          <w:color w:val="auto"/>
          <w:lang w:eastAsia="zh-CN"/>
        </w:rPr>
        <w:t>反应器不凝气（</w:t>
      </w:r>
      <w:r>
        <w:rPr>
          <w:rFonts w:hint="eastAsia" w:ascii="Times New Roman" w:hAnsi="Times New Roman"/>
          <w:color w:val="auto"/>
          <w:lang w:val="en-US" w:eastAsia="zh-CN"/>
        </w:rPr>
        <w:t>G</w:t>
      </w:r>
      <w:r>
        <w:rPr>
          <w:rFonts w:hint="eastAsia" w:ascii="Times New Roman" w:hAnsi="Times New Roman"/>
          <w:color w:val="auto"/>
          <w:vertAlign w:val="subscript"/>
          <w:lang w:val="en-US" w:eastAsia="zh-CN"/>
        </w:rPr>
        <w:t>1</w:t>
      </w:r>
      <w:r>
        <w:rPr>
          <w:rFonts w:hint="eastAsia" w:ascii="Times New Roman"/>
          <w:color w:val="auto"/>
          <w:lang w:eastAsia="zh-CN"/>
        </w:rPr>
        <w:t>）、闪蒸罐废气（</w:t>
      </w:r>
      <w:r>
        <w:rPr>
          <w:rFonts w:hint="eastAsia" w:ascii="Times New Roman" w:hAnsi="Times New Roman"/>
          <w:color w:val="auto"/>
          <w:lang w:val="en-US" w:eastAsia="zh-CN"/>
        </w:rPr>
        <w:t>G</w:t>
      </w:r>
      <w:r>
        <w:rPr>
          <w:rFonts w:hint="eastAsia" w:ascii="Times New Roman" w:hAnsi="Times New Roman"/>
          <w:color w:val="auto"/>
          <w:vertAlign w:val="subscript"/>
          <w:lang w:val="en-US" w:eastAsia="zh-CN"/>
        </w:rPr>
        <w:t>2</w:t>
      </w:r>
      <w:r>
        <w:rPr>
          <w:rFonts w:hint="eastAsia" w:ascii="Times New Roman"/>
          <w:color w:val="auto"/>
          <w:lang w:eastAsia="zh-CN"/>
        </w:rPr>
        <w:t>）和</w:t>
      </w:r>
      <w:r>
        <w:rPr>
          <w:rFonts w:hint="eastAsia" w:ascii="Times New Roman" w:hAnsi="Times New Roman"/>
          <w:color w:val="auto"/>
          <w:lang w:eastAsia="zh-CN"/>
        </w:rPr>
        <w:t>PD</w:t>
      </w:r>
      <w:r>
        <w:rPr>
          <w:rFonts w:hint="eastAsia" w:ascii="Times New Roman" w:hAnsi="Times New Roman"/>
          <w:color w:val="auto"/>
          <w:lang w:val="en-US" w:eastAsia="zh-CN"/>
        </w:rPr>
        <w:t>2</w:t>
      </w:r>
      <w:r>
        <w:rPr>
          <w:rFonts w:hint="eastAsia" w:ascii="Times New Roman"/>
          <w:color w:val="auto"/>
          <w:lang w:val="en-US" w:eastAsia="zh-CN"/>
        </w:rPr>
        <w:t>#反应器</w:t>
      </w:r>
      <w:r>
        <w:rPr>
          <w:rFonts w:hint="eastAsia" w:ascii="Times New Roman"/>
          <w:color w:val="auto"/>
          <w:lang w:eastAsia="zh-CN"/>
        </w:rPr>
        <w:t>不凝气（</w:t>
      </w:r>
      <w:r>
        <w:rPr>
          <w:rFonts w:hint="eastAsia" w:ascii="Times New Roman" w:hAnsi="Times New Roman"/>
          <w:color w:val="auto"/>
          <w:lang w:val="en-US" w:eastAsia="zh-CN"/>
        </w:rPr>
        <w:t>G</w:t>
      </w:r>
      <w:r>
        <w:rPr>
          <w:rFonts w:hint="eastAsia" w:ascii="Times New Roman" w:hAnsi="Times New Roman"/>
          <w:color w:val="auto"/>
          <w:vertAlign w:val="subscript"/>
          <w:lang w:val="en-US" w:eastAsia="zh-CN"/>
        </w:rPr>
        <w:t>3</w:t>
      </w:r>
      <w:r>
        <w:rPr>
          <w:rFonts w:hint="eastAsia" w:ascii="Times New Roman"/>
          <w:color w:val="auto"/>
          <w:lang w:eastAsia="zh-CN"/>
        </w:rPr>
        <w:t>）</w:t>
      </w:r>
    </w:p>
    <w:p>
      <w:pPr>
        <w:bidi w:val="0"/>
        <w:rPr>
          <w:rFonts w:hint="default"/>
          <w:color w:val="auto"/>
          <w:lang w:val="en-US" w:eastAsia="zh-CN"/>
        </w:rPr>
      </w:pPr>
      <w:r>
        <w:rPr>
          <w:rFonts w:hint="eastAsia"/>
          <w:color w:val="auto"/>
          <w:lang w:eastAsia="zh-CN"/>
        </w:rPr>
        <w:t>在催化剂作用下，</w:t>
      </w:r>
      <w:r>
        <w:rPr>
          <w:rFonts w:hint="eastAsia" w:ascii="Times New Roman" w:hAnsi="Times New Roman"/>
          <w:color w:val="auto"/>
          <w:lang w:eastAsia="zh-CN"/>
        </w:rPr>
        <w:t>DN</w:t>
      </w:r>
      <w:r>
        <w:rPr>
          <w:rFonts w:hint="eastAsia"/>
          <w:color w:val="auto"/>
          <w:lang w:eastAsia="zh-CN"/>
        </w:rPr>
        <w:t>溶液发生催化环合反应，根据工艺设计，反应器反应收率</w:t>
      </w:r>
      <w:r>
        <w:rPr>
          <w:rFonts w:hint="eastAsia" w:ascii="Times New Roman" w:hAnsi="Times New Roman"/>
          <w:color w:val="auto"/>
          <w:lang w:val="en-US" w:eastAsia="zh-CN"/>
        </w:rPr>
        <w:t>86</w:t>
      </w:r>
      <w:r>
        <w:rPr>
          <w:rFonts w:hint="eastAsia"/>
          <w:color w:val="auto"/>
          <w:lang w:val="en-US" w:eastAsia="zh-CN"/>
        </w:rPr>
        <w:t>%计，则根据反应方程式，</w:t>
      </w:r>
      <w:r>
        <w:rPr>
          <w:rFonts w:hint="eastAsia" w:ascii="Times New Roman" w:hAnsi="Times New Roman"/>
          <w:color w:val="auto"/>
          <w:lang w:val="en-US" w:eastAsia="zh-CN"/>
        </w:rPr>
        <w:t>1</w:t>
      </w:r>
      <w:r>
        <w:rPr>
          <w:rFonts w:hint="eastAsia"/>
          <w:color w:val="auto"/>
          <w:lang w:val="en-US" w:eastAsia="zh-CN"/>
        </w:rPr>
        <w:t>#反应器和闪蒸罐共产生氨约</w:t>
      </w:r>
      <w:r>
        <w:rPr>
          <w:rFonts w:hint="eastAsia" w:ascii="Times New Roman" w:hAnsi="Times New Roman"/>
          <w:color w:val="auto"/>
          <w:lang w:val="en-US" w:eastAsia="zh-CN"/>
        </w:rPr>
        <w:t>2090t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#反应器产生氨</w:t>
      </w:r>
      <w:r>
        <w:rPr>
          <w:rFonts w:hint="eastAsia" w:ascii="Times New Roman" w:hAnsi="Times New Roman"/>
          <w:color w:val="auto"/>
          <w:lang w:val="en-US" w:eastAsia="zh-CN"/>
        </w:rPr>
        <w:t>293t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，合计产生氨</w:t>
      </w:r>
      <w:r>
        <w:rPr>
          <w:rFonts w:hint="eastAsia" w:ascii="Times New Roman" w:hAnsi="Times New Roman"/>
          <w:color w:val="auto"/>
          <w:lang w:val="en-US" w:eastAsia="zh-CN"/>
        </w:rPr>
        <w:t>2383t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。同理，</w:t>
      </w:r>
      <w:r>
        <w:rPr>
          <w:rFonts w:hint="eastAsia" w:ascii="Times New Roman" w:hAnsi="Times New Roman"/>
          <w:color w:val="auto"/>
          <w:lang w:val="en-US" w:eastAsia="zh-CN"/>
        </w:rPr>
        <w:t>1</w:t>
      </w:r>
      <w:r>
        <w:rPr>
          <w:rFonts w:hint="eastAsia"/>
          <w:color w:val="auto"/>
          <w:lang w:val="en-US" w:eastAsia="zh-CN"/>
        </w:rPr>
        <w:t>#反应器和闪蒸罐产生</w:t>
      </w:r>
      <w:r>
        <w:rPr>
          <w:rFonts w:hint="eastAsia" w:ascii="Times New Roman" w:hAnsi="Times New Roman"/>
          <w:color w:val="auto"/>
          <w:lang w:val="en-US" w:eastAsia="zh-CN"/>
        </w:rPr>
        <w:t>NMHC</w:t>
      </w:r>
      <w:r>
        <w:rPr>
          <w:rFonts w:hint="eastAsia"/>
          <w:color w:val="auto"/>
          <w:lang w:val="en-US" w:eastAsia="zh-CN"/>
        </w:rPr>
        <w:t>（主要成份为</w:t>
      </w:r>
      <w:r>
        <w:rPr>
          <w:rFonts w:hint="eastAsia" w:ascii="Times New Roman" w:hAnsi="Times New Roman"/>
          <w:color w:val="auto"/>
          <w:lang w:val="en-US" w:eastAsia="zh-CN"/>
        </w:rPr>
        <w:t>PD</w:t>
      </w:r>
      <w:r>
        <w:rPr>
          <w:rFonts w:hint="eastAsia"/>
          <w:color w:val="auto"/>
          <w:lang w:val="en-US" w:eastAsia="zh-CN"/>
        </w:rPr>
        <w:t>）</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8t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#反应器产生</w:t>
      </w:r>
      <w:r>
        <w:rPr>
          <w:rFonts w:hint="eastAsia" w:ascii="Times New Roman" w:hAnsi="Times New Roman"/>
          <w:color w:val="auto"/>
          <w:lang w:val="en-US" w:eastAsia="zh-CN"/>
        </w:rPr>
        <w:t>NMHC</w:t>
      </w:r>
      <w:r>
        <w:rPr>
          <w:rFonts w:hint="eastAsia"/>
          <w:color w:val="auto"/>
          <w:lang w:val="en-US" w:eastAsia="zh-CN"/>
        </w:rPr>
        <w:t>（主要成份为</w:t>
      </w:r>
      <w:r>
        <w:rPr>
          <w:rFonts w:hint="eastAsia" w:ascii="Times New Roman" w:hAnsi="Times New Roman"/>
          <w:color w:val="auto"/>
          <w:lang w:val="en-US" w:eastAsia="zh-CN"/>
        </w:rPr>
        <w:t>PD</w:t>
      </w:r>
      <w:r>
        <w:rPr>
          <w:rFonts w:hint="eastAsia"/>
          <w:color w:val="auto"/>
          <w:lang w:val="en-US" w:eastAsia="zh-CN"/>
        </w:rPr>
        <w:t>）</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12t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p>
    <w:p>
      <w:pPr>
        <w:bidi w:val="0"/>
        <w:rPr>
          <w:rFonts w:hint="default"/>
          <w:color w:val="auto"/>
          <w:lang w:val="en-US" w:eastAsia="zh-CN"/>
        </w:rPr>
      </w:pPr>
      <w:r>
        <w:rPr>
          <w:rFonts w:hint="eastAsia"/>
          <w:color w:val="auto"/>
          <w:lang w:eastAsia="zh-CN"/>
        </w:rPr>
        <w:t>（</w:t>
      </w:r>
      <w:r>
        <w:rPr>
          <w:rFonts w:hint="eastAsia" w:ascii="Times New Roman" w:hAnsi="Times New Roman"/>
          <w:color w:val="auto"/>
          <w:lang w:val="en-US" w:eastAsia="zh-CN"/>
        </w:rPr>
        <w:t>2</w:t>
      </w:r>
      <w:r>
        <w:rPr>
          <w:rFonts w:hint="eastAsia"/>
          <w:color w:val="auto"/>
          <w:lang w:eastAsia="zh-CN"/>
        </w:rPr>
        <w:t>）脱水塔不凝气（</w:t>
      </w:r>
      <w:r>
        <w:rPr>
          <w:rFonts w:hint="eastAsia" w:ascii="Times New Roman" w:hAnsi="Times New Roman"/>
          <w:color w:val="auto"/>
          <w:lang w:val="en-US" w:eastAsia="zh-CN"/>
        </w:rPr>
        <w:t>G</w:t>
      </w:r>
      <w:r>
        <w:rPr>
          <w:rFonts w:hint="eastAsia" w:ascii="Times New Roman" w:hAnsi="Times New Roman"/>
          <w:color w:val="auto"/>
          <w:vertAlign w:val="subscript"/>
          <w:lang w:val="en-US" w:eastAsia="zh-CN"/>
        </w:rPr>
        <w:t>4</w:t>
      </w:r>
      <w:r>
        <w:rPr>
          <w:rFonts w:hint="eastAsia"/>
          <w:color w:val="auto"/>
          <w:lang w:eastAsia="zh-CN"/>
        </w:rPr>
        <w:t>）、脱轻塔不凝气（</w:t>
      </w:r>
      <w:r>
        <w:rPr>
          <w:rFonts w:hint="eastAsia" w:ascii="Times New Roman" w:hAnsi="Times New Roman"/>
          <w:color w:val="auto"/>
          <w:lang w:val="en-US" w:eastAsia="zh-CN"/>
        </w:rPr>
        <w:t>G</w:t>
      </w:r>
      <w:r>
        <w:rPr>
          <w:rFonts w:hint="eastAsia" w:ascii="Times New Roman" w:hAnsi="Times New Roman"/>
          <w:color w:val="auto"/>
          <w:vertAlign w:val="subscript"/>
          <w:lang w:val="en-US" w:eastAsia="zh-CN"/>
        </w:rPr>
        <w:t>5</w:t>
      </w:r>
      <w:r>
        <w:rPr>
          <w:rFonts w:hint="eastAsia"/>
          <w:color w:val="auto"/>
          <w:lang w:eastAsia="zh-CN"/>
        </w:rPr>
        <w:t>）和</w:t>
      </w:r>
      <w:r>
        <w:rPr>
          <w:rFonts w:hint="eastAsia" w:ascii="Times New Roman" w:hAnsi="Times New Roman"/>
          <w:color w:val="auto"/>
          <w:lang w:val="en-US" w:eastAsia="zh-CN"/>
        </w:rPr>
        <w:t>PD</w:t>
      </w:r>
      <w:r>
        <w:rPr>
          <w:rFonts w:hint="eastAsia"/>
          <w:color w:val="auto"/>
          <w:lang w:val="en-US" w:eastAsia="zh-CN"/>
        </w:rPr>
        <w:t>成品塔不凝气（</w:t>
      </w:r>
      <w:r>
        <w:rPr>
          <w:rFonts w:hint="eastAsia" w:ascii="Times New Roman" w:hAnsi="Times New Roman"/>
          <w:color w:val="auto"/>
          <w:lang w:val="en-US" w:eastAsia="zh-CN"/>
        </w:rPr>
        <w:t>G</w:t>
      </w:r>
      <w:r>
        <w:rPr>
          <w:rFonts w:hint="eastAsia" w:ascii="Times New Roman" w:hAnsi="Times New Roman"/>
          <w:color w:val="auto"/>
          <w:vertAlign w:val="subscript"/>
          <w:lang w:val="en-US" w:eastAsia="zh-CN"/>
        </w:rPr>
        <w:t>6</w:t>
      </w:r>
      <w:r>
        <w:rPr>
          <w:rFonts w:hint="eastAsia"/>
          <w:color w:val="auto"/>
          <w:lang w:val="en-US" w:eastAsia="zh-CN"/>
        </w:rPr>
        <w:t>）</w:t>
      </w:r>
    </w:p>
    <w:p>
      <w:pPr>
        <w:bidi w:val="0"/>
        <w:rPr>
          <w:rFonts w:hint="default"/>
          <w:color w:val="auto"/>
          <w:lang w:val="en-US" w:eastAsia="zh-CN"/>
        </w:rPr>
      </w:pPr>
      <w:r>
        <w:rPr>
          <w:rFonts w:hint="eastAsia"/>
          <w:color w:val="auto"/>
          <w:lang w:eastAsia="zh-CN"/>
        </w:rPr>
        <w:t>脱水塔和脱轻塔产生的废气，主要成份为氨、</w:t>
      </w:r>
      <w:r>
        <w:rPr>
          <w:rFonts w:hint="eastAsia" w:ascii="Times New Roman" w:hAnsi="Times New Roman"/>
          <w:color w:val="auto"/>
          <w:lang w:val="en-US" w:eastAsia="zh-CN"/>
        </w:rPr>
        <w:t>NMHC</w:t>
      </w:r>
      <w:r>
        <w:rPr>
          <w:rFonts w:hint="eastAsia"/>
          <w:color w:val="auto"/>
          <w:lang w:val="en-US" w:eastAsia="zh-CN"/>
        </w:rPr>
        <w:t>和水蒸气，假设产品中间罐中的剩余产品均需要进行二次反应，则根据工艺设计，脱水塔不凝气和脱轻塔不凝气中，主要污染物氨产生量为</w:t>
      </w:r>
      <w:r>
        <w:rPr>
          <w:rFonts w:hint="eastAsia" w:ascii="Times New Roman" w:hAnsi="Times New Roman"/>
          <w:color w:val="auto"/>
          <w:lang w:val="en-US" w:eastAsia="zh-CN"/>
        </w:rPr>
        <w:t>47</w:t>
      </w:r>
      <w:r>
        <w:rPr>
          <w:rFonts w:hint="eastAsia"/>
          <w:color w:val="auto"/>
          <w:lang w:val="en-US" w:eastAsia="zh-CN"/>
        </w:rPr>
        <w:t>.</w:t>
      </w:r>
      <w:r>
        <w:rPr>
          <w:rFonts w:hint="eastAsia" w:ascii="Times New Roman" w:hAnsi="Times New Roman"/>
          <w:color w:val="auto"/>
          <w:lang w:val="en-US" w:eastAsia="zh-CN"/>
        </w:rPr>
        <w:t>33t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r>
        <w:rPr>
          <w:rFonts w:hint="eastAsia" w:ascii="Times New Roman" w:hAnsi="Times New Roman"/>
          <w:color w:val="auto"/>
          <w:lang w:val="en-US" w:eastAsia="zh-CN"/>
        </w:rPr>
        <w:t>NMHC</w:t>
      </w:r>
      <w:bookmarkStart w:id="140" w:name="OLE_LINK6"/>
      <w:r>
        <w:rPr>
          <w:rFonts w:hint="eastAsia"/>
          <w:color w:val="auto"/>
          <w:lang w:val="en-US" w:eastAsia="zh-CN"/>
        </w:rPr>
        <w:t>（主要成份为</w:t>
      </w:r>
      <w:r>
        <w:rPr>
          <w:rFonts w:hint="eastAsia" w:ascii="Times New Roman" w:hAnsi="Times New Roman"/>
          <w:color w:val="auto"/>
          <w:lang w:val="en-US" w:eastAsia="zh-CN"/>
        </w:rPr>
        <w:t>PD</w:t>
      </w:r>
      <w:r>
        <w:rPr>
          <w:rFonts w:hint="eastAsia"/>
          <w:color w:val="auto"/>
          <w:lang w:val="en-US" w:eastAsia="zh-CN"/>
        </w:rPr>
        <w:t>）</w:t>
      </w:r>
      <w:bookmarkEnd w:id="140"/>
      <w:r>
        <w:rPr>
          <w:rFonts w:hint="eastAsia"/>
          <w:color w:val="auto"/>
          <w:lang w:val="en-US" w:eastAsia="zh-CN"/>
        </w:rPr>
        <w:t>产生量为</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03t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r>
        <w:rPr>
          <w:rFonts w:hint="eastAsia" w:ascii="Times New Roman" w:hAnsi="Times New Roman"/>
          <w:color w:val="auto"/>
          <w:lang w:val="en-US" w:eastAsia="zh-CN"/>
        </w:rPr>
        <w:t>PD</w:t>
      </w:r>
      <w:r>
        <w:rPr>
          <w:rFonts w:hint="eastAsia"/>
          <w:color w:val="auto"/>
          <w:lang w:val="en-US" w:eastAsia="zh-CN"/>
        </w:rPr>
        <w:t>成品塔废气主要污染物</w:t>
      </w:r>
      <w:r>
        <w:rPr>
          <w:rFonts w:hint="eastAsia" w:ascii="Times New Roman" w:hAnsi="Times New Roman"/>
          <w:color w:val="auto"/>
          <w:lang w:val="en-US" w:eastAsia="zh-CN"/>
        </w:rPr>
        <w:t>NMHC</w:t>
      </w:r>
      <w:r>
        <w:rPr>
          <w:rFonts w:hint="eastAsia"/>
          <w:color w:val="auto"/>
          <w:lang w:val="en-US" w:eastAsia="zh-CN"/>
        </w:rPr>
        <w:t>（主要成份为</w:t>
      </w:r>
      <w:r>
        <w:rPr>
          <w:rFonts w:hint="eastAsia" w:ascii="Times New Roman" w:hAnsi="Times New Roman"/>
          <w:color w:val="auto"/>
          <w:lang w:val="en-US" w:eastAsia="zh-CN"/>
        </w:rPr>
        <w:t>PD</w:t>
      </w:r>
      <w:r>
        <w:rPr>
          <w:rFonts w:hint="eastAsia"/>
          <w:color w:val="auto"/>
          <w:lang w:val="en-US" w:eastAsia="zh-CN"/>
        </w:rPr>
        <w:t>）</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15t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综上所述，反应生成氨气</w:t>
      </w:r>
      <w:r>
        <w:rPr>
          <w:rFonts w:hint="eastAsia" w:ascii="Times New Roman" w:hAnsi="Times New Roman"/>
          <w:color w:val="auto"/>
          <w:lang w:val="en-US" w:eastAsia="zh-CN"/>
        </w:rPr>
        <w:t>2430</w:t>
      </w:r>
      <w:r>
        <w:rPr>
          <w:rFonts w:hint="eastAsia"/>
          <w:color w:val="auto"/>
          <w:lang w:val="en-US" w:eastAsia="zh-CN"/>
        </w:rPr>
        <w:t>.</w:t>
      </w:r>
      <w:r>
        <w:rPr>
          <w:rFonts w:hint="eastAsia" w:ascii="Times New Roman" w:hAnsi="Times New Roman"/>
          <w:color w:val="auto"/>
          <w:lang w:val="en-US" w:eastAsia="zh-CN"/>
        </w:rPr>
        <w:t>33t</w:t>
      </w:r>
      <w:r>
        <w:rPr>
          <w:rFonts w:hint="eastAsia"/>
          <w:color w:val="auto"/>
          <w:lang w:val="en-US" w:eastAsia="zh-CN"/>
        </w:rPr>
        <w:t>/</w:t>
      </w:r>
      <w:r>
        <w:rPr>
          <w:rFonts w:hint="eastAsia" w:ascii="Times New Roman" w:hAnsi="Times New Roman"/>
          <w:color w:val="auto"/>
          <w:lang w:val="en-US" w:eastAsia="zh-CN"/>
        </w:rPr>
        <w:t>a</w:t>
      </w:r>
      <w:r>
        <w:rPr>
          <w:rFonts w:hint="eastAsia"/>
          <w:color w:val="auto"/>
          <w:lang w:val="en-US" w:eastAsia="zh-CN"/>
        </w:rPr>
        <w:t>，以一级水吸收</w:t>
      </w:r>
      <w:r>
        <w:rPr>
          <w:rFonts w:hint="eastAsia" w:ascii="Times New Roman" w:hAnsi="Times New Roman"/>
          <w:color w:val="auto"/>
          <w:lang w:val="en-US" w:eastAsia="zh-CN"/>
        </w:rPr>
        <w:t>90</w:t>
      </w:r>
      <w:r>
        <w:rPr>
          <w:rFonts w:hint="eastAsia"/>
          <w:color w:val="auto"/>
          <w:lang w:val="en-US" w:eastAsia="zh-CN"/>
        </w:rPr>
        <w:t>%的效率计算，一级酸吸收以</w:t>
      </w:r>
      <w:r>
        <w:rPr>
          <w:rFonts w:hint="eastAsia" w:ascii="Times New Roman" w:hAnsi="Times New Roman"/>
          <w:color w:val="auto"/>
          <w:lang w:val="en-US" w:eastAsia="zh-CN"/>
        </w:rPr>
        <w:t>90</w:t>
      </w:r>
      <w:r>
        <w:rPr>
          <w:rFonts w:hint="eastAsia"/>
          <w:color w:val="auto"/>
          <w:lang w:val="en-US" w:eastAsia="zh-CN"/>
        </w:rPr>
        <w:t>%的效率计算（二级酸吸收效率达</w:t>
      </w:r>
      <w:r>
        <w:rPr>
          <w:rFonts w:hint="eastAsia" w:ascii="Times New Roman" w:hAnsi="Times New Roman"/>
          <w:color w:val="auto"/>
          <w:lang w:val="en-US" w:eastAsia="zh-CN"/>
        </w:rPr>
        <w:t>99</w:t>
      </w:r>
      <w:r>
        <w:rPr>
          <w:rFonts w:hint="eastAsia"/>
          <w:color w:val="auto"/>
          <w:lang w:val="en-US" w:eastAsia="zh-CN"/>
        </w:rPr>
        <w:t>%），则综合处理效率达</w:t>
      </w:r>
      <w:r>
        <w:rPr>
          <w:rFonts w:hint="eastAsia" w:ascii="Times New Roman" w:hAnsi="Times New Roman"/>
          <w:color w:val="auto"/>
          <w:lang w:val="en-US" w:eastAsia="zh-CN"/>
        </w:rPr>
        <w:t>99</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%。剩余</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43t</w:t>
      </w:r>
      <w:r>
        <w:rPr>
          <w:rFonts w:hint="eastAsia"/>
          <w:color w:val="auto"/>
          <w:lang w:val="en-US" w:eastAsia="zh-CN"/>
        </w:rPr>
        <w:t>/</w:t>
      </w:r>
      <w:r>
        <w:rPr>
          <w:rFonts w:hint="eastAsia" w:ascii="Times New Roman" w:hAnsi="Times New Roman"/>
          <w:color w:val="auto"/>
          <w:lang w:val="en-US" w:eastAsia="zh-CN"/>
        </w:rPr>
        <w:t>a</w:t>
      </w:r>
      <w:r>
        <w:rPr>
          <w:rFonts w:hint="eastAsia" w:ascii="Times New Roman" w:hAnsi="Times New Roman"/>
          <w:color w:val="auto"/>
          <w:lang w:val="en-US" w:eastAsia="zh-CN"/>
        </w:rPr>
        <w:t>氨气</w:t>
      </w:r>
      <w:r>
        <w:rPr>
          <w:rFonts w:hint="eastAsia"/>
          <w:color w:val="auto"/>
          <w:lang w:val="en-US" w:eastAsia="zh-CN"/>
        </w:rPr>
        <w:t>通过排气筒排放。</w:t>
      </w:r>
    </w:p>
    <w:p>
      <w:pPr>
        <w:bidi w:val="0"/>
        <w:rPr>
          <w:rFonts w:hint="default" w:eastAsia="宋体"/>
          <w:color w:val="auto"/>
          <w:lang w:val="en-US" w:eastAsia="zh-CN"/>
        </w:rPr>
      </w:pPr>
      <w:r>
        <w:rPr>
          <w:rFonts w:hint="eastAsia"/>
          <w:lang w:val="en-US" w:eastAsia="zh-CN"/>
        </w:rPr>
        <w:t>反应共计生成</w:t>
      </w:r>
      <w:r>
        <w:rPr>
          <w:rFonts w:hint="eastAsia" w:ascii="Times New Roman" w:hAnsi="Times New Roman"/>
          <w:lang w:val="en-US" w:eastAsia="zh-CN"/>
        </w:rPr>
        <w:t>NMHC</w:t>
      </w:r>
      <w:r>
        <w:rPr>
          <w:rFonts w:hint="eastAsia"/>
          <w:color w:val="auto"/>
          <w:lang w:val="en-US" w:eastAsia="zh-CN"/>
        </w:rPr>
        <w:t>（主要成份为</w:t>
      </w:r>
      <w:r>
        <w:rPr>
          <w:rFonts w:hint="eastAsia" w:ascii="Times New Roman" w:hAnsi="Times New Roman"/>
          <w:color w:val="auto"/>
          <w:lang w:val="en-US" w:eastAsia="zh-CN"/>
        </w:rPr>
        <w:t>PD</w:t>
      </w:r>
      <w:r>
        <w:rPr>
          <w:rFonts w:hint="eastAsia"/>
          <w:color w:val="auto"/>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1t</w:t>
      </w:r>
      <w:r>
        <w:rPr>
          <w:rFonts w:hint="eastAsia"/>
          <w:lang w:val="en-US" w:eastAsia="zh-CN"/>
        </w:rPr>
        <w:t>/</w:t>
      </w:r>
      <w:r>
        <w:rPr>
          <w:rFonts w:hint="eastAsia" w:ascii="Times New Roman" w:hAnsi="Times New Roman"/>
          <w:lang w:val="en-US" w:eastAsia="zh-CN"/>
        </w:rPr>
        <w:t>a</w:t>
      </w:r>
      <w:r>
        <w:rPr>
          <w:rFonts w:hint="eastAsia"/>
          <w:lang w:val="en-US" w:eastAsia="zh-CN"/>
        </w:rPr>
        <w:t>，</w:t>
      </w:r>
      <w:r>
        <w:rPr>
          <w:rFonts w:hint="eastAsia" w:ascii="Times New Roman" w:hAnsi="Times New Roman"/>
          <w:color w:val="auto"/>
          <w:lang w:val="en-US" w:eastAsia="zh-CN"/>
        </w:rPr>
        <w:t>PD</w:t>
      </w:r>
      <w:r>
        <w:rPr>
          <w:rFonts w:hint="eastAsia"/>
          <w:color w:val="auto"/>
          <w:lang w:val="en-US" w:eastAsia="zh-CN"/>
        </w:rPr>
        <w:t>、</w:t>
      </w:r>
      <w:r>
        <w:rPr>
          <w:rFonts w:hint="eastAsia" w:ascii="Times New Roman" w:hAnsi="Times New Roman"/>
          <w:color w:val="auto"/>
          <w:lang w:val="en-US" w:eastAsia="zh-CN"/>
        </w:rPr>
        <w:t>DN</w:t>
      </w:r>
      <w:r>
        <w:rPr>
          <w:rFonts w:hint="eastAsia"/>
          <w:color w:val="auto"/>
          <w:lang w:val="en-US" w:eastAsia="zh-CN"/>
        </w:rPr>
        <w:t>溶液均溶于水，按照一级水吸收</w:t>
      </w:r>
      <w:r>
        <w:rPr>
          <w:rFonts w:hint="eastAsia" w:ascii="Times New Roman" w:hAnsi="Times New Roman"/>
          <w:color w:val="auto"/>
          <w:lang w:val="en-US" w:eastAsia="zh-CN"/>
        </w:rPr>
        <w:t>90</w:t>
      </w:r>
      <w:r>
        <w:rPr>
          <w:rFonts w:hint="eastAsia"/>
          <w:color w:val="auto"/>
          <w:lang w:val="en-US" w:eastAsia="zh-CN"/>
        </w:rPr>
        <w:t>%的效率计算，二级酸吸收以</w:t>
      </w:r>
      <w:r>
        <w:rPr>
          <w:rFonts w:hint="eastAsia" w:ascii="Times New Roman" w:hAnsi="Times New Roman"/>
          <w:color w:val="auto"/>
          <w:lang w:val="en-US" w:eastAsia="zh-CN"/>
        </w:rPr>
        <w:t>99</w:t>
      </w:r>
      <w:r>
        <w:rPr>
          <w:rFonts w:hint="eastAsia"/>
          <w:color w:val="auto"/>
          <w:lang w:val="en-US" w:eastAsia="zh-CN"/>
        </w:rPr>
        <w:t>%的去除效率计算，则综合处理效率达</w:t>
      </w:r>
      <w:r>
        <w:rPr>
          <w:rFonts w:hint="eastAsia" w:ascii="Times New Roman" w:hAnsi="Times New Roman"/>
          <w:color w:val="auto"/>
          <w:lang w:val="en-US" w:eastAsia="zh-CN"/>
        </w:rPr>
        <w:t>99</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%，剩余</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0011t</w:t>
      </w:r>
      <w:r>
        <w:rPr>
          <w:rFonts w:hint="eastAsia"/>
          <w:color w:val="auto"/>
          <w:lang w:val="en-US" w:eastAsia="zh-CN"/>
        </w:rPr>
        <w:t>/</w:t>
      </w:r>
      <w:r>
        <w:rPr>
          <w:rFonts w:hint="eastAsia" w:ascii="Times New Roman" w:hAnsi="Times New Roman"/>
          <w:color w:val="auto"/>
          <w:lang w:val="en-US" w:eastAsia="zh-CN"/>
        </w:rPr>
        <w:t>aNMHC</w:t>
      </w:r>
      <w:r>
        <w:rPr>
          <w:rFonts w:hint="eastAsia"/>
          <w:color w:val="auto"/>
          <w:lang w:val="en-US" w:eastAsia="zh-CN"/>
        </w:rPr>
        <w:t>通过排气筒排放。</w:t>
      </w:r>
    </w:p>
    <w:p>
      <w:pPr>
        <w:bidi w:val="0"/>
        <w:rPr>
          <w:rFonts w:hint="default"/>
          <w:lang w:val="en-US" w:eastAsia="zh-CN"/>
        </w:rPr>
      </w:pPr>
      <w:r>
        <w:rPr>
          <w:rFonts w:hint="eastAsia"/>
          <w:lang w:eastAsia="zh-CN"/>
        </w:rPr>
        <w:t>综上所述，本项目</w:t>
      </w:r>
      <w:r>
        <w:rPr>
          <w:rFonts w:hint="eastAsia"/>
          <w:lang w:val="en-US" w:eastAsia="zh-CN"/>
        </w:rPr>
        <w:t>废气产生排放情况见表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lang w:val="en-US" w:eastAsia="zh-CN"/>
        </w:rPr>
        <w:t xml:space="preserve"> 本项目大气污染物产排情况一览表</w:t>
      </w:r>
    </w:p>
    <w:tbl>
      <w:tblPr>
        <w:tblStyle w:val="8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760"/>
        <w:gridCol w:w="876"/>
        <w:gridCol w:w="924"/>
        <w:gridCol w:w="747"/>
        <w:gridCol w:w="836"/>
        <w:gridCol w:w="758"/>
        <w:gridCol w:w="836"/>
        <w:gridCol w:w="758"/>
        <w:gridCol w:w="570"/>
        <w:gridCol w:w="734"/>
        <w:gridCol w:w="6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废气量</w:t>
            </w:r>
            <w:r>
              <w:rPr>
                <w:rFonts w:hint="eastAsia" w:ascii="Times New Roman" w:hAnsi="Times New Roman"/>
                <w:color w:val="auto"/>
                <w:spacing w:val="-6"/>
                <w:w w:val="90"/>
                <w:sz w:val="21"/>
                <w:szCs w:val="21"/>
                <w:vertAlign w:val="baseline"/>
                <w:lang w:val="en-US" w:eastAsia="zh-CN"/>
              </w:rPr>
              <w:t>m</w:t>
            </w:r>
            <w:r>
              <w:rPr>
                <w:rFonts w:hint="eastAsia"/>
                <w:color w:val="auto"/>
                <w:spacing w:val="-6"/>
                <w:w w:val="90"/>
                <w:sz w:val="21"/>
                <w:szCs w:val="21"/>
                <w:vertAlign w:val="baseline"/>
                <w:lang w:val="en-US" w:eastAsia="zh-CN"/>
              </w:rPr>
              <w:t>³/</w:t>
            </w:r>
            <w:r>
              <w:rPr>
                <w:rFonts w:hint="eastAsia" w:ascii="Times New Roman" w:hAnsi="Times New Roman"/>
                <w:color w:val="auto"/>
                <w:spacing w:val="-6"/>
                <w:w w:val="90"/>
                <w:sz w:val="21"/>
                <w:szCs w:val="21"/>
                <w:vertAlign w:val="baseline"/>
                <w:lang w:val="en-US" w:eastAsia="zh-CN"/>
              </w:rPr>
              <w:t>h</w:t>
            </w:r>
          </w:p>
        </w:tc>
        <w:tc>
          <w:tcPr>
            <w:tcW w:w="4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主要污染物</w:t>
            </w:r>
          </w:p>
        </w:tc>
        <w:tc>
          <w:tcPr>
            <w:tcW w:w="5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治理措施</w:t>
            </w:r>
          </w:p>
        </w:tc>
        <w:tc>
          <w:tcPr>
            <w:tcW w:w="77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污染物产生</w:t>
            </w:r>
          </w:p>
        </w:tc>
        <w:tc>
          <w:tcPr>
            <w:tcW w:w="44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产生量</w:t>
            </w:r>
            <w:r>
              <w:rPr>
                <w:rFonts w:hint="eastAsia" w:ascii="Times New Roman" w:hAnsi="Times New Roman"/>
                <w:color w:val="auto"/>
                <w:spacing w:val="-6"/>
                <w:w w:val="90"/>
                <w:sz w:val="21"/>
                <w:szCs w:val="21"/>
                <w:vertAlign w:val="baseline"/>
                <w:lang w:val="en-US" w:eastAsia="zh-CN"/>
              </w:rPr>
              <w:t>t</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a</w:t>
            </w:r>
          </w:p>
        </w:tc>
        <w:tc>
          <w:tcPr>
            <w:tcW w:w="86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污染物排放</w:t>
            </w:r>
          </w:p>
        </w:tc>
        <w:tc>
          <w:tcPr>
            <w:tcW w:w="72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排放标准</w:t>
            </w:r>
          </w:p>
        </w:tc>
        <w:tc>
          <w:tcPr>
            <w:tcW w:w="4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排放量</w:t>
            </w:r>
            <w:r>
              <w:rPr>
                <w:rFonts w:hint="eastAsia" w:ascii="Times New Roman" w:hAnsi="Times New Roman"/>
                <w:color w:val="auto"/>
                <w:spacing w:val="-6"/>
                <w:w w:val="90"/>
                <w:sz w:val="21"/>
                <w:szCs w:val="21"/>
                <w:vertAlign w:val="baseline"/>
                <w:lang w:val="en-US" w:eastAsia="zh-CN"/>
              </w:rPr>
              <w:t>t</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a</w:t>
            </w:r>
          </w:p>
        </w:tc>
        <w:tc>
          <w:tcPr>
            <w:tcW w:w="3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排放</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p>
        </w:tc>
        <w:tc>
          <w:tcPr>
            <w:tcW w:w="4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浓度</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mg</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m</w:t>
            </w:r>
            <w:r>
              <w:rPr>
                <w:rFonts w:hint="eastAsia"/>
                <w:color w:val="auto"/>
                <w:spacing w:val="-6"/>
                <w:w w:val="90"/>
                <w:sz w:val="21"/>
                <w:szCs w:val="21"/>
                <w:vertAlign w:val="baseline"/>
                <w:lang w:val="en-US" w:eastAsia="zh-CN"/>
              </w:rPr>
              <w:t>³</w:t>
            </w:r>
          </w:p>
        </w:tc>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速率</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kg</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h</w:t>
            </w:r>
          </w:p>
        </w:tc>
        <w:tc>
          <w:tcPr>
            <w:tcW w:w="4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mg</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m</w:t>
            </w:r>
            <w:r>
              <w:rPr>
                <w:rFonts w:hint="eastAsia"/>
                <w:color w:val="auto"/>
                <w:spacing w:val="-6"/>
                <w:w w:val="90"/>
                <w:sz w:val="21"/>
                <w:szCs w:val="21"/>
                <w:vertAlign w:val="baseline"/>
                <w:lang w:val="en-US" w:eastAsia="zh-CN"/>
              </w:rPr>
              <w:t>³</w:t>
            </w:r>
          </w:p>
        </w:tc>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速率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kg</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h</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mg</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m</w:t>
            </w:r>
            <w:r>
              <w:rPr>
                <w:rFonts w:hint="eastAsia"/>
                <w:color w:val="auto"/>
                <w:spacing w:val="-6"/>
                <w:w w:val="90"/>
                <w:sz w:val="21"/>
                <w:szCs w:val="21"/>
                <w:vertAlign w:val="baseline"/>
                <w:lang w:val="en-US" w:eastAsia="zh-CN"/>
              </w:rPr>
              <w:t>³</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速率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kg</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h</w:t>
            </w:r>
          </w:p>
        </w:tc>
        <w:tc>
          <w:tcPr>
            <w:tcW w:w="4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p>
        </w:tc>
        <w:tc>
          <w:tcPr>
            <w:tcW w:w="3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1500</w:t>
            </w: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NH</w:t>
            </w:r>
            <w:r>
              <w:rPr>
                <w:rFonts w:hint="eastAsia" w:ascii="Times New Roman" w:hAnsi="Times New Roman"/>
                <w:color w:val="auto"/>
                <w:spacing w:val="-6"/>
                <w:w w:val="90"/>
                <w:sz w:val="21"/>
                <w:szCs w:val="21"/>
                <w:vertAlign w:val="subscript"/>
                <w:lang w:val="en-US" w:eastAsia="zh-CN"/>
              </w:rPr>
              <w:t>3</w:t>
            </w:r>
          </w:p>
        </w:tc>
        <w:tc>
          <w:tcPr>
            <w:tcW w:w="5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一级水吸收+二级酸吸收</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202527</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5</w:t>
            </w:r>
          </w:p>
        </w:tc>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303</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79</w:t>
            </w:r>
          </w:p>
        </w:tc>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2430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33</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宋体" w:hAnsi="宋体" w:eastAsia="宋体" w:cs="Times New Roman"/>
                <w:color w:val="auto"/>
                <w:spacing w:val="-6"/>
                <w:w w:val="90"/>
                <w:sz w:val="21"/>
                <w:szCs w:val="21"/>
                <w:vertAlign w:val="baseline"/>
                <w:lang w:val="en-US" w:eastAsia="zh-CN" w:bidi="ar-SA"/>
              </w:rPr>
            </w:pPr>
            <w:r>
              <w:rPr>
                <w:rFonts w:hint="eastAsia" w:ascii="Times New Roman" w:hAnsi="Times New Roman" w:cs="Times New Roman"/>
                <w:color w:val="auto"/>
                <w:spacing w:val="-6"/>
                <w:w w:val="90"/>
                <w:sz w:val="21"/>
                <w:szCs w:val="21"/>
                <w:vertAlign w:val="baseline"/>
                <w:lang w:val="en-US" w:eastAsia="zh-CN" w:bidi="ar-SA"/>
              </w:rPr>
              <w:t>202</w:t>
            </w:r>
            <w:r>
              <w:rPr>
                <w:rFonts w:hint="eastAsia" w:cs="Times New Roman"/>
                <w:color w:val="auto"/>
                <w:spacing w:val="-6"/>
                <w:w w:val="90"/>
                <w:sz w:val="21"/>
                <w:szCs w:val="21"/>
                <w:vertAlign w:val="baseline"/>
                <w:lang w:val="en-US" w:eastAsia="zh-CN" w:bidi="ar-SA"/>
              </w:rPr>
              <w:t>.</w:t>
            </w:r>
            <w:r>
              <w:rPr>
                <w:rFonts w:hint="eastAsia" w:ascii="Times New Roman" w:hAnsi="Times New Roman" w:cs="Times New Roman"/>
                <w:color w:val="auto"/>
                <w:spacing w:val="-6"/>
                <w:w w:val="90"/>
                <w:sz w:val="21"/>
                <w:szCs w:val="21"/>
                <w:vertAlign w:val="baseline"/>
                <w:lang w:val="en-US" w:eastAsia="zh-CN" w:bidi="ar-SA"/>
              </w:rPr>
              <w:t>5</w:t>
            </w:r>
          </w:p>
        </w:tc>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宋体" w:hAnsi="宋体" w:eastAsia="宋体" w:cs="Times New Roman"/>
                <w:color w:val="auto"/>
                <w:spacing w:val="-6"/>
                <w:w w:val="90"/>
                <w:sz w:val="21"/>
                <w:szCs w:val="21"/>
                <w:vertAlign w:val="baseline"/>
                <w:lang w:val="en-US" w:eastAsia="zh-CN" w:bidi="ar-SA"/>
              </w:rPr>
            </w:pPr>
            <w:r>
              <w:rPr>
                <w:rFonts w:hint="eastAsia" w:ascii="Times New Roman" w:hAnsi="Times New Roman" w:cs="Times New Roman"/>
                <w:color w:val="auto"/>
                <w:spacing w:val="-6"/>
                <w:w w:val="90"/>
                <w:sz w:val="21"/>
                <w:szCs w:val="21"/>
                <w:vertAlign w:val="baseline"/>
                <w:lang w:val="en-US" w:eastAsia="zh-CN" w:bidi="ar-SA"/>
              </w:rPr>
              <w:t>0</w:t>
            </w:r>
            <w:r>
              <w:rPr>
                <w:rFonts w:hint="eastAsia" w:cs="Times New Roman"/>
                <w:color w:val="auto"/>
                <w:spacing w:val="-6"/>
                <w:w w:val="90"/>
                <w:sz w:val="21"/>
                <w:szCs w:val="21"/>
                <w:vertAlign w:val="baseline"/>
                <w:lang w:val="en-US" w:eastAsia="zh-CN" w:bidi="ar-SA"/>
              </w:rPr>
              <w:t>.</w:t>
            </w:r>
            <w:r>
              <w:rPr>
                <w:rFonts w:hint="eastAsia" w:ascii="Times New Roman" w:hAnsi="Times New Roman" w:cs="Times New Roman"/>
                <w:color w:val="auto"/>
                <w:spacing w:val="-6"/>
                <w:w w:val="90"/>
                <w:sz w:val="21"/>
                <w:szCs w:val="21"/>
                <w:vertAlign w:val="baseline"/>
                <w:lang w:val="en-US" w:eastAsia="zh-CN" w:bidi="ar-SA"/>
              </w:rPr>
              <w:t>3037</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color w:val="auto"/>
                <w:spacing w:val="-6"/>
                <w:w w:val="90"/>
                <w:sz w:val="21"/>
                <w:szCs w:val="21"/>
                <w:vertAlign w:val="baseline"/>
                <w:lang w:val="en-US" w:eastAsia="zh-CN"/>
              </w:rPr>
              <w:t>/</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4</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9</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2</w:t>
            </w:r>
            <w:r>
              <w:rPr>
                <w:rFonts w:hint="eastAsia" w:ascii="Times New Roman" w:hAnsi="Times New Roman"/>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43</w:t>
            </w:r>
          </w:p>
        </w:tc>
        <w:tc>
          <w:tcPr>
            <w:tcW w:w="3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15m</w:t>
            </w:r>
            <w:r>
              <w:rPr>
                <w:rFonts w:hint="eastAsia"/>
                <w:color w:val="auto"/>
                <w:spacing w:val="-6"/>
                <w:w w:val="90"/>
                <w:sz w:val="21"/>
                <w:szCs w:val="21"/>
                <w:vertAlign w:val="baseline"/>
                <w:lang w:val="en-US" w:eastAsia="zh-CN"/>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olor w:val="auto"/>
                <w:spacing w:val="-6"/>
                <w:w w:val="90"/>
                <w:sz w:val="21"/>
                <w:szCs w:val="21"/>
                <w:vertAlign w:val="baseline"/>
                <w:lang w:val="en-US" w:eastAsia="zh-CN"/>
              </w:rPr>
            </w:pPr>
          </w:p>
        </w:tc>
        <w:tc>
          <w:tcPr>
            <w:tcW w:w="4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NMHC</w:t>
            </w: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color w:val="auto"/>
                <w:spacing w:val="-6"/>
                <w:w w:val="90"/>
                <w:sz w:val="21"/>
                <w:szCs w:val="21"/>
                <w:vertAlign w:val="baseline"/>
                <w:lang w:val="en-US" w:eastAsia="zh-CN"/>
              </w:rPr>
            </w:pP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91</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6</w:t>
            </w:r>
          </w:p>
        </w:tc>
        <w:tc>
          <w:tcPr>
            <w:tcW w:w="3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1375</w:t>
            </w:r>
          </w:p>
        </w:tc>
        <w:tc>
          <w:tcPr>
            <w:tcW w:w="4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w:t>
            </w:r>
            <w:r>
              <w:rPr>
                <w:rFonts w:hint="eastAsia" w:ascii="Times New Roman" w:hAnsi="Times New Roman"/>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1</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09</w:t>
            </w:r>
          </w:p>
        </w:tc>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00013</w:t>
            </w:r>
          </w:p>
        </w:tc>
        <w:tc>
          <w:tcPr>
            <w:tcW w:w="4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120</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10</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olor w:val="auto"/>
                <w:spacing w:val="-6"/>
                <w:w w:val="90"/>
                <w:sz w:val="21"/>
                <w:szCs w:val="21"/>
                <w:vertAlign w:val="baseline"/>
                <w:lang w:val="en-US" w:eastAsia="zh-CN"/>
              </w:rPr>
            </w:pPr>
            <w:r>
              <w:rPr>
                <w:rFonts w:hint="eastAsia" w:ascii="Times New Roman" w:hAnsi="Times New Roman"/>
                <w:color w:val="auto"/>
                <w:spacing w:val="-6"/>
                <w:w w:val="90"/>
                <w:sz w:val="21"/>
                <w:szCs w:val="21"/>
                <w:vertAlign w:val="baseline"/>
                <w:lang w:val="en-US" w:eastAsia="zh-CN"/>
              </w:rPr>
              <w:t>0</w:t>
            </w:r>
            <w:r>
              <w:rPr>
                <w:rFonts w:hint="eastAsia" w:ascii="Times New Roman" w:hAnsi="Times New Roman"/>
                <w:color w:val="auto"/>
                <w:spacing w:val="-6"/>
                <w:w w:val="90"/>
                <w:sz w:val="21"/>
                <w:szCs w:val="21"/>
                <w:vertAlign w:val="baseline"/>
                <w:lang w:val="en-US" w:eastAsia="zh-CN"/>
              </w:rPr>
              <w:t>.</w:t>
            </w:r>
            <w:r>
              <w:rPr>
                <w:rFonts w:hint="eastAsia" w:ascii="Times New Roman" w:hAnsi="Times New Roman"/>
                <w:color w:val="auto"/>
                <w:spacing w:val="-6"/>
                <w:w w:val="90"/>
                <w:sz w:val="21"/>
                <w:szCs w:val="21"/>
                <w:vertAlign w:val="baseline"/>
                <w:lang w:val="en-US" w:eastAsia="zh-CN"/>
              </w:rPr>
              <w:t>0011</w:t>
            </w:r>
          </w:p>
        </w:tc>
        <w:tc>
          <w:tcPr>
            <w:tcW w:w="3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ascii="Times New Roman" w:hAnsi="Times New Roman"/>
                <w:color w:val="auto"/>
                <w:spacing w:val="-6"/>
                <w:w w:val="90"/>
                <w:sz w:val="21"/>
                <w:szCs w:val="21"/>
                <w:vertAlign w:val="baseline"/>
                <w:lang w:val="en-US" w:eastAsia="zh-CN"/>
              </w:rPr>
            </w:pPr>
          </w:p>
        </w:tc>
      </w:tr>
    </w:tbl>
    <w:p>
      <w:pPr>
        <w:rPr>
          <w:rFonts w:hint="eastAsia"/>
          <w:lang w:val="en-US" w:eastAsia="zh-CN"/>
        </w:rPr>
      </w:pPr>
      <w:r>
        <w:rPr>
          <w:rFonts w:hint="eastAsia"/>
          <w:lang w:val="en-US" w:eastAsia="zh-CN"/>
        </w:rPr>
        <w:t>本项目废气污染物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排放满足《恶臭污染物排放标准》（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限值，</w:t>
      </w:r>
      <w:r>
        <w:rPr>
          <w:rFonts w:hint="eastAsia" w:ascii="Times New Roman" w:hAnsi="Times New Roman"/>
          <w:lang w:val="en-US" w:eastAsia="zh-CN"/>
        </w:rPr>
        <w:t>NMHC</w:t>
      </w:r>
      <w:r>
        <w:rPr>
          <w:rFonts w:hint="eastAsia"/>
          <w:lang w:val="en-US" w:eastAsia="zh-CN"/>
        </w:rPr>
        <w:t>排放满足《大气污染物综合排放标准》（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排放限值。</w:t>
      </w:r>
    </w:p>
    <w:p>
      <w:pPr>
        <w:pStyle w:val="6"/>
        <w:bidi w:val="0"/>
        <w:rPr>
          <w:rFonts w:hint="eastAsia"/>
          <w:lang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eastAsia="zh-CN"/>
        </w:rPr>
        <w:t>无组织排放</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lang w:val="en-US" w:eastAsia="zh-CN"/>
        </w:rPr>
      </w:pPr>
      <w:r>
        <w:rPr>
          <w:rFonts w:hint="eastAsia"/>
          <w:lang w:eastAsia="zh-CN"/>
        </w:rPr>
        <w:t>本项目产品位于专用产品储罐中，储罐均为固定顶罐，包括</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831m</w:t>
      </w:r>
      <w:r>
        <w:rPr>
          <w:rFonts w:hint="eastAsia"/>
          <w:lang w:val="en-US" w:eastAsia="zh-CN"/>
        </w:rPr>
        <w:t>³</w:t>
      </w:r>
      <w:r>
        <w:rPr>
          <w:rFonts w:hint="eastAsia" w:ascii="Times New Roman" w:hAnsi="Times New Roman"/>
          <w:lang w:val="en-US" w:eastAsia="zh-CN"/>
        </w:rPr>
        <w:t>PD</w:t>
      </w:r>
      <w:r>
        <w:rPr>
          <w:rFonts w:hint="eastAsia"/>
          <w:lang w:val="en-US" w:eastAsia="zh-CN"/>
        </w:rPr>
        <w:t>储罐和</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15m</w:t>
      </w:r>
      <w:r>
        <w:rPr>
          <w:rFonts w:hint="eastAsia"/>
          <w:lang w:val="en-US" w:eastAsia="zh-CN"/>
        </w:rPr>
        <w:t>³粗</w:t>
      </w:r>
      <w:r>
        <w:rPr>
          <w:rFonts w:hint="eastAsia" w:ascii="Times New Roman" w:hAnsi="Times New Roman"/>
          <w:lang w:val="en-US" w:eastAsia="zh-CN"/>
        </w:rPr>
        <w:t>PD</w:t>
      </w:r>
      <w:r>
        <w:rPr>
          <w:rFonts w:hint="eastAsia"/>
          <w:lang w:val="en-US" w:eastAsia="zh-CN"/>
        </w:rPr>
        <w:t>储罐。根据《挥发性有机物无组织排放控制标准》（</w:t>
      </w:r>
      <w:r>
        <w:rPr>
          <w:rFonts w:hint="eastAsia" w:ascii="Times New Roman" w:hAnsi="Times New Roman"/>
          <w:lang w:val="en-US" w:eastAsia="zh-CN"/>
        </w:rPr>
        <w:t>GB37822</w:t>
      </w:r>
      <w:r>
        <w:rPr>
          <w:rFonts w:hint="eastAsia"/>
          <w:lang w:val="en-US" w:eastAsia="zh-CN"/>
        </w:rPr>
        <w:t>-</w:t>
      </w:r>
      <w:r>
        <w:rPr>
          <w:rFonts w:hint="eastAsia" w:ascii="Times New Roman" w:hAnsi="Times New Roman"/>
          <w:lang w:val="en-US" w:eastAsia="zh-CN"/>
        </w:rPr>
        <w:t>2019</w:t>
      </w:r>
      <w:r>
        <w:rPr>
          <w:rFonts w:hint="eastAsia"/>
          <w:lang w:val="en-US" w:eastAsia="zh-CN"/>
        </w:rPr>
        <w:t>）相关要求，粗</w:t>
      </w:r>
      <w:r>
        <w:rPr>
          <w:rFonts w:hint="eastAsia" w:ascii="Times New Roman" w:hAnsi="Times New Roman"/>
          <w:lang w:val="en-US" w:eastAsia="zh-CN"/>
        </w:rPr>
        <w:t>PD</w:t>
      </w:r>
      <w:r>
        <w:rPr>
          <w:rFonts w:hint="eastAsia"/>
          <w:lang w:val="en-US" w:eastAsia="zh-CN"/>
        </w:rPr>
        <w:t>储罐容积远小于</w:t>
      </w:r>
      <w:r>
        <w:rPr>
          <w:rFonts w:hint="eastAsia" w:ascii="Times New Roman" w:hAnsi="Times New Roman"/>
          <w:lang w:val="en-US" w:eastAsia="zh-CN"/>
        </w:rPr>
        <w:t>75m</w:t>
      </w:r>
      <w:r>
        <w:rPr>
          <w:rFonts w:hint="eastAsia"/>
          <w:lang w:val="en-US" w:eastAsia="zh-CN"/>
        </w:rPr>
        <w:t>³，因此本次评价不考虑该罐静置损失，只考虑工作损失。</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default"/>
          <w:color w:val="auto"/>
          <w:lang w:val="en-US" w:eastAsia="zh-CN"/>
        </w:rPr>
      </w:pPr>
      <w:r>
        <w:rPr>
          <w:rFonts w:hint="eastAsia"/>
          <w:lang w:val="en-US" w:eastAsia="zh-CN"/>
        </w:rPr>
        <w:t>本项目罐区无组织挥发性有机物排放参考《排放源统计调查产排污核算方法和系数手册》（工业源挥发性有机物通用源项核算系数手册中），物料参考蒸气压相近的物质（柴油）类比计算。</w:t>
      </w:r>
      <w:r>
        <w:rPr>
          <w:rFonts w:hint="eastAsia"/>
          <w:color w:val="auto"/>
          <w:lang w:val="en-US" w:eastAsia="zh-CN"/>
        </w:rPr>
        <w:t>储罐区无组织废气产生情况见表</w:t>
      </w:r>
      <w:r>
        <w:rPr>
          <w:rFonts w:hint="eastAsia" w:ascii="Times New Roman" w:hAnsi="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olor w:val="auto"/>
          <w:lang w:val="en-US" w:eastAsia="zh-CN"/>
        </w:rPr>
        <w:t>7</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p>
    <w:p>
      <w:pPr>
        <w:pStyle w:val="20"/>
        <w:widowControl w:val="0"/>
        <w:wordWrap/>
        <w:adjustRightInd/>
        <w:snapToGrid/>
        <w:spacing w:before="0" w:beforeLines="0"/>
        <w:textAlignment w:val="auto"/>
        <w:rPr>
          <w:rFonts w:hint="default"/>
          <w:color w:val="auto"/>
          <w:lang w:val="en-US" w:eastAsia="zh-CN"/>
        </w:rPr>
      </w:pPr>
      <w:r>
        <w:rPr>
          <w:rFonts w:hint="eastAsia"/>
          <w:color w:val="auto"/>
          <w:lang w:val="en-US" w:eastAsia="zh-CN"/>
        </w:rPr>
        <w:t>表</w:t>
      </w:r>
      <w:r>
        <w:rPr>
          <w:rFonts w:hint="eastAsia" w:ascii="Times New Roman" w:hAnsi="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olor w:val="auto"/>
          <w:lang w:val="en-US" w:eastAsia="zh-CN"/>
        </w:rPr>
        <w:t>7</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color w:val="auto"/>
          <w:lang w:val="en-US" w:eastAsia="zh-CN"/>
        </w:rPr>
        <w:t xml:space="preserve">  储罐区无组织废气产排情况一览表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1213"/>
        <w:gridCol w:w="1487"/>
        <w:gridCol w:w="1689"/>
        <w:gridCol w:w="893"/>
        <w:gridCol w:w="1510"/>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0" w:type="auto"/>
            <w:tcBorders>
              <w:top w:val="single" w:color="auto" w:sz="12"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物料名称</w:t>
            </w:r>
          </w:p>
        </w:tc>
        <w:tc>
          <w:tcPr>
            <w:tcW w:w="0" w:type="auto"/>
            <w:tcBorders>
              <w:top w:val="single" w:color="auto" w:sz="12"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最大存储量（</w:t>
            </w: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a</w:t>
            </w:r>
            <w:r>
              <w:rPr>
                <w:rFonts w:hint="eastAsia"/>
                <w:color w:val="auto"/>
                <w:sz w:val="21"/>
                <w:szCs w:val="16"/>
                <w:lang w:val="en-US" w:eastAsia="zh-CN"/>
              </w:rPr>
              <w:t>）</w:t>
            </w:r>
          </w:p>
        </w:tc>
        <w:tc>
          <w:tcPr>
            <w:tcW w:w="0" w:type="auto"/>
            <w:tcBorders>
              <w:top w:val="single" w:color="auto" w:sz="12"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最大存储体积（</w:t>
            </w:r>
            <w:r>
              <w:rPr>
                <w:rFonts w:hint="eastAsia" w:ascii="Times New Roman" w:hAnsi="Times New Roman"/>
                <w:color w:val="auto"/>
                <w:sz w:val="21"/>
                <w:szCs w:val="16"/>
                <w:lang w:val="en-US" w:eastAsia="zh-CN"/>
              </w:rPr>
              <w:t>m</w:t>
            </w:r>
            <w:r>
              <w:rPr>
                <w:rFonts w:hint="eastAsia"/>
                <w:color w:val="auto"/>
                <w:sz w:val="21"/>
                <w:szCs w:val="16"/>
                <w:lang w:val="en-US" w:eastAsia="zh-CN"/>
              </w:rPr>
              <w:t>³/</w:t>
            </w:r>
            <w:r>
              <w:rPr>
                <w:rFonts w:hint="eastAsia" w:ascii="Times New Roman" w:hAnsi="Times New Roman"/>
                <w:color w:val="auto"/>
                <w:sz w:val="21"/>
                <w:szCs w:val="16"/>
                <w:lang w:val="en-US" w:eastAsia="zh-CN"/>
              </w:rPr>
              <w:t>a</w:t>
            </w:r>
            <w:r>
              <w:rPr>
                <w:rFonts w:hint="eastAsia"/>
                <w:color w:val="auto"/>
                <w:sz w:val="21"/>
                <w:szCs w:val="16"/>
                <w:lang w:val="en-US" w:eastAsia="zh-CN"/>
              </w:rPr>
              <w:t>）</w:t>
            </w:r>
          </w:p>
        </w:tc>
        <w:tc>
          <w:tcPr>
            <w:tcW w:w="0" w:type="auto"/>
            <w:tcBorders>
              <w:top w:val="single" w:color="auto" w:sz="12"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工作损失排放系数（</w:t>
            </w:r>
            <w:r>
              <w:rPr>
                <w:rFonts w:hint="eastAsia" w:ascii="Times New Roman" w:hAnsi="Times New Roman"/>
                <w:color w:val="auto"/>
                <w:sz w:val="21"/>
                <w:szCs w:val="16"/>
                <w:lang w:val="en-US" w:eastAsia="zh-CN"/>
              </w:rPr>
              <w:t>kg</w:t>
            </w:r>
            <w:r>
              <w:rPr>
                <w:rFonts w:hint="eastAsia"/>
                <w:color w:val="auto"/>
                <w:sz w:val="21"/>
                <w:szCs w:val="16"/>
                <w:lang w:val="en-US" w:eastAsia="zh-CN"/>
              </w:rPr>
              <w:t>/</w:t>
            </w:r>
            <w:r>
              <w:rPr>
                <w:rFonts w:hint="eastAsia" w:ascii="Times New Roman" w:hAnsi="Times New Roman"/>
                <w:color w:val="auto"/>
                <w:sz w:val="21"/>
                <w:szCs w:val="16"/>
                <w:lang w:val="en-US" w:eastAsia="zh-CN"/>
              </w:rPr>
              <w:t>t</w:t>
            </w:r>
            <w:r>
              <w:rPr>
                <w:rFonts w:hint="eastAsia" w:ascii="Times New Roman" w:hAnsi="Times New Roman"/>
                <w:color w:val="auto"/>
                <w:sz w:val="21"/>
                <w:szCs w:val="16"/>
                <w:lang w:val="en-US" w:eastAsia="zh-CN"/>
              </w:rPr>
              <w:t>周转量</w:t>
            </w:r>
            <w:r>
              <w:rPr>
                <w:rFonts w:hint="eastAsia"/>
                <w:color w:val="auto"/>
                <w:sz w:val="21"/>
                <w:szCs w:val="16"/>
                <w:lang w:val="en-US" w:eastAsia="zh-CN"/>
              </w:rPr>
              <w:t>）</w:t>
            </w:r>
          </w:p>
        </w:tc>
        <w:tc>
          <w:tcPr>
            <w:tcW w:w="0" w:type="auto"/>
            <w:tcBorders>
              <w:top w:val="single" w:color="auto" w:sz="12"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ascii="Times New Roman" w:hAnsi="Times New Roman"/>
                <w:color w:val="auto"/>
                <w:sz w:val="21"/>
                <w:szCs w:val="16"/>
                <w:lang w:val="en-US" w:eastAsia="zh-CN"/>
              </w:rPr>
              <w:t>VOCs</w:t>
            </w:r>
          </w:p>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t</w:t>
            </w:r>
            <w:r>
              <w:rPr>
                <w:rFonts w:hint="eastAsia"/>
                <w:color w:val="auto"/>
                <w:sz w:val="21"/>
                <w:szCs w:val="16"/>
                <w:lang w:val="en-US" w:eastAsia="zh-CN"/>
              </w:rPr>
              <w:t>/</w:t>
            </w:r>
            <w:r>
              <w:rPr>
                <w:rFonts w:hint="eastAsia" w:ascii="Times New Roman" w:hAnsi="Times New Roman"/>
                <w:color w:val="auto"/>
                <w:sz w:val="21"/>
                <w:szCs w:val="16"/>
                <w:lang w:val="en-US" w:eastAsia="zh-CN"/>
              </w:rPr>
              <w:t>a</w:t>
            </w:r>
            <w:r>
              <w:rPr>
                <w:rFonts w:hint="eastAsia" w:ascii="Times New Roman" w:hAnsi="Times New Roman"/>
                <w:color w:val="auto"/>
                <w:sz w:val="21"/>
                <w:szCs w:val="16"/>
                <w:lang w:val="en-US" w:eastAsia="zh-CN"/>
              </w:rPr>
              <w:t>）</w:t>
            </w:r>
          </w:p>
        </w:tc>
        <w:tc>
          <w:tcPr>
            <w:tcW w:w="0" w:type="auto"/>
            <w:tcBorders>
              <w:top w:val="single" w:color="auto" w:sz="12"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静置损失排放系数（</w:t>
            </w:r>
            <w:r>
              <w:rPr>
                <w:rFonts w:hint="eastAsia" w:ascii="Times New Roman" w:hAnsi="Times New Roman"/>
                <w:color w:val="auto"/>
                <w:sz w:val="21"/>
                <w:szCs w:val="16"/>
                <w:lang w:val="en-US" w:eastAsia="zh-CN"/>
              </w:rPr>
              <w:t>kg</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a</w:t>
            </w:r>
            <w:r>
              <w:rPr>
                <w:rFonts w:hint="eastAsia" w:ascii="Times New Roman" w:hAnsi="Times New Roman"/>
                <w:color w:val="auto"/>
                <w:sz w:val="21"/>
                <w:szCs w:val="16"/>
                <w:lang w:val="en-US" w:eastAsia="zh-CN"/>
              </w:rPr>
              <w:t>）</w:t>
            </w:r>
          </w:p>
        </w:tc>
        <w:tc>
          <w:tcPr>
            <w:tcW w:w="0" w:type="auto"/>
            <w:tcBorders>
              <w:top w:val="single" w:color="auto" w:sz="12"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eastAsia" w:ascii="Times New Roman" w:hAnsi="Times New Roman"/>
                <w:color w:val="auto"/>
                <w:sz w:val="21"/>
                <w:szCs w:val="16"/>
                <w:lang w:val="en-US" w:eastAsia="zh-CN"/>
              </w:rPr>
            </w:pPr>
            <w:r>
              <w:rPr>
                <w:rFonts w:hint="eastAsia" w:ascii="Times New Roman" w:hAnsi="Times New Roman"/>
                <w:color w:val="auto"/>
                <w:sz w:val="21"/>
                <w:szCs w:val="16"/>
                <w:lang w:val="en-US" w:eastAsia="zh-CN"/>
              </w:rPr>
              <w:t>VOCs</w:t>
            </w:r>
          </w:p>
          <w:p>
            <w:pPr>
              <w:widowControl w:val="0"/>
              <w:wordWrap/>
              <w:adjustRightInd/>
              <w:snapToGrid/>
              <w:spacing w:line="240" w:lineRule="auto"/>
              <w:ind w:firstLine="0"/>
              <w:jc w:val="center"/>
              <w:textAlignment w:val="auto"/>
              <w:rPr>
                <w:rFonts w:hint="default" w:ascii="Times New Roman" w:hAnsi="Times New Roman"/>
                <w:color w:val="auto"/>
                <w:sz w:val="21"/>
                <w:szCs w:val="16"/>
                <w:lang w:val="en-US" w:eastAsia="zh-CN"/>
              </w:rPr>
            </w:pP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t</w:t>
            </w:r>
            <w:r>
              <w:rPr>
                <w:rFonts w:hint="eastAsia" w:ascii="Times New Roman" w:hAnsi="Times New Roman"/>
                <w:color w:val="auto"/>
                <w:sz w:val="21"/>
                <w:szCs w:val="16"/>
                <w:lang w:val="en-US" w:eastAsia="zh-CN"/>
              </w:rPr>
              <w:t>/</w:t>
            </w:r>
            <w:r>
              <w:rPr>
                <w:rFonts w:hint="eastAsia" w:ascii="Times New Roman" w:hAnsi="Times New Roman"/>
                <w:color w:val="auto"/>
                <w:sz w:val="21"/>
                <w:szCs w:val="16"/>
                <w:lang w:val="en-US" w:eastAsia="zh-CN"/>
              </w:rPr>
              <w:t>a</w:t>
            </w:r>
            <w:r>
              <w:rPr>
                <w:rFonts w:hint="eastAsia" w:ascii="Times New Roman" w:hAnsi="Times New Roman"/>
                <w:color w:val="auto"/>
                <w:sz w:val="21"/>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0" w:type="auto"/>
            <w:tcBorders>
              <w:top w:val="single" w:color="auto" w:sz="4"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PD</w:t>
            </w:r>
          </w:p>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w:t>
            </w: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831m</w:t>
            </w:r>
            <w:r>
              <w:rPr>
                <w:rFonts w:hint="eastAsia"/>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10000</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11600</w:t>
            </w:r>
            <w:r>
              <w:rPr>
                <w:rFonts w:hint="eastAsia"/>
                <w:color w:val="auto"/>
                <w:sz w:val="21"/>
                <w:szCs w:val="16"/>
                <w:lang w:val="en-US" w:eastAsia="zh-CN"/>
              </w:rPr>
              <w:t>.</w:t>
            </w:r>
            <w:r>
              <w:rPr>
                <w:rFonts w:hint="eastAsia" w:ascii="Times New Roman" w:hAnsi="Times New Roman"/>
                <w:color w:val="auto"/>
                <w:sz w:val="21"/>
                <w:szCs w:val="16"/>
                <w:lang w:val="en-US" w:eastAsia="zh-CN"/>
              </w:rPr>
              <w:t>9</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09793</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9793</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181</w:t>
            </w:r>
            <w:r>
              <w:rPr>
                <w:rFonts w:hint="eastAsia"/>
                <w:color w:val="auto"/>
                <w:sz w:val="21"/>
                <w:szCs w:val="16"/>
                <w:lang w:val="en-US" w:eastAsia="zh-CN"/>
              </w:rPr>
              <w:t>.</w:t>
            </w:r>
            <w:r>
              <w:rPr>
                <w:rFonts w:hint="eastAsia" w:ascii="Times New Roman" w:hAnsi="Times New Roman"/>
                <w:color w:val="auto"/>
                <w:sz w:val="21"/>
                <w:szCs w:val="16"/>
                <w:lang w:val="en-US" w:eastAsia="zh-CN"/>
              </w:rPr>
              <w:t>679</w:t>
            </w:r>
          </w:p>
        </w:tc>
        <w:tc>
          <w:tcPr>
            <w:tcW w:w="0" w:type="auto"/>
            <w:tcBorders>
              <w:top w:val="single" w:color="auto" w:sz="4"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1816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tcBorders>
              <w:top w:val="single" w:color="auto" w:sz="4"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粗</w:t>
            </w:r>
            <w:r>
              <w:rPr>
                <w:rFonts w:hint="eastAsia" w:ascii="Times New Roman" w:hAnsi="Times New Roman"/>
                <w:color w:val="auto"/>
                <w:sz w:val="21"/>
                <w:szCs w:val="16"/>
                <w:lang w:val="en-US" w:eastAsia="zh-CN"/>
              </w:rPr>
              <w:t>PD</w:t>
            </w:r>
          </w:p>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w:t>
            </w: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15m</w:t>
            </w:r>
            <w:r>
              <w:rPr>
                <w:rFonts w:hint="eastAsia"/>
                <w:color w:val="auto"/>
                <w:sz w:val="21"/>
                <w:szCs w:val="16"/>
                <w:lang w:val="en-US" w:eastAsia="zh-CN"/>
              </w:rPr>
              <w:t>³）</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2000</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2283</w:t>
            </w:r>
            <w:r>
              <w:rPr>
                <w:rFonts w:hint="eastAsia"/>
                <w:color w:val="auto"/>
                <w:sz w:val="21"/>
                <w:szCs w:val="16"/>
                <w:lang w:val="en-US" w:eastAsia="zh-CN"/>
              </w:rPr>
              <w:t>.</w:t>
            </w:r>
            <w:r>
              <w:rPr>
                <w:rFonts w:hint="eastAsia" w:ascii="Times New Roman" w:hAnsi="Times New Roman"/>
                <w:color w:val="auto"/>
                <w:sz w:val="21"/>
                <w:szCs w:val="16"/>
                <w:lang w:val="en-US" w:eastAsia="zh-CN"/>
              </w:rPr>
              <w:t>1</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09793</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2235</w:t>
            </w:r>
          </w:p>
        </w:tc>
        <w:tc>
          <w:tcPr>
            <w:tcW w:w="0" w:type="auto"/>
            <w:tcBorders>
              <w:top w:val="single" w:color="auto" w:sz="4" w:space="0"/>
              <w:left w:val="single" w:color="auto" w:sz="4"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w:t>
            </w:r>
          </w:p>
        </w:tc>
        <w:tc>
          <w:tcPr>
            <w:tcW w:w="0" w:type="auto"/>
            <w:tcBorders>
              <w:top w:val="single" w:color="auto" w:sz="4"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color w:val="auto"/>
                <w:sz w:val="21"/>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0" w:type="auto"/>
            <w:gridSpan w:val="3"/>
            <w:tcBorders>
              <w:top w:val="single" w:color="auto" w:sz="4" w:space="0"/>
              <w:left w:val="single" w:color="auto" w:sz="12" w:space="0"/>
              <w:bottom w:val="single" w:color="auto" w:sz="4" w:space="0"/>
              <w:right w:val="single" w:color="auto" w:sz="4"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合计</w:t>
            </w:r>
          </w:p>
        </w:tc>
        <w:tc>
          <w:tcPr>
            <w:tcW w:w="0" w:type="auto"/>
            <w:gridSpan w:val="4"/>
            <w:tcBorders>
              <w:top w:val="single" w:color="auto" w:sz="4" w:space="0"/>
              <w:left w:val="single" w:color="auto" w:sz="4" w:space="0"/>
              <w:bottom w:val="single" w:color="auto" w:sz="4"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1</w:t>
            </w:r>
            <w:r>
              <w:rPr>
                <w:rFonts w:hint="eastAsia"/>
                <w:color w:val="auto"/>
                <w:sz w:val="21"/>
                <w:szCs w:val="16"/>
                <w:lang w:val="en-US" w:eastAsia="zh-CN"/>
              </w:rPr>
              <w:t>.</w:t>
            </w:r>
            <w:r>
              <w:rPr>
                <w:rFonts w:hint="eastAsia" w:ascii="Times New Roman" w:hAnsi="Times New Roman"/>
                <w:color w:val="auto"/>
                <w:sz w:val="21"/>
                <w:szCs w:val="16"/>
                <w:lang w:val="en-US" w:eastAsia="zh-CN"/>
              </w:rPr>
              <w:t>3844t</w:t>
            </w:r>
            <w:r>
              <w:rPr>
                <w:rFonts w:hint="eastAsia"/>
                <w:color w:val="auto"/>
                <w:sz w:val="21"/>
                <w:szCs w:val="16"/>
                <w:lang w:val="en-US" w:eastAsia="zh-CN"/>
              </w:rPr>
              <w:t>/</w:t>
            </w:r>
            <w:r>
              <w:rPr>
                <w:rFonts w:hint="eastAsia" w:ascii="Times New Roman" w:hAnsi="Times New Roman"/>
                <w:color w:val="auto"/>
                <w:sz w:val="21"/>
                <w:szCs w:val="16"/>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0" w:type="auto"/>
            <w:gridSpan w:val="7"/>
            <w:tcBorders>
              <w:top w:val="single" w:color="auto" w:sz="4" w:space="0"/>
              <w:left w:val="single" w:color="auto" w:sz="12" w:space="0"/>
              <w:bottom w:val="single" w:color="auto" w:sz="12" w:space="0"/>
              <w:right w:val="single" w:color="auto" w:sz="12" w:space="0"/>
            </w:tcBorders>
            <w:vAlign w:val="center"/>
          </w:tcPr>
          <w:p>
            <w:pPr>
              <w:widowControl w:val="0"/>
              <w:wordWrap/>
              <w:adjustRightInd/>
              <w:snapToGrid/>
              <w:spacing w:line="240" w:lineRule="auto"/>
              <w:ind w:firstLine="0"/>
              <w:jc w:val="left"/>
              <w:textAlignment w:val="auto"/>
              <w:rPr>
                <w:rFonts w:hint="default"/>
                <w:color w:val="auto"/>
                <w:sz w:val="21"/>
                <w:szCs w:val="16"/>
                <w:lang w:val="en-US" w:eastAsia="zh-CN"/>
              </w:rPr>
            </w:pPr>
            <w:r>
              <w:rPr>
                <w:rFonts w:hint="eastAsia"/>
                <w:color w:val="auto"/>
                <w:sz w:val="21"/>
                <w:szCs w:val="16"/>
                <w:lang w:val="en-US" w:eastAsia="zh-CN"/>
              </w:rPr>
              <w:t>注：</w:t>
            </w:r>
            <w:r>
              <w:rPr>
                <w:rFonts w:hint="eastAsia" w:ascii="Times New Roman" w:hAnsi="Times New Roman"/>
                <w:color w:val="auto"/>
                <w:sz w:val="21"/>
                <w:szCs w:val="16"/>
                <w:lang w:val="en-US" w:eastAsia="zh-CN"/>
              </w:rPr>
              <w:t>PD</w:t>
            </w:r>
            <w:r>
              <w:rPr>
                <w:rFonts w:hint="eastAsia"/>
                <w:color w:val="auto"/>
                <w:sz w:val="21"/>
                <w:szCs w:val="16"/>
                <w:lang w:val="en-US" w:eastAsia="zh-CN"/>
              </w:rPr>
              <w:t>密度：</w:t>
            </w:r>
            <w:r>
              <w:rPr>
                <w:rFonts w:hint="eastAsia" w:ascii="Times New Roman" w:hAnsi="Times New Roman"/>
                <w:color w:val="auto"/>
                <w:sz w:val="21"/>
                <w:szCs w:val="16"/>
                <w:lang w:val="en-US" w:eastAsia="zh-CN"/>
              </w:rPr>
              <w:t>0</w:t>
            </w:r>
            <w:r>
              <w:rPr>
                <w:rFonts w:hint="eastAsia"/>
                <w:color w:val="auto"/>
                <w:sz w:val="21"/>
                <w:szCs w:val="16"/>
                <w:lang w:val="en-US" w:eastAsia="zh-CN"/>
              </w:rPr>
              <w:t>.</w:t>
            </w:r>
            <w:r>
              <w:rPr>
                <w:rFonts w:hint="eastAsia" w:ascii="Times New Roman" w:hAnsi="Times New Roman"/>
                <w:color w:val="auto"/>
                <w:sz w:val="21"/>
                <w:szCs w:val="16"/>
                <w:lang w:val="en-US" w:eastAsia="zh-CN"/>
              </w:rPr>
              <w:t>862g</w:t>
            </w:r>
            <w:r>
              <w:rPr>
                <w:rFonts w:hint="eastAsia"/>
                <w:color w:val="auto"/>
                <w:sz w:val="21"/>
                <w:szCs w:val="16"/>
                <w:lang w:val="en-US" w:eastAsia="zh-CN"/>
              </w:rPr>
              <w:t>/</w:t>
            </w:r>
            <w:r>
              <w:rPr>
                <w:rFonts w:hint="eastAsia" w:ascii="Times New Roman" w:hAnsi="Times New Roman"/>
                <w:color w:val="auto"/>
                <w:sz w:val="21"/>
                <w:szCs w:val="16"/>
                <w:lang w:val="en-US" w:eastAsia="zh-CN"/>
              </w:rPr>
              <w:t>cm</w:t>
            </w:r>
            <w:r>
              <w:rPr>
                <w:rFonts w:hint="eastAsia"/>
                <w:color w:val="auto"/>
                <w:sz w:val="21"/>
                <w:szCs w:val="16"/>
                <w:lang w:val="en-US" w:eastAsia="zh-CN"/>
              </w:rPr>
              <w:t>³，储存温度</w:t>
            </w:r>
            <w:r>
              <w:rPr>
                <w:rFonts w:hint="eastAsia" w:ascii="Times New Roman" w:hAnsi="Times New Roman"/>
                <w:color w:val="auto"/>
                <w:sz w:val="21"/>
                <w:szCs w:val="16"/>
                <w:lang w:val="en-US" w:eastAsia="zh-CN"/>
              </w:rPr>
              <w:t>25</w:t>
            </w:r>
            <w:r>
              <w:rPr>
                <w:rFonts w:hint="eastAsia"/>
                <w:color w:val="auto"/>
                <w:sz w:val="21"/>
                <w:szCs w:val="16"/>
                <w:lang w:val="en-US" w:eastAsia="zh-CN"/>
              </w:rPr>
              <w:t>℃</w:t>
            </w:r>
          </w:p>
        </w:tc>
      </w:tr>
    </w:tbl>
    <w:p>
      <w:pPr>
        <w:bidi w:val="0"/>
        <w:rPr>
          <w:rFonts w:hint="default"/>
          <w:lang w:val="en-US" w:eastAsia="zh-CN"/>
        </w:rPr>
      </w:pPr>
      <w:r>
        <w:rPr>
          <w:rFonts w:hint="eastAsia"/>
          <w:lang w:val="en-US" w:eastAsia="zh-CN"/>
        </w:rPr>
        <w:t>本项目储罐区无组织废气排放污染物主要为：</w:t>
      </w:r>
      <w:r>
        <w:rPr>
          <w:rFonts w:hint="eastAsia" w:ascii="Times New Roman" w:hAnsi="Times New Roman"/>
          <w:lang w:val="en-US" w:eastAsia="zh-CN"/>
        </w:rPr>
        <w:t>NMHC</w:t>
      </w:r>
      <w:r>
        <w:rPr>
          <w:rFonts w:hint="eastAsia"/>
          <w:lang w:val="en-US" w:eastAsia="zh-CN"/>
        </w:rPr>
        <w:t>（以</w:t>
      </w:r>
      <w:r>
        <w:rPr>
          <w:rFonts w:hint="eastAsia" w:ascii="Times New Roman" w:hAnsi="Times New Roman"/>
          <w:lang w:val="en-US" w:eastAsia="zh-CN"/>
        </w:rPr>
        <w:t>PD</w:t>
      </w:r>
      <w:r>
        <w:rPr>
          <w:rFonts w:hint="eastAsia"/>
          <w:lang w:val="en-US" w:eastAsia="zh-CN"/>
        </w:rPr>
        <w:t>计）：</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3844t</w:t>
      </w:r>
      <w:r>
        <w:rPr>
          <w:rFonts w:hint="eastAsia"/>
          <w:lang w:val="en-US" w:eastAsia="zh-CN"/>
        </w:rPr>
        <w:t>/</w:t>
      </w:r>
      <w:r>
        <w:rPr>
          <w:rFonts w:hint="eastAsia" w:ascii="Times New Roman" w:hAnsi="Times New Roman"/>
          <w:lang w:val="en-US" w:eastAsia="zh-CN"/>
        </w:rPr>
        <w:t>a</w:t>
      </w:r>
      <w:r>
        <w:rPr>
          <w:rFonts w:hint="eastAsia"/>
          <w:lang w:val="en-US" w:eastAsia="zh-CN"/>
        </w:rPr>
        <w:t>。</w:t>
      </w:r>
    </w:p>
    <w:p>
      <w:pPr>
        <w:pStyle w:val="6"/>
        <w:bidi w:val="0"/>
        <w:rPr>
          <w:rFonts w:hint="eastAsia"/>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rPr>
        <w:t>非正常排放</w:t>
      </w:r>
    </w:p>
    <w:p>
      <w:pPr>
        <w:rPr>
          <w:rFonts w:hint="eastAsia" w:eastAsia="宋体"/>
          <w:lang w:eastAsia="zh-CN"/>
        </w:rPr>
      </w:pPr>
      <w:r>
        <w:rPr>
          <w:rFonts w:hint="eastAsia"/>
          <w:lang w:val="en-US" w:eastAsia="zh-CN"/>
        </w:rPr>
        <w:t>本次评价</w:t>
      </w:r>
      <w:r>
        <w:rPr>
          <w:rFonts w:hint="eastAsia"/>
          <w:lang w:eastAsia="zh-CN"/>
        </w:rPr>
        <w:t>非</w:t>
      </w:r>
      <w:r>
        <w:rPr>
          <w:rFonts w:hint="eastAsia"/>
        </w:rPr>
        <w:t>正常排放</w:t>
      </w:r>
      <w:r>
        <w:rPr>
          <w:rFonts w:hint="eastAsia"/>
          <w:lang w:eastAsia="zh-CN"/>
        </w:rPr>
        <w:t>考虑吸收塔中一级水吸收塔由于补水不及时造成失效，仅二级酸吸收对尾气进行处理。</w:t>
      </w:r>
      <w:r>
        <w:rPr>
          <w:rFonts w:hint="eastAsia"/>
          <w:highlight w:val="none"/>
        </w:rPr>
        <w:t>非正常工况下污染源强见表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ascii="Times New Roman"/>
          <w:lang w:val="en-US" w:eastAsia="zh-CN"/>
        </w:rPr>
        <w:t>-</w:t>
      </w:r>
      <w:r>
        <w:rPr>
          <w:rFonts w:hint="eastAsia" w:ascii="Times New Roman" w:hAnsi="Times New Roman"/>
          <w:lang w:val="en-US" w:eastAsia="zh-CN"/>
        </w:rPr>
        <w:t>3</w:t>
      </w:r>
      <w:r>
        <w:rPr>
          <w:rFonts w:hint="eastAsia"/>
        </w:rPr>
        <w:t>。</w:t>
      </w:r>
    </w:p>
    <w:p>
      <w:pPr>
        <w:pStyle w:val="20"/>
        <w:keepNext w:val="0"/>
        <w:keepLines w:val="0"/>
        <w:pageBreakBefore w:val="0"/>
        <w:widowControl w:val="0"/>
        <w:kinsoku/>
        <w:wordWrap/>
        <w:overflowPunct/>
        <w:topLinePunct w:val="0"/>
        <w:autoSpaceDE/>
        <w:autoSpaceDN/>
        <w:bidi w:val="0"/>
        <w:adjustRightInd/>
        <w:snapToGrid/>
        <w:spacing w:before="0" w:beforeLines="0"/>
        <w:textAlignment w:val="auto"/>
        <w:rPr>
          <w:rFonts w:hint="eastAsia"/>
        </w:rPr>
      </w:pPr>
      <w:r>
        <w:rPr>
          <w:rFonts w:hint="eastAsia"/>
        </w:rP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ascii="Times New Roman" w:hAnsi="Times New Roman"/>
        </w:rPr>
        <w:t>-</w:t>
      </w:r>
      <w:r>
        <w:rPr>
          <w:rFonts w:hint="eastAsia" w:ascii="Times New Roman" w:hAnsi="Times New Roman"/>
          <w:lang w:val="en-US" w:eastAsia="zh-CN"/>
        </w:rPr>
        <w:t>3</w:t>
      </w:r>
      <w:r>
        <w:rPr>
          <w:rFonts w:hint="eastAsia"/>
        </w:rPr>
        <w:t xml:space="preserve">  非正常工况污染源强</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971"/>
        <w:gridCol w:w="977"/>
        <w:gridCol w:w="1278"/>
        <w:gridCol w:w="1056"/>
        <w:gridCol w:w="1076"/>
        <w:gridCol w:w="9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eastAsia="zh-CN"/>
              </w:rPr>
            </w:pPr>
            <w:r>
              <w:rPr>
                <w:rFonts w:hint="eastAsia"/>
                <w:sz w:val="21"/>
                <w:szCs w:val="16"/>
                <w:vertAlign w:val="baseline"/>
                <w:lang w:eastAsia="zh-CN"/>
              </w:rPr>
              <w:t>非正常排放源</w:t>
            </w:r>
          </w:p>
        </w:tc>
        <w:tc>
          <w:tcPr>
            <w:tcW w:w="19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eastAsia="zh-CN"/>
              </w:rPr>
            </w:pPr>
            <w:r>
              <w:rPr>
                <w:rFonts w:hint="eastAsia"/>
                <w:sz w:val="21"/>
                <w:szCs w:val="16"/>
                <w:vertAlign w:val="baseline"/>
                <w:lang w:eastAsia="zh-CN"/>
              </w:rPr>
              <w:t>非正常排</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eastAsia="zh-CN"/>
              </w:rPr>
            </w:pPr>
            <w:r>
              <w:rPr>
                <w:rFonts w:hint="eastAsia"/>
                <w:sz w:val="21"/>
                <w:szCs w:val="16"/>
                <w:vertAlign w:val="baseline"/>
                <w:lang w:eastAsia="zh-CN"/>
              </w:rPr>
              <w:t>放原因</w:t>
            </w:r>
          </w:p>
        </w:tc>
        <w:tc>
          <w:tcPr>
            <w:tcW w:w="97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eastAsia="zh-CN"/>
              </w:rPr>
            </w:pPr>
            <w:r>
              <w:rPr>
                <w:rFonts w:hint="eastAsia"/>
                <w:sz w:val="21"/>
                <w:szCs w:val="16"/>
                <w:vertAlign w:val="baseline"/>
                <w:lang w:eastAsia="zh-CN"/>
              </w:rPr>
              <w:t>污染物</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eastAsia="zh-CN"/>
              </w:rPr>
            </w:pPr>
            <w:r>
              <w:rPr>
                <w:rFonts w:hint="eastAsia"/>
                <w:sz w:val="21"/>
                <w:szCs w:val="16"/>
                <w:vertAlign w:val="baseline"/>
                <w:lang w:eastAsia="zh-CN"/>
              </w:rPr>
              <w:t>排放浓度</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eastAsia="zh-CN"/>
              </w:rPr>
            </w:pPr>
            <w:r>
              <w:rPr>
                <w:rFonts w:hint="eastAsia"/>
                <w:sz w:val="21"/>
                <w:szCs w:val="16"/>
                <w:vertAlign w:val="baseline"/>
                <w:lang w:eastAsia="zh-CN"/>
              </w:rPr>
              <w:t>排放速率</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eastAsia="zh-CN"/>
              </w:rPr>
            </w:pPr>
            <w:r>
              <w:rPr>
                <w:rFonts w:hint="eastAsia"/>
                <w:sz w:val="21"/>
                <w:szCs w:val="16"/>
                <w:vertAlign w:val="baseline"/>
                <w:lang w:eastAsia="zh-CN"/>
              </w:rPr>
              <w:t>单次持续时间</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vertAlign w:val="baseline"/>
                <w:lang w:val="en-US" w:eastAsia="zh-CN"/>
              </w:rPr>
            </w:pPr>
            <w:r>
              <w:rPr>
                <w:rFonts w:hint="eastAsia"/>
                <w:sz w:val="21"/>
                <w:szCs w:val="16"/>
                <w:vertAlign w:val="baseline"/>
                <w:lang w:eastAsia="zh-CN"/>
              </w:rPr>
              <w:t>年发生频次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eastAsia="zh-CN"/>
              </w:rPr>
            </w:pPr>
          </w:p>
        </w:tc>
        <w:tc>
          <w:tcPr>
            <w:tcW w:w="19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eastAsia="zh-CN"/>
              </w:rPr>
            </w:pPr>
          </w:p>
        </w:tc>
        <w:tc>
          <w:tcPr>
            <w:tcW w:w="97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eastAsia="zh-CN"/>
              </w:rPr>
            </w:pP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eastAsia="zh-CN"/>
              </w:rPr>
            </w:pPr>
            <w:r>
              <w:rPr>
                <w:rFonts w:hint="eastAsia"/>
                <w:sz w:val="21"/>
                <w:szCs w:val="16"/>
                <w:vertAlign w:val="baseline"/>
                <w:lang w:eastAsia="zh-CN"/>
              </w:rPr>
              <w:t>（</w:t>
            </w:r>
            <w:r>
              <w:rPr>
                <w:rFonts w:hint="eastAsia" w:ascii="Times New Roman" w:hAnsi="Times New Roman"/>
                <w:sz w:val="21"/>
                <w:szCs w:val="16"/>
                <w:vertAlign w:val="baseline"/>
                <w:lang w:val="en-US" w:eastAsia="zh-CN"/>
              </w:rPr>
              <w:t>mg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m</w:t>
            </w:r>
            <w:r>
              <w:rPr>
                <w:rFonts w:hint="eastAsia"/>
                <w:sz w:val="21"/>
                <w:szCs w:val="16"/>
                <w:vertAlign w:val="baseline"/>
                <w:lang w:val="en-US" w:eastAsia="zh-CN"/>
              </w:rPr>
              <w:t>³</w:t>
            </w:r>
            <w:r>
              <w:rPr>
                <w:rFonts w:hint="eastAsia"/>
                <w:sz w:val="21"/>
                <w:szCs w:val="16"/>
                <w:vertAlign w:val="baseline"/>
                <w:lang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eastAsia="zh-CN"/>
              </w:rPr>
            </w:pPr>
            <w:r>
              <w:rPr>
                <w:rFonts w:hint="eastAsia"/>
                <w:sz w:val="21"/>
                <w:szCs w:val="16"/>
                <w:vertAlign w:val="baseline"/>
                <w:lang w:eastAsia="zh-CN"/>
              </w:rPr>
              <w:t>（</w:t>
            </w:r>
            <w:r>
              <w:rPr>
                <w:rFonts w:hint="eastAsia" w:ascii="Times New Roman" w:hAnsi="Times New Roman"/>
                <w:sz w:val="21"/>
                <w:szCs w:val="16"/>
                <w:vertAlign w:val="baseline"/>
                <w:lang w:val="en-US" w:eastAsia="zh-CN"/>
              </w:rPr>
              <w:t>kg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h</w:t>
            </w:r>
            <w:r>
              <w:rPr>
                <w:rFonts w:hint="eastAsia"/>
                <w:sz w:val="21"/>
                <w:szCs w:val="16"/>
                <w:vertAlign w:val="baseline"/>
                <w:lang w:eastAsia="zh-CN"/>
              </w:rPr>
              <w:t>）</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h</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eastAsia="zh-CN"/>
              </w:rPr>
            </w:pPr>
            <w:r>
              <w:rPr>
                <w:rFonts w:hint="eastAsia"/>
                <w:sz w:val="21"/>
                <w:szCs w:val="16"/>
                <w:vertAlign w:val="baseline"/>
                <w:lang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vertAlign w:val="baseline"/>
                <w:lang w:val="en-US" w:eastAsia="zh-CN"/>
              </w:rPr>
            </w:pPr>
            <w:r>
              <w:rPr>
                <w:rFonts w:hint="eastAsia"/>
                <w:sz w:val="21"/>
                <w:szCs w:val="16"/>
                <w:vertAlign w:val="baseline"/>
                <w:lang w:eastAsia="zh-CN"/>
              </w:rPr>
              <w:t>生产工艺废气</w:t>
            </w:r>
            <w:r>
              <w:rPr>
                <w:rFonts w:hint="eastAsia"/>
                <w:sz w:val="21"/>
                <w:szCs w:val="16"/>
                <w:vertAlign w:val="baseline"/>
                <w:lang w:val="en-US" w:eastAsia="zh-CN"/>
              </w:rPr>
              <w:t>+二级酸吸收+</w:t>
            </w:r>
            <w:r>
              <w:rPr>
                <w:rFonts w:hint="eastAsia" w:ascii="Times New Roman" w:hAnsi="Times New Roman"/>
                <w:sz w:val="21"/>
                <w:szCs w:val="16"/>
                <w:vertAlign w:val="baseline"/>
                <w:lang w:val="en-US" w:eastAsia="zh-CN"/>
              </w:rPr>
              <w:t>15m</w:t>
            </w:r>
            <w:r>
              <w:rPr>
                <w:rFonts w:hint="eastAsia"/>
                <w:sz w:val="21"/>
                <w:szCs w:val="16"/>
                <w:vertAlign w:val="baseline"/>
                <w:lang w:val="en-US" w:eastAsia="zh-CN"/>
              </w:rPr>
              <w:t>排气筒</w:t>
            </w:r>
          </w:p>
        </w:tc>
        <w:tc>
          <w:tcPr>
            <w:tcW w:w="19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vertAlign w:val="baseline"/>
                <w:lang w:val="en-US" w:eastAsia="zh-CN"/>
              </w:rPr>
            </w:pPr>
            <w:r>
              <w:rPr>
                <w:rFonts w:hint="eastAsia"/>
                <w:sz w:val="21"/>
                <w:szCs w:val="16"/>
                <w:vertAlign w:val="baseline"/>
                <w:lang w:eastAsia="zh-CN"/>
              </w:rPr>
              <w:t>一级水洗塔</w:t>
            </w:r>
            <w:r>
              <w:rPr>
                <w:rFonts w:hint="eastAsia"/>
                <w:sz w:val="21"/>
                <w:szCs w:val="16"/>
                <w:vertAlign w:val="baseline"/>
                <w:lang w:val="en-US" w:eastAsia="zh-CN"/>
              </w:rPr>
              <w:t>失效</w:t>
            </w: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NH</w:t>
            </w:r>
            <w:r>
              <w:rPr>
                <w:rFonts w:hint="eastAsia" w:ascii="Times New Roman" w:hAnsi="Times New Roman"/>
                <w:sz w:val="21"/>
                <w:szCs w:val="16"/>
                <w:vertAlign w:val="subscript"/>
                <w:lang w:val="en-US" w:eastAsia="zh-CN"/>
              </w:rPr>
              <w:t>3</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2024</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w:t>
            </w:r>
            <w:r>
              <w:rPr>
                <w:rFonts w:hint="eastAsia" w:ascii="Times New Roman" w:hAnsi="Times New Roman"/>
                <w:sz w:val="21"/>
                <w:szCs w:val="16"/>
                <w:vertAlign w:val="baseline"/>
                <w:lang w:val="en-US" w:eastAsia="zh-CN"/>
              </w:rPr>
              <w:t>.</w:t>
            </w:r>
            <w:r>
              <w:rPr>
                <w:rFonts w:hint="eastAsia" w:ascii="Times New Roman" w:hAnsi="Times New Roman"/>
                <w:sz w:val="21"/>
                <w:szCs w:val="16"/>
                <w:vertAlign w:val="baseline"/>
                <w:lang w:val="en-US" w:eastAsia="zh-CN"/>
              </w:rPr>
              <w:t>037</w:t>
            </w:r>
          </w:p>
        </w:tc>
        <w:tc>
          <w:tcPr>
            <w:tcW w:w="107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val="en-US" w:eastAsia="zh-CN"/>
              </w:rPr>
            </w:pPr>
            <w:r>
              <w:rPr>
                <w:rFonts w:hint="eastAsia" w:ascii="Times New Roman" w:hAnsi="Times New Roman"/>
                <w:sz w:val="21"/>
                <w:szCs w:val="16"/>
                <w:vertAlign w:val="baseline"/>
                <w:lang w:val="en-US" w:eastAsia="zh-CN"/>
              </w:rPr>
              <w:t>1</w:t>
            </w:r>
          </w:p>
        </w:tc>
        <w:tc>
          <w:tcPr>
            <w:tcW w:w="9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val="en-US" w:eastAsia="zh-CN"/>
              </w:rPr>
            </w:pPr>
            <w:r>
              <w:rPr>
                <w:rFonts w:hint="eastAsia" w:ascii="Times New Roman" w:hAnsi="Times New Roman"/>
                <w:sz w:val="21"/>
                <w:szCs w:val="16"/>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rPr>
            </w:pPr>
          </w:p>
        </w:tc>
        <w:tc>
          <w:tcPr>
            <w:tcW w:w="19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rPr>
            </w:pPr>
          </w:p>
        </w:tc>
        <w:tc>
          <w:tcPr>
            <w:tcW w:w="9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NMHC</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8</w:t>
            </w:r>
          </w:p>
        </w:tc>
        <w:tc>
          <w:tcPr>
            <w:tcW w:w="0" w:type="auto"/>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0</w:t>
            </w:r>
            <w:r>
              <w:rPr>
                <w:rFonts w:hint="eastAsia" w:ascii="Times New Roman" w:hAnsi="Times New Roman"/>
                <w:sz w:val="21"/>
                <w:szCs w:val="16"/>
                <w:vertAlign w:val="baseline"/>
                <w:lang w:val="en-US" w:eastAsia="zh-CN"/>
              </w:rPr>
              <w:t>.</w:t>
            </w:r>
            <w:r>
              <w:rPr>
                <w:rFonts w:hint="eastAsia" w:ascii="Times New Roman" w:hAnsi="Times New Roman"/>
                <w:sz w:val="21"/>
                <w:szCs w:val="16"/>
                <w:vertAlign w:val="baseline"/>
                <w:lang w:val="en-US" w:eastAsia="zh-CN"/>
              </w:rPr>
              <w:t>0013</w:t>
            </w:r>
          </w:p>
        </w:tc>
        <w:tc>
          <w:tcPr>
            <w:tcW w:w="10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rPr>
            </w:pPr>
          </w:p>
        </w:tc>
        <w:tc>
          <w:tcPr>
            <w:tcW w:w="9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rPr>
            </w:pPr>
          </w:p>
        </w:tc>
      </w:tr>
    </w:tbl>
    <w:p>
      <w:pPr>
        <w:bidi w:val="0"/>
        <w:rPr>
          <w:rFonts w:hint="eastAsia"/>
        </w:rPr>
      </w:pPr>
      <w:r>
        <w:rPr>
          <w:rFonts w:hint="eastAsia"/>
          <w:lang w:eastAsia="zh-CN"/>
        </w:rPr>
        <w:t>本项目有组织废气污染源源强核算结果及相关参数见表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4</w:t>
      </w:r>
      <w:r>
        <w:rPr>
          <w:rFonts w:hint="eastAsia"/>
          <w:lang w:val="en-US" w:eastAsia="zh-CN"/>
        </w:rPr>
        <w:t>。</w:t>
      </w:r>
    </w:p>
    <w:p>
      <w:r>
        <w:rPr>
          <w:rFonts w:hint="eastAsia"/>
        </w:rPr>
        <w:t>本项目无组织废气产生及排放情况见表</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7</w:t>
      </w:r>
      <w:r>
        <w:rPr>
          <w:rFonts w:hint="eastAsia" w:ascii="Times New Roman"/>
          <w:lang w:val="en-US" w:eastAsia="zh-CN"/>
        </w:rPr>
        <w:t>-</w:t>
      </w:r>
      <w:r>
        <w:rPr>
          <w:rFonts w:hint="eastAsia" w:ascii="Times New Roman" w:hAnsi="Times New Roman"/>
          <w:lang w:val="en-US" w:eastAsia="zh-CN"/>
        </w:rPr>
        <w:t>5</w:t>
      </w:r>
      <w:r>
        <w:rPr>
          <w:rFonts w:hint="eastAsia"/>
        </w:rPr>
        <w:t>。</w:t>
      </w:r>
    </w:p>
    <w:p>
      <w:pPr>
        <w:jc w:val="center"/>
        <w:rPr>
          <w:rFonts w:hAnsi="宋体"/>
          <w:b/>
          <w:spacing w:val="4"/>
          <w:sz w:val="21"/>
          <w:szCs w:val="21"/>
          <w:lang w:bidi="ar"/>
        </w:rPr>
      </w:pPr>
      <w:r>
        <w:rPr>
          <w:rFonts w:hAnsi="宋体"/>
          <w:b/>
          <w:spacing w:val="4"/>
          <w:sz w:val="21"/>
          <w:szCs w:val="21"/>
          <w:lang w:bidi="ar"/>
        </w:rPr>
        <w:t>表</w:t>
      </w:r>
      <w:r>
        <w:rPr>
          <w:rFonts w:hint="eastAsia" w:ascii="Times New Roman" w:hAnsi="Times New Roman"/>
          <w:b/>
          <w:spacing w:val="4"/>
          <w:sz w:val="21"/>
          <w:szCs w:val="21"/>
          <w:lang w:val="en-US" w:eastAsia="zh-CN" w:bidi="ar"/>
        </w:rPr>
        <w:t>4</w:t>
      </w:r>
      <w:r>
        <w:rPr>
          <w:rFonts w:hint="eastAsia" w:ascii="Times New Roman"/>
          <w:b/>
          <w:spacing w:val="4"/>
          <w:sz w:val="21"/>
          <w:szCs w:val="21"/>
          <w:lang w:val="en-US" w:eastAsia="zh-CN" w:bidi="ar"/>
        </w:rPr>
        <w:t>.</w:t>
      </w:r>
      <w:r>
        <w:rPr>
          <w:rFonts w:hint="eastAsia" w:ascii="Times New Roman" w:hAnsi="Times New Roman"/>
          <w:b/>
          <w:spacing w:val="4"/>
          <w:sz w:val="21"/>
          <w:szCs w:val="21"/>
          <w:lang w:val="en-US" w:eastAsia="zh-CN" w:bidi="ar"/>
        </w:rPr>
        <w:t>7</w:t>
      </w:r>
      <w:r>
        <w:rPr>
          <w:rFonts w:hint="eastAsia" w:ascii="Times New Roman"/>
          <w:b/>
          <w:spacing w:val="4"/>
          <w:sz w:val="21"/>
          <w:szCs w:val="21"/>
          <w:lang w:val="en-US" w:eastAsia="zh-CN" w:bidi="ar"/>
        </w:rPr>
        <w:t>-</w:t>
      </w:r>
      <w:r>
        <w:rPr>
          <w:rFonts w:hint="eastAsia" w:ascii="Times New Roman" w:hAnsi="Times New Roman"/>
          <w:b/>
          <w:spacing w:val="4"/>
          <w:sz w:val="21"/>
          <w:szCs w:val="21"/>
          <w:lang w:val="en-US" w:eastAsia="zh-CN" w:bidi="ar"/>
        </w:rPr>
        <w:t>5</w:t>
      </w:r>
      <w:r>
        <w:rPr>
          <w:rFonts w:hint="eastAsia"/>
          <w:b/>
          <w:spacing w:val="4"/>
          <w:sz w:val="21"/>
          <w:szCs w:val="21"/>
          <w:lang w:bidi="ar"/>
        </w:rPr>
        <w:t xml:space="preserve">  </w:t>
      </w:r>
      <w:r>
        <w:rPr>
          <w:rFonts w:hint="eastAsia"/>
          <w:b/>
          <w:spacing w:val="4"/>
          <w:sz w:val="21"/>
          <w:szCs w:val="21"/>
          <w:lang w:eastAsia="zh-CN" w:bidi="ar"/>
        </w:rPr>
        <w:t>本项目</w:t>
      </w:r>
      <w:r>
        <w:rPr>
          <w:rFonts w:hAnsi="宋体"/>
          <w:b/>
          <w:spacing w:val="4"/>
          <w:sz w:val="21"/>
          <w:szCs w:val="21"/>
          <w:lang w:bidi="ar"/>
        </w:rPr>
        <w:t>无组织废气（面源）污染源参数一览表</w:t>
      </w:r>
    </w:p>
    <w:tbl>
      <w:tblPr>
        <w:tblStyle w:val="8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993"/>
        <w:gridCol w:w="993"/>
        <w:gridCol w:w="993"/>
        <w:gridCol w:w="1539"/>
        <w:gridCol w:w="1090"/>
        <w:gridCol w:w="607"/>
        <w:gridCol w:w="23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29" w:type="pct"/>
            <w:vMerge w:val="restart"/>
            <w:noWrap w:val="0"/>
            <w:vAlign w:val="center"/>
          </w:tcPr>
          <w:p>
            <w:pPr>
              <w:spacing w:line="240" w:lineRule="auto"/>
              <w:ind w:firstLine="0"/>
              <w:jc w:val="center"/>
              <w:rPr>
                <w:rFonts w:hint="eastAsia"/>
                <w:spacing w:val="-11"/>
                <w:sz w:val="21"/>
                <w:szCs w:val="21"/>
              </w:rPr>
            </w:pPr>
            <w:r>
              <w:rPr>
                <w:rFonts w:hint="eastAsia"/>
                <w:spacing w:val="-11"/>
                <w:sz w:val="21"/>
                <w:szCs w:val="21"/>
              </w:rPr>
              <w:t>序号</w:t>
            </w:r>
          </w:p>
        </w:tc>
        <w:tc>
          <w:tcPr>
            <w:tcW w:w="541" w:type="pct"/>
            <w:vMerge w:val="restart"/>
            <w:noWrap w:val="0"/>
            <w:vAlign w:val="center"/>
          </w:tcPr>
          <w:p>
            <w:pPr>
              <w:spacing w:line="240" w:lineRule="auto"/>
              <w:ind w:firstLine="0"/>
              <w:jc w:val="center"/>
              <w:rPr>
                <w:rFonts w:hint="eastAsia"/>
                <w:spacing w:val="-11"/>
                <w:sz w:val="21"/>
                <w:szCs w:val="21"/>
              </w:rPr>
            </w:pPr>
            <w:r>
              <w:rPr>
                <w:rFonts w:hint="eastAsia"/>
                <w:spacing w:val="-11"/>
                <w:sz w:val="21"/>
                <w:szCs w:val="21"/>
              </w:rPr>
              <w:t>污染源</w:t>
            </w:r>
          </w:p>
          <w:p>
            <w:pPr>
              <w:spacing w:line="240" w:lineRule="auto"/>
              <w:ind w:firstLine="0"/>
              <w:jc w:val="center"/>
              <w:rPr>
                <w:rFonts w:hint="eastAsia"/>
                <w:spacing w:val="-11"/>
                <w:sz w:val="21"/>
                <w:szCs w:val="21"/>
              </w:rPr>
            </w:pPr>
            <w:r>
              <w:rPr>
                <w:rFonts w:hint="eastAsia"/>
                <w:spacing w:val="-11"/>
                <w:sz w:val="21"/>
                <w:szCs w:val="21"/>
              </w:rPr>
              <w:t>名称</w:t>
            </w:r>
          </w:p>
        </w:tc>
        <w:tc>
          <w:tcPr>
            <w:tcW w:w="541" w:type="pct"/>
            <w:vMerge w:val="restart"/>
            <w:noWrap w:val="0"/>
            <w:vAlign w:val="center"/>
          </w:tcPr>
          <w:p>
            <w:pPr>
              <w:spacing w:line="240" w:lineRule="auto"/>
              <w:ind w:firstLine="0"/>
              <w:jc w:val="center"/>
              <w:rPr>
                <w:rFonts w:hint="eastAsia"/>
                <w:spacing w:val="-11"/>
                <w:sz w:val="21"/>
                <w:szCs w:val="21"/>
              </w:rPr>
            </w:pPr>
            <w:r>
              <w:rPr>
                <w:rFonts w:hint="eastAsia"/>
                <w:spacing w:val="-11"/>
                <w:sz w:val="21"/>
                <w:szCs w:val="21"/>
              </w:rPr>
              <w:t>面源长度</w:t>
            </w:r>
          </w:p>
          <w:p>
            <w:pPr>
              <w:spacing w:line="240" w:lineRule="auto"/>
              <w:ind w:firstLine="0"/>
              <w:jc w:val="center"/>
              <w:rPr>
                <w:rFonts w:hint="eastAsia"/>
                <w:spacing w:val="-11"/>
                <w:sz w:val="21"/>
                <w:szCs w:val="21"/>
              </w:rPr>
            </w:pPr>
            <w:r>
              <w:rPr>
                <w:rFonts w:hint="eastAsia"/>
                <w:spacing w:val="-11"/>
                <w:sz w:val="21"/>
                <w:szCs w:val="21"/>
              </w:rPr>
              <w:t>（</w:t>
            </w:r>
            <w:r>
              <w:rPr>
                <w:rFonts w:hint="eastAsia" w:ascii="Times New Roman" w:hAnsi="Times New Roman"/>
                <w:spacing w:val="-11"/>
                <w:sz w:val="21"/>
                <w:szCs w:val="21"/>
              </w:rPr>
              <w:t>m</w:t>
            </w:r>
            <w:r>
              <w:rPr>
                <w:rFonts w:hint="eastAsia"/>
                <w:spacing w:val="-11"/>
                <w:sz w:val="21"/>
                <w:szCs w:val="21"/>
              </w:rPr>
              <w:t>）</w:t>
            </w:r>
          </w:p>
        </w:tc>
        <w:tc>
          <w:tcPr>
            <w:tcW w:w="541" w:type="pct"/>
            <w:vMerge w:val="restart"/>
            <w:noWrap w:val="0"/>
            <w:vAlign w:val="center"/>
          </w:tcPr>
          <w:p>
            <w:pPr>
              <w:spacing w:line="240" w:lineRule="auto"/>
              <w:ind w:firstLine="0"/>
              <w:jc w:val="center"/>
              <w:rPr>
                <w:rFonts w:hint="eastAsia"/>
                <w:spacing w:val="-11"/>
                <w:sz w:val="21"/>
                <w:szCs w:val="21"/>
              </w:rPr>
            </w:pPr>
            <w:r>
              <w:rPr>
                <w:rFonts w:hint="eastAsia"/>
                <w:spacing w:val="-11"/>
                <w:sz w:val="21"/>
                <w:szCs w:val="21"/>
              </w:rPr>
              <w:t>面源宽度</w:t>
            </w:r>
          </w:p>
          <w:p>
            <w:pPr>
              <w:spacing w:line="240" w:lineRule="auto"/>
              <w:ind w:firstLine="0"/>
              <w:jc w:val="center"/>
              <w:rPr>
                <w:rFonts w:hint="eastAsia"/>
                <w:spacing w:val="-11"/>
                <w:sz w:val="21"/>
                <w:szCs w:val="21"/>
              </w:rPr>
            </w:pPr>
            <w:r>
              <w:rPr>
                <w:rFonts w:hint="eastAsia"/>
                <w:spacing w:val="-11"/>
                <w:sz w:val="21"/>
                <w:szCs w:val="21"/>
              </w:rPr>
              <w:t>（</w:t>
            </w:r>
            <w:r>
              <w:rPr>
                <w:rFonts w:hint="eastAsia" w:ascii="Times New Roman" w:hAnsi="Times New Roman"/>
                <w:spacing w:val="-11"/>
                <w:sz w:val="21"/>
                <w:szCs w:val="21"/>
              </w:rPr>
              <w:t>m</w:t>
            </w:r>
            <w:r>
              <w:rPr>
                <w:rFonts w:hint="eastAsia"/>
                <w:spacing w:val="-11"/>
                <w:sz w:val="21"/>
                <w:szCs w:val="21"/>
              </w:rPr>
              <w:t>）</w:t>
            </w:r>
          </w:p>
        </w:tc>
        <w:tc>
          <w:tcPr>
            <w:tcW w:w="839" w:type="pct"/>
            <w:vMerge w:val="restart"/>
            <w:noWrap w:val="0"/>
            <w:vAlign w:val="center"/>
          </w:tcPr>
          <w:p>
            <w:pPr>
              <w:spacing w:line="240" w:lineRule="auto"/>
              <w:ind w:firstLine="0"/>
              <w:jc w:val="center"/>
              <w:rPr>
                <w:rFonts w:hint="eastAsia"/>
                <w:spacing w:val="-11"/>
                <w:sz w:val="21"/>
                <w:szCs w:val="21"/>
              </w:rPr>
            </w:pPr>
            <w:r>
              <w:rPr>
                <w:rFonts w:hint="eastAsia"/>
                <w:spacing w:val="-11"/>
                <w:sz w:val="21"/>
                <w:szCs w:val="21"/>
              </w:rPr>
              <w:t>面源有效</w:t>
            </w:r>
          </w:p>
          <w:p>
            <w:pPr>
              <w:spacing w:line="240" w:lineRule="auto"/>
              <w:ind w:firstLine="0"/>
              <w:jc w:val="center"/>
              <w:rPr>
                <w:rFonts w:hint="eastAsia"/>
                <w:spacing w:val="-11"/>
                <w:sz w:val="21"/>
                <w:szCs w:val="21"/>
              </w:rPr>
            </w:pPr>
            <w:r>
              <w:rPr>
                <w:rFonts w:hint="eastAsia"/>
                <w:spacing w:val="-11"/>
                <w:sz w:val="21"/>
                <w:szCs w:val="21"/>
              </w:rPr>
              <w:t>排放高度（</w:t>
            </w:r>
            <w:r>
              <w:rPr>
                <w:rFonts w:hint="eastAsia" w:ascii="Times New Roman" w:hAnsi="Times New Roman"/>
                <w:spacing w:val="-11"/>
                <w:sz w:val="21"/>
                <w:szCs w:val="21"/>
              </w:rPr>
              <w:t>m</w:t>
            </w:r>
            <w:r>
              <w:rPr>
                <w:rFonts w:hint="eastAsia"/>
                <w:spacing w:val="-11"/>
                <w:sz w:val="21"/>
                <w:szCs w:val="21"/>
              </w:rPr>
              <w:t>）</w:t>
            </w:r>
          </w:p>
        </w:tc>
        <w:tc>
          <w:tcPr>
            <w:tcW w:w="594" w:type="pct"/>
            <w:vMerge w:val="restart"/>
            <w:noWrap w:val="0"/>
            <w:vAlign w:val="center"/>
          </w:tcPr>
          <w:p>
            <w:pPr>
              <w:spacing w:line="240" w:lineRule="auto"/>
              <w:ind w:firstLine="0"/>
              <w:jc w:val="center"/>
              <w:rPr>
                <w:rFonts w:hint="eastAsia"/>
                <w:spacing w:val="-11"/>
                <w:sz w:val="21"/>
                <w:szCs w:val="21"/>
              </w:rPr>
            </w:pPr>
            <w:r>
              <w:rPr>
                <w:rFonts w:hint="eastAsia"/>
                <w:spacing w:val="-11"/>
                <w:sz w:val="21"/>
                <w:szCs w:val="21"/>
              </w:rPr>
              <w:t>年排放小</w:t>
            </w:r>
          </w:p>
          <w:p>
            <w:pPr>
              <w:spacing w:line="240" w:lineRule="auto"/>
              <w:ind w:firstLine="0"/>
              <w:jc w:val="center"/>
              <w:rPr>
                <w:rFonts w:hint="eastAsia"/>
                <w:spacing w:val="-11"/>
                <w:sz w:val="21"/>
                <w:szCs w:val="21"/>
              </w:rPr>
            </w:pPr>
            <w:r>
              <w:rPr>
                <w:rFonts w:hint="eastAsia"/>
                <w:spacing w:val="-11"/>
                <w:sz w:val="21"/>
                <w:szCs w:val="21"/>
              </w:rPr>
              <w:t>时数（</w:t>
            </w:r>
            <w:r>
              <w:rPr>
                <w:rFonts w:hint="eastAsia" w:ascii="Times New Roman" w:hAnsi="Times New Roman"/>
                <w:spacing w:val="-11"/>
                <w:sz w:val="21"/>
                <w:szCs w:val="21"/>
              </w:rPr>
              <w:t>h</w:t>
            </w:r>
            <w:r>
              <w:rPr>
                <w:rFonts w:hint="eastAsia"/>
                <w:spacing w:val="-11"/>
                <w:sz w:val="21"/>
                <w:szCs w:val="21"/>
              </w:rPr>
              <w:t>）</w:t>
            </w:r>
          </w:p>
        </w:tc>
        <w:tc>
          <w:tcPr>
            <w:tcW w:w="331" w:type="pct"/>
            <w:vMerge w:val="restart"/>
            <w:noWrap w:val="0"/>
            <w:vAlign w:val="center"/>
          </w:tcPr>
          <w:p>
            <w:pPr>
              <w:spacing w:line="240" w:lineRule="auto"/>
              <w:ind w:firstLine="0"/>
              <w:jc w:val="center"/>
              <w:rPr>
                <w:rFonts w:hint="eastAsia"/>
                <w:spacing w:val="-11"/>
                <w:sz w:val="21"/>
                <w:szCs w:val="21"/>
              </w:rPr>
            </w:pPr>
            <w:r>
              <w:rPr>
                <w:rFonts w:hint="eastAsia"/>
                <w:spacing w:val="-11"/>
                <w:sz w:val="21"/>
                <w:szCs w:val="21"/>
              </w:rPr>
              <w:t>排放</w:t>
            </w:r>
          </w:p>
          <w:p>
            <w:pPr>
              <w:spacing w:line="240" w:lineRule="auto"/>
              <w:ind w:firstLine="0"/>
              <w:jc w:val="center"/>
              <w:rPr>
                <w:rFonts w:hint="eastAsia"/>
                <w:spacing w:val="-11"/>
                <w:sz w:val="21"/>
                <w:szCs w:val="21"/>
              </w:rPr>
            </w:pPr>
            <w:r>
              <w:rPr>
                <w:rFonts w:hint="eastAsia"/>
                <w:spacing w:val="-11"/>
                <w:sz w:val="21"/>
                <w:szCs w:val="21"/>
              </w:rPr>
              <w:t>工况</w:t>
            </w:r>
          </w:p>
        </w:tc>
        <w:tc>
          <w:tcPr>
            <w:tcW w:w="1281" w:type="pct"/>
            <w:noWrap w:val="0"/>
            <w:vAlign w:val="center"/>
          </w:tcPr>
          <w:p>
            <w:pPr>
              <w:spacing w:line="240" w:lineRule="auto"/>
              <w:ind w:firstLine="0"/>
              <w:jc w:val="center"/>
              <w:rPr>
                <w:rFonts w:hint="eastAsia"/>
                <w:spacing w:val="-11"/>
                <w:sz w:val="21"/>
                <w:szCs w:val="21"/>
              </w:rPr>
            </w:pPr>
            <w:r>
              <w:rPr>
                <w:rFonts w:hint="eastAsia"/>
                <w:spacing w:val="-11"/>
                <w:sz w:val="21"/>
                <w:szCs w:val="21"/>
              </w:rPr>
              <w:t>污染物排放速率（</w:t>
            </w:r>
            <w:r>
              <w:rPr>
                <w:rFonts w:hint="eastAsia" w:ascii="Times New Roman" w:hAnsi="Times New Roman"/>
                <w:spacing w:val="-11"/>
                <w:sz w:val="21"/>
                <w:szCs w:val="21"/>
              </w:rPr>
              <w:t>kg</w:t>
            </w:r>
            <w:r>
              <w:rPr>
                <w:rFonts w:hint="eastAsia"/>
                <w:spacing w:val="-11"/>
                <w:sz w:val="21"/>
                <w:szCs w:val="21"/>
              </w:rPr>
              <w:t>/</w:t>
            </w:r>
            <w:r>
              <w:rPr>
                <w:rFonts w:hint="eastAsia" w:ascii="Times New Roman" w:hAnsi="Times New Roman"/>
                <w:spacing w:val="-11"/>
                <w:sz w:val="21"/>
                <w:szCs w:val="21"/>
              </w:rPr>
              <w:t>h</w:t>
            </w:r>
            <w:r>
              <w:rPr>
                <w:rFonts w:hint="eastAsia"/>
                <w:spacing w:val="-11"/>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9" w:type="pct"/>
            <w:vMerge w:val="continue"/>
            <w:noWrap w:val="0"/>
            <w:vAlign w:val="center"/>
          </w:tcPr>
          <w:p>
            <w:pPr>
              <w:spacing w:line="240" w:lineRule="auto"/>
              <w:ind w:firstLine="0"/>
              <w:jc w:val="center"/>
              <w:rPr>
                <w:rFonts w:hint="eastAsia"/>
                <w:spacing w:val="-11"/>
                <w:sz w:val="21"/>
                <w:szCs w:val="21"/>
              </w:rPr>
            </w:pPr>
          </w:p>
        </w:tc>
        <w:tc>
          <w:tcPr>
            <w:tcW w:w="541" w:type="pct"/>
            <w:vMerge w:val="continue"/>
            <w:noWrap w:val="0"/>
            <w:vAlign w:val="center"/>
          </w:tcPr>
          <w:p>
            <w:pPr>
              <w:spacing w:line="240" w:lineRule="auto"/>
              <w:ind w:firstLine="0"/>
              <w:jc w:val="center"/>
              <w:rPr>
                <w:rFonts w:hint="eastAsia"/>
                <w:spacing w:val="-11"/>
                <w:sz w:val="21"/>
                <w:szCs w:val="21"/>
              </w:rPr>
            </w:pPr>
          </w:p>
        </w:tc>
        <w:tc>
          <w:tcPr>
            <w:tcW w:w="541" w:type="pct"/>
            <w:vMerge w:val="continue"/>
            <w:noWrap w:val="0"/>
            <w:vAlign w:val="center"/>
          </w:tcPr>
          <w:p>
            <w:pPr>
              <w:spacing w:line="240" w:lineRule="auto"/>
              <w:ind w:firstLine="0"/>
              <w:jc w:val="center"/>
              <w:rPr>
                <w:rFonts w:hint="eastAsia"/>
                <w:spacing w:val="-11"/>
                <w:sz w:val="21"/>
                <w:szCs w:val="21"/>
              </w:rPr>
            </w:pPr>
          </w:p>
        </w:tc>
        <w:tc>
          <w:tcPr>
            <w:tcW w:w="541" w:type="pct"/>
            <w:vMerge w:val="continue"/>
            <w:noWrap w:val="0"/>
            <w:vAlign w:val="center"/>
          </w:tcPr>
          <w:p>
            <w:pPr>
              <w:spacing w:line="240" w:lineRule="auto"/>
              <w:ind w:firstLine="0"/>
              <w:jc w:val="center"/>
              <w:rPr>
                <w:rFonts w:hint="eastAsia"/>
                <w:spacing w:val="-11"/>
                <w:sz w:val="21"/>
                <w:szCs w:val="21"/>
              </w:rPr>
            </w:pPr>
          </w:p>
        </w:tc>
        <w:tc>
          <w:tcPr>
            <w:tcW w:w="839" w:type="pct"/>
            <w:vMerge w:val="continue"/>
            <w:noWrap w:val="0"/>
            <w:vAlign w:val="center"/>
          </w:tcPr>
          <w:p>
            <w:pPr>
              <w:spacing w:line="240" w:lineRule="auto"/>
              <w:ind w:firstLine="0"/>
              <w:jc w:val="center"/>
              <w:rPr>
                <w:rFonts w:hint="eastAsia"/>
                <w:spacing w:val="-11"/>
                <w:sz w:val="21"/>
                <w:szCs w:val="21"/>
              </w:rPr>
            </w:pPr>
          </w:p>
        </w:tc>
        <w:tc>
          <w:tcPr>
            <w:tcW w:w="594" w:type="pct"/>
            <w:vMerge w:val="continue"/>
            <w:noWrap w:val="0"/>
            <w:vAlign w:val="center"/>
          </w:tcPr>
          <w:p>
            <w:pPr>
              <w:spacing w:line="240" w:lineRule="auto"/>
              <w:ind w:firstLine="0"/>
              <w:jc w:val="center"/>
              <w:rPr>
                <w:rFonts w:hint="eastAsia"/>
                <w:spacing w:val="-11"/>
                <w:sz w:val="21"/>
                <w:szCs w:val="21"/>
              </w:rPr>
            </w:pPr>
          </w:p>
        </w:tc>
        <w:tc>
          <w:tcPr>
            <w:tcW w:w="331" w:type="pct"/>
            <w:vMerge w:val="continue"/>
            <w:noWrap w:val="0"/>
            <w:vAlign w:val="center"/>
          </w:tcPr>
          <w:p>
            <w:pPr>
              <w:spacing w:line="240" w:lineRule="auto"/>
              <w:ind w:firstLine="0"/>
              <w:jc w:val="center"/>
              <w:rPr>
                <w:rFonts w:hint="eastAsia"/>
                <w:spacing w:val="-11"/>
                <w:sz w:val="21"/>
                <w:szCs w:val="21"/>
              </w:rPr>
            </w:pPr>
          </w:p>
        </w:tc>
        <w:tc>
          <w:tcPr>
            <w:tcW w:w="1281" w:type="pct"/>
            <w:noWrap w:val="0"/>
            <w:vAlign w:val="center"/>
          </w:tcPr>
          <w:p>
            <w:pPr>
              <w:spacing w:line="240" w:lineRule="auto"/>
              <w:ind w:firstLine="0"/>
              <w:jc w:val="center"/>
              <w:rPr>
                <w:rFonts w:hint="default" w:ascii="Times New Roman"/>
                <w:spacing w:val="-11"/>
                <w:sz w:val="21"/>
                <w:szCs w:val="21"/>
                <w:lang w:val="en-US" w:eastAsia="zh-CN" w:bidi="ar"/>
              </w:rPr>
            </w:pPr>
            <w:r>
              <w:rPr>
                <w:rFonts w:hint="eastAsia" w:ascii="Times New Roman" w:hAnsi="Times New Roman"/>
                <w:spacing w:val="-11"/>
                <w:sz w:val="21"/>
                <w:szCs w:val="21"/>
                <w:lang w:val="en-US" w:eastAsia="zh-CN" w:bidi="ar"/>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29" w:type="pct"/>
            <w:noWrap w:val="0"/>
            <w:vAlign w:val="center"/>
          </w:tcPr>
          <w:p>
            <w:pPr>
              <w:spacing w:line="240" w:lineRule="auto"/>
              <w:ind w:firstLine="0"/>
              <w:jc w:val="center"/>
              <w:rPr>
                <w:rFonts w:hint="eastAsia" w:ascii="Times New Roman" w:eastAsia="宋体"/>
                <w:spacing w:val="-11"/>
                <w:sz w:val="21"/>
                <w:szCs w:val="21"/>
                <w:lang w:val="en-US" w:eastAsia="zh-CN"/>
              </w:rPr>
            </w:pPr>
            <w:r>
              <w:rPr>
                <w:rFonts w:hint="eastAsia" w:ascii="Times New Roman" w:hAnsi="Times New Roman"/>
                <w:spacing w:val="-11"/>
                <w:sz w:val="21"/>
                <w:szCs w:val="21"/>
                <w:lang w:val="en-US" w:eastAsia="zh-CN"/>
              </w:rPr>
              <w:t>1</w:t>
            </w:r>
          </w:p>
        </w:tc>
        <w:tc>
          <w:tcPr>
            <w:tcW w:w="541" w:type="pct"/>
            <w:noWrap w:val="0"/>
            <w:vAlign w:val="center"/>
          </w:tcPr>
          <w:p>
            <w:pPr>
              <w:spacing w:line="240" w:lineRule="auto"/>
              <w:ind w:firstLine="0" w:firstLineChars="0"/>
              <w:jc w:val="center"/>
              <w:rPr>
                <w:rFonts w:hint="eastAsia"/>
                <w:spacing w:val="-11"/>
                <w:sz w:val="21"/>
                <w:szCs w:val="21"/>
                <w:lang w:eastAsia="zh-CN"/>
              </w:rPr>
            </w:pPr>
            <w:r>
              <w:rPr>
                <w:rFonts w:hint="eastAsia"/>
                <w:spacing w:val="-11"/>
                <w:sz w:val="21"/>
                <w:szCs w:val="21"/>
                <w:lang w:eastAsia="zh-CN"/>
              </w:rPr>
              <w:t>产品罐区</w:t>
            </w:r>
          </w:p>
        </w:tc>
        <w:tc>
          <w:tcPr>
            <w:tcW w:w="541" w:type="pct"/>
            <w:noWrap w:val="0"/>
            <w:vAlign w:val="center"/>
          </w:tcPr>
          <w:p>
            <w:pPr>
              <w:spacing w:line="240" w:lineRule="auto"/>
              <w:ind w:firstLine="0" w:firstLineChars="0"/>
              <w:jc w:val="center"/>
              <w:rPr>
                <w:rFonts w:hint="default" w:ascii="Times New Roman"/>
                <w:spacing w:val="-11"/>
                <w:sz w:val="21"/>
                <w:szCs w:val="21"/>
                <w:lang w:val="en-US" w:eastAsia="zh-CN"/>
              </w:rPr>
            </w:pPr>
            <w:r>
              <w:rPr>
                <w:rFonts w:hint="eastAsia" w:ascii="Times New Roman" w:hAnsi="Times New Roman"/>
                <w:spacing w:val="-11"/>
                <w:sz w:val="21"/>
                <w:szCs w:val="21"/>
                <w:lang w:val="en-US" w:eastAsia="zh-CN"/>
              </w:rPr>
              <w:t>40</w:t>
            </w:r>
          </w:p>
        </w:tc>
        <w:tc>
          <w:tcPr>
            <w:tcW w:w="541" w:type="pct"/>
            <w:noWrap w:val="0"/>
            <w:vAlign w:val="center"/>
          </w:tcPr>
          <w:p>
            <w:pPr>
              <w:spacing w:line="240" w:lineRule="auto"/>
              <w:ind w:firstLine="0" w:firstLineChars="0"/>
              <w:jc w:val="center"/>
              <w:rPr>
                <w:rFonts w:hint="default" w:ascii="Times New Roman"/>
                <w:spacing w:val="-11"/>
                <w:sz w:val="21"/>
                <w:szCs w:val="21"/>
                <w:lang w:val="en-US" w:eastAsia="zh-CN"/>
              </w:rPr>
            </w:pPr>
            <w:r>
              <w:rPr>
                <w:rFonts w:hint="eastAsia" w:ascii="Times New Roman" w:hAnsi="Times New Roman"/>
                <w:spacing w:val="-11"/>
                <w:sz w:val="21"/>
                <w:szCs w:val="21"/>
                <w:lang w:val="en-US" w:eastAsia="zh-CN"/>
              </w:rPr>
              <w:t>40</w:t>
            </w:r>
          </w:p>
        </w:tc>
        <w:tc>
          <w:tcPr>
            <w:tcW w:w="839" w:type="pct"/>
            <w:noWrap w:val="0"/>
            <w:vAlign w:val="center"/>
          </w:tcPr>
          <w:p>
            <w:pPr>
              <w:spacing w:line="240" w:lineRule="auto"/>
              <w:ind w:firstLine="0" w:firstLineChars="0"/>
              <w:jc w:val="center"/>
              <w:rPr>
                <w:rFonts w:hint="default" w:ascii="Times New Roman"/>
                <w:spacing w:val="-11"/>
                <w:sz w:val="21"/>
                <w:szCs w:val="21"/>
                <w:lang w:val="en-US" w:eastAsia="zh-CN"/>
              </w:rPr>
            </w:pPr>
            <w:r>
              <w:rPr>
                <w:rFonts w:hint="eastAsia" w:ascii="Times New Roman" w:hAnsi="Times New Roman"/>
                <w:spacing w:val="-11"/>
                <w:sz w:val="21"/>
                <w:szCs w:val="21"/>
                <w:lang w:val="en-US" w:eastAsia="zh-CN"/>
              </w:rPr>
              <w:t>10</w:t>
            </w:r>
          </w:p>
        </w:tc>
        <w:tc>
          <w:tcPr>
            <w:tcW w:w="594" w:type="pct"/>
            <w:noWrap w:val="0"/>
            <w:vAlign w:val="center"/>
          </w:tcPr>
          <w:p>
            <w:pPr>
              <w:spacing w:line="240" w:lineRule="auto"/>
              <w:ind w:firstLine="0" w:firstLineChars="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8000</w:t>
            </w:r>
          </w:p>
        </w:tc>
        <w:tc>
          <w:tcPr>
            <w:tcW w:w="331" w:type="pct"/>
            <w:noWrap w:val="0"/>
            <w:vAlign w:val="center"/>
          </w:tcPr>
          <w:p>
            <w:pPr>
              <w:spacing w:line="240" w:lineRule="auto"/>
              <w:ind w:firstLine="0" w:firstLineChars="0"/>
              <w:jc w:val="center"/>
              <w:rPr>
                <w:rFonts w:hint="eastAsia" w:eastAsia="宋体"/>
                <w:spacing w:val="-11"/>
                <w:sz w:val="21"/>
                <w:szCs w:val="21"/>
                <w:lang w:eastAsia="zh-CN"/>
              </w:rPr>
            </w:pPr>
            <w:r>
              <w:rPr>
                <w:rFonts w:hint="eastAsia"/>
                <w:spacing w:val="-11"/>
                <w:sz w:val="21"/>
                <w:szCs w:val="21"/>
                <w:lang w:eastAsia="zh-CN"/>
              </w:rPr>
              <w:t>正常</w:t>
            </w:r>
          </w:p>
        </w:tc>
        <w:tc>
          <w:tcPr>
            <w:tcW w:w="1281" w:type="pct"/>
            <w:noWrap w:val="0"/>
            <w:vAlign w:val="center"/>
          </w:tcPr>
          <w:p>
            <w:pPr>
              <w:spacing w:line="240" w:lineRule="auto"/>
              <w:ind w:firstLine="0" w:firstLineChars="0"/>
              <w:jc w:val="center"/>
              <w:rPr>
                <w:rFonts w:hint="default"/>
                <w:spacing w:val="-11"/>
                <w:sz w:val="21"/>
                <w:szCs w:val="21"/>
                <w:lang w:val="en-US" w:eastAsia="zh-CN"/>
              </w:rPr>
            </w:pPr>
            <w:r>
              <w:rPr>
                <w:rFonts w:hint="eastAsia" w:ascii="Times New Roman" w:hAnsi="Times New Roman"/>
                <w:spacing w:val="-11"/>
                <w:sz w:val="21"/>
                <w:szCs w:val="21"/>
                <w:lang w:val="en-US" w:eastAsia="zh-CN"/>
              </w:rPr>
              <w:t>0</w:t>
            </w:r>
            <w:r>
              <w:rPr>
                <w:rFonts w:hint="eastAsia"/>
                <w:spacing w:val="-11"/>
                <w:sz w:val="21"/>
                <w:szCs w:val="21"/>
                <w:lang w:val="en-US" w:eastAsia="zh-CN"/>
              </w:rPr>
              <w:t>.</w:t>
            </w:r>
            <w:r>
              <w:rPr>
                <w:rFonts w:hint="eastAsia" w:ascii="Times New Roman" w:hAnsi="Times New Roman"/>
                <w:spacing w:val="-11"/>
                <w:sz w:val="21"/>
                <w:szCs w:val="21"/>
                <w:lang w:val="en-US" w:eastAsia="zh-CN"/>
              </w:rPr>
              <w:t>173</w:t>
            </w:r>
          </w:p>
        </w:tc>
      </w:tr>
    </w:tbl>
    <w:p>
      <w:pPr>
        <w:rPr>
          <w:rFonts w:hint="eastAsia"/>
        </w:rPr>
      </w:pPr>
    </w:p>
    <w:p>
      <w:pPr>
        <w:pStyle w:val="1012"/>
        <w:rPr>
          <w:rFonts w:hint="eastAsia"/>
        </w:rPr>
        <w:sectPr>
          <w:pgSz w:w="11906" w:h="16838"/>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p>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eastAsia" w:eastAsia="黑体"/>
          <w:color w:val="000000"/>
          <w:szCs w:val="21"/>
        </w:rPr>
      </w:pPr>
      <w:r>
        <w:rPr>
          <w:rFonts w:hint="eastAsia" w:eastAsia="黑体"/>
          <w:szCs w:val="21"/>
        </w:rPr>
        <w:t>表</w:t>
      </w:r>
      <w:r>
        <w:rPr>
          <w:rFonts w:hint="eastAsia" w:ascii="Times New Roman" w:hAnsi="Times New Roman" w:eastAsia="黑体"/>
          <w:szCs w:val="21"/>
          <w:lang w:val="en-US" w:eastAsia="zh-CN"/>
        </w:rPr>
        <w:t>4</w:t>
      </w:r>
      <w:r>
        <w:rPr>
          <w:rFonts w:hint="eastAsia" w:ascii="Times New Roman" w:hAnsi="Times New Roman" w:eastAsia="黑体"/>
          <w:szCs w:val="21"/>
          <w:lang w:val="en-US" w:eastAsia="zh-CN"/>
        </w:rPr>
        <w:t>.</w:t>
      </w:r>
      <w:r>
        <w:rPr>
          <w:rFonts w:hint="eastAsia" w:ascii="Times New Roman" w:hAnsi="Times New Roman" w:eastAsia="黑体"/>
          <w:szCs w:val="21"/>
          <w:lang w:val="en-US" w:eastAsia="zh-CN"/>
        </w:rPr>
        <w:t>7</w:t>
      </w:r>
      <w:r>
        <w:rPr>
          <w:rFonts w:hint="eastAsia" w:ascii="Times New Roman" w:hAnsi="Times New Roman" w:eastAsia="黑体"/>
          <w:szCs w:val="21"/>
          <w:lang w:val="en-US" w:eastAsia="zh-CN"/>
        </w:rPr>
        <w:t>-</w:t>
      </w:r>
      <w:r>
        <w:rPr>
          <w:rFonts w:hint="eastAsia" w:ascii="Times New Roman" w:hAnsi="Times New Roman" w:eastAsia="黑体"/>
          <w:szCs w:val="21"/>
          <w:lang w:val="en-US" w:eastAsia="zh-CN"/>
        </w:rPr>
        <w:t>4</w:t>
      </w:r>
      <w:r>
        <w:rPr>
          <w:rFonts w:hint="eastAsia" w:eastAsia="黑体"/>
          <w:szCs w:val="21"/>
        </w:rPr>
        <w:t>　　</w:t>
      </w:r>
      <w:r>
        <w:rPr>
          <w:rFonts w:hint="eastAsia" w:eastAsia="黑体"/>
          <w:szCs w:val="21"/>
          <w:lang w:eastAsia="zh-CN"/>
        </w:rPr>
        <w:t>正常工况</w:t>
      </w:r>
      <w:r>
        <w:rPr>
          <w:rFonts w:hint="eastAsia" w:eastAsia="黑体"/>
          <w:szCs w:val="21"/>
        </w:rPr>
        <w:t>有组织</w:t>
      </w:r>
      <w:r>
        <w:rPr>
          <w:rFonts w:hint="eastAsia" w:eastAsia="黑体"/>
          <w:color w:val="000000"/>
          <w:szCs w:val="21"/>
        </w:rPr>
        <w:t>废气污染源源强核算结果及相关参数一览表</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568"/>
        <w:gridCol w:w="424"/>
        <w:gridCol w:w="1058"/>
        <w:gridCol w:w="855"/>
        <w:gridCol w:w="885"/>
        <w:gridCol w:w="495"/>
        <w:gridCol w:w="600"/>
        <w:gridCol w:w="871"/>
        <w:gridCol w:w="744"/>
        <w:gridCol w:w="744"/>
        <w:gridCol w:w="392"/>
        <w:gridCol w:w="428"/>
        <w:gridCol w:w="568"/>
        <w:gridCol w:w="392"/>
        <w:gridCol w:w="568"/>
        <w:gridCol w:w="1570"/>
        <w:gridCol w:w="1045"/>
        <w:gridCol w:w="920"/>
        <w:gridCol w:w="3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1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编号</w:t>
            </w:r>
          </w:p>
        </w:tc>
        <w:tc>
          <w:tcPr>
            <w:tcW w:w="56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排放源</w:t>
            </w:r>
          </w:p>
        </w:tc>
        <w:tc>
          <w:tcPr>
            <w:tcW w:w="42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污染物</w:t>
            </w:r>
          </w:p>
        </w:tc>
        <w:tc>
          <w:tcPr>
            <w:tcW w:w="2798"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污染物产生</w:t>
            </w:r>
          </w:p>
        </w:tc>
        <w:tc>
          <w:tcPr>
            <w:tcW w:w="1095"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治理措施</w:t>
            </w:r>
          </w:p>
        </w:tc>
        <w:tc>
          <w:tcPr>
            <w:tcW w:w="235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污染物排放</w:t>
            </w:r>
          </w:p>
        </w:tc>
        <w:tc>
          <w:tcPr>
            <w:tcW w:w="1780"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排放口</w:t>
            </w:r>
          </w:p>
        </w:tc>
        <w:tc>
          <w:tcPr>
            <w:tcW w:w="568"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排放</w:t>
            </w:r>
          </w:p>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时间</w:t>
            </w:r>
          </w:p>
        </w:tc>
        <w:tc>
          <w:tcPr>
            <w:tcW w:w="3535"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执行标准</w:t>
            </w:r>
          </w:p>
        </w:tc>
        <w:tc>
          <w:tcPr>
            <w:tcW w:w="3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1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c>
          <w:tcPr>
            <w:tcW w:w="56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c>
          <w:tcPr>
            <w:tcW w:w="42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c>
          <w:tcPr>
            <w:tcW w:w="1058"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浓度</w:t>
            </w:r>
          </w:p>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w:t>
            </w:r>
            <w:r>
              <w:rPr>
                <w:rFonts w:hint="eastAsia" w:ascii="Times New Roman" w:hAnsi="Times New Roman"/>
                <w:spacing w:val="-17"/>
                <w:w w:val="100"/>
                <w:sz w:val="21"/>
                <w:szCs w:val="21"/>
                <w:lang w:val="en-US" w:eastAsia="zh-CN"/>
              </w:rPr>
              <w:t>mg</w:t>
            </w:r>
            <w:r>
              <w:rPr>
                <w:rFonts w:hint="eastAsia" w:hAnsi="宋体"/>
                <w:spacing w:val="-17"/>
                <w:w w:val="100"/>
                <w:sz w:val="21"/>
                <w:szCs w:val="21"/>
                <w:lang w:val="en-US" w:eastAsia="zh-CN"/>
              </w:rPr>
              <w:t>/</w:t>
            </w:r>
            <w:r>
              <w:rPr>
                <w:rFonts w:hint="eastAsia" w:ascii="Times New Roman" w:hAnsi="Times New Roman"/>
                <w:spacing w:val="-17"/>
                <w:w w:val="100"/>
                <w:sz w:val="21"/>
                <w:szCs w:val="21"/>
                <w:lang w:val="en-US" w:eastAsia="zh-CN"/>
              </w:rPr>
              <w:t>m</w:t>
            </w:r>
            <w:r>
              <w:rPr>
                <w:rFonts w:hint="eastAsia" w:hAnsi="宋体"/>
                <w:spacing w:val="-17"/>
                <w:w w:val="100"/>
                <w:sz w:val="21"/>
                <w:szCs w:val="21"/>
                <w:lang w:val="en-US" w:eastAsia="zh-CN"/>
              </w:rPr>
              <w:t>³</w:t>
            </w:r>
            <w:r>
              <w:rPr>
                <w:rFonts w:hint="eastAsia" w:hAnsi="宋体"/>
                <w:spacing w:val="-17"/>
                <w:w w:val="100"/>
                <w:sz w:val="21"/>
                <w:szCs w:val="21"/>
                <w:lang w:eastAsia="zh-CN"/>
              </w:rPr>
              <w:t>）</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速率</w:t>
            </w:r>
          </w:p>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w:t>
            </w:r>
            <w:r>
              <w:rPr>
                <w:rFonts w:hint="eastAsia" w:ascii="Times New Roman" w:hAnsi="Times New Roman"/>
                <w:spacing w:val="-17"/>
                <w:w w:val="100"/>
                <w:sz w:val="21"/>
                <w:szCs w:val="21"/>
                <w:lang w:val="en-US" w:eastAsia="zh-CN"/>
              </w:rPr>
              <w:t>kg</w:t>
            </w:r>
            <w:r>
              <w:rPr>
                <w:rFonts w:hint="eastAsia" w:hAnsi="宋体"/>
                <w:spacing w:val="-17"/>
                <w:w w:val="100"/>
                <w:sz w:val="21"/>
                <w:szCs w:val="21"/>
                <w:lang w:val="en-US" w:eastAsia="zh-CN"/>
              </w:rPr>
              <w:t>/</w:t>
            </w:r>
            <w:r>
              <w:rPr>
                <w:rFonts w:hint="eastAsia" w:ascii="Times New Roman" w:hAnsi="Times New Roman"/>
                <w:spacing w:val="-17"/>
                <w:w w:val="100"/>
                <w:sz w:val="21"/>
                <w:szCs w:val="21"/>
                <w:lang w:val="en-US" w:eastAsia="zh-CN"/>
              </w:rPr>
              <w:t>h</w:t>
            </w:r>
            <w:r>
              <w:rPr>
                <w:rFonts w:hint="eastAsia" w:hAnsi="宋体"/>
                <w:spacing w:val="-17"/>
                <w:w w:val="100"/>
                <w:sz w:val="21"/>
                <w:szCs w:val="21"/>
                <w:lang w:eastAsia="zh-CN"/>
              </w:rPr>
              <w:t>）</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产生量</w:t>
            </w:r>
          </w:p>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w:t>
            </w:r>
            <w:r>
              <w:rPr>
                <w:rFonts w:hint="eastAsia" w:ascii="Times New Roman" w:hAnsi="Times New Roman"/>
                <w:spacing w:val="-17"/>
                <w:w w:val="100"/>
                <w:sz w:val="21"/>
                <w:szCs w:val="21"/>
                <w:lang w:val="en-US" w:eastAsia="zh-CN"/>
              </w:rPr>
              <w:t>t</w:t>
            </w:r>
            <w:r>
              <w:rPr>
                <w:rFonts w:hint="eastAsia" w:hAnsi="宋体"/>
                <w:spacing w:val="-17"/>
                <w:w w:val="100"/>
                <w:sz w:val="21"/>
                <w:szCs w:val="21"/>
                <w:lang w:val="en-US" w:eastAsia="zh-CN"/>
              </w:rPr>
              <w:t>/</w:t>
            </w:r>
            <w:r>
              <w:rPr>
                <w:rFonts w:hint="eastAsia" w:ascii="Times New Roman" w:hAnsi="Times New Roman"/>
                <w:spacing w:val="-17"/>
                <w:w w:val="100"/>
                <w:sz w:val="21"/>
                <w:szCs w:val="21"/>
                <w:lang w:val="en-US" w:eastAsia="zh-CN"/>
              </w:rPr>
              <w:t>a</w:t>
            </w:r>
            <w:r>
              <w:rPr>
                <w:rFonts w:hint="eastAsia" w:hAnsi="宋体"/>
                <w:spacing w:val="-17"/>
                <w:w w:val="100"/>
                <w:sz w:val="21"/>
                <w:szCs w:val="21"/>
                <w:lang w:eastAsia="zh-CN"/>
              </w:rPr>
              <w:t>）</w:t>
            </w:r>
          </w:p>
        </w:tc>
        <w:tc>
          <w:tcPr>
            <w:tcW w:w="49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工艺</w:t>
            </w:r>
          </w:p>
        </w:tc>
        <w:tc>
          <w:tcPr>
            <w:tcW w:w="600"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val="en-US" w:eastAsia="zh-CN"/>
              </w:rPr>
            </w:pPr>
            <w:r>
              <w:rPr>
                <w:rFonts w:hint="eastAsia" w:hAnsi="宋体"/>
                <w:spacing w:val="-17"/>
                <w:w w:val="100"/>
                <w:sz w:val="21"/>
                <w:szCs w:val="21"/>
              </w:rPr>
              <w:t>效率</w:t>
            </w:r>
            <w:r>
              <w:rPr>
                <w:rFonts w:hint="eastAsia"/>
                <w:spacing w:val="-17"/>
                <w:w w:val="100"/>
                <w:sz w:val="21"/>
                <w:szCs w:val="21"/>
                <w:lang w:val="en-US" w:eastAsia="zh-CN"/>
              </w:rPr>
              <w:t>%</w:t>
            </w:r>
          </w:p>
        </w:tc>
        <w:tc>
          <w:tcPr>
            <w:tcW w:w="871"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ascii="宋体" w:hAnsi="宋体"/>
                <w:spacing w:val="-17"/>
                <w:w w:val="100"/>
                <w:sz w:val="21"/>
                <w:szCs w:val="21"/>
                <w:lang w:val="en-US" w:eastAsia="zh-CN" w:bidi="ar-SA"/>
              </w:rPr>
            </w:pPr>
            <w:r>
              <w:rPr>
                <w:rFonts w:hint="eastAsia" w:hAnsi="宋体"/>
                <w:spacing w:val="-17"/>
                <w:w w:val="100"/>
                <w:sz w:val="21"/>
                <w:szCs w:val="21"/>
              </w:rPr>
              <w:t>浓度</w:t>
            </w:r>
            <w:r>
              <w:rPr>
                <w:rFonts w:hint="eastAsia" w:ascii="Times New Roman" w:hAnsi="Times New Roman"/>
                <w:spacing w:val="-17"/>
                <w:w w:val="100"/>
                <w:sz w:val="21"/>
                <w:szCs w:val="21"/>
              </w:rPr>
              <w:t>mg</w:t>
            </w:r>
            <w:r>
              <w:rPr>
                <w:rFonts w:hint="eastAsia" w:hAnsi="宋体"/>
                <w:spacing w:val="-17"/>
                <w:w w:val="100"/>
                <w:sz w:val="21"/>
                <w:szCs w:val="21"/>
              </w:rPr>
              <w:t>/</w:t>
            </w:r>
            <w:r>
              <w:rPr>
                <w:rFonts w:hint="eastAsia" w:ascii="Times New Roman" w:hAnsi="Times New Roman"/>
                <w:spacing w:val="-17"/>
                <w:w w:val="100"/>
                <w:sz w:val="21"/>
                <w:szCs w:val="21"/>
              </w:rPr>
              <w:t>Nm</w:t>
            </w:r>
            <w:r>
              <w:rPr>
                <w:rFonts w:hint="eastAsia" w:ascii="Times New Roman" w:hAnsi="Times New Roman"/>
                <w:spacing w:val="-17"/>
                <w:w w:val="100"/>
                <w:sz w:val="21"/>
                <w:szCs w:val="21"/>
                <w:vertAlign w:val="superscript"/>
              </w:rPr>
              <w:t>3</w:t>
            </w:r>
          </w:p>
        </w:tc>
        <w:tc>
          <w:tcPr>
            <w:tcW w:w="74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hAnsi="宋体"/>
                <w:spacing w:val="-17"/>
                <w:w w:val="100"/>
                <w:sz w:val="21"/>
                <w:szCs w:val="21"/>
                <w:lang w:eastAsia="zh-CN"/>
              </w:rPr>
              <w:t>速率</w:t>
            </w:r>
            <w:r>
              <w:rPr>
                <w:rFonts w:hint="eastAsia" w:ascii="Times New Roman" w:hAnsi="Times New Roman"/>
                <w:spacing w:val="-17"/>
                <w:w w:val="100"/>
                <w:sz w:val="21"/>
                <w:szCs w:val="21"/>
                <w:lang w:val="en-US" w:eastAsia="zh-CN"/>
              </w:rPr>
              <w:t>kg</w:t>
            </w:r>
            <w:r>
              <w:rPr>
                <w:rFonts w:hint="eastAsia" w:hAnsi="宋体"/>
                <w:spacing w:val="-17"/>
                <w:w w:val="100"/>
                <w:sz w:val="21"/>
                <w:szCs w:val="21"/>
                <w:lang w:val="en-US" w:eastAsia="zh-CN"/>
              </w:rPr>
              <w:t>/</w:t>
            </w:r>
            <w:r>
              <w:rPr>
                <w:rFonts w:hint="eastAsia" w:ascii="Times New Roman" w:hAnsi="Times New Roman"/>
                <w:spacing w:val="-17"/>
                <w:w w:val="100"/>
                <w:sz w:val="21"/>
                <w:szCs w:val="21"/>
                <w:lang w:val="en-US" w:eastAsia="zh-CN"/>
              </w:rPr>
              <w:t>h</w:t>
            </w:r>
          </w:p>
        </w:tc>
        <w:tc>
          <w:tcPr>
            <w:tcW w:w="74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排放量</w:t>
            </w:r>
            <w:r>
              <w:rPr>
                <w:rFonts w:hint="eastAsia" w:ascii="Times New Roman" w:hAnsi="Times New Roman"/>
                <w:spacing w:val="-17"/>
                <w:w w:val="100"/>
                <w:sz w:val="21"/>
                <w:szCs w:val="21"/>
                <w:lang w:val="en-US" w:eastAsia="zh-CN"/>
              </w:rPr>
              <w:t>t</w:t>
            </w:r>
            <w:r>
              <w:rPr>
                <w:rFonts w:hint="eastAsia" w:hAnsi="宋体"/>
                <w:spacing w:val="-17"/>
                <w:w w:val="100"/>
                <w:sz w:val="21"/>
                <w:szCs w:val="21"/>
                <w:lang w:val="en-US" w:eastAsia="zh-CN"/>
              </w:rPr>
              <w:t>/</w:t>
            </w:r>
            <w:r>
              <w:rPr>
                <w:rFonts w:hint="eastAsia" w:ascii="Times New Roman" w:hAnsi="Times New Roman"/>
                <w:spacing w:val="-17"/>
                <w:w w:val="100"/>
                <w:sz w:val="21"/>
                <w:szCs w:val="21"/>
                <w:lang w:val="en-US" w:eastAsia="zh-CN"/>
              </w:rPr>
              <w:t>a</w:t>
            </w:r>
          </w:p>
        </w:tc>
        <w:tc>
          <w:tcPr>
            <w:tcW w:w="392"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高度</w:t>
            </w:r>
          </w:p>
        </w:tc>
        <w:tc>
          <w:tcPr>
            <w:tcW w:w="428"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内径</w:t>
            </w:r>
          </w:p>
        </w:tc>
        <w:tc>
          <w:tcPr>
            <w:tcW w:w="568"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废气量</w:t>
            </w:r>
          </w:p>
        </w:tc>
        <w:tc>
          <w:tcPr>
            <w:tcW w:w="392"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spacing w:val="-17"/>
                <w:w w:val="100"/>
                <w:sz w:val="21"/>
                <w:szCs w:val="21"/>
                <w:lang w:eastAsia="zh-CN"/>
              </w:rPr>
            </w:pPr>
            <w:r>
              <w:rPr>
                <w:rFonts w:hint="eastAsia" w:hAnsi="宋体"/>
                <w:spacing w:val="-17"/>
                <w:w w:val="100"/>
                <w:sz w:val="21"/>
                <w:szCs w:val="21"/>
                <w:lang w:eastAsia="zh-CN"/>
              </w:rPr>
              <w:t>温度</w:t>
            </w:r>
          </w:p>
        </w:tc>
        <w:tc>
          <w:tcPr>
            <w:tcW w:w="568"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spacing w:val="-17"/>
                <w:w w:val="100"/>
                <w:sz w:val="21"/>
                <w:szCs w:val="21"/>
                <w:lang w:val="en-US" w:eastAsia="zh-CN"/>
              </w:rPr>
            </w:pPr>
            <w:r>
              <w:rPr>
                <w:rFonts w:hint="eastAsia" w:ascii="Times New Roman" w:hAnsi="Times New Roman"/>
                <w:spacing w:val="-17"/>
                <w:w w:val="100"/>
                <w:sz w:val="21"/>
                <w:szCs w:val="21"/>
                <w:lang w:val="en-US" w:eastAsia="zh-CN"/>
              </w:rPr>
              <w:t>h</w:t>
            </w:r>
          </w:p>
        </w:tc>
        <w:tc>
          <w:tcPr>
            <w:tcW w:w="1570"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标准名称</w:t>
            </w:r>
          </w:p>
        </w:tc>
        <w:tc>
          <w:tcPr>
            <w:tcW w:w="104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排放浓度（</w:t>
            </w:r>
            <w:r>
              <w:rPr>
                <w:rFonts w:hint="eastAsia" w:ascii="Times New Roman" w:hAnsi="Times New Roman"/>
                <w:spacing w:val="-17"/>
                <w:w w:val="100"/>
                <w:sz w:val="21"/>
                <w:szCs w:val="21"/>
                <w:lang w:val="en-US" w:eastAsia="zh-CN"/>
              </w:rPr>
              <w:t>mg</w:t>
            </w:r>
            <w:r>
              <w:rPr>
                <w:rFonts w:hint="eastAsia" w:hAnsi="宋体"/>
                <w:spacing w:val="-17"/>
                <w:w w:val="100"/>
                <w:sz w:val="21"/>
                <w:szCs w:val="21"/>
                <w:lang w:val="en-US" w:eastAsia="zh-CN"/>
              </w:rPr>
              <w:t>/</w:t>
            </w:r>
            <w:r>
              <w:rPr>
                <w:rFonts w:hint="eastAsia" w:ascii="Times New Roman" w:hAnsi="Times New Roman"/>
                <w:spacing w:val="-17"/>
                <w:w w:val="100"/>
                <w:sz w:val="21"/>
                <w:szCs w:val="21"/>
                <w:lang w:val="en-US" w:eastAsia="zh-CN"/>
              </w:rPr>
              <w:t>m</w:t>
            </w:r>
            <w:r>
              <w:rPr>
                <w:rFonts w:hint="eastAsia" w:hAnsi="宋体"/>
                <w:spacing w:val="-17"/>
                <w:w w:val="100"/>
                <w:sz w:val="21"/>
                <w:szCs w:val="21"/>
                <w:lang w:val="en-US" w:eastAsia="zh-CN"/>
              </w:rPr>
              <w:t>³</w:t>
            </w:r>
            <w:r>
              <w:rPr>
                <w:rFonts w:hint="eastAsia" w:hAnsi="宋体"/>
                <w:spacing w:val="-17"/>
                <w:w w:val="100"/>
                <w:sz w:val="21"/>
                <w:szCs w:val="21"/>
                <w:lang w:eastAsia="zh-CN"/>
              </w:rPr>
              <w:t>）</w:t>
            </w:r>
          </w:p>
        </w:tc>
        <w:tc>
          <w:tcPr>
            <w:tcW w:w="920"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hAnsi="宋体"/>
                <w:spacing w:val="-17"/>
                <w:w w:val="100"/>
                <w:sz w:val="21"/>
                <w:szCs w:val="21"/>
                <w:lang w:eastAsia="zh-CN"/>
              </w:rPr>
              <w:t>排放速率（</w:t>
            </w:r>
            <w:r>
              <w:rPr>
                <w:rFonts w:hint="eastAsia" w:ascii="Times New Roman" w:hAnsi="Times New Roman"/>
                <w:spacing w:val="-17"/>
                <w:w w:val="100"/>
                <w:sz w:val="21"/>
                <w:szCs w:val="21"/>
                <w:lang w:val="en-US" w:eastAsia="zh-CN"/>
              </w:rPr>
              <w:t>kg</w:t>
            </w:r>
            <w:r>
              <w:rPr>
                <w:rFonts w:hint="eastAsia" w:hAnsi="宋体"/>
                <w:spacing w:val="-17"/>
                <w:w w:val="100"/>
                <w:sz w:val="21"/>
                <w:szCs w:val="21"/>
                <w:lang w:val="en-US" w:eastAsia="zh-CN"/>
              </w:rPr>
              <w:t>/</w:t>
            </w:r>
            <w:r>
              <w:rPr>
                <w:rFonts w:hint="eastAsia" w:ascii="Times New Roman" w:hAnsi="Times New Roman"/>
                <w:spacing w:val="-17"/>
                <w:w w:val="100"/>
                <w:sz w:val="21"/>
                <w:szCs w:val="21"/>
                <w:lang w:val="en-US" w:eastAsia="zh-CN"/>
              </w:rPr>
              <w:t>h</w:t>
            </w:r>
            <w:r>
              <w:rPr>
                <w:rFonts w:hint="eastAsia" w:hAnsi="宋体"/>
                <w:spacing w:val="-17"/>
                <w:w w:val="100"/>
                <w:sz w:val="21"/>
                <w:szCs w:val="21"/>
                <w:lang w:eastAsia="zh-CN"/>
              </w:rPr>
              <w:t>）</w:t>
            </w:r>
          </w:p>
        </w:tc>
        <w:tc>
          <w:tcPr>
            <w:tcW w:w="3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1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G</w:t>
            </w:r>
            <w:r>
              <w:rPr>
                <w:rFonts w:hint="eastAsia" w:ascii="Times New Roman" w:hAnsi="Times New Roman"/>
                <w:spacing w:val="-17"/>
                <w:w w:val="100"/>
                <w:sz w:val="21"/>
                <w:szCs w:val="21"/>
                <w:vertAlign w:val="subscript"/>
                <w:lang w:val="en-US" w:eastAsia="zh-CN"/>
              </w:rPr>
              <w:t>1</w:t>
            </w:r>
            <w:r>
              <w:rPr>
                <w:rFonts w:hint="eastAsia"/>
                <w:spacing w:val="-17"/>
                <w:w w:val="100"/>
                <w:sz w:val="21"/>
                <w:szCs w:val="21"/>
                <w:vertAlign w:val="baseline"/>
                <w:lang w:val="en-US" w:eastAsia="zh-CN"/>
              </w:rPr>
              <w:t>～</w:t>
            </w:r>
            <w:r>
              <w:rPr>
                <w:rFonts w:hint="eastAsia" w:ascii="Times New Roman" w:hAnsi="Times New Roman"/>
                <w:spacing w:val="-17"/>
                <w:w w:val="100"/>
                <w:sz w:val="21"/>
                <w:szCs w:val="21"/>
                <w:vertAlign w:val="baseline"/>
                <w:lang w:val="en-US" w:eastAsia="zh-CN"/>
              </w:rPr>
              <w:t>G</w:t>
            </w:r>
            <w:r>
              <w:rPr>
                <w:rFonts w:hint="eastAsia" w:ascii="Times New Roman" w:hAnsi="Times New Roman"/>
                <w:spacing w:val="-17"/>
                <w:w w:val="100"/>
                <w:sz w:val="21"/>
                <w:szCs w:val="21"/>
                <w:vertAlign w:val="subscript"/>
                <w:lang w:val="en-US" w:eastAsia="zh-CN"/>
              </w:rPr>
              <w:t>6</w:t>
            </w:r>
          </w:p>
        </w:tc>
        <w:tc>
          <w:tcPr>
            <w:tcW w:w="56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spacing w:val="-17"/>
                <w:w w:val="100"/>
                <w:sz w:val="21"/>
                <w:szCs w:val="21"/>
                <w:lang w:val="en-US" w:eastAsia="zh-CN"/>
              </w:rPr>
              <w:t>反应器、成品塔、脱轻塔、闪蒸器、精馏塔</w:t>
            </w:r>
          </w:p>
        </w:tc>
        <w:tc>
          <w:tcPr>
            <w:tcW w:w="42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eastAsia" w:hAnsi="宋体" w:eastAsia="宋体"/>
                <w:spacing w:val="-17"/>
                <w:w w:val="100"/>
                <w:sz w:val="21"/>
                <w:szCs w:val="21"/>
                <w:lang w:eastAsia="zh-CN"/>
              </w:rPr>
            </w:pPr>
            <w:r>
              <w:rPr>
                <w:rFonts w:hint="eastAsia"/>
                <w:spacing w:val="-17"/>
                <w:w w:val="100"/>
                <w:sz w:val="21"/>
                <w:szCs w:val="21"/>
                <w:lang w:eastAsia="zh-CN"/>
              </w:rPr>
              <w:t>氨</w:t>
            </w:r>
          </w:p>
        </w:tc>
        <w:tc>
          <w:tcPr>
            <w:tcW w:w="1058"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202527</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303</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79</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2430</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33</w:t>
            </w:r>
          </w:p>
        </w:tc>
        <w:tc>
          <w:tcPr>
            <w:tcW w:w="49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spacing w:val="-17"/>
                <w:w w:val="100"/>
                <w:sz w:val="21"/>
                <w:szCs w:val="21"/>
                <w:lang w:eastAsia="zh-CN"/>
              </w:rPr>
              <w:t>一级水吸收</w:t>
            </w:r>
            <w:r>
              <w:rPr>
                <w:rFonts w:hint="eastAsia"/>
                <w:spacing w:val="-17"/>
                <w:w w:val="100"/>
                <w:sz w:val="21"/>
                <w:szCs w:val="21"/>
                <w:lang w:val="en-US" w:eastAsia="zh-CN"/>
              </w:rPr>
              <w:t>+二级酸吸收</w:t>
            </w:r>
          </w:p>
        </w:tc>
        <w:tc>
          <w:tcPr>
            <w:tcW w:w="600"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99</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9</w:t>
            </w:r>
          </w:p>
        </w:tc>
        <w:tc>
          <w:tcPr>
            <w:tcW w:w="871"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Times New Roman"/>
                <w:spacing w:val="-17"/>
                <w:w w:val="100"/>
                <w:sz w:val="21"/>
                <w:szCs w:val="21"/>
                <w:lang w:val="en-US" w:eastAsia="zh-CN" w:bidi="ar-SA"/>
              </w:rPr>
            </w:pPr>
            <w:r>
              <w:rPr>
                <w:rFonts w:hint="eastAsia" w:ascii="Times New Roman" w:hAnsi="Times New Roman" w:cs="Times New Roman"/>
                <w:spacing w:val="-17"/>
                <w:w w:val="100"/>
                <w:sz w:val="21"/>
                <w:szCs w:val="21"/>
                <w:lang w:val="en-US" w:eastAsia="zh-CN" w:bidi="ar-SA"/>
              </w:rPr>
              <w:t>202</w:t>
            </w:r>
            <w:r>
              <w:rPr>
                <w:rFonts w:hint="eastAsia" w:ascii="Times New Roman" w:hAnsi="Times New Roman" w:cs="Times New Roman"/>
                <w:spacing w:val="-17"/>
                <w:w w:val="100"/>
                <w:sz w:val="21"/>
                <w:szCs w:val="21"/>
                <w:lang w:val="en-US" w:eastAsia="zh-CN" w:bidi="ar-SA"/>
              </w:rPr>
              <w:t>.</w:t>
            </w:r>
            <w:r>
              <w:rPr>
                <w:rFonts w:hint="eastAsia" w:ascii="Times New Roman" w:hAnsi="Times New Roman" w:cs="Times New Roman"/>
                <w:spacing w:val="-17"/>
                <w:w w:val="100"/>
                <w:sz w:val="21"/>
                <w:szCs w:val="21"/>
                <w:lang w:val="en-US" w:eastAsia="zh-CN" w:bidi="ar-SA"/>
              </w:rPr>
              <w:t>5</w:t>
            </w:r>
          </w:p>
        </w:tc>
        <w:tc>
          <w:tcPr>
            <w:tcW w:w="74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Times New Roman"/>
                <w:spacing w:val="-17"/>
                <w:w w:val="100"/>
                <w:sz w:val="21"/>
                <w:szCs w:val="21"/>
                <w:lang w:val="en-US" w:eastAsia="zh-CN" w:bidi="ar-SA"/>
              </w:rPr>
            </w:pPr>
            <w:r>
              <w:rPr>
                <w:rFonts w:hint="eastAsia" w:ascii="Times New Roman" w:hAnsi="Times New Roman" w:cs="Times New Roman"/>
                <w:spacing w:val="-17"/>
                <w:w w:val="100"/>
                <w:sz w:val="21"/>
                <w:szCs w:val="21"/>
                <w:lang w:val="en-US" w:eastAsia="zh-CN" w:bidi="ar-SA"/>
              </w:rPr>
              <w:t>0</w:t>
            </w:r>
            <w:r>
              <w:rPr>
                <w:rFonts w:hint="eastAsia" w:ascii="Times New Roman" w:hAnsi="Times New Roman" w:cs="Times New Roman"/>
                <w:spacing w:val="-17"/>
                <w:w w:val="100"/>
                <w:sz w:val="21"/>
                <w:szCs w:val="21"/>
                <w:lang w:val="en-US" w:eastAsia="zh-CN" w:bidi="ar-SA"/>
              </w:rPr>
              <w:t>.</w:t>
            </w:r>
            <w:r>
              <w:rPr>
                <w:rFonts w:hint="eastAsia" w:ascii="Times New Roman" w:hAnsi="Times New Roman" w:cs="Times New Roman"/>
                <w:spacing w:val="-17"/>
                <w:w w:val="100"/>
                <w:sz w:val="21"/>
                <w:szCs w:val="21"/>
                <w:lang w:val="en-US" w:eastAsia="zh-CN" w:bidi="ar-SA"/>
              </w:rPr>
              <w:t>3037</w:t>
            </w:r>
          </w:p>
        </w:tc>
        <w:tc>
          <w:tcPr>
            <w:tcW w:w="74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Times New Roman"/>
                <w:spacing w:val="-17"/>
                <w:w w:val="100"/>
                <w:sz w:val="21"/>
                <w:szCs w:val="21"/>
                <w:lang w:val="en-US" w:eastAsia="zh-CN" w:bidi="ar-SA"/>
              </w:rPr>
            </w:pPr>
            <w:r>
              <w:rPr>
                <w:rFonts w:hint="eastAsia" w:ascii="Times New Roman" w:hAnsi="Times New Roman" w:cs="Times New Roman"/>
                <w:spacing w:val="-17"/>
                <w:w w:val="100"/>
                <w:sz w:val="21"/>
                <w:szCs w:val="21"/>
                <w:lang w:val="en-US" w:eastAsia="zh-CN" w:bidi="ar-SA"/>
              </w:rPr>
              <w:t>2</w:t>
            </w:r>
            <w:r>
              <w:rPr>
                <w:rFonts w:hint="eastAsia" w:ascii="Times New Roman" w:hAnsi="Times New Roman" w:cs="Times New Roman"/>
                <w:spacing w:val="-17"/>
                <w:w w:val="100"/>
                <w:sz w:val="21"/>
                <w:szCs w:val="21"/>
                <w:lang w:val="en-US" w:eastAsia="zh-CN" w:bidi="ar-SA"/>
              </w:rPr>
              <w:t>.</w:t>
            </w:r>
            <w:r>
              <w:rPr>
                <w:rFonts w:hint="eastAsia" w:ascii="Times New Roman" w:hAnsi="Times New Roman" w:cs="Times New Roman"/>
                <w:spacing w:val="-17"/>
                <w:w w:val="100"/>
                <w:sz w:val="21"/>
                <w:szCs w:val="21"/>
                <w:lang w:val="en-US" w:eastAsia="zh-CN" w:bidi="ar-SA"/>
              </w:rPr>
              <w:t>43</w:t>
            </w:r>
          </w:p>
        </w:tc>
        <w:tc>
          <w:tcPr>
            <w:tcW w:w="3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15</w:t>
            </w:r>
          </w:p>
        </w:tc>
        <w:tc>
          <w:tcPr>
            <w:tcW w:w="42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0</w:t>
            </w:r>
            <w:r>
              <w:rPr>
                <w:rFonts w:hint="eastAsia" w:ascii="Times New Roman" w:hAnsi="Times New Roman"/>
                <w:spacing w:val="-17"/>
                <w:w w:val="100"/>
                <w:sz w:val="21"/>
                <w:szCs w:val="21"/>
                <w:lang w:val="en-US" w:eastAsia="zh-CN"/>
              </w:rPr>
              <w:t>.</w:t>
            </w:r>
            <w:r>
              <w:rPr>
                <w:rFonts w:hint="eastAsia" w:ascii="Times New Roman" w:hAnsi="Times New Roman"/>
                <w:spacing w:val="-17"/>
                <w:w w:val="100"/>
                <w:sz w:val="21"/>
                <w:szCs w:val="21"/>
                <w:lang w:val="en-US" w:eastAsia="zh-CN"/>
              </w:rPr>
              <w:t>3</w:t>
            </w:r>
          </w:p>
        </w:tc>
        <w:tc>
          <w:tcPr>
            <w:tcW w:w="56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1500</w:t>
            </w:r>
          </w:p>
        </w:tc>
        <w:tc>
          <w:tcPr>
            <w:tcW w:w="3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25</w:t>
            </w:r>
          </w:p>
        </w:tc>
        <w:tc>
          <w:tcPr>
            <w:tcW w:w="56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8000</w:t>
            </w:r>
          </w:p>
        </w:tc>
        <w:tc>
          <w:tcPr>
            <w:tcW w:w="1570"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spacing w:val="-17"/>
                <w:w w:val="100"/>
                <w:sz w:val="21"/>
                <w:szCs w:val="21"/>
                <w:lang w:val="en-US" w:eastAsia="zh-CN"/>
              </w:rPr>
              <w:t>《恶臭污染物排放标准》（</w:t>
            </w:r>
            <w:r>
              <w:rPr>
                <w:rFonts w:hint="eastAsia" w:ascii="Times New Roman" w:hAnsi="Times New Roman"/>
                <w:spacing w:val="-17"/>
                <w:w w:val="100"/>
                <w:sz w:val="21"/>
                <w:szCs w:val="21"/>
                <w:lang w:val="en-US" w:eastAsia="zh-CN"/>
              </w:rPr>
              <w:t>GB14554</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93</w:t>
            </w:r>
            <w:r>
              <w:rPr>
                <w:rFonts w:hint="eastAsia"/>
                <w:spacing w:val="-17"/>
                <w:w w:val="100"/>
                <w:sz w:val="21"/>
                <w:szCs w:val="21"/>
                <w:lang w:val="en-US" w:eastAsia="zh-CN"/>
              </w:rPr>
              <w:t>）、《大气污染物综合排放标准》（</w:t>
            </w:r>
            <w:r>
              <w:rPr>
                <w:rFonts w:hint="eastAsia" w:ascii="Times New Roman" w:hAnsi="Times New Roman"/>
                <w:spacing w:val="-17"/>
                <w:w w:val="100"/>
                <w:sz w:val="21"/>
                <w:szCs w:val="21"/>
                <w:lang w:val="en-US" w:eastAsia="zh-CN"/>
              </w:rPr>
              <w:t>GB16297</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1996</w:t>
            </w:r>
            <w:r>
              <w:rPr>
                <w:rFonts w:hint="eastAsia"/>
                <w:spacing w:val="-17"/>
                <w:w w:val="100"/>
                <w:sz w:val="21"/>
                <w:szCs w:val="21"/>
                <w:lang w:val="en-US" w:eastAsia="zh-CN"/>
              </w:rPr>
              <w:t>）表</w:t>
            </w:r>
            <w:r>
              <w:rPr>
                <w:rFonts w:hint="eastAsia" w:ascii="Times New Roman" w:hAnsi="Times New Roman"/>
                <w:spacing w:val="-17"/>
                <w:w w:val="100"/>
                <w:sz w:val="21"/>
                <w:szCs w:val="21"/>
                <w:lang w:val="en-US" w:eastAsia="zh-CN"/>
              </w:rPr>
              <w:t>2</w:t>
            </w: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eastAsia="等线"/>
                <w:spacing w:val="-17"/>
                <w:w w:val="100"/>
                <w:sz w:val="21"/>
                <w:szCs w:val="21"/>
                <w:lang w:val="en-US" w:eastAsia="zh-CN" w:bidi="ar-SA"/>
              </w:rPr>
            </w:pPr>
            <w:r>
              <w:rPr>
                <w:rFonts w:hint="eastAsia" w:ascii="Times New Roman" w:eastAsia="等线"/>
                <w:spacing w:val="-17"/>
                <w:w w:val="100"/>
                <w:sz w:val="21"/>
                <w:szCs w:val="21"/>
                <w:lang w:val="en-US" w:eastAsia="zh-CN" w:bidi="ar-SA"/>
              </w:rPr>
              <w:t>/</w:t>
            </w:r>
          </w:p>
        </w:tc>
        <w:tc>
          <w:tcPr>
            <w:tcW w:w="92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eastAsia="等线"/>
                <w:spacing w:val="-17"/>
                <w:w w:val="100"/>
                <w:sz w:val="21"/>
                <w:szCs w:val="21"/>
                <w:lang w:val="en-US" w:eastAsia="zh-CN" w:bidi="ar-SA"/>
              </w:rPr>
            </w:pPr>
            <w:r>
              <w:rPr>
                <w:rFonts w:hint="eastAsia" w:ascii="Times New Roman" w:hAnsi="Times New Roman" w:eastAsia="等线"/>
                <w:spacing w:val="-17"/>
                <w:w w:val="100"/>
                <w:sz w:val="21"/>
                <w:szCs w:val="21"/>
                <w:lang w:val="en-US" w:eastAsia="zh-CN"/>
              </w:rPr>
              <w:t>4</w:t>
            </w:r>
            <w:r>
              <w:rPr>
                <w:rFonts w:hint="eastAsia" w:ascii="Times New Roman" w:eastAsia="等线"/>
                <w:spacing w:val="-17"/>
                <w:w w:val="100"/>
                <w:sz w:val="21"/>
                <w:szCs w:val="21"/>
                <w:lang w:val="en-US" w:eastAsia="zh-CN"/>
              </w:rPr>
              <w:t>.</w:t>
            </w:r>
            <w:r>
              <w:rPr>
                <w:rFonts w:hint="eastAsia" w:ascii="Times New Roman" w:hAnsi="Times New Roman" w:eastAsia="等线"/>
                <w:spacing w:val="-17"/>
                <w:w w:val="100"/>
                <w:sz w:val="21"/>
                <w:szCs w:val="21"/>
                <w:lang w:val="en-US" w:eastAsia="zh-CN"/>
              </w:rPr>
              <w:t>9</w:t>
            </w:r>
          </w:p>
        </w:tc>
        <w:tc>
          <w:tcPr>
            <w:tcW w:w="3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r>
              <w:rPr>
                <w:rFonts w:hint="eastAsia" w:hAnsi="宋体"/>
                <w:spacing w:val="-17"/>
                <w:w w:val="100"/>
                <w:sz w:val="21"/>
                <w:szCs w:val="21"/>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16"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c>
          <w:tcPr>
            <w:tcW w:w="56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c>
          <w:tcPr>
            <w:tcW w:w="42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NMHC</w:t>
            </w:r>
          </w:p>
        </w:tc>
        <w:tc>
          <w:tcPr>
            <w:tcW w:w="1058"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14658</w:t>
            </w:r>
          </w:p>
        </w:tc>
        <w:tc>
          <w:tcPr>
            <w:tcW w:w="85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21</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987</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175</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9</w:t>
            </w:r>
          </w:p>
        </w:tc>
        <w:tc>
          <w:tcPr>
            <w:tcW w:w="49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c>
          <w:tcPr>
            <w:tcW w:w="600"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int="default" w:hAnsi="宋体" w:eastAsia="宋体"/>
                <w:spacing w:val="-17"/>
                <w:w w:val="100"/>
                <w:sz w:val="21"/>
                <w:szCs w:val="21"/>
                <w:lang w:val="en-US" w:eastAsia="zh-CN"/>
              </w:rPr>
            </w:pPr>
            <w:r>
              <w:rPr>
                <w:rFonts w:hint="eastAsia" w:ascii="Times New Roman" w:hAnsi="Times New Roman"/>
                <w:spacing w:val="-17"/>
                <w:w w:val="100"/>
                <w:sz w:val="21"/>
                <w:szCs w:val="21"/>
                <w:lang w:val="en-US" w:eastAsia="zh-CN"/>
              </w:rPr>
              <w:t>99</w:t>
            </w:r>
            <w:r>
              <w:rPr>
                <w:rFonts w:hint="eastAsia"/>
                <w:spacing w:val="-17"/>
                <w:w w:val="100"/>
                <w:sz w:val="21"/>
                <w:szCs w:val="21"/>
                <w:lang w:val="en-US" w:eastAsia="zh-CN"/>
              </w:rPr>
              <w:t>.</w:t>
            </w:r>
            <w:r>
              <w:rPr>
                <w:rFonts w:hint="eastAsia" w:ascii="Times New Roman" w:hAnsi="Times New Roman"/>
                <w:spacing w:val="-17"/>
                <w:w w:val="100"/>
                <w:sz w:val="21"/>
                <w:szCs w:val="21"/>
                <w:lang w:val="en-US" w:eastAsia="zh-CN"/>
              </w:rPr>
              <w:t>9</w:t>
            </w:r>
          </w:p>
        </w:tc>
        <w:tc>
          <w:tcPr>
            <w:tcW w:w="871"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Times New Roman"/>
                <w:spacing w:val="-17"/>
                <w:w w:val="100"/>
                <w:sz w:val="21"/>
                <w:szCs w:val="21"/>
                <w:lang w:val="en-US" w:eastAsia="zh-CN" w:bidi="ar-SA"/>
              </w:rPr>
            </w:pPr>
            <w:r>
              <w:rPr>
                <w:rFonts w:hint="eastAsia" w:ascii="Times New Roman" w:hAnsi="Times New Roman" w:cs="Times New Roman"/>
                <w:spacing w:val="-17"/>
                <w:w w:val="100"/>
                <w:sz w:val="21"/>
                <w:szCs w:val="21"/>
                <w:lang w:val="en-US" w:eastAsia="zh-CN" w:bidi="ar-SA"/>
              </w:rPr>
              <w:t>0</w:t>
            </w:r>
            <w:r>
              <w:rPr>
                <w:rFonts w:hint="eastAsia" w:ascii="Times New Roman" w:hAnsi="Times New Roman" w:cs="Times New Roman"/>
                <w:spacing w:val="-17"/>
                <w:w w:val="100"/>
                <w:sz w:val="21"/>
                <w:szCs w:val="21"/>
                <w:lang w:val="en-US" w:eastAsia="zh-CN" w:bidi="ar-SA"/>
              </w:rPr>
              <w:t>.</w:t>
            </w:r>
            <w:r>
              <w:rPr>
                <w:rFonts w:hint="eastAsia" w:ascii="Times New Roman" w:hAnsi="Times New Roman" w:cs="Times New Roman"/>
                <w:spacing w:val="-17"/>
                <w:w w:val="100"/>
                <w:sz w:val="21"/>
                <w:szCs w:val="21"/>
                <w:lang w:val="en-US" w:eastAsia="zh-CN" w:bidi="ar-SA"/>
              </w:rPr>
              <w:t>09</w:t>
            </w:r>
          </w:p>
        </w:tc>
        <w:tc>
          <w:tcPr>
            <w:tcW w:w="74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Times New Roman"/>
                <w:spacing w:val="-17"/>
                <w:w w:val="100"/>
                <w:sz w:val="21"/>
                <w:szCs w:val="21"/>
                <w:lang w:val="en-US" w:eastAsia="zh-CN" w:bidi="ar-SA"/>
              </w:rPr>
            </w:pPr>
            <w:r>
              <w:rPr>
                <w:rFonts w:hint="eastAsia" w:ascii="Times New Roman" w:hAnsi="Times New Roman" w:cs="Times New Roman"/>
                <w:spacing w:val="-17"/>
                <w:w w:val="100"/>
                <w:sz w:val="21"/>
                <w:szCs w:val="21"/>
                <w:lang w:val="en-US" w:eastAsia="zh-CN" w:bidi="ar-SA"/>
              </w:rPr>
              <w:t>0</w:t>
            </w:r>
            <w:r>
              <w:rPr>
                <w:rFonts w:hint="eastAsia" w:ascii="Times New Roman" w:hAnsi="Times New Roman" w:cs="Times New Roman"/>
                <w:spacing w:val="-17"/>
                <w:w w:val="100"/>
                <w:sz w:val="21"/>
                <w:szCs w:val="21"/>
                <w:lang w:val="en-US" w:eastAsia="zh-CN" w:bidi="ar-SA"/>
              </w:rPr>
              <w:t>.</w:t>
            </w:r>
            <w:r>
              <w:rPr>
                <w:rFonts w:hint="eastAsia" w:ascii="Times New Roman" w:hAnsi="Times New Roman" w:cs="Times New Roman"/>
                <w:spacing w:val="-17"/>
                <w:w w:val="100"/>
                <w:sz w:val="21"/>
                <w:szCs w:val="21"/>
                <w:lang w:val="en-US" w:eastAsia="zh-CN" w:bidi="ar-SA"/>
              </w:rPr>
              <w:t>00013</w:t>
            </w:r>
          </w:p>
        </w:tc>
        <w:tc>
          <w:tcPr>
            <w:tcW w:w="744" w:type="dxa"/>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Times New Roman"/>
                <w:spacing w:val="-17"/>
                <w:w w:val="100"/>
                <w:sz w:val="21"/>
                <w:szCs w:val="21"/>
                <w:lang w:val="en-US" w:eastAsia="zh-CN" w:bidi="ar-SA"/>
              </w:rPr>
            </w:pPr>
            <w:r>
              <w:rPr>
                <w:rFonts w:hint="eastAsia" w:ascii="Times New Roman" w:hAnsi="Times New Roman" w:cs="Times New Roman"/>
                <w:spacing w:val="-17"/>
                <w:w w:val="100"/>
                <w:sz w:val="21"/>
                <w:szCs w:val="21"/>
                <w:lang w:val="en-US" w:eastAsia="zh-CN" w:bidi="ar-SA"/>
              </w:rPr>
              <w:t>0</w:t>
            </w:r>
            <w:r>
              <w:rPr>
                <w:rFonts w:hint="eastAsia" w:ascii="Times New Roman" w:hAnsi="Times New Roman" w:cs="Times New Roman"/>
                <w:spacing w:val="-17"/>
                <w:w w:val="100"/>
                <w:sz w:val="21"/>
                <w:szCs w:val="21"/>
                <w:lang w:val="en-US" w:eastAsia="zh-CN" w:bidi="ar-SA"/>
              </w:rPr>
              <w:t>.</w:t>
            </w:r>
            <w:r>
              <w:rPr>
                <w:rFonts w:hint="eastAsia" w:ascii="Times New Roman" w:hAnsi="Times New Roman" w:cs="Times New Roman"/>
                <w:spacing w:val="-17"/>
                <w:w w:val="100"/>
                <w:sz w:val="21"/>
                <w:szCs w:val="21"/>
                <w:lang w:val="en-US" w:eastAsia="zh-CN" w:bidi="ar-SA"/>
              </w:rPr>
              <w:t>0011</w:t>
            </w:r>
          </w:p>
        </w:tc>
        <w:tc>
          <w:tcPr>
            <w:tcW w:w="3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spacing w:val="-17"/>
                <w:w w:val="100"/>
                <w:sz w:val="21"/>
                <w:szCs w:val="21"/>
                <w:lang w:val="en-US" w:eastAsia="zh-CN"/>
              </w:rPr>
            </w:pPr>
          </w:p>
        </w:tc>
        <w:tc>
          <w:tcPr>
            <w:tcW w:w="42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spacing w:val="-17"/>
                <w:w w:val="100"/>
                <w:sz w:val="21"/>
                <w:szCs w:val="21"/>
                <w:lang w:val="en-US" w:eastAsia="zh-CN"/>
              </w:rPr>
            </w:pPr>
          </w:p>
        </w:tc>
        <w:tc>
          <w:tcPr>
            <w:tcW w:w="56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spacing w:val="-17"/>
                <w:w w:val="100"/>
                <w:sz w:val="21"/>
                <w:szCs w:val="21"/>
                <w:lang w:val="en-US" w:eastAsia="zh-CN"/>
              </w:rPr>
            </w:pPr>
          </w:p>
        </w:tc>
        <w:tc>
          <w:tcPr>
            <w:tcW w:w="3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spacing w:val="-17"/>
                <w:w w:val="100"/>
                <w:sz w:val="21"/>
                <w:szCs w:val="21"/>
                <w:lang w:val="en-US" w:eastAsia="zh-CN"/>
              </w:rPr>
            </w:pPr>
          </w:p>
        </w:tc>
        <w:tc>
          <w:tcPr>
            <w:tcW w:w="56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spacing w:val="-17"/>
                <w:w w:val="100"/>
                <w:sz w:val="21"/>
                <w:szCs w:val="21"/>
                <w:lang w:val="en-US" w:eastAsia="zh-CN"/>
              </w:rPr>
            </w:pPr>
          </w:p>
        </w:tc>
        <w:tc>
          <w:tcPr>
            <w:tcW w:w="157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hAnsi="宋体"/>
                <w:spacing w:val="-17"/>
                <w:w w:val="100"/>
                <w:sz w:val="21"/>
                <w:szCs w:val="21"/>
                <w:lang w:val="en-US" w:eastAsia="zh-CN"/>
              </w:rPr>
            </w:pPr>
          </w:p>
        </w:tc>
        <w:tc>
          <w:tcPr>
            <w:tcW w:w="104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eastAsia="等线"/>
                <w:spacing w:val="-17"/>
                <w:w w:val="100"/>
                <w:sz w:val="21"/>
                <w:szCs w:val="21"/>
                <w:lang w:val="en-US" w:eastAsia="zh-CN" w:bidi="ar-SA"/>
              </w:rPr>
            </w:pPr>
            <w:r>
              <w:rPr>
                <w:rFonts w:hint="eastAsia" w:ascii="Times New Roman" w:hAnsi="Times New Roman" w:eastAsia="等线"/>
                <w:spacing w:val="-17"/>
                <w:w w:val="100"/>
                <w:sz w:val="21"/>
                <w:szCs w:val="21"/>
                <w:lang w:val="en-US" w:eastAsia="zh-CN" w:bidi="ar-SA"/>
              </w:rPr>
              <w:t>120</w:t>
            </w:r>
          </w:p>
        </w:tc>
        <w:tc>
          <w:tcPr>
            <w:tcW w:w="92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eastAsia="等线"/>
                <w:spacing w:val="-17"/>
                <w:w w:val="100"/>
                <w:sz w:val="21"/>
                <w:szCs w:val="21"/>
                <w:lang w:val="en-US" w:eastAsia="zh-CN" w:bidi="ar-SA"/>
              </w:rPr>
            </w:pPr>
            <w:r>
              <w:rPr>
                <w:rFonts w:hint="eastAsia" w:ascii="Times New Roman" w:hAnsi="Times New Roman" w:eastAsia="等线"/>
                <w:spacing w:val="-17"/>
                <w:w w:val="100"/>
                <w:sz w:val="21"/>
                <w:szCs w:val="21"/>
                <w:lang w:val="en-US" w:eastAsia="zh-CN"/>
              </w:rPr>
              <w:t>10</w:t>
            </w:r>
          </w:p>
        </w:tc>
        <w:tc>
          <w:tcPr>
            <w:tcW w:w="3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ind w:firstLine="0"/>
              <w:jc w:val="center"/>
              <w:textAlignment w:val="auto"/>
              <w:rPr>
                <w:rFonts w:hAnsi="宋体"/>
                <w:spacing w:val="-17"/>
                <w:w w:val="100"/>
                <w:sz w:val="21"/>
                <w:szCs w:val="21"/>
              </w:rPr>
            </w:pPr>
          </w:p>
        </w:tc>
      </w:tr>
    </w:tbl>
    <w:p>
      <w:pPr>
        <w:bidi w:val="0"/>
        <w:rPr>
          <w:rFonts w:hint="eastAsia"/>
        </w:rPr>
        <w:sectPr>
          <w:pgSz w:w="16838" w:h="11906" w:orient="landscape"/>
          <w:pgMar w:top="1474" w:right="1474" w:bottom="1474" w:left="1474" w:header="851" w:footer="992" w:gutter="0"/>
          <w:pgBorders>
            <w:top w:val="none" w:sz="0" w:space="0"/>
            <w:left w:val="none" w:sz="0" w:space="0"/>
            <w:bottom w:val="none" w:sz="0" w:space="0"/>
            <w:right w:val="none" w:sz="0" w:space="0"/>
          </w:pgBorders>
          <w:cols w:space="720" w:num="1"/>
          <w:docGrid w:type="lines" w:linePitch="312" w:charSpace="0"/>
        </w:sectPr>
      </w:pPr>
    </w:p>
    <w:p>
      <w:pPr>
        <w:pStyle w:val="5"/>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rPr>
        <w:t>.</w:t>
      </w:r>
      <w:r>
        <w:rPr>
          <w:rFonts w:hint="eastAsia" w:ascii="Times New Roman" w:hAnsi="Times New Roman"/>
          <w:lang w:val="en-US" w:eastAsia="zh-CN"/>
        </w:rPr>
        <w:t>2</w:t>
      </w:r>
      <w:r>
        <w:t>废</w:t>
      </w:r>
      <w:r>
        <w:rPr>
          <w:rFonts w:hint="eastAsia"/>
        </w:rPr>
        <w:t>水</w:t>
      </w:r>
    </w:p>
    <w:p>
      <w:pPr>
        <w:numPr>
          <w:ilvl w:val="0"/>
          <w:numId w:val="8"/>
        </w:numPr>
        <w:spacing w:line="440" w:lineRule="exact"/>
        <w:ind w:firstLine="480"/>
        <w:rPr>
          <w:rFonts w:hint="eastAsia"/>
          <w:lang w:eastAsia="zh-CN"/>
        </w:rPr>
      </w:pPr>
      <w:r>
        <w:rPr>
          <w:rFonts w:hint="eastAsia"/>
          <w:lang w:eastAsia="zh-CN"/>
        </w:rPr>
        <w:t>生产废水和生活污水</w:t>
      </w:r>
    </w:p>
    <w:p>
      <w:pPr>
        <w:bidi w:val="0"/>
        <w:rPr>
          <w:rFonts w:hint="default" w:ascii="Arial" w:hAnsi="Arial" w:eastAsia="宋体" w:cs="Arial"/>
          <w:lang w:val="en-US" w:eastAsia="zh-CN"/>
        </w:rPr>
      </w:pPr>
      <w:r>
        <w:rPr>
          <w:rFonts w:hint="eastAsia"/>
          <w:lang w:eastAsia="zh-CN"/>
        </w:rPr>
        <w:t>本项目排入污水站的废水共计</w:t>
      </w:r>
      <w:r>
        <w:rPr>
          <w:rFonts w:hint="eastAsia" w:ascii="Times New Roman" w:hAnsi="Times New Roman"/>
          <w:lang w:val="en-US" w:eastAsia="zh-CN"/>
        </w:rPr>
        <w:t>479</w:t>
      </w:r>
      <w:r>
        <w:rPr>
          <w:rFonts w:hint="eastAsia"/>
          <w:lang w:val="en-US" w:eastAsia="zh-CN"/>
        </w:rPr>
        <w:t>.</w:t>
      </w:r>
      <w:r>
        <w:rPr>
          <w:rFonts w:hint="eastAsia" w:ascii="Times New Roman" w:hAnsi="Times New Roman"/>
          <w:lang w:val="en-US" w:eastAsia="zh-CN"/>
        </w:rPr>
        <w:t>14m</w:t>
      </w:r>
      <w:r>
        <w:rPr>
          <w:rFonts w:hint="eastAsia"/>
          <w:lang w:val="en-US" w:eastAsia="zh-CN"/>
        </w:rPr>
        <w:t>³/</w:t>
      </w:r>
      <w:r>
        <w:rPr>
          <w:rFonts w:hint="eastAsia" w:ascii="Times New Roman" w:hAnsi="Times New Roman"/>
          <w:lang w:val="en-US" w:eastAsia="zh-CN"/>
        </w:rPr>
        <w:t>a</w:t>
      </w:r>
      <w:r>
        <w:rPr>
          <w:rFonts w:hint="eastAsia"/>
          <w:lang w:eastAsia="zh-CN"/>
        </w:rPr>
        <w:t>，主要包括装置地面冲洗废水和生活污水，废水中主要污染物为</w:t>
      </w:r>
      <w:r>
        <w:rPr>
          <w:rFonts w:hint="eastAsia" w:ascii="Times New Roman" w:hAnsi="Times New Roman"/>
          <w:lang w:val="en-US" w:eastAsia="zh-CN"/>
        </w:rPr>
        <w:t>COD</w:t>
      </w:r>
      <w:r>
        <w:rPr>
          <w:rFonts w:hint="eastAsia"/>
          <w:lang w:val="en-US" w:eastAsia="zh-CN"/>
        </w:rPr>
        <w:t>、</w:t>
      </w:r>
      <w:r>
        <w:rPr>
          <w:rFonts w:hint="eastAsia" w:ascii="Times New Roman" w:hAnsi="Times New Roman"/>
          <w:lang w:val="en-US" w:eastAsia="zh-CN"/>
        </w:rPr>
        <w:t>BOD</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w:t>
      </w:r>
      <w:r>
        <w:rPr>
          <w:rFonts w:hint="eastAsia"/>
          <w:lang w:val="en-US" w:eastAsia="zh-CN"/>
        </w:rPr>
        <w:t>等，不含可吸附有机卤化物</w:t>
      </w:r>
      <w:r>
        <w:rPr>
          <w:rFonts w:hint="eastAsia" w:ascii="Arial" w:hAnsi="Arial" w:cs="Arial"/>
        </w:rPr>
        <w:t>。</w:t>
      </w:r>
      <w:r>
        <w:rPr>
          <w:rFonts w:hint="eastAsia" w:ascii="Arial" w:hAnsi="Arial" w:cs="Arial"/>
          <w:lang w:eastAsia="zh-CN"/>
        </w:rPr>
        <w:t>厂内现有工程污水站采用水解酸化</w:t>
      </w:r>
      <w:r>
        <w:rPr>
          <w:rFonts w:hint="eastAsia" w:ascii="Arial" w:hAnsi="Arial" w:cs="Arial"/>
          <w:lang w:val="en-US" w:eastAsia="zh-CN"/>
        </w:rPr>
        <w:t>+</w:t>
      </w:r>
      <w:r>
        <w:rPr>
          <w:rFonts w:hint="eastAsia" w:ascii="Times New Roman" w:hAnsi="Times New Roman" w:cs="Arial"/>
          <w:lang w:val="en-US" w:eastAsia="zh-CN"/>
        </w:rPr>
        <w:t>A2O</w:t>
      </w:r>
      <w:r>
        <w:rPr>
          <w:rFonts w:hint="eastAsia" w:ascii="Arial" w:hAnsi="Arial" w:cs="Arial"/>
          <w:lang w:val="en-US" w:eastAsia="zh-CN"/>
        </w:rPr>
        <w:t>处理工艺，处理能力</w:t>
      </w:r>
      <w:r>
        <w:rPr>
          <w:rFonts w:hint="eastAsia" w:ascii="Times New Roman" w:hAnsi="Times New Roman" w:cs="Arial"/>
          <w:lang w:val="en-US" w:eastAsia="zh-CN"/>
        </w:rPr>
        <w:t>1</w:t>
      </w:r>
      <w:r>
        <w:rPr>
          <w:rFonts w:hint="eastAsia" w:ascii="Arial" w:hAnsi="Arial" w:cs="Arial"/>
          <w:lang w:val="en-US" w:eastAsia="zh-CN"/>
        </w:rPr>
        <w:t>.</w:t>
      </w:r>
      <w:r>
        <w:rPr>
          <w:rFonts w:hint="eastAsia" w:ascii="Times New Roman" w:hAnsi="Times New Roman" w:cs="Arial"/>
          <w:lang w:val="en-US" w:eastAsia="zh-CN"/>
        </w:rPr>
        <w:t>1</w:t>
      </w:r>
      <w:r>
        <w:rPr>
          <w:rFonts w:hint="eastAsia" w:ascii="Arial" w:hAnsi="Arial" w:cs="Arial"/>
          <w:lang w:val="en-US" w:eastAsia="zh-CN"/>
        </w:rPr>
        <w:t>万</w:t>
      </w:r>
      <w:r>
        <w:rPr>
          <w:rFonts w:hint="eastAsia" w:ascii="Times New Roman" w:hAnsi="Times New Roman" w:cs="Arial"/>
          <w:lang w:val="en-US" w:eastAsia="zh-CN"/>
        </w:rPr>
        <w:t>m</w:t>
      </w:r>
      <w:r>
        <w:rPr>
          <w:rFonts w:hint="eastAsia" w:ascii="Arial" w:hAnsi="Arial" w:cs="Arial"/>
          <w:lang w:val="en-US" w:eastAsia="zh-CN"/>
        </w:rPr>
        <w:t>³/</w:t>
      </w:r>
      <w:r>
        <w:rPr>
          <w:rFonts w:hint="eastAsia" w:ascii="Times New Roman" w:hAnsi="Times New Roman" w:cs="Arial"/>
          <w:lang w:val="en-US" w:eastAsia="zh-CN"/>
        </w:rPr>
        <w:t>d</w:t>
      </w:r>
      <w:r>
        <w:rPr>
          <w:rFonts w:hint="eastAsia" w:ascii="Arial" w:hAnsi="Arial" w:cs="Arial"/>
          <w:lang w:val="en-US" w:eastAsia="zh-CN"/>
        </w:rPr>
        <w:t>，废水经处理达到《污水排入城镇下水道水质标准》（</w:t>
      </w:r>
      <w:r>
        <w:rPr>
          <w:rFonts w:hint="eastAsia" w:ascii="Times New Roman" w:hAnsi="Times New Roman" w:cs="Arial"/>
          <w:lang w:val="en-US" w:eastAsia="zh-CN"/>
        </w:rPr>
        <w:t>GB</w:t>
      </w:r>
      <w:r>
        <w:rPr>
          <w:rFonts w:hint="eastAsia" w:ascii="Arial" w:hAnsi="Arial" w:cs="Arial"/>
          <w:lang w:val="en-US" w:eastAsia="zh-CN"/>
        </w:rPr>
        <w:t>/</w:t>
      </w:r>
      <w:r>
        <w:rPr>
          <w:rFonts w:hint="eastAsia" w:ascii="Times New Roman" w:hAnsi="Times New Roman" w:cs="Arial"/>
          <w:lang w:val="en-US" w:eastAsia="zh-CN"/>
        </w:rPr>
        <w:t>T31962</w:t>
      </w:r>
      <w:r>
        <w:rPr>
          <w:rFonts w:hint="eastAsia" w:ascii="Arial" w:hAnsi="Arial" w:cs="Arial"/>
          <w:lang w:val="en-US" w:eastAsia="zh-CN"/>
        </w:rPr>
        <w:t>-</w:t>
      </w:r>
      <w:r>
        <w:rPr>
          <w:rFonts w:hint="eastAsia" w:ascii="Times New Roman" w:hAnsi="Times New Roman" w:cs="Arial"/>
          <w:lang w:val="en-US" w:eastAsia="zh-CN"/>
        </w:rPr>
        <w:t>2015</w:t>
      </w:r>
      <w:r>
        <w:rPr>
          <w:rFonts w:hint="eastAsia" w:ascii="Arial" w:hAnsi="Arial" w:cs="Arial"/>
          <w:lang w:val="en-US" w:eastAsia="zh-CN"/>
        </w:rPr>
        <w:t>）表</w:t>
      </w:r>
      <w:r>
        <w:rPr>
          <w:rFonts w:hint="eastAsia" w:ascii="Times New Roman" w:hAnsi="Times New Roman" w:cs="Arial"/>
          <w:lang w:val="en-US" w:eastAsia="zh-CN"/>
        </w:rPr>
        <w:t>1B</w:t>
      </w:r>
      <w:r>
        <w:rPr>
          <w:rFonts w:hint="eastAsia" w:ascii="Arial" w:hAnsi="Arial" w:cs="Arial"/>
          <w:lang w:val="en-US" w:eastAsia="zh-CN"/>
        </w:rPr>
        <w:t>级限值，排入园区下水管网。</w:t>
      </w:r>
    </w:p>
    <w:p>
      <w:pPr>
        <w:bidi w:val="0"/>
        <w:rPr>
          <w:rFonts w:hint="eastAsia" w:ascii="Arial" w:hAnsi="Arial" w:cs="Arial"/>
          <w:lang w:val="en-US" w:eastAsia="zh-CN"/>
        </w:rPr>
      </w:pPr>
      <w:r>
        <w:rPr>
          <w:rFonts w:hint="eastAsia" w:ascii="Arial" w:hAnsi="Arial" w:cs="Arial"/>
          <w:lang w:val="en-US" w:eastAsia="zh-CN"/>
        </w:rPr>
        <w:t>（</w:t>
      </w:r>
      <w:r>
        <w:rPr>
          <w:rFonts w:hint="eastAsia" w:ascii="Times New Roman" w:hAnsi="Times New Roman" w:cs="Arial"/>
          <w:lang w:val="en-US" w:eastAsia="zh-CN"/>
        </w:rPr>
        <w:t>2</w:t>
      </w:r>
      <w:r>
        <w:rPr>
          <w:rFonts w:hint="eastAsia" w:ascii="Arial" w:hAnsi="Arial" w:cs="Arial"/>
          <w:lang w:val="en-US" w:eastAsia="zh-CN"/>
        </w:rPr>
        <w:t>）清净下水</w:t>
      </w:r>
    </w:p>
    <w:p>
      <w:pPr>
        <w:bidi w:val="0"/>
        <w:rPr>
          <w:rFonts w:hint="eastAsia"/>
        </w:rPr>
      </w:pPr>
      <w:r>
        <w:rPr>
          <w:rFonts w:hint="eastAsia" w:ascii="Arial" w:hAnsi="Arial" w:cs="Arial"/>
          <w:lang w:val="en-US" w:eastAsia="zh-CN"/>
        </w:rPr>
        <w:t>本项目增加清净下水（循环水系统排水）</w:t>
      </w:r>
      <w:r>
        <w:rPr>
          <w:rFonts w:hint="eastAsia" w:ascii="Times New Roman" w:hAnsi="Times New Roman" w:cs="Arial"/>
          <w:lang w:val="en-US" w:eastAsia="zh-CN"/>
        </w:rPr>
        <w:t>19200m</w:t>
      </w:r>
      <w:r>
        <w:rPr>
          <w:rFonts w:hint="eastAsia" w:ascii="Arial" w:hAnsi="Arial" w:cs="Arial"/>
          <w:lang w:val="en-US" w:eastAsia="zh-CN"/>
        </w:rPr>
        <w:t>³/</w:t>
      </w:r>
      <w:r>
        <w:rPr>
          <w:rFonts w:hint="eastAsia" w:ascii="Times New Roman" w:hAnsi="Times New Roman" w:cs="Arial"/>
          <w:lang w:val="en-US" w:eastAsia="zh-CN"/>
        </w:rPr>
        <w:t>a</w:t>
      </w:r>
      <w:r>
        <w:rPr>
          <w:rFonts w:hint="eastAsia" w:ascii="Arial" w:hAnsi="Arial" w:cs="Arial"/>
          <w:lang w:val="en-US" w:eastAsia="zh-CN"/>
        </w:rPr>
        <w:t>，主要污染物为</w:t>
      </w:r>
      <w:r>
        <w:rPr>
          <w:rFonts w:hint="eastAsia" w:ascii="Times New Roman" w:hAnsi="Times New Roman" w:cs="Arial"/>
          <w:lang w:val="en-US" w:eastAsia="zh-CN"/>
        </w:rPr>
        <w:t>TDS</w:t>
      </w:r>
      <w:r>
        <w:rPr>
          <w:rFonts w:hint="eastAsia" w:ascii="Arial" w:hAnsi="Arial" w:cs="Arial"/>
          <w:lang w:val="en-US" w:eastAsia="zh-CN"/>
        </w:rPr>
        <w:t>，排入园区下水管网。本项目</w:t>
      </w:r>
      <w:r>
        <w:rPr>
          <w:rFonts w:hint="eastAsia"/>
        </w:rPr>
        <w:t>废水产生及排放情况汇总见表</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7</w:t>
      </w:r>
      <w:r>
        <w:rPr>
          <w:rFonts w:hint="eastAsia" w:ascii="Times New Roman"/>
          <w:lang w:val="en-US" w:eastAsia="zh-CN"/>
        </w:rPr>
        <w:t>-</w:t>
      </w:r>
      <w:r>
        <w:rPr>
          <w:rFonts w:hint="eastAsia" w:ascii="Times New Roman" w:hAnsi="Times New Roman"/>
          <w:lang w:val="en-US" w:eastAsia="zh-CN"/>
        </w:rPr>
        <w:t>6</w:t>
      </w:r>
      <w:r>
        <w:rPr>
          <w:rFonts w:hint="eastAsia"/>
        </w:rPr>
        <w:t>。</w:t>
      </w:r>
    </w:p>
    <w:p>
      <w:pPr>
        <w:pStyle w:val="20"/>
        <w:spacing w:before="0" w:beforeLines="0"/>
        <w:rPr>
          <w:rFonts w:hint="eastAsia"/>
          <w:color w:val="auto"/>
          <w:lang w:eastAsia="zh-CN"/>
        </w:rPr>
      </w:pPr>
      <w:r>
        <w:t>表</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6</w:t>
      </w:r>
      <w:r>
        <w:t xml:space="preserve"> </w:t>
      </w:r>
      <w:r>
        <w:rPr>
          <w:rFonts w:hint="eastAsia"/>
        </w:rPr>
        <w:t xml:space="preserve"> </w:t>
      </w:r>
      <w:r>
        <w:rPr>
          <w:rFonts w:hint="eastAsia"/>
          <w:lang w:eastAsia="zh-CN"/>
        </w:rPr>
        <w:t>本项目</w:t>
      </w:r>
      <w:r>
        <w:rPr>
          <w:color w:val="auto"/>
        </w:rPr>
        <w:t>废水</w:t>
      </w:r>
      <w:r>
        <w:rPr>
          <w:rFonts w:hint="eastAsia"/>
          <w:color w:val="auto"/>
          <w:lang w:eastAsia="zh-CN"/>
        </w:rPr>
        <w:t>产排</w:t>
      </w:r>
      <w:r>
        <w:rPr>
          <w:color w:val="auto"/>
        </w:rPr>
        <w:t>情况</w:t>
      </w:r>
      <w:r>
        <w:rPr>
          <w:rFonts w:hint="eastAsia"/>
          <w:color w:val="auto"/>
          <w:lang w:eastAsia="zh-CN"/>
        </w:rPr>
        <w:t>汇总表</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367"/>
        <w:gridCol w:w="1231"/>
        <w:gridCol w:w="1101"/>
        <w:gridCol w:w="1289"/>
        <w:gridCol w:w="1007"/>
        <w:gridCol w:w="1770"/>
        <w:gridCol w:w="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rPr>
              <w:t>编号</w:t>
            </w:r>
          </w:p>
        </w:tc>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rPr>
              <w:t>污染源名称</w:t>
            </w:r>
          </w:p>
        </w:tc>
        <w:tc>
          <w:tcPr>
            <w:tcW w:w="0" w:type="auto"/>
            <w:vMerge w:val="restart"/>
            <w:vAlign w:val="center"/>
          </w:tcPr>
          <w:p>
            <w:pPr>
              <w:spacing w:line="240" w:lineRule="exact"/>
              <w:ind w:firstLine="0"/>
              <w:jc w:val="center"/>
              <w:rPr>
                <w:rFonts w:hint="eastAsia" w:hAnsi="宋体" w:eastAsia="宋体" w:cs="宋体"/>
                <w:bCs/>
                <w:color w:val="auto"/>
                <w:sz w:val="21"/>
                <w:szCs w:val="21"/>
                <w:lang w:eastAsia="zh-CN"/>
              </w:rPr>
            </w:pPr>
            <w:r>
              <w:rPr>
                <w:rFonts w:hint="eastAsia" w:hAnsi="宋体" w:cs="宋体"/>
                <w:bCs/>
                <w:color w:val="auto"/>
                <w:sz w:val="21"/>
                <w:szCs w:val="21"/>
              </w:rPr>
              <w:t>产生量</w:t>
            </w:r>
            <w:r>
              <w:rPr>
                <w:rFonts w:hint="eastAsia" w:ascii="Times New Roman" w:hAnsi="Times New Roman" w:cs="Times New Roman"/>
                <w:bCs/>
                <w:color w:val="auto"/>
                <w:sz w:val="21"/>
                <w:szCs w:val="21"/>
              </w:rPr>
              <w:t>m</w:t>
            </w:r>
            <w:r>
              <w:rPr>
                <w:rFonts w:hint="eastAsia" w:ascii="Times New Roman" w:hAnsi="Times New Roman" w:cs="Times New Roman"/>
                <w:bCs/>
                <w:color w:val="auto"/>
                <w:sz w:val="21"/>
                <w:szCs w:val="21"/>
                <w:vertAlign w:val="superscript"/>
              </w:rPr>
              <w:t>3</w:t>
            </w:r>
            <w:r>
              <w:rPr>
                <w:rFonts w:hint="eastAsia" w:hAnsi="宋体" w:cs="宋体"/>
                <w:bCs/>
                <w:color w:val="auto"/>
                <w:sz w:val="21"/>
                <w:szCs w:val="21"/>
              </w:rPr>
              <w:t>/</w:t>
            </w:r>
            <w:r>
              <w:rPr>
                <w:rFonts w:hint="eastAsia" w:ascii="Times New Roman" w:hAnsi="Times New Roman" w:cs="Times New Roman"/>
                <w:bCs/>
                <w:color w:val="auto"/>
                <w:sz w:val="21"/>
                <w:szCs w:val="21"/>
                <w:lang w:val="en-US" w:eastAsia="zh-CN"/>
              </w:rPr>
              <w:t>a</w:t>
            </w:r>
          </w:p>
        </w:tc>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rPr>
              <w:t>污染物名称</w:t>
            </w:r>
          </w:p>
        </w:tc>
        <w:tc>
          <w:tcPr>
            <w:tcW w:w="0" w:type="auto"/>
            <w:gridSpan w:val="2"/>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lang w:eastAsia="zh-CN"/>
              </w:rPr>
              <w:t>产生</w:t>
            </w:r>
            <w:r>
              <w:rPr>
                <w:rFonts w:hint="eastAsia" w:hAnsi="宋体" w:cs="宋体"/>
                <w:bCs/>
                <w:color w:val="auto"/>
                <w:sz w:val="21"/>
                <w:szCs w:val="21"/>
              </w:rPr>
              <w:t>情况</w:t>
            </w:r>
          </w:p>
        </w:tc>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rPr>
              <w:t>治理措施</w:t>
            </w:r>
          </w:p>
        </w:tc>
        <w:tc>
          <w:tcPr>
            <w:tcW w:w="0" w:type="auto"/>
            <w:vMerge w:val="restart"/>
            <w:vAlign w:val="center"/>
          </w:tcPr>
          <w:p>
            <w:pPr>
              <w:spacing w:line="240" w:lineRule="exact"/>
              <w:ind w:firstLine="0"/>
              <w:jc w:val="center"/>
              <w:rPr>
                <w:rFonts w:hint="eastAsia"/>
                <w:color w:val="auto"/>
              </w:rPr>
            </w:pPr>
            <w:r>
              <w:rPr>
                <w:rFonts w:hint="eastAsia" w:hAnsi="宋体" w:cs="宋体"/>
                <w:bCs/>
                <w:color w:val="auto"/>
                <w:sz w:val="21"/>
                <w:szCs w:val="21"/>
              </w:rPr>
              <w:t>排放规律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Align w:val="center"/>
          </w:tcPr>
          <w:p>
            <w:pPr>
              <w:spacing w:line="240" w:lineRule="exact"/>
              <w:ind w:firstLine="0"/>
              <w:jc w:val="center"/>
              <w:rPr>
                <w:rFonts w:hint="eastAsia" w:hAnsi="宋体" w:eastAsia="宋体" w:cs="宋体"/>
                <w:bCs/>
                <w:color w:val="auto"/>
                <w:sz w:val="21"/>
                <w:szCs w:val="21"/>
                <w:lang w:eastAsia="zh-CN"/>
              </w:rPr>
            </w:pPr>
            <w:r>
              <w:rPr>
                <w:rFonts w:hint="eastAsia" w:hAnsi="宋体" w:cs="宋体"/>
                <w:bCs/>
                <w:color w:val="auto"/>
                <w:sz w:val="21"/>
                <w:szCs w:val="21"/>
              </w:rPr>
              <w:t>排放浓度</w:t>
            </w:r>
            <w:r>
              <w:rPr>
                <w:rFonts w:hint="eastAsia" w:ascii="Times New Roman" w:hAnsi="Times New Roman" w:cs="Times New Roman"/>
                <w:bCs/>
                <w:color w:val="auto"/>
                <w:sz w:val="21"/>
                <w:szCs w:val="21"/>
              </w:rPr>
              <w:t>mg</w:t>
            </w:r>
            <w:r>
              <w:rPr>
                <w:rFonts w:hint="eastAsia" w:hAnsi="宋体" w:cs="宋体"/>
                <w:bCs/>
                <w:color w:val="auto"/>
                <w:sz w:val="21"/>
                <w:szCs w:val="21"/>
              </w:rPr>
              <w:t>/</w:t>
            </w:r>
            <w:r>
              <w:rPr>
                <w:rFonts w:hint="eastAsia" w:ascii="Times New Roman" w:hAnsi="Times New Roman" w:cs="Times New Roman"/>
                <w:bCs/>
                <w:color w:val="auto"/>
                <w:sz w:val="21"/>
                <w:szCs w:val="21"/>
                <w:lang w:val="en-US" w:eastAsia="zh-CN"/>
              </w:rPr>
              <w:t>L</w:t>
            </w:r>
          </w:p>
        </w:tc>
        <w:tc>
          <w:tcPr>
            <w:tcW w:w="0" w:type="auto"/>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rPr>
              <w:t>排放量</w:t>
            </w:r>
            <w:r>
              <w:rPr>
                <w:rFonts w:hint="eastAsia" w:ascii="Times New Roman" w:hAnsi="Times New Roman" w:cs="Times New Roman"/>
                <w:bCs/>
                <w:color w:val="auto"/>
                <w:sz w:val="21"/>
                <w:szCs w:val="21"/>
                <w:lang w:val="en-US" w:eastAsia="zh-CN"/>
              </w:rPr>
              <w:t>t</w:t>
            </w:r>
            <w:r>
              <w:rPr>
                <w:rFonts w:hint="eastAsia" w:cs="宋体"/>
                <w:bCs/>
                <w:color w:val="auto"/>
                <w:sz w:val="21"/>
                <w:szCs w:val="21"/>
              </w:rPr>
              <w:t>/</w:t>
            </w:r>
            <w:r>
              <w:rPr>
                <w:rFonts w:hint="eastAsia" w:ascii="Times New Roman" w:hAnsi="Times New Roman" w:cs="Times New Roman"/>
                <w:bCs/>
                <w:color w:val="auto"/>
                <w:sz w:val="21"/>
                <w:szCs w:val="21"/>
              </w:rPr>
              <w:t>a</w:t>
            </w: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W</w:t>
            </w:r>
            <w:r>
              <w:rPr>
                <w:rFonts w:hint="eastAsia" w:ascii="Times New Roman" w:hAnsi="Times New Roman" w:cs="Times New Roman"/>
                <w:bCs/>
                <w:color w:val="auto"/>
                <w:sz w:val="21"/>
                <w:szCs w:val="21"/>
                <w:vertAlign w:val="subscript"/>
                <w:lang w:val="en-US" w:eastAsia="zh-CN"/>
              </w:rPr>
              <w:t>1</w:t>
            </w:r>
          </w:p>
        </w:tc>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cs="宋体"/>
                <w:bCs/>
                <w:color w:val="auto"/>
                <w:sz w:val="21"/>
                <w:szCs w:val="21"/>
                <w:lang w:val="en-US" w:eastAsia="zh-CN"/>
              </w:rPr>
              <w:t>装置地面冲洗</w:t>
            </w:r>
            <w:r>
              <w:rPr>
                <w:rFonts w:hint="eastAsia" w:hAnsi="宋体" w:cs="宋体"/>
                <w:bCs/>
                <w:color w:val="auto"/>
                <w:sz w:val="21"/>
                <w:szCs w:val="21"/>
              </w:rPr>
              <w:t>废水</w:t>
            </w:r>
          </w:p>
        </w:tc>
        <w:tc>
          <w:tcPr>
            <w:tcW w:w="0" w:type="auto"/>
            <w:vMerge w:val="restart"/>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cs="宋体"/>
                <w:bCs/>
                <w:color w:val="auto"/>
                <w:sz w:val="21"/>
                <w:szCs w:val="21"/>
                <w:lang w:val="en-US" w:eastAsia="zh-CN"/>
              </w:rPr>
              <w:t>266</w:t>
            </w:r>
            <w:r>
              <w:rPr>
                <w:rFonts w:hint="eastAsia" w:cs="宋体"/>
                <w:bCs/>
                <w:color w:val="auto"/>
                <w:sz w:val="21"/>
                <w:szCs w:val="21"/>
                <w:lang w:val="en-US" w:eastAsia="zh-CN"/>
              </w:rPr>
              <w:t>.</w:t>
            </w:r>
            <w:r>
              <w:rPr>
                <w:rFonts w:hint="eastAsia" w:ascii="Times New Roman" w:hAnsi="Times New Roman" w:cs="宋体"/>
                <w:bCs/>
                <w:color w:val="auto"/>
                <w:sz w:val="21"/>
                <w:szCs w:val="21"/>
                <w:lang w:val="en-US" w:eastAsia="zh-CN"/>
              </w:rPr>
              <w:t>02</w:t>
            </w:r>
          </w:p>
        </w:tc>
        <w:tc>
          <w:tcPr>
            <w:tcW w:w="0" w:type="auto"/>
            <w:vAlign w:val="center"/>
          </w:tcPr>
          <w:p>
            <w:pPr>
              <w:spacing w:line="240" w:lineRule="exact"/>
              <w:ind w:firstLine="0"/>
              <w:jc w:val="center"/>
              <w:rPr>
                <w:rFonts w:hint="eastAsia" w:hAnsi="宋体" w:cs="宋体"/>
                <w:bCs/>
                <w:color w:val="auto"/>
                <w:sz w:val="21"/>
                <w:szCs w:val="21"/>
              </w:rPr>
            </w:pPr>
            <w:r>
              <w:rPr>
                <w:rFonts w:hint="eastAsia" w:ascii="Times New Roman" w:hAnsi="Times New Roman" w:cs="Times New Roman"/>
                <w:bCs/>
                <w:color w:val="auto"/>
                <w:sz w:val="21"/>
                <w:szCs w:val="21"/>
              </w:rPr>
              <w:t>COD</w:t>
            </w:r>
          </w:p>
        </w:tc>
        <w:tc>
          <w:tcPr>
            <w:tcW w:w="0" w:type="auto"/>
            <w:vAlign w:val="center"/>
          </w:tcPr>
          <w:p>
            <w:pPr>
              <w:spacing w:line="240" w:lineRule="exact"/>
              <w:ind w:firstLine="0"/>
              <w:jc w:val="center"/>
              <w:textAlignment w:val="bottom"/>
              <w:rPr>
                <w:rFonts w:hint="default" w:hAnsi="宋体"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600</w:t>
            </w:r>
          </w:p>
        </w:tc>
        <w:tc>
          <w:tcPr>
            <w:tcW w:w="0" w:type="auto"/>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0</w:t>
            </w:r>
            <w:r>
              <w:rPr>
                <w:rFonts w:hint="eastAsia" w:hAnsi="宋体" w:eastAsia="宋体" w:cs="宋体"/>
                <w:bCs/>
                <w:color w:val="auto"/>
                <w:sz w:val="21"/>
                <w:szCs w:val="21"/>
                <w:lang w:val="en-US" w:eastAsia="zh-CN"/>
              </w:rPr>
              <w:t>.</w:t>
            </w:r>
            <w:r>
              <w:rPr>
                <w:rFonts w:hint="eastAsia" w:ascii="Times New Roman" w:hAnsi="Times New Roman" w:eastAsia="宋体" w:cs="宋体"/>
                <w:bCs/>
                <w:color w:val="auto"/>
                <w:sz w:val="21"/>
                <w:szCs w:val="21"/>
                <w:lang w:val="en-US" w:eastAsia="zh-CN"/>
              </w:rPr>
              <w:t>159</w:t>
            </w:r>
          </w:p>
        </w:tc>
        <w:tc>
          <w:tcPr>
            <w:tcW w:w="0" w:type="auto"/>
            <w:vMerge w:val="restart"/>
            <w:vAlign w:val="center"/>
          </w:tcPr>
          <w:p>
            <w:pPr>
              <w:spacing w:line="240" w:lineRule="exact"/>
              <w:ind w:firstLine="0"/>
              <w:jc w:val="center"/>
              <w:rPr>
                <w:rFonts w:hint="eastAsia" w:hAnsi="宋体" w:eastAsia="宋体" w:cs="宋体"/>
                <w:bCs/>
                <w:color w:val="auto"/>
                <w:sz w:val="21"/>
                <w:szCs w:val="21"/>
                <w:lang w:val="en-US" w:eastAsia="zh-CN"/>
              </w:rPr>
            </w:pPr>
            <w:r>
              <w:rPr>
                <w:rFonts w:hint="eastAsia" w:hAnsi="宋体" w:cs="宋体"/>
                <w:bCs/>
                <w:color w:val="auto"/>
                <w:sz w:val="21"/>
                <w:szCs w:val="21"/>
              </w:rPr>
              <w:t>污水站</w:t>
            </w:r>
            <w:r>
              <w:rPr>
                <w:rFonts w:hint="eastAsia" w:cs="宋体"/>
                <w:bCs/>
                <w:color w:val="auto"/>
                <w:sz w:val="21"/>
                <w:szCs w:val="21"/>
                <w:lang w:val="en-US" w:eastAsia="zh-CN"/>
              </w:rPr>
              <w:t>处理后排园区管网</w:t>
            </w:r>
          </w:p>
        </w:tc>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exact"/>
              <w:ind w:firstLine="0"/>
              <w:jc w:val="center"/>
              <w:rPr>
                <w:rFonts w:hint="eastAsia" w:ascii="Times New Roman" w:hAnsi="Times New Roman" w:cs="Times New Roman"/>
                <w:bCs/>
                <w:color w:val="auto"/>
                <w:sz w:val="21"/>
                <w:szCs w:val="21"/>
              </w:rPr>
            </w:pPr>
          </w:p>
        </w:tc>
        <w:tc>
          <w:tcPr>
            <w:tcW w:w="0" w:type="auto"/>
            <w:vMerge w:val="continue"/>
            <w:vAlign w:val="center"/>
          </w:tcPr>
          <w:p>
            <w:pPr>
              <w:spacing w:line="240" w:lineRule="exact"/>
              <w:ind w:firstLine="0"/>
              <w:jc w:val="center"/>
              <w:rPr>
                <w:rFonts w:hint="eastAsia" w:cs="宋体"/>
                <w:bCs/>
                <w:color w:val="auto"/>
                <w:sz w:val="21"/>
                <w:szCs w:val="21"/>
                <w:lang w:val="en-US" w:eastAsia="zh-CN"/>
              </w:rPr>
            </w:pPr>
          </w:p>
        </w:tc>
        <w:tc>
          <w:tcPr>
            <w:tcW w:w="0" w:type="auto"/>
            <w:vMerge w:val="continue"/>
            <w:vAlign w:val="center"/>
          </w:tcPr>
          <w:p>
            <w:pPr>
              <w:spacing w:line="240" w:lineRule="exact"/>
              <w:ind w:firstLine="0"/>
              <w:jc w:val="center"/>
              <w:rPr>
                <w:rFonts w:hint="eastAsia" w:cs="宋体"/>
                <w:bCs/>
                <w:color w:val="auto"/>
                <w:sz w:val="21"/>
                <w:szCs w:val="21"/>
                <w:lang w:val="en-US" w:eastAsia="zh-CN"/>
              </w:rPr>
            </w:pPr>
          </w:p>
        </w:tc>
        <w:tc>
          <w:tcPr>
            <w:tcW w:w="0" w:type="auto"/>
            <w:vAlign w:val="center"/>
          </w:tcPr>
          <w:p>
            <w:pPr>
              <w:spacing w:line="240" w:lineRule="exact"/>
              <w:ind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BOD</w:t>
            </w:r>
          </w:p>
        </w:tc>
        <w:tc>
          <w:tcPr>
            <w:tcW w:w="0" w:type="auto"/>
            <w:vAlign w:val="center"/>
          </w:tcPr>
          <w:p>
            <w:pPr>
              <w:spacing w:line="240" w:lineRule="exact"/>
              <w:ind w:firstLine="0"/>
              <w:jc w:val="center"/>
              <w:textAlignment w:val="bottom"/>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150</w:t>
            </w:r>
          </w:p>
        </w:tc>
        <w:tc>
          <w:tcPr>
            <w:tcW w:w="0" w:type="auto"/>
            <w:vAlign w:val="center"/>
          </w:tcPr>
          <w:p>
            <w:pPr>
              <w:spacing w:line="240" w:lineRule="exact"/>
              <w:ind w:firstLine="0"/>
              <w:jc w:val="center"/>
              <w:rPr>
                <w:rFonts w:hint="default" w:cs="宋体"/>
                <w:bCs/>
                <w:color w:val="auto"/>
                <w:sz w:val="21"/>
                <w:szCs w:val="21"/>
                <w:lang w:val="en-US" w:eastAsia="zh-CN"/>
              </w:rPr>
            </w:pPr>
            <w:r>
              <w:rPr>
                <w:rFonts w:hint="eastAsia" w:ascii="Times New Roman" w:hAnsi="Times New Roman" w:cs="宋体"/>
                <w:bCs/>
                <w:color w:val="auto"/>
                <w:sz w:val="21"/>
                <w:szCs w:val="21"/>
                <w:lang w:val="en-US" w:eastAsia="zh-CN"/>
              </w:rPr>
              <w:t>0</w:t>
            </w:r>
            <w:r>
              <w:rPr>
                <w:rFonts w:hint="eastAsia" w:cs="宋体"/>
                <w:bCs/>
                <w:color w:val="auto"/>
                <w:sz w:val="21"/>
                <w:szCs w:val="21"/>
                <w:lang w:val="en-US" w:eastAsia="zh-CN"/>
              </w:rPr>
              <w:t>.</w:t>
            </w:r>
            <w:r>
              <w:rPr>
                <w:rFonts w:hint="eastAsia" w:ascii="Times New Roman" w:hAnsi="Times New Roman" w:cs="宋体"/>
                <w:bCs/>
                <w:color w:val="auto"/>
                <w:sz w:val="21"/>
                <w:szCs w:val="21"/>
                <w:lang w:val="en-US" w:eastAsia="zh-CN"/>
              </w:rPr>
              <w:t>039</w:t>
            </w: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exact"/>
              <w:ind w:firstLine="0"/>
              <w:jc w:val="center"/>
              <w:rPr>
                <w:rFonts w:hint="eastAsia" w:ascii="Times New Roman" w:hAnsi="Times New Roman" w:cs="Times New Roman"/>
                <w:bCs/>
                <w:color w:val="auto"/>
                <w:sz w:val="21"/>
                <w:szCs w:val="21"/>
              </w:rPr>
            </w:pPr>
          </w:p>
        </w:tc>
        <w:tc>
          <w:tcPr>
            <w:tcW w:w="0" w:type="auto"/>
            <w:vMerge w:val="continue"/>
            <w:vAlign w:val="center"/>
          </w:tcPr>
          <w:p>
            <w:pPr>
              <w:spacing w:line="240" w:lineRule="exact"/>
              <w:ind w:firstLine="0"/>
              <w:jc w:val="center"/>
              <w:rPr>
                <w:rFonts w:hint="eastAsia" w:cs="宋体"/>
                <w:bCs/>
                <w:color w:val="auto"/>
                <w:sz w:val="21"/>
                <w:szCs w:val="21"/>
                <w:lang w:val="en-US" w:eastAsia="zh-CN"/>
              </w:rPr>
            </w:pPr>
          </w:p>
        </w:tc>
        <w:tc>
          <w:tcPr>
            <w:tcW w:w="0" w:type="auto"/>
            <w:vMerge w:val="continue"/>
            <w:vAlign w:val="center"/>
          </w:tcPr>
          <w:p>
            <w:pPr>
              <w:spacing w:line="240" w:lineRule="exact"/>
              <w:ind w:firstLine="0"/>
              <w:jc w:val="center"/>
              <w:rPr>
                <w:rFonts w:hint="eastAsia" w:cs="宋体"/>
                <w:bCs/>
                <w:color w:val="auto"/>
                <w:sz w:val="21"/>
                <w:szCs w:val="21"/>
                <w:lang w:val="en-US" w:eastAsia="zh-CN"/>
              </w:rPr>
            </w:pPr>
          </w:p>
        </w:tc>
        <w:tc>
          <w:tcPr>
            <w:tcW w:w="0" w:type="auto"/>
            <w:vAlign w:val="center"/>
          </w:tcPr>
          <w:p>
            <w:pPr>
              <w:spacing w:line="240" w:lineRule="exact"/>
              <w:ind w:firstLine="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NH</w:t>
            </w:r>
            <w:r>
              <w:rPr>
                <w:rFonts w:hint="eastAsia" w:ascii="Times New Roman" w:hAnsi="Times New Roman" w:cs="Times New Roman"/>
                <w:bCs/>
                <w:color w:val="auto"/>
                <w:sz w:val="21"/>
                <w:szCs w:val="21"/>
                <w:vertAlign w:val="subscript"/>
                <w:lang w:val="en-US" w:eastAsia="zh-CN"/>
              </w:rPr>
              <w:t>3</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N</w:t>
            </w:r>
          </w:p>
        </w:tc>
        <w:tc>
          <w:tcPr>
            <w:tcW w:w="0" w:type="auto"/>
            <w:vAlign w:val="center"/>
          </w:tcPr>
          <w:p>
            <w:pPr>
              <w:spacing w:line="240" w:lineRule="exact"/>
              <w:ind w:firstLine="0"/>
              <w:jc w:val="center"/>
              <w:textAlignment w:val="bottom"/>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40</w:t>
            </w:r>
          </w:p>
        </w:tc>
        <w:tc>
          <w:tcPr>
            <w:tcW w:w="0" w:type="auto"/>
            <w:vAlign w:val="center"/>
          </w:tcPr>
          <w:p>
            <w:pPr>
              <w:spacing w:line="240" w:lineRule="exact"/>
              <w:ind w:firstLine="0"/>
              <w:jc w:val="center"/>
              <w:rPr>
                <w:rFonts w:hint="default" w:cs="宋体"/>
                <w:bCs/>
                <w:color w:val="auto"/>
                <w:sz w:val="21"/>
                <w:szCs w:val="21"/>
                <w:lang w:val="en-US" w:eastAsia="zh-CN"/>
              </w:rPr>
            </w:pPr>
            <w:r>
              <w:rPr>
                <w:rFonts w:hint="eastAsia" w:ascii="Times New Roman" w:hAnsi="Times New Roman" w:cs="宋体"/>
                <w:bCs/>
                <w:color w:val="auto"/>
                <w:sz w:val="21"/>
                <w:szCs w:val="21"/>
                <w:lang w:val="en-US" w:eastAsia="zh-CN"/>
              </w:rPr>
              <w:t>0</w:t>
            </w:r>
            <w:r>
              <w:rPr>
                <w:rFonts w:hint="eastAsia" w:cs="宋体"/>
                <w:bCs/>
                <w:color w:val="auto"/>
                <w:sz w:val="21"/>
                <w:szCs w:val="21"/>
                <w:lang w:val="en-US" w:eastAsia="zh-CN"/>
              </w:rPr>
              <w:t>.</w:t>
            </w:r>
            <w:r>
              <w:rPr>
                <w:rFonts w:hint="eastAsia" w:ascii="Times New Roman" w:hAnsi="Times New Roman" w:cs="宋体"/>
                <w:bCs/>
                <w:color w:val="auto"/>
                <w:sz w:val="21"/>
                <w:szCs w:val="21"/>
                <w:lang w:val="en-US" w:eastAsia="zh-CN"/>
              </w:rPr>
              <w:t>01</w:t>
            </w: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W</w:t>
            </w:r>
            <w:r>
              <w:rPr>
                <w:rFonts w:hint="eastAsia" w:ascii="Times New Roman" w:hAnsi="Times New Roman" w:cs="Times New Roman"/>
                <w:bCs/>
                <w:color w:val="auto"/>
                <w:sz w:val="21"/>
                <w:szCs w:val="21"/>
                <w:vertAlign w:val="subscript"/>
                <w:lang w:val="en-US" w:eastAsia="zh-CN"/>
              </w:rPr>
              <w:t>2</w:t>
            </w:r>
          </w:p>
        </w:tc>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rPr>
              <w:t>生活污水</w:t>
            </w:r>
          </w:p>
        </w:tc>
        <w:tc>
          <w:tcPr>
            <w:tcW w:w="0" w:type="auto"/>
            <w:vMerge w:val="restart"/>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213</w:t>
            </w:r>
            <w:r>
              <w:rPr>
                <w:rFonts w:hint="eastAsia"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12</w:t>
            </w:r>
          </w:p>
        </w:tc>
        <w:tc>
          <w:tcPr>
            <w:tcW w:w="0" w:type="auto"/>
            <w:vAlign w:val="center"/>
          </w:tcPr>
          <w:p>
            <w:pPr>
              <w:spacing w:line="240" w:lineRule="exact"/>
              <w:ind w:firstLine="0"/>
              <w:jc w:val="center"/>
              <w:rPr>
                <w:rFonts w:hint="eastAsia" w:hAnsi="宋体" w:cs="宋体"/>
                <w:bCs/>
                <w:color w:val="auto"/>
                <w:sz w:val="21"/>
                <w:szCs w:val="21"/>
              </w:rPr>
            </w:pPr>
            <w:r>
              <w:rPr>
                <w:rFonts w:hint="eastAsia" w:ascii="Times New Roman" w:hAnsi="Times New Roman" w:cs="Times New Roman"/>
                <w:bCs/>
                <w:color w:val="auto"/>
                <w:sz w:val="21"/>
                <w:szCs w:val="21"/>
              </w:rPr>
              <w:t>COD</w:t>
            </w:r>
          </w:p>
        </w:tc>
        <w:tc>
          <w:tcPr>
            <w:tcW w:w="0" w:type="auto"/>
            <w:vAlign w:val="center"/>
          </w:tcPr>
          <w:p>
            <w:pPr>
              <w:spacing w:line="240" w:lineRule="exact"/>
              <w:ind w:firstLine="0"/>
              <w:jc w:val="center"/>
              <w:textAlignment w:val="bottom"/>
              <w:rPr>
                <w:rFonts w:hint="eastAsia" w:cs="宋体"/>
                <w:bCs/>
                <w:color w:val="auto"/>
                <w:sz w:val="21"/>
                <w:szCs w:val="21"/>
              </w:rPr>
            </w:pPr>
            <w:r>
              <w:rPr>
                <w:rFonts w:hint="eastAsia" w:ascii="Times New Roman" w:hAnsi="Times New Roman" w:cs="Times New Roman"/>
                <w:bCs/>
                <w:color w:val="auto"/>
                <w:sz w:val="21"/>
                <w:szCs w:val="21"/>
                <w:lang w:val="en-US" w:eastAsia="zh-CN"/>
              </w:rPr>
              <w:t>3</w:t>
            </w:r>
            <w:r>
              <w:rPr>
                <w:rFonts w:hint="eastAsia" w:ascii="Times New Roman" w:hAnsi="Times New Roman" w:cs="Times New Roman"/>
                <w:bCs/>
                <w:color w:val="auto"/>
                <w:sz w:val="21"/>
                <w:szCs w:val="21"/>
              </w:rPr>
              <w:t>00</w:t>
            </w:r>
          </w:p>
        </w:tc>
        <w:tc>
          <w:tcPr>
            <w:tcW w:w="0" w:type="auto"/>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0</w:t>
            </w:r>
            <w:r>
              <w:rPr>
                <w:rFonts w:hint="eastAsia" w:hAnsi="宋体" w:eastAsia="宋体" w:cs="宋体"/>
                <w:bCs/>
                <w:color w:val="auto"/>
                <w:sz w:val="21"/>
                <w:szCs w:val="21"/>
                <w:lang w:val="en-US" w:eastAsia="zh-CN"/>
              </w:rPr>
              <w:t>.</w:t>
            </w:r>
            <w:r>
              <w:rPr>
                <w:rFonts w:hint="eastAsia" w:ascii="Times New Roman" w:hAnsi="Times New Roman" w:eastAsia="宋体" w:cs="宋体"/>
                <w:bCs/>
                <w:color w:val="auto"/>
                <w:sz w:val="21"/>
                <w:szCs w:val="21"/>
                <w:lang w:val="en-US" w:eastAsia="zh-CN"/>
              </w:rPr>
              <w:t>063</w:t>
            </w: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restart"/>
            <w:vAlign w:val="center"/>
          </w:tcPr>
          <w:p>
            <w:pPr>
              <w:spacing w:line="240" w:lineRule="exact"/>
              <w:ind w:firstLine="0"/>
              <w:jc w:val="center"/>
              <w:rPr>
                <w:rFonts w:hint="eastAsia" w:hAnsi="宋体" w:cs="宋体"/>
                <w:bCs/>
                <w:color w:val="auto"/>
                <w:sz w:val="21"/>
                <w:szCs w:val="21"/>
              </w:rPr>
            </w:pPr>
            <w:r>
              <w:rPr>
                <w:rFonts w:hint="eastAsia" w:cs="宋体"/>
                <w:bCs/>
                <w:color w:val="auto"/>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exact"/>
              <w:ind w:firstLine="0"/>
              <w:jc w:val="center"/>
              <w:rPr>
                <w:rFonts w:hint="eastAsia" w:ascii="Times New Roman" w:hAnsi="Times New Roman" w:cs="Times New Roman"/>
                <w:bCs/>
                <w:color w:val="auto"/>
                <w:sz w:val="21"/>
                <w:szCs w:val="21"/>
                <w:lang w:val="en-US" w:eastAsia="zh-CN"/>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cs="Times New Roman"/>
                <w:bCs/>
                <w:color w:val="auto"/>
                <w:sz w:val="21"/>
                <w:szCs w:val="21"/>
                <w:lang w:val="en-US" w:eastAsia="zh-CN"/>
              </w:rPr>
            </w:pPr>
          </w:p>
        </w:tc>
        <w:tc>
          <w:tcPr>
            <w:tcW w:w="0" w:type="auto"/>
            <w:vAlign w:val="center"/>
          </w:tcPr>
          <w:p>
            <w:pPr>
              <w:spacing w:line="240" w:lineRule="exact"/>
              <w:ind w:firstLine="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BOD</w:t>
            </w:r>
          </w:p>
        </w:tc>
        <w:tc>
          <w:tcPr>
            <w:tcW w:w="0" w:type="auto"/>
            <w:vAlign w:val="center"/>
          </w:tcPr>
          <w:p>
            <w:pPr>
              <w:spacing w:line="240" w:lineRule="exact"/>
              <w:ind w:firstLine="0"/>
              <w:jc w:val="center"/>
              <w:textAlignment w:val="bottom"/>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120</w:t>
            </w:r>
          </w:p>
        </w:tc>
        <w:tc>
          <w:tcPr>
            <w:tcW w:w="0" w:type="auto"/>
            <w:vAlign w:val="center"/>
          </w:tcPr>
          <w:p>
            <w:pPr>
              <w:spacing w:line="240" w:lineRule="exact"/>
              <w:ind w:firstLine="0"/>
              <w:jc w:val="center"/>
              <w:rPr>
                <w:rFonts w:hint="default" w:cs="宋体"/>
                <w:bCs/>
                <w:color w:val="auto"/>
                <w:sz w:val="21"/>
                <w:szCs w:val="21"/>
                <w:lang w:val="en-US" w:eastAsia="zh-CN"/>
              </w:rPr>
            </w:pPr>
            <w:r>
              <w:rPr>
                <w:rFonts w:hint="eastAsia" w:ascii="Times New Roman" w:hAnsi="Times New Roman" w:cs="宋体"/>
                <w:bCs/>
                <w:color w:val="auto"/>
                <w:sz w:val="21"/>
                <w:szCs w:val="21"/>
                <w:lang w:val="en-US" w:eastAsia="zh-CN"/>
              </w:rPr>
              <w:t>0</w:t>
            </w:r>
            <w:r>
              <w:rPr>
                <w:rFonts w:hint="eastAsia" w:cs="宋体"/>
                <w:bCs/>
                <w:color w:val="auto"/>
                <w:sz w:val="21"/>
                <w:szCs w:val="21"/>
                <w:lang w:val="en-US" w:eastAsia="zh-CN"/>
              </w:rPr>
              <w:t>.</w:t>
            </w:r>
            <w:r>
              <w:rPr>
                <w:rFonts w:hint="eastAsia" w:ascii="Times New Roman" w:hAnsi="Times New Roman" w:cs="宋体"/>
                <w:bCs/>
                <w:color w:val="auto"/>
                <w:sz w:val="21"/>
                <w:szCs w:val="21"/>
                <w:lang w:val="en-US" w:eastAsia="zh-CN"/>
              </w:rPr>
              <w:t>025</w:t>
            </w: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cs="宋体"/>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exact"/>
              <w:ind w:firstLine="0" w:firstLineChars="0"/>
              <w:jc w:val="center"/>
              <w:rPr>
                <w:rFonts w:hint="eastAsia" w:ascii="宋体" w:hAnsi="宋体" w:eastAsia="宋体" w:cs="宋体"/>
                <w:bCs/>
                <w:color w:val="auto"/>
                <w:sz w:val="21"/>
                <w:szCs w:val="21"/>
                <w:lang w:val="en-US" w:eastAsia="zh-CN" w:bidi="ar-SA"/>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Align w:val="center"/>
          </w:tcPr>
          <w:p>
            <w:pPr>
              <w:spacing w:line="240" w:lineRule="exact"/>
              <w:ind w:firstLine="0"/>
              <w:jc w:val="center"/>
              <w:rPr>
                <w:rFonts w:hint="eastAsia" w:hAnsi="宋体" w:cs="宋体"/>
                <w:bCs/>
                <w:color w:val="auto"/>
                <w:sz w:val="21"/>
                <w:szCs w:val="21"/>
              </w:rPr>
            </w:pPr>
            <w:r>
              <w:rPr>
                <w:rFonts w:hint="eastAsia" w:ascii="Times New Roman" w:hAnsi="Times New Roman" w:cs="Times New Roman"/>
                <w:bCs/>
                <w:color w:val="auto"/>
                <w:sz w:val="21"/>
                <w:szCs w:val="21"/>
                <w:lang w:val="en-US" w:eastAsia="zh-CN"/>
              </w:rPr>
              <w:t>NH</w:t>
            </w:r>
            <w:r>
              <w:rPr>
                <w:rFonts w:hint="eastAsia" w:ascii="Times New Roman" w:hAnsi="Times New Roman" w:cs="Times New Roman"/>
                <w:bCs/>
                <w:color w:val="auto"/>
                <w:sz w:val="21"/>
                <w:szCs w:val="21"/>
                <w:vertAlign w:val="subscript"/>
                <w:lang w:val="en-US" w:eastAsia="zh-CN"/>
              </w:rPr>
              <w:t>3</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N</w:t>
            </w:r>
          </w:p>
        </w:tc>
        <w:tc>
          <w:tcPr>
            <w:tcW w:w="0" w:type="auto"/>
            <w:vAlign w:val="center"/>
          </w:tcPr>
          <w:p>
            <w:pPr>
              <w:spacing w:line="240" w:lineRule="exact"/>
              <w:ind w:firstLine="0"/>
              <w:jc w:val="center"/>
              <w:textAlignment w:val="bottom"/>
              <w:rPr>
                <w:rFonts w:hint="default"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30</w:t>
            </w:r>
          </w:p>
        </w:tc>
        <w:tc>
          <w:tcPr>
            <w:tcW w:w="0" w:type="auto"/>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0</w:t>
            </w:r>
            <w:r>
              <w:rPr>
                <w:rFonts w:hint="eastAsia" w:hAnsi="宋体" w:eastAsia="宋体" w:cs="宋体"/>
                <w:bCs/>
                <w:color w:val="auto"/>
                <w:sz w:val="21"/>
                <w:szCs w:val="21"/>
                <w:lang w:val="en-US" w:eastAsia="zh-CN"/>
              </w:rPr>
              <w:t>.</w:t>
            </w:r>
            <w:r>
              <w:rPr>
                <w:rFonts w:hint="eastAsia" w:ascii="Times New Roman" w:hAnsi="Times New Roman" w:eastAsia="宋体" w:cs="宋体"/>
                <w:bCs/>
                <w:color w:val="auto"/>
                <w:sz w:val="21"/>
                <w:szCs w:val="21"/>
                <w:lang w:val="en-US" w:eastAsia="zh-CN"/>
              </w:rPr>
              <w:t>007</w:t>
            </w:r>
          </w:p>
        </w:tc>
        <w:tc>
          <w:tcPr>
            <w:tcW w:w="0" w:type="auto"/>
            <w:vMerge w:val="continue"/>
            <w:vAlign w:val="center"/>
          </w:tcPr>
          <w:p>
            <w:pPr>
              <w:spacing w:line="240" w:lineRule="exact"/>
              <w:ind w:firstLine="0"/>
              <w:jc w:val="center"/>
              <w:rPr>
                <w:rFonts w:hint="eastAsia" w:hAnsi="宋体" w:cs="宋体"/>
                <w:bCs/>
                <w:color w:val="auto"/>
                <w:sz w:val="21"/>
                <w:szCs w:val="21"/>
              </w:rPr>
            </w:pPr>
          </w:p>
        </w:tc>
        <w:tc>
          <w:tcPr>
            <w:tcW w:w="0" w:type="auto"/>
            <w:vMerge w:val="continue"/>
            <w:vAlign w:val="center"/>
          </w:tcPr>
          <w:p>
            <w:pPr>
              <w:spacing w:line="240" w:lineRule="exact"/>
              <w:ind w:firstLine="0"/>
              <w:jc w:val="center"/>
              <w:rPr>
                <w:rFonts w:hint="eastAsia" w:hAnsi="宋体" w:cs="宋体"/>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W</w:t>
            </w:r>
            <w:r>
              <w:rPr>
                <w:rFonts w:hint="eastAsia" w:ascii="Times New Roman" w:hAnsi="Times New Roman" w:cs="Times New Roman"/>
                <w:bCs/>
                <w:color w:val="auto"/>
                <w:sz w:val="21"/>
                <w:szCs w:val="21"/>
                <w:vertAlign w:val="subscript"/>
                <w:lang w:val="en-US" w:eastAsia="zh-CN"/>
              </w:rPr>
              <w:t>3</w:t>
            </w:r>
          </w:p>
        </w:tc>
        <w:tc>
          <w:tcPr>
            <w:tcW w:w="0" w:type="auto"/>
            <w:vMerge w:val="restart"/>
            <w:vAlign w:val="center"/>
          </w:tcPr>
          <w:p>
            <w:pPr>
              <w:spacing w:line="240" w:lineRule="exact"/>
              <w:ind w:firstLine="0"/>
              <w:jc w:val="center"/>
              <w:rPr>
                <w:rFonts w:hint="eastAsia" w:hAnsi="宋体" w:eastAsia="宋体" w:cs="宋体"/>
                <w:bCs/>
                <w:color w:val="auto"/>
                <w:sz w:val="21"/>
                <w:szCs w:val="21"/>
                <w:lang w:eastAsia="zh-CN"/>
              </w:rPr>
            </w:pPr>
            <w:r>
              <w:rPr>
                <w:rFonts w:hint="eastAsia" w:hAnsi="宋体" w:cs="宋体"/>
                <w:bCs/>
                <w:color w:val="auto"/>
                <w:sz w:val="21"/>
                <w:szCs w:val="21"/>
                <w:lang w:eastAsia="zh-CN"/>
              </w:rPr>
              <w:t>循环水排水</w:t>
            </w:r>
          </w:p>
        </w:tc>
        <w:tc>
          <w:tcPr>
            <w:tcW w:w="0" w:type="auto"/>
            <w:vMerge w:val="restart"/>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19200</w:t>
            </w:r>
          </w:p>
        </w:tc>
        <w:tc>
          <w:tcPr>
            <w:tcW w:w="0" w:type="auto"/>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cs="Times New Roman"/>
                <w:bCs/>
                <w:color w:val="auto"/>
                <w:sz w:val="21"/>
                <w:szCs w:val="21"/>
                <w:lang w:val="en-US" w:eastAsia="zh-CN"/>
              </w:rPr>
              <w:t>COD</w:t>
            </w:r>
          </w:p>
        </w:tc>
        <w:tc>
          <w:tcPr>
            <w:tcW w:w="0" w:type="auto"/>
            <w:vAlign w:val="center"/>
          </w:tcPr>
          <w:p>
            <w:pPr>
              <w:spacing w:line="240" w:lineRule="exact"/>
              <w:ind w:firstLine="0"/>
              <w:jc w:val="center"/>
              <w:textAlignment w:val="bottom"/>
              <w:rPr>
                <w:rFonts w:hint="default" w:ascii="Times New Roman" w:eastAsia="宋体"/>
                <w:bCs/>
                <w:color w:val="auto"/>
                <w:sz w:val="21"/>
                <w:szCs w:val="21"/>
                <w:lang w:val="en-US" w:eastAsia="zh-CN"/>
              </w:rPr>
            </w:pPr>
            <w:r>
              <w:rPr>
                <w:rFonts w:hint="eastAsia" w:ascii="Times New Roman" w:hAnsi="Times New Roman" w:cs="Times New Roman"/>
                <w:bCs/>
                <w:color w:val="auto"/>
                <w:sz w:val="21"/>
                <w:szCs w:val="21"/>
                <w:lang w:val="en-US" w:eastAsia="zh-CN"/>
              </w:rPr>
              <w:t>30</w:t>
            </w:r>
          </w:p>
        </w:tc>
        <w:tc>
          <w:tcPr>
            <w:tcW w:w="0" w:type="auto"/>
            <w:vAlign w:val="center"/>
          </w:tcPr>
          <w:p>
            <w:pPr>
              <w:spacing w:line="240" w:lineRule="exact"/>
              <w:ind w:firstLine="0"/>
              <w:jc w:val="center"/>
              <w:rPr>
                <w:rFonts w:hint="default" w:hAnsi="宋体"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0</w:t>
            </w:r>
            <w:r>
              <w:rPr>
                <w:rFonts w:hint="eastAsia" w:hAnsi="宋体" w:eastAsia="宋体" w:cs="宋体"/>
                <w:bCs/>
                <w:color w:val="auto"/>
                <w:sz w:val="21"/>
                <w:szCs w:val="21"/>
                <w:lang w:val="en-US" w:eastAsia="zh-CN"/>
              </w:rPr>
              <w:t>.</w:t>
            </w:r>
            <w:r>
              <w:rPr>
                <w:rFonts w:hint="eastAsia" w:ascii="Times New Roman" w:hAnsi="Times New Roman" w:eastAsia="宋体" w:cs="宋体"/>
                <w:bCs/>
                <w:color w:val="auto"/>
                <w:sz w:val="21"/>
                <w:szCs w:val="21"/>
                <w:lang w:val="en-US" w:eastAsia="zh-CN"/>
              </w:rPr>
              <w:t>576</w:t>
            </w:r>
          </w:p>
        </w:tc>
        <w:tc>
          <w:tcPr>
            <w:tcW w:w="0" w:type="auto"/>
            <w:vMerge w:val="restart"/>
            <w:vAlign w:val="center"/>
          </w:tcPr>
          <w:p>
            <w:pPr>
              <w:spacing w:line="240" w:lineRule="exact"/>
              <w:ind w:firstLine="0"/>
              <w:jc w:val="center"/>
              <w:rPr>
                <w:rFonts w:hint="default" w:hAnsi="宋体" w:cs="宋体"/>
                <w:bCs/>
                <w:color w:val="auto"/>
                <w:sz w:val="21"/>
                <w:szCs w:val="21"/>
                <w:lang w:val="en-US"/>
              </w:rPr>
            </w:pPr>
            <w:r>
              <w:rPr>
                <w:rFonts w:hint="eastAsia" w:cs="宋体"/>
                <w:bCs/>
                <w:color w:val="auto"/>
                <w:sz w:val="21"/>
                <w:szCs w:val="21"/>
                <w:lang w:eastAsia="zh-CN"/>
              </w:rPr>
              <w:t>直接排园区管网</w:t>
            </w:r>
          </w:p>
        </w:tc>
        <w:tc>
          <w:tcPr>
            <w:tcW w:w="0" w:type="auto"/>
            <w:vMerge w:val="restart"/>
            <w:vAlign w:val="center"/>
          </w:tcPr>
          <w:p>
            <w:pPr>
              <w:spacing w:line="240" w:lineRule="exact"/>
              <w:ind w:firstLine="0"/>
              <w:jc w:val="center"/>
              <w:rPr>
                <w:rFonts w:hint="default" w:hAnsi="宋体" w:eastAsia="宋体" w:cs="宋体"/>
                <w:bCs/>
                <w:color w:val="auto"/>
                <w:sz w:val="21"/>
                <w:szCs w:val="21"/>
                <w:lang w:val="en-US" w:eastAsia="zh-CN"/>
              </w:rPr>
            </w:pPr>
            <w:r>
              <w:rPr>
                <w:rFonts w:hint="eastAsia" w:hAnsi="宋体" w:cs="宋体"/>
                <w:bCs/>
                <w:color w:val="auto"/>
                <w:sz w:val="21"/>
                <w:szCs w:val="21"/>
                <w:lang w:val="en-US" w:eastAsia="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exact"/>
              <w:ind w:firstLine="0"/>
              <w:jc w:val="center"/>
              <w:rPr>
                <w:rFonts w:hint="eastAsia" w:hAnsi="宋体" w:cs="宋体"/>
                <w:bCs/>
                <w:color w:val="auto"/>
                <w:sz w:val="21"/>
                <w:szCs w:val="21"/>
                <w:lang w:val="en-US" w:eastAsia="zh-CN"/>
              </w:rPr>
            </w:pPr>
          </w:p>
        </w:tc>
        <w:tc>
          <w:tcPr>
            <w:tcW w:w="0" w:type="auto"/>
            <w:vMerge w:val="continue"/>
            <w:vAlign w:val="center"/>
          </w:tcPr>
          <w:p>
            <w:pPr>
              <w:spacing w:line="240" w:lineRule="exact"/>
              <w:ind w:firstLine="0"/>
              <w:jc w:val="center"/>
              <w:rPr>
                <w:rFonts w:hint="eastAsia" w:hAnsi="宋体" w:cs="宋体"/>
                <w:bCs/>
                <w:color w:val="auto"/>
                <w:sz w:val="21"/>
                <w:szCs w:val="21"/>
                <w:lang w:eastAsia="zh-CN"/>
              </w:rPr>
            </w:pPr>
          </w:p>
        </w:tc>
        <w:tc>
          <w:tcPr>
            <w:tcW w:w="0" w:type="auto"/>
            <w:vMerge w:val="continue"/>
            <w:vAlign w:val="center"/>
          </w:tcPr>
          <w:p>
            <w:pPr>
              <w:spacing w:line="240" w:lineRule="exact"/>
              <w:ind w:firstLine="0"/>
              <w:jc w:val="center"/>
              <w:rPr>
                <w:rFonts w:hint="eastAsia" w:hAnsi="宋体" w:cs="宋体"/>
                <w:bCs/>
                <w:color w:val="auto"/>
                <w:sz w:val="21"/>
                <w:szCs w:val="21"/>
                <w:lang w:val="en-US" w:eastAsia="zh-CN"/>
              </w:rPr>
            </w:pPr>
          </w:p>
        </w:tc>
        <w:tc>
          <w:tcPr>
            <w:tcW w:w="0" w:type="auto"/>
            <w:vAlign w:val="center"/>
          </w:tcPr>
          <w:p>
            <w:pPr>
              <w:spacing w:line="240" w:lineRule="exact"/>
              <w:ind w:firstLine="0"/>
              <w:jc w:val="center"/>
              <w:rPr>
                <w:rFonts w:hint="default" w:hAnsi="宋体" w:cs="宋体"/>
                <w:bCs/>
                <w:color w:val="auto"/>
                <w:sz w:val="21"/>
                <w:szCs w:val="21"/>
                <w:lang w:val="en-US" w:eastAsia="zh-CN"/>
              </w:rPr>
            </w:pPr>
            <w:r>
              <w:rPr>
                <w:rFonts w:hint="eastAsia" w:ascii="Times New Roman" w:hAnsi="Times New Roman" w:cs="Times New Roman"/>
                <w:bCs/>
                <w:color w:val="auto"/>
                <w:sz w:val="21"/>
                <w:szCs w:val="21"/>
                <w:lang w:val="en-US" w:eastAsia="zh-CN"/>
              </w:rPr>
              <w:t>TDS</w:t>
            </w:r>
          </w:p>
        </w:tc>
        <w:tc>
          <w:tcPr>
            <w:tcW w:w="0" w:type="auto"/>
            <w:vAlign w:val="center"/>
          </w:tcPr>
          <w:p>
            <w:pPr>
              <w:spacing w:line="240" w:lineRule="exact"/>
              <w:ind w:firstLine="0"/>
              <w:jc w:val="center"/>
              <w:textAlignment w:val="bottom"/>
              <w:rPr>
                <w:rFonts w:hint="default" w:ascii="Times New Roman"/>
                <w:bCs/>
                <w:color w:val="auto"/>
                <w:sz w:val="21"/>
                <w:szCs w:val="21"/>
                <w:lang w:val="en-US" w:eastAsia="zh-CN"/>
              </w:rPr>
            </w:pPr>
            <w:r>
              <w:rPr>
                <w:rFonts w:hint="eastAsia" w:ascii="Times New Roman"/>
                <w:bCs/>
                <w:color w:val="auto"/>
                <w:sz w:val="21"/>
                <w:szCs w:val="21"/>
                <w:lang w:val="en-US" w:eastAsia="zh-CN"/>
              </w:rPr>
              <w:t>＜</w:t>
            </w:r>
            <w:r>
              <w:rPr>
                <w:rFonts w:hint="eastAsia" w:ascii="Times New Roman" w:hAnsi="Times New Roman" w:cs="Times New Roman"/>
                <w:bCs/>
                <w:color w:val="auto"/>
                <w:sz w:val="21"/>
                <w:szCs w:val="21"/>
                <w:lang w:val="en-US" w:eastAsia="zh-CN"/>
              </w:rPr>
              <w:t>300</w:t>
            </w:r>
          </w:p>
        </w:tc>
        <w:tc>
          <w:tcPr>
            <w:tcW w:w="0" w:type="auto"/>
            <w:vAlign w:val="center"/>
          </w:tcPr>
          <w:p>
            <w:pPr>
              <w:spacing w:line="240" w:lineRule="exact"/>
              <w:ind w:firstLine="0"/>
              <w:jc w:val="center"/>
              <w:rPr>
                <w:rFonts w:hint="default" w:hAnsi="宋体" w:cs="宋体"/>
                <w:bCs/>
                <w:color w:val="auto"/>
                <w:sz w:val="21"/>
                <w:szCs w:val="21"/>
                <w:lang w:val="en-US" w:eastAsia="zh-CN"/>
              </w:rPr>
            </w:pPr>
            <w:r>
              <w:rPr>
                <w:rFonts w:hint="eastAsia" w:ascii="Times New Roman" w:hAnsi="Times New Roman" w:cs="宋体"/>
                <w:bCs/>
                <w:color w:val="auto"/>
                <w:sz w:val="21"/>
                <w:szCs w:val="21"/>
                <w:lang w:val="en-US" w:eastAsia="zh-CN"/>
              </w:rPr>
              <w:t>5</w:t>
            </w:r>
            <w:r>
              <w:rPr>
                <w:rFonts w:hint="eastAsia" w:hAnsi="宋体" w:cs="宋体"/>
                <w:bCs/>
                <w:color w:val="auto"/>
                <w:sz w:val="21"/>
                <w:szCs w:val="21"/>
                <w:lang w:val="en-US" w:eastAsia="zh-CN"/>
              </w:rPr>
              <w:t>.</w:t>
            </w:r>
            <w:r>
              <w:rPr>
                <w:rFonts w:hint="eastAsia" w:ascii="Times New Roman" w:hAnsi="Times New Roman" w:cs="宋体"/>
                <w:bCs/>
                <w:color w:val="auto"/>
                <w:sz w:val="21"/>
                <w:szCs w:val="21"/>
                <w:lang w:val="en-US" w:eastAsia="zh-CN"/>
              </w:rPr>
              <w:t>76</w:t>
            </w:r>
          </w:p>
        </w:tc>
        <w:tc>
          <w:tcPr>
            <w:tcW w:w="0" w:type="auto"/>
            <w:vMerge w:val="continue"/>
            <w:vAlign w:val="center"/>
          </w:tcPr>
          <w:p>
            <w:pPr>
              <w:spacing w:line="240" w:lineRule="exact"/>
              <w:ind w:firstLine="0"/>
              <w:jc w:val="center"/>
              <w:rPr>
                <w:rFonts w:hint="eastAsia" w:hAnsi="宋体" w:cs="宋体"/>
                <w:bCs/>
                <w:color w:val="auto"/>
                <w:sz w:val="21"/>
                <w:szCs w:val="21"/>
                <w:lang w:eastAsia="zh-CN"/>
              </w:rPr>
            </w:pPr>
          </w:p>
        </w:tc>
        <w:tc>
          <w:tcPr>
            <w:tcW w:w="0" w:type="auto"/>
            <w:vMerge w:val="continue"/>
            <w:vAlign w:val="center"/>
          </w:tcPr>
          <w:p>
            <w:pPr>
              <w:spacing w:line="240" w:lineRule="exact"/>
              <w:ind w:firstLine="0"/>
              <w:jc w:val="center"/>
              <w:rPr>
                <w:rFonts w:hint="eastAsia" w:hAnsi="宋体" w:cs="宋体"/>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pPr>
              <w:spacing w:line="240" w:lineRule="exact"/>
              <w:ind w:firstLine="0"/>
              <w:jc w:val="center"/>
              <w:rPr>
                <w:rFonts w:hint="eastAsia" w:hAnsi="宋体" w:cs="宋体"/>
                <w:bCs/>
                <w:color w:val="auto"/>
                <w:sz w:val="21"/>
                <w:szCs w:val="21"/>
              </w:rPr>
            </w:pPr>
            <w:r>
              <w:rPr>
                <w:rFonts w:hint="eastAsia" w:hAnsi="宋体" w:cs="宋体"/>
                <w:bCs/>
                <w:color w:val="auto"/>
                <w:sz w:val="21"/>
                <w:szCs w:val="21"/>
                <w:lang w:eastAsia="zh-CN"/>
              </w:rPr>
              <w:t>排</w:t>
            </w:r>
            <w:r>
              <w:rPr>
                <w:rFonts w:hint="eastAsia" w:hAnsi="宋体" w:cs="宋体"/>
                <w:bCs/>
                <w:color w:val="auto"/>
                <w:sz w:val="21"/>
                <w:szCs w:val="21"/>
              </w:rPr>
              <w:t>水量总计</w:t>
            </w:r>
          </w:p>
        </w:tc>
        <w:tc>
          <w:tcPr>
            <w:tcW w:w="0" w:type="auto"/>
            <w:vAlign w:val="center"/>
          </w:tcPr>
          <w:p>
            <w:pPr>
              <w:spacing w:line="240" w:lineRule="exact"/>
              <w:ind w:firstLine="0"/>
              <w:jc w:val="center"/>
              <w:rPr>
                <w:rFonts w:hint="default" w:hAnsi="宋体" w:eastAsia="宋体"/>
                <w:bCs/>
                <w:color w:val="auto"/>
                <w:sz w:val="21"/>
                <w:szCs w:val="21"/>
                <w:lang w:val="en-US" w:eastAsia="zh-CN"/>
              </w:rPr>
            </w:pPr>
            <w:r>
              <w:rPr>
                <w:rFonts w:hint="eastAsia" w:ascii="Times New Roman" w:hAnsi="Times New Roman"/>
                <w:bCs/>
                <w:color w:val="auto"/>
                <w:sz w:val="21"/>
                <w:szCs w:val="21"/>
                <w:lang w:val="en-US" w:eastAsia="zh-CN"/>
              </w:rPr>
              <w:t>19679</w:t>
            </w:r>
            <w:r>
              <w:rPr>
                <w:rFonts w:hint="eastAsia"/>
                <w:bCs/>
                <w:color w:val="auto"/>
                <w:sz w:val="21"/>
                <w:szCs w:val="21"/>
                <w:lang w:val="en-US" w:eastAsia="zh-CN"/>
              </w:rPr>
              <w:t>.</w:t>
            </w:r>
            <w:r>
              <w:rPr>
                <w:rFonts w:hint="eastAsia" w:ascii="Times New Roman" w:hAnsi="Times New Roman"/>
                <w:bCs/>
                <w:color w:val="auto"/>
                <w:sz w:val="21"/>
                <w:szCs w:val="21"/>
                <w:lang w:val="en-US" w:eastAsia="zh-CN"/>
              </w:rPr>
              <w:t>14</w:t>
            </w:r>
          </w:p>
        </w:tc>
        <w:tc>
          <w:tcPr>
            <w:tcW w:w="0" w:type="auto"/>
            <w:gridSpan w:val="3"/>
            <w:vAlign w:val="center"/>
          </w:tcPr>
          <w:p>
            <w:pPr>
              <w:spacing w:line="240" w:lineRule="exact"/>
              <w:ind w:firstLine="0"/>
              <w:jc w:val="center"/>
              <w:rPr>
                <w:rFonts w:hint="eastAsia" w:hAnsi="宋体" w:eastAsia="宋体"/>
                <w:bCs/>
                <w:color w:val="auto"/>
                <w:sz w:val="21"/>
                <w:szCs w:val="21"/>
                <w:lang w:val="en-US" w:eastAsia="zh-CN"/>
              </w:rPr>
            </w:pPr>
            <w:r>
              <w:rPr>
                <w:rFonts w:hint="eastAsia"/>
                <w:bCs/>
                <w:color w:val="auto"/>
                <w:sz w:val="21"/>
                <w:szCs w:val="21"/>
                <w:lang w:val="en-US" w:eastAsia="zh-CN"/>
              </w:rPr>
              <w:t>/</w:t>
            </w:r>
          </w:p>
        </w:tc>
        <w:tc>
          <w:tcPr>
            <w:tcW w:w="0" w:type="auto"/>
            <w:vAlign w:val="center"/>
          </w:tcPr>
          <w:p>
            <w:pPr>
              <w:spacing w:line="240" w:lineRule="exact"/>
              <w:ind w:firstLine="0"/>
              <w:jc w:val="center"/>
              <w:rPr>
                <w:rFonts w:hint="default" w:hAnsi="宋体" w:eastAsia="宋体" w:cs="宋体"/>
                <w:bCs/>
                <w:color w:val="auto"/>
                <w:sz w:val="21"/>
                <w:szCs w:val="21"/>
                <w:lang w:val="en-US" w:eastAsia="zh-CN"/>
              </w:rPr>
            </w:pPr>
            <w:r>
              <w:rPr>
                <w:rFonts w:hint="eastAsia" w:cs="宋体"/>
                <w:bCs/>
                <w:color w:val="auto"/>
                <w:sz w:val="21"/>
                <w:szCs w:val="21"/>
                <w:lang w:val="en-US" w:eastAsia="zh-CN"/>
              </w:rPr>
              <w:t>/</w:t>
            </w:r>
          </w:p>
        </w:tc>
        <w:tc>
          <w:tcPr>
            <w:tcW w:w="0" w:type="auto"/>
            <w:vAlign w:val="center"/>
          </w:tcPr>
          <w:p>
            <w:pPr>
              <w:spacing w:line="240" w:lineRule="exact"/>
              <w:ind w:firstLine="0"/>
              <w:jc w:val="center"/>
              <w:rPr>
                <w:rFonts w:hint="eastAsia" w:hAnsi="宋体" w:eastAsia="宋体" w:cs="宋体"/>
                <w:bCs/>
                <w:color w:val="auto"/>
                <w:sz w:val="21"/>
                <w:szCs w:val="21"/>
                <w:lang w:val="en-US" w:eastAsia="zh-CN"/>
              </w:rPr>
            </w:pPr>
            <w:r>
              <w:rPr>
                <w:rFonts w:hint="eastAsia" w:cs="宋体"/>
                <w:bCs/>
                <w:color w:val="auto"/>
                <w:sz w:val="21"/>
                <w:szCs w:val="21"/>
                <w:lang w:val="en-US" w:eastAsia="zh-CN"/>
              </w:rPr>
              <w:t>/</w:t>
            </w:r>
          </w:p>
        </w:tc>
      </w:tr>
    </w:tbl>
    <w:p>
      <w:pPr>
        <w:bidi w:val="0"/>
        <w:rPr>
          <w:rFonts w:hint="default" w:eastAsia="宋体"/>
          <w:lang w:val="en-US" w:eastAsia="zh-CN"/>
        </w:rPr>
      </w:pPr>
      <w:r>
        <w:rPr>
          <w:rFonts w:hint="eastAsia"/>
          <w:lang w:eastAsia="zh-CN"/>
        </w:rPr>
        <w:t>厂内废水施行清污分流，根据厂内现有工程废水排放情况，增加本项目废水排放后，全厂污废水污染源排放情况见表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7</w:t>
      </w:r>
      <w:r>
        <w:rPr>
          <w:rFonts w:hint="eastAsia"/>
          <w:lang w:val="en-US" w:eastAsia="zh-CN"/>
        </w:rPr>
        <w:t>，污水站处理进出水情况见表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8</w:t>
      </w:r>
      <w:r>
        <w:rPr>
          <w:rFonts w:hint="eastAsia"/>
          <w:lang w:val="en-US" w:eastAsia="zh-CN"/>
        </w:rPr>
        <w:t>。</w:t>
      </w:r>
    </w:p>
    <w:p>
      <w:pPr>
        <w:pStyle w:val="20"/>
        <w:bidi w:val="0"/>
        <w:rPr>
          <w:rFonts w:hint="default" w:eastAsia="宋体"/>
          <w:lang w:val="en-US" w:eastAsia="zh-CN"/>
        </w:rPr>
      </w:pPr>
      <w:r>
        <w:rPr>
          <w:rFonts w:hint="eastAsia"/>
        </w:rPr>
        <w:t>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7</w:t>
      </w:r>
      <w:r>
        <w:rPr>
          <w:rFonts w:hint="eastAsia"/>
          <w:lang w:val="en-US" w:eastAsia="zh-CN"/>
        </w:rPr>
        <w:t xml:space="preserve">  </w:t>
      </w:r>
      <w:r>
        <w:rPr>
          <w:rFonts w:hint="eastAsia"/>
          <w:lang w:eastAsia="zh-CN"/>
        </w:rPr>
        <w:t>本项目实施后厂内</w:t>
      </w:r>
      <w:r>
        <w:rPr>
          <w:rFonts w:hint="eastAsia"/>
        </w:rPr>
        <w:t>废水污染源排放情况</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275"/>
        <w:gridCol w:w="1991"/>
        <w:gridCol w:w="1490"/>
        <w:gridCol w:w="1277"/>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restart"/>
            <w:tcBorders>
              <w:top w:val="single" w:color="auto" w:sz="12" w:space="0"/>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20"/>
                <w:vertAlign w:val="baseline"/>
                <w:lang w:val="en-US" w:eastAsia="zh-CN" w:bidi="ar-SA"/>
              </w:rPr>
            </w:pPr>
            <w:r>
              <w:rPr>
                <w:rFonts w:hint="eastAsia"/>
                <w:sz w:val="21"/>
                <w:szCs w:val="20"/>
                <w:vertAlign w:val="baseline"/>
                <w:lang w:eastAsia="zh-CN"/>
              </w:rPr>
              <w:t>序号</w:t>
            </w:r>
          </w:p>
        </w:tc>
        <w:tc>
          <w:tcPr>
            <w:tcW w:w="1240" w:type="pct"/>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20"/>
                <w:vertAlign w:val="baseline"/>
                <w:lang w:val="en-US" w:eastAsia="zh-CN" w:bidi="ar-SA"/>
              </w:rPr>
            </w:pPr>
            <w:r>
              <w:rPr>
                <w:rFonts w:hint="eastAsia"/>
                <w:sz w:val="21"/>
                <w:szCs w:val="20"/>
                <w:vertAlign w:val="baseline"/>
                <w:lang w:eastAsia="zh-CN"/>
              </w:rPr>
              <w:t>名称</w:t>
            </w:r>
          </w:p>
        </w:tc>
        <w:tc>
          <w:tcPr>
            <w:tcW w:w="1085"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20"/>
                <w:vertAlign w:val="baseline"/>
                <w:lang w:val="en-US" w:eastAsia="zh-CN" w:bidi="ar-SA"/>
              </w:rPr>
            </w:pPr>
            <w:r>
              <w:rPr>
                <w:rFonts w:hint="eastAsia"/>
                <w:sz w:val="21"/>
                <w:szCs w:val="20"/>
                <w:vertAlign w:val="baseline"/>
                <w:lang w:eastAsia="zh-CN"/>
              </w:rPr>
              <w:t>排水量</w:t>
            </w:r>
          </w:p>
        </w:tc>
        <w:tc>
          <w:tcPr>
            <w:tcW w:w="2206" w:type="pct"/>
            <w:gridSpan w:val="3"/>
            <w:tcBorders>
              <w:top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sz w:val="21"/>
                <w:szCs w:val="20"/>
                <w:vertAlign w:val="baseline"/>
                <w:lang w:eastAsia="zh-CN"/>
              </w:rPr>
              <w:t>污染物浓度（</w:t>
            </w:r>
            <w:r>
              <w:rPr>
                <w:rFonts w:hint="eastAsia" w:ascii="Times New Roman" w:hAnsi="Times New Roman"/>
                <w:sz w:val="21"/>
                <w:szCs w:val="20"/>
                <w:vertAlign w:val="baseline"/>
                <w:lang w:val="en-US" w:eastAsia="zh-CN"/>
              </w:rPr>
              <w:t>mg</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L</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pH</w:t>
            </w:r>
            <w:r>
              <w:rPr>
                <w:rFonts w:hint="eastAsia"/>
                <w:sz w:val="21"/>
                <w:szCs w:val="20"/>
                <w:vertAlign w:val="baseline"/>
                <w:lang w:val="en-US" w:eastAsia="zh-CN"/>
              </w:rPr>
              <w:t>除外</w:t>
            </w:r>
            <w:r>
              <w:rPr>
                <w:rFonts w:hint="eastAsia"/>
                <w:sz w:val="21"/>
                <w:szCs w:val="20"/>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12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eastAsia="zh-CN"/>
              </w:rPr>
            </w:pP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20"/>
                <w:vertAlign w:val="baseline"/>
                <w:lang w:val="en-US" w:eastAsia="zh-CN" w:bidi="ar-SA"/>
              </w:rPr>
            </w:pPr>
            <w:r>
              <w:rPr>
                <w:rFonts w:hint="eastAsia" w:ascii="Times New Roman" w:hAnsi="Times New Roman"/>
                <w:sz w:val="21"/>
                <w:szCs w:val="20"/>
                <w:vertAlign w:val="baseline"/>
                <w:lang w:val="en-US" w:eastAsia="zh-CN"/>
              </w:rPr>
              <w:t>t</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h</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20"/>
                <w:vertAlign w:val="baseline"/>
                <w:lang w:val="en-US" w:eastAsia="zh-CN" w:bidi="ar-SA"/>
              </w:rPr>
            </w:pPr>
            <w:r>
              <w:rPr>
                <w:rFonts w:hint="eastAsia" w:ascii="Times New Roman" w:hAnsi="Times New Roman"/>
                <w:sz w:val="21"/>
                <w:szCs w:val="20"/>
                <w:vertAlign w:val="baseline"/>
                <w:lang w:val="en-US" w:eastAsia="zh-CN"/>
              </w:rPr>
              <w:t>COD</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20"/>
                <w:vertAlign w:val="baseline"/>
                <w:lang w:val="en-US" w:eastAsia="zh-CN" w:bidi="ar-SA"/>
              </w:rPr>
            </w:pPr>
            <w:r>
              <w:rPr>
                <w:rFonts w:hint="eastAsia" w:ascii="Times New Roman" w:hAnsi="Times New Roman"/>
                <w:sz w:val="21"/>
                <w:szCs w:val="20"/>
                <w:vertAlign w:val="baseline"/>
                <w:lang w:val="en-US" w:eastAsia="zh-CN"/>
              </w:rPr>
              <w:t>BOD</w:t>
            </w: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sz w:val="21"/>
                <w:szCs w:val="20"/>
                <w:vertAlign w:val="baseline"/>
                <w:lang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1</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糖化浓缩废水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46</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84</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4000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1800</w:t>
            </w: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2</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精馏废水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59</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67</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12000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4800</w:t>
            </w: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3</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聚合废水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44</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52</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3500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1100</w:t>
            </w: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4</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生活污水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04</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026</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300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120</w:t>
            </w: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r>
              <w:rPr>
                <w:rFonts w:hint="eastAsia" w:ascii="Times New Roman" w:hAnsi="Times New Roman"/>
                <w:sz w:val="21"/>
                <w:szCs w:val="20"/>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vertAlign w:val="baseline"/>
                <w:lang w:val="en-US" w:eastAsia="zh-CN"/>
              </w:rPr>
            </w:pPr>
            <w:r>
              <w:rPr>
                <w:rFonts w:hint="eastAsia" w:ascii="Times New Roman" w:hAnsi="Times New Roman"/>
                <w:sz w:val="21"/>
                <w:szCs w:val="20"/>
                <w:vertAlign w:val="baseline"/>
                <w:lang w:val="en-US" w:eastAsia="zh-CN"/>
              </w:rPr>
              <w:t>5</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eastAsia="zh-CN"/>
              </w:rPr>
            </w:pPr>
            <w:r>
              <w:rPr>
                <w:rFonts w:hint="eastAsia"/>
                <w:sz w:val="21"/>
                <w:szCs w:val="20"/>
                <w:vertAlign w:val="baseline"/>
                <w:lang w:eastAsia="zh-CN"/>
              </w:rPr>
              <w:t>地面冲洗废水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vertAlign w:val="baseline"/>
                <w:lang w:val="en-US" w:eastAsia="zh-CN"/>
              </w:rPr>
            </w:pP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033</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vertAlign w:val="baseline"/>
                <w:lang w:val="en-US" w:eastAsia="zh-CN"/>
              </w:rPr>
            </w:pPr>
            <w:r>
              <w:rPr>
                <w:rFonts w:hint="eastAsia" w:ascii="Times New Roman" w:hAnsi="Times New Roman"/>
                <w:sz w:val="21"/>
                <w:szCs w:val="20"/>
                <w:vertAlign w:val="baseline"/>
                <w:lang w:val="en-US" w:eastAsia="zh-CN"/>
              </w:rPr>
              <w:t>600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vertAlign w:val="baseline"/>
                <w:lang w:val="en-US" w:eastAsia="zh-CN"/>
              </w:rPr>
            </w:pPr>
            <w:r>
              <w:rPr>
                <w:rFonts w:hint="eastAsia" w:ascii="Times New Roman" w:hAnsi="Times New Roman"/>
                <w:sz w:val="21"/>
                <w:szCs w:val="20"/>
                <w:vertAlign w:val="baseline"/>
                <w:lang w:val="en-US" w:eastAsia="zh-CN"/>
              </w:rPr>
              <w:t>150</w:t>
            </w: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vertAlign w:val="baseline"/>
                <w:lang w:val="en-US" w:eastAsia="zh-CN"/>
              </w:rPr>
            </w:pPr>
            <w:r>
              <w:rPr>
                <w:rFonts w:hint="eastAsia" w:ascii="Times New Roman" w:hAnsi="Times New Roman"/>
                <w:sz w:val="21"/>
                <w:szCs w:val="20"/>
                <w:vertAlign w:val="baseline"/>
                <w:lang w:val="en-US" w:eastAsia="zh-CN"/>
              </w:rPr>
              <w:t>6</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eastAsia="zh-CN"/>
              </w:rPr>
            </w:pPr>
            <w:r>
              <w:rPr>
                <w:rFonts w:hint="eastAsia"/>
                <w:sz w:val="21"/>
                <w:szCs w:val="20"/>
                <w:vertAlign w:val="baseline"/>
                <w:lang w:eastAsia="zh-CN"/>
              </w:rPr>
              <w:t>预处理污水合计</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vertAlign w:val="baseline"/>
                <w:lang w:val="en-US" w:eastAsia="zh-CN"/>
              </w:rPr>
            </w:pPr>
            <w:r>
              <w:rPr>
                <w:rFonts w:hint="eastAsia" w:ascii="Times New Roman" w:hAnsi="Times New Roman"/>
                <w:sz w:val="21"/>
                <w:szCs w:val="20"/>
                <w:vertAlign w:val="baseline"/>
                <w:lang w:val="en-US" w:eastAsia="zh-CN"/>
              </w:rPr>
              <w:t>153</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08</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026</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lang w:val="en-US" w:eastAsia="zh-CN"/>
              </w:rPr>
            </w:pP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平均浓度</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6921</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2742</w:t>
            </w: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1</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循环水排污</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133</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20</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4</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2</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除盐水站排水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22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44</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3</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动力站锅炉排水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91</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val="en-US" w:eastAsia="zh-CN"/>
              </w:rPr>
            </w:pPr>
            <w:r>
              <w:rPr>
                <w:rFonts w:hint="eastAsia" w:ascii="Times New Roman" w:hAnsi="Times New Roman"/>
                <w:sz w:val="21"/>
                <w:szCs w:val="20"/>
                <w:vertAlign w:val="baseline"/>
                <w:lang w:val="en-US" w:eastAsia="zh-CN"/>
              </w:rPr>
              <w:t>4</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纯水制备排水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7</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50</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送园区污水</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196</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05</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平均浓度</w:t>
            </w:r>
          </w:p>
        </w:tc>
        <w:tc>
          <w:tcPr>
            <w:tcW w:w="10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50</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left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124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vertAlign w:val="baseline"/>
                <w:lang w:eastAsia="zh-CN"/>
              </w:rPr>
            </w:pPr>
            <w:r>
              <w:rPr>
                <w:rFonts w:hint="eastAsia"/>
                <w:sz w:val="21"/>
                <w:szCs w:val="20"/>
                <w:vertAlign w:val="baseline"/>
                <w:lang w:eastAsia="zh-CN"/>
              </w:rPr>
              <w:t>送园区污水合计</w:t>
            </w:r>
          </w:p>
        </w:tc>
        <w:tc>
          <w:tcPr>
            <w:tcW w:w="1085"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vertAlign w:val="baseline"/>
                <w:lang w:val="en-US" w:eastAsia="zh-CN"/>
              </w:rPr>
            </w:pPr>
            <w:r>
              <w:rPr>
                <w:rFonts w:hint="eastAsia" w:ascii="Times New Roman" w:hAnsi="Times New Roman"/>
                <w:sz w:val="21"/>
                <w:szCs w:val="20"/>
                <w:vertAlign w:val="baseline"/>
                <w:lang w:val="en-US" w:eastAsia="zh-CN"/>
              </w:rPr>
              <w:t>349</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13</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2</w:t>
            </w:r>
            <w:r>
              <w:rPr>
                <w:rFonts w:hint="eastAsia"/>
                <w:sz w:val="21"/>
                <w:szCs w:val="20"/>
                <w:vertAlign w:val="baseline"/>
                <w:lang w:val="en-US" w:eastAsia="zh-CN"/>
              </w:rPr>
              <w:t>.</w:t>
            </w:r>
            <w:r>
              <w:rPr>
                <w:rFonts w:hint="eastAsia" w:ascii="Times New Roman" w:hAnsi="Times New Roman"/>
                <w:sz w:val="21"/>
                <w:szCs w:val="20"/>
                <w:vertAlign w:val="baseline"/>
                <w:lang w:val="en-US" w:eastAsia="zh-CN"/>
              </w:rPr>
              <w:t>4</w:t>
            </w:r>
          </w:p>
        </w:tc>
        <w:tc>
          <w:tcPr>
            <w:tcW w:w="812"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6"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c>
          <w:tcPr>
            <w:tcW w:w="697" w:type="pct"/>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vertAlign w:val="baseline"/>
              </w:rPr>
            </w:pPr>
          </w:p>
        </w:tc>
      </w:tr>
    </w:tbl>
    <w:p>
      <w:pPr>
        <w:pStyle w:val="20"/>
        <w:spacing w:before="163"/>
        <w:rPr>
          <w:color w:val="auto"/>
        </w:rPr>
      </w:pPr>
      <w:r>
        <w:t>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8</w:t>
      </w:r>
      <w:r>
        <w:rPr>
          <w:rFonts w:hint="eastAsia"/>
        </w:rPr>
        <w:t xml:space="preserve"> </w:t>
      </w:r>
      <w:r>
        <w:t xml:space="preserve"> 污水</w:t>
      </w:r>
      <w:r>
        <w:rPr>
          <w:color w:val="auto"/>
        </w:rPr>
        <w:t>处理</w:t>
      </w:r>
      <w:r>
        <w:rPr>
          <w:rFonts w:hint="eastAsia"/>
          <w:color w:val="auto"/>
        </w:rPr>
        <w:t>站</w:t>
      </w:r>
      <w:r>
        <w:rPr>
          <w:rFonts w:hint="eastAsia"/>
          <w:color w:val="auto"/>
          <w:lang w:eastAsia="zh-CN"/>
        </w:rPr>
        <w:t>进出水情况</w:t>
      </w:r>
    </w:p>
    <w:tbl>
      <w:tblPr>
        <w:tblStyle w:val="8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3590"/>
        <w:gridCol w:w="1260"/>
        <w:gridCol w:w="1009"/>
        <w:gridCol w:w="1057"/>
        <w:gridCol w:w="1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62" w:type="pct"/>
            <w:vMerge w:val="restart"/>
            <w:shd w:val="clear" w:color="000000" w:fill="FFFFFF"/>
            <w:noWrap w:val="0"/>
            <w:vAlign w:val="center"/>
          </w:tcPr>
          <w:p>
            <w:pPr>
              <w:spacing w:line="240" w:lineRule="auto"/>
              <w:ind w:firstLine="0"/>
              <w:jc w:val="center"/>
              <w:rPr>
                <w:rFonts w:hint="eastAsia" w:eastAsia="宋体"/>
                <w:spacing w:val="-6"/>
                <w:w w:val="100"/>
                <w:sz w:val="21"/>
                <w:szCs w:val="21"/>
                <w:lang w:eastAsia="zh-CN"/>
              </w:rPr>
            </w:pPr>
            <w:r>
              <w:rPr>
                <w:rFonts w:hint="eastAsia"/>
                <w:spacing w:val="-6"/>
                <w:w w:val="100"/>
                <w:sz w:val="21"/>
                <w:szCs w:val="21"/>
                <w:lang w:eastAsia="zh-CN"/>
              </w:rPr>
              <w:t>序号</w:t>
            </w:r>
          </w:p>
        </w:tc>
        <w:tc>
          <w:tcPr>
            <w:tcW w:w="1957" w:type="pct"/>
            <w:vMerge w:val="restart"/>
            <w:shd w:val="clear" w:color="000000" w:fill="FFFFFF"/>
            <w:noWrap w:val="0"/>
            <w:vAlign w:val="center"/>
          </w:tcPr>
          <w:p>
            <w:pPr>
              <w:spacing w:line="240" w:lineRule="auto"/>
              <w:ind w:firstLine="0"/>
              <w:jc w:val="center"/>
              <w:rPr>
                <w:spacing w:val="-6"/>
                <w:w w:val="100"/>
                <w:sz w:val="21"/>
                <w:szCs w:val="21"/>
              </w:rPr>
            </w:pPr>
            <w:r>
              <w:rPr>
                <w:spacing w:val="-6"/>
                <w:w w:val="100"/>
                <w:sz w:val="21"/>
                <w:szCs w:val="21"/>
              </w:rPr>
              <w:t>项目</w:t>
            </w:r>
          </w:p>
        </w:tc>
        <w:tc>
          <w:tcPr>
            <w:tcW w:w="686" w:type="pct"/>
            <w:shd w:val="clear" w:color="auto" w:fill="auto"/>
            <w:noWrap w:val="0"/>
            <w:vAlign w:val="center"/>
          </w:tcPr>
          <w:p>
            <w:pPr>
              <w:spacing w:line="240" w:lineRule="auto"/>
              <w:ind w:firstLine="0"/>
              <w:jc w:val="center"/>
              <w:rPr>
                <w:spacing w:val="-6"/>
                <w:w w:val="100"/>
                <w:sz w:val="21"/>
                <w:szCs w:val="21"/>
              </w:rPr>
            </w:pPr>
            <w:r>
              <w:rPr>
                <w:spacing w:val="-6"/>
                <w:w w:val="100"/>
                <w:sz w:val="21"/>
                <w:szCs w:val="21"/>
              </w:rPr>
              <w:t>水量</w:t>
            </w:r>
          </w:p>
        </w:tc>
        <w:tc>
          <w:tcPr>
            <w:tcW w:w="550" w:type="pct"/>
            <w:shd w:val="clear" w:color="000000" w:fill="FFFFFF"/>
            <w:noWrap w:val="0"/>
            <w:vAlign w:val="center"/>
          </w:tcPr>
          <w:p>
            <w:pPr>
              <w:spacing w:line="240" w:lineRule="auto"/>
              <w:ind w:firstLine="0"/>
              <w:jc w:val="center"/>
              <w:rPr>
                <w:spacing w:val="-6"/>
                <w:w w:val="100"/>
                <w:sz w:val="21"/>
                <w:szCs w:val="21"/>
              </w:rPr>
            </w:pPr>
            <w:r>
              <w:rPr>
                <w:rFonts w:ascii="Times New Roman" w:hAnsi="Times New Roman"/>
                <w:spacing w:val="-6"/>
                <w:w w:val="100"/>
                <w:sz w:val="21"/>
                <w:szCs w:val="21"/>
              </w:rPr>
              <w:t>COD</w:t>
            </w:r>
          </w:p>
        </w:tc>
        <w:tc>
          <w:tcPr>
            <w:tcW w:w="576" w:type="pct"/>
            <w:shd w:val="clear" w:color="000000" w:fill="FFFFFF"/>
            <w:noWrap w:val="0"/>
            <w:vAlign w:val="center"/>
          </w:tcPr>
          <w:p>
            <w:pPr>
              <w:spacing w:line="240" w:lineRule="auto"/>
              <w:ind w:firstLine="0"/>
              <w:jc w:val="center"/>
              <w:rPr>
                <w:rFonts w:hint="default" w:ascii="Times New Roman" w:hAnsi="Times New Roman" w:eastAsia="宋体"/>
                <w:spacing w:val="-6"/>
                <w:w w:val="100"/>
                <w:sz w:val="21"/>
                <w:szCs w:val="21"/>
                <w:lang w:val="en-US" w:eastAsia="zh-CN"/>
              </w:rPr>
            </w:pPr>
            <w:r>
              <w:rPr>
                <w:rFonts w:hint="eastAsia" w:ascii="Times New Roman" w:hAnsi="Times New Roman"/>
                <w:spacing w:val="-6"/>
                <w:w w:val="100"/>
                <w:sz w:val="21"/>
                <w:szCs w:val="21"/>
                <w:lang w:val="en-US" w:eastAsia="zh-CN"/>
              </w:rPr>
              <w:t>BOD</w:t>
            </w:r>
            <w:r>
              <w:rPr>
                <w:rFonts w:hint="eastAsia" w:ascii="Times New Roman" w:hAnsi="Times New Roman"/>
                <w:spacing w:val="-6"/>
                <w:w w:val="100"/>
                <w:sz w:val="21"/>
                <w:szCs w:val="21"/>
                <w:vertAlign w:val="subscript"/>
                <w:lang w:val="en-US" w:eastAsia="zh-CN"/>
              </w:rPr>
              <w:t>5</w:t>
            </w:r>
          </w:p>
        </w:tc>
        <w:tc>
          <w:tcPr>
            <w:tcW w:w="767" w:type="pct"/>
            <w:shd w:val="clear" w:color="000000" w:fill="FFFFFF"/>
            <w:noWrap w:val="0"/>
            <w:vAlign w:val="center"/>
          </w:tcPr>
          <w:p>
            <w:pPr>
              <w:spacing w:line="240" w:lineRule="auto"/>
              <w:ind w:firstLine="0" w:firstLineChars="0"/>
              <w:jc w:val="center"/>
              <w:rPr>
                <w:rFonts w:ascii="宋体" w:hAnsi="宋体" w:eastAsia="宋体" w:cs="Times New Roman"/>
                <w:spacing w:val="-6"/>
                <w:w w:val="100"/>
                <w:sz w:val="21"/>
                <w:szCs w:val="21"/>
                <w:lang w:val="en-US" w:eastAsia="zh-CN" w:bidi="ar-SA"/>
              </w:rPr>
            </w:pPr>
            <w:r>
              <w:rPr>
                <w:rFonts w:ascii="Times New Roman" w:hAnsi="Times New Roman"/>
                <w:spacing w:val="-6"/>
                <w:w w:val="100"/>
                <w:sz w:val="21"/>
                <w:szCs w:val="21"/>
              </w:rPr>
              <w:t>NH</w:t>
            </w:r>
            <w:r>
              <w:rPr>
                <w:rFonts w:ascii="Times New Roman" w:hAnsi="Times New Roman"/>
                <w:spacing w:val="-6"/>
                <w:w w:val="100"/>
                <w:sz w:val="21"/>
                <w:szCs w:val="21"/>
                <w:vertAlign w:val="subscript"/>
              </w:rPr>
              <w:t>3</w:t>
            </w:r>
            <w:r>
              <w:rPr>
                <w:spacing w:val="-6"/>
                <w:w w:val="100"/>
                <w:sz w:val="21"/>
                <w:szCs w:val="21"/>
              </w:rPr>
              <w:t>-</w:t>
            </w:r>
            <w:r>
              <w:rPr>
                <w:rFonts w:ascii="Times New Roman" w:hAnsi="Times New Roman"/>
                <w:spacing w:val="-6"/>
                <w:w w:val="100"/>
                <w:sz w:val="21"/>
                <w:szCs w:val="21"/>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62" w:type="pct"/>
            <w:vMerge w:val="continue"/>
            <w:shd w:val="clear" w:color="auto" w:fill="auto"/>
            <w:noWrap w:val="0"/>
            <w:vAlign w:val="center"/>
          </w:tcPr>
          <w:p>
            <w:pPr>
              <w:spacing w:line="240" w:lineRule="auto"/>
              <w:ind w:firstLine="0"/>
              <w:jc w:val="center"/>
              <w:rPr>
                <w:spacing w:val="-6"/>
                <w:w w:val="100"/>
                <w:sz w:val="21"/>
                <w:szCs w:val="21"/>
              </w:rPr>
            </w:pPr>
          </w:p>
        </w:tc>
        <w:tc>
          <w:tcPr>
            <w:tcW w:w="1957" w:type="pct"/>
            <w:vMerge w:val="continue"/>
            <w:shd w:val="clear" w:color="auto" w:fill="auto"/>
            <w:noWrap w:val="0"/>
            <w:vAlign w:val="center"/>
          </w:tcPr>
          <w:p>
            <w:pPr>
              <w:spacing w:line="240" w:lineRule="auto"/>
              <w:ind w:firstLine="0"/>
              <w:jc w:val="center"/>
              <w:rPr>
                <w:spacing w:val="-6"/>
                <w:w w:val="100"/>
                <w:sz w:val="21"/>
                <w:szCs w:val="21"/>
              </w:rPr>
            </w:pPr>
          </w:p>
        </w:tc>
        <w:tc>
          <w:tcPr>
            <w:tcW w:w="686" w:type="pct"/>
            <w:shd w:val="clear" w:color="auto" w:fill="auto"/>
            <w:noWrap w:val="0"/>
            <w:vAlign w:val="center"/>
          </w:tcPr>
          <w:p>
            <w:pPr>
              <w:spacing w:line="240" w:lineRule="auto"/>
              <w:ind w:firstLine="0"/>
              <w:jc w:val="center"/>
              <w:rPr>
                <w:rFonts w:hint="eastAsia" w:eastAsia="宋体"/>
                <w:spacing w:val="-6"/>
                <w:w w:val="100"/>
                <w:sz w:val="21"/>
                <w:szCs w:val="21"/>
                <w:lang w:val="en-US" w:eastAsia="zh-CN"/>
              </w:rPr>
            </w:pPr>
            <w:r>
              <w:rPr>
                <w:rFonts w:ascii="Times New Roman" w:hAnsi="Times New Roman"/>
                <w:spacing w:val="-6"/>
                <w:w w:val="100"/>
                <w:sz w:val="21"/>
                <w:szCs w:val="21"/>
              </w:rPr>
              <w:t>t</w:t>
            </w:r>
            <w:r>
              <w:rPr>
                <w:spacing w:val="-6"/>
                <w:w w:val="100"/>
                <w:sz w:val="21"/>
                <w:szCs w:val="21"/>
              </w:rPr>
              <w:t>/</w:t>
            </w:r>
            <w:r>
              <w:rPr>
                <w:rFonts w:hint="eastAsia" w:ascii="Times New Roman" w:hAnsi="Times New Roman"/>
                <w:spacing w:val="-6"/>
                <w:w w:val="100"/>
                <w:sz w:val="21"/>
                <w:szCs w:val="21"/>
                <w:lang w:val="en-US" w:eastAsia="zh-CN"/>
              </w:rPr>
              <w:t>h</w:t>
            </w:r>
          </w:p>
        </w:tc>
        <w:tc>
          <w:tcPr>
            <w:tcW w:w="550" w:type="pct"/>
            <w:shd w:val="clear" w:color="000000" w:fill="FFFFFF"/>
            <w:noWrap w:val="0"/>
            <w:vAlign w:val="center"/>
          </w:tcPr>
          <w:p>
            <w:pPr>
              <w:spacing w:line="240" w:lineRule="auto"/>
              <w:ind w:firstLine="0"/>
              <w:jc w:val="center"/>
              <w:rPr>
                <w:spacing w:val="-6"/>
                <w:w w:val="100"/>
                <w:sz w:val="21"/>
                <w:szCs w:val="21"/>
              </w:rPr>
            </w:pPr>
            <w:r>
              <w:rPr>
                <w:rFonts w:ascii="Times New Roman" w:hAnsi="Times New Roman"/>
                <w:spacing w:val="-6"/>
                <w:w w:val="100"/>
                <w:sz w:val="21"/>
                <w:szCs w:val="21"/>
              </w:rPr>
              <w:t>mg</w:t>
            </w:r>
            <w:r>
              <w:rPr>
                <w:spacing w:val="-6"/>
                <w:w w:val="100"/>
                <w:sz w:val="21"/>
                <w:szCs w:val="21"/>
              </w:rPr>
              <w:t>/</w:t>
            </w:r>
            <w:r>
              <w:rPr>
                <w:rFonts w:ascii="Times New Roman" w:hAnsi="Times New Roman"/>
                <w:spacing w:val="-6"/>
                <w:w w:val="100"/>
                <w:sz w:val="21"/>
                <w:szCs w:val="21"/>
              </w:rPr>
              <w:t>L</w:t>
            </w:r>
          </w:p>
        </w:tc>
        <w:tc>
          <w:tcPr>
            <w:tcW w:w="576" w:type="pct"/>
            <w:shd w:val="clear" w:color="000000" w:fill="FFFFFF"/>
            <w:noWrap w:val="0"/>
            <w:vAlign w:val="center"/>
          </w:tcPr>
          <w:p>
            <w:pPr>
              <w:spacing w:line="240" w:lineRule="auto"/>
              <w:ind w:firstLine="0"/>
              <w:jc w:val="center"/>
              <w:rPr>
                <w:rFonts w:ascii="Times New Roman" w:hAnsi="Times New Roman"/>
                <w:spacing w:val="-6"/>
                <w:w w:val="100"/>
                <w:sz w:val="21"/>
                <w:szCs w:val="21"/>
              </w:rPr>
            </w:pPr>
            <w:r>
              <w:rPr>
                <w:rFonts w:ascii="Times New Roman" w:hAnsi="Times New Roman"/>
                <w:spacing w:val="-6"/>
                <w:w w:val="100"/>
                <w:sz w:val="21"/>
                <w:szCs w:val="21"/>
              </w:rPr>
              <w:t>mg</w:t>
            </w:r>
            <w:r>
              <w:rPr>
                <w:spacing w:val="-6"/>
                <w:w w:val="100"/>
                <w:sz w:val="21"/>
                <w:szCs w:val="21"/>
              </w:rPr>
              <w:t>/</w:t>
            </w:r>
            <w:r>
              <w:rPr>
                <w:rFonts w:ascii="Times New Roman" w:hAnsi="Times New Roman"/>
                <w:spacing w:val="-6"/>
                <w:w w:val="100"/>
                <w:sz w:val="21"/>
                <w:szCs w:val="21"/>
              </w:rPr>
              <w:t>L</w:t>
            </w:r>
          </w:p>
        </w:tc>
        <w:tc>
          <w:tcPr>
            <w:tcW w:w="767" w:type="pct"/>
            <w:shd w:val="clear" w:color="000000" w:fill="FFFFFF"/>
            <w:noWrap w:val="0"/>
            <w:vAlign w:val="center"/>
          </w:tcPr>
          <w:p>
            <w:pPr>
              <w:spacing w:line="240" w:lineRule="auto"/>
              <w:ind w:firstLine="0" w:firstLineChars="0"/>
              <w:jc w:val="center"/>
              <w:rPr>
                <w:rFonts w:ascii="宋体" w:hAnsi="宋体" w:eastAsia="宋体" w:cs="Times New Roman"/>
                <w:spacing w:val="-6"/>
                <w:w w:val="100"/>
                <w:sz w:val="21"/>
                <w:szCs w:val="21"/>
                <w:lang w:val="en-US" w:eastAsia="zh-CN" w:bidi="ar-SA"/>
              </w:rPr>
            </w:pPr>
            <w:r>
              <w:rPr>
                <w:rFonts w:ascii="Times New Roman" w:hAnsi="Times New Roman"/>
                <w:spacing w:val="-6"/>
                <w:w w:val="100"/>
                <w:sz w:val="21"/>
                <w:szCs w:val="21"/>
              </w:rPr>
              <w:t>mg</w:t>
            </w:r>
            <w:r>
              <w:rPr>
                <w:spacing w:val="-6"/>
                <w:w w:val="100"/>
                <w:sz w:val="21"/>
                <w:szCs w:val="21"/>
              </w:rPr>
              <w:t>/</w:t>
            </w:r>
            <w:r>
              <w:rPr>
                <w:rFonts w:ascii="Times New Roman" w:hAnsi="Times New Roman"/>
                <w:spacing w:val="-6"/>
                <w:w w:val="100"/>
                <w:sz w:val="21"/>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2" w:type="pct"/>
            <w:vMerge w:val="restart"/>
            <w:shd w:val="clear" w:color="000000" w:fill="FFFFFF"/>
            <w:noWrap w:val="0"/>
            <w:vAlign w:val="center"/>
          </w:tcPr>
          <w:p>
            <w:pPr>
              <w:spacing w:line="240" w:lineRule="auto"/>
              <w:ind w:firstLine="0"/>
              <w:jc w:val="center"/>
              <w:rPr>
                <w:rFonts w:hint="eastAsia" w:eastAsia="宋体"/>
                <w:spacing w:val="-6"/>
                <w:w w:val="100"/>
                <w:sz w:val="21"/>
                <w:szCs w:val="21"/>
                <w:lang w:eastAsia="zh-CN"/>
              </w:rPr>
            </w:pPr>
            <w:r>
              <w:rPr>
                <w:rFonts w:hint="eastAsia" w:ascii="Times New Roman" w:hAnsi="Times New Roman" w:eastAsia="宋体"/>
                <w:spacing w:val="-6"/>
                <w:w w:val="100"/>
                <w:sz w:val="21"/>
                <w:szCs w:val="21"/>
                <w:lang w:val="en-US" w:eastAsia="zh-CN"/>
              </w:rPr>
              <w:t>1</w:t>
            </w:r>
          </w:p>
        </w:tc>
        <w:tc>
          <w:tcPr>
            <w:tcW w:w="1957" w:type="pct"/>
            <w:shd w:val="clear" w:color="000000" w:fill="FFFFFF"/>
            <w:noWrap w:val="0"/>
            <w:vAlign w:val="center"/>
          </w:tcPr>
          <w:p>
            <w:pPr>
              <w:spacing w:line="240" w:lineRule="auto"/>
              <w:ind w:firstLine="0"/>
              <w:jc w:val="center"/>
              <w:rPr>
                <w:spacing w:val="-6"/>
                <w:w w:val="100"/>
                <w:sz w:val="21"/>
                <w:szCs w:val="21"/>
              </w:rPr>
            </w:pPr>
            <w:r>
              <w:rPr>
                <w:spacing w:val="-6"/>
                <w:w w:val="100"/>
                <w:sz w:val="21"/>
                <w:szCs w:val="21"/>
              </w:rPr>
              <w:t>进水</w:t>
            </w:r>
          </w:p>
        </w:tc>
        <w:tc>
          <w:tcPr>
            <w:tcW w:w="686" w:type="pct"/>
            <w:shd w:val="clear" w:color="000000" w:fill="FFFFFF"/>
            <w:noWrap w:val="0"/>
            <w:vAlign w:val="center"/>
          </w:tcPr>
          <w:p>
            <w:pPr>
              <w:spacing w:line="240" w:lineRule="auto"/>
              <w:ind w:firstLine="0"/>
              <w:jc w:val="center"/>
              <w:rPr>
                <w:rFonts w:hint="default" w:eastAsia="宋体"/>
                <w:spacing w:val="-6"/>
                <w:w w:val="100"/>
                <w:sz w:val="21"/>
                <w:szCs w:val="21"/>
                <w:lang w:val="en-US" w:eastAsia="zh-CN"/>
              </w:rPr>
            </w:pPr>
            <w:r>
              <w:rPr>
                <w:rFonts w:hint="eastAsia" w:ascii="Times New Roman" w:hAnsi="Times New Roman"/>
                <w:spacing w:val="-6"/>
                <w:w w:val="100"/>
                <w:sz w:val="21"/>
                <w:szCs w:val="21"/>
                <w:lang w:val="en-US" w:eastAsia="zh-CN"/>
              </w:rPr>
              <w:t>153</w:t>
            </w:r>
            <w:r>
              <w:rPr>
                <w:rFonts w:hint="eastAsia"/>
                <w:spacing w:val="-6"/>
                <w:w w:val="100"/>
                <w:sz w:val="21"/>
                <w:szCs w:val="21"/>
                <w:lang w:val="en-US" w:eastAsia="zh-CN"/>
              </w:rPr>
              <w:t>.</w:t>
            </w:r>
            <w:r>
              <w:rPr>
                <w:rFonts w:hint="eastAsia" w:ascii="Times New Roman" w:hAnsi="Times New Roman"/>
                <w:spacing w:val="-6"/>
                <w:w w:val="100"/>
                <w:sz w:val="21"/>
                <w:szCs w:val="21"/>
                <w:lang w:val="en-US" w:eastAsia="zh-CN"/>
              </w:rPr>
              <w:t>08</w:t>
            </w:r>
          </w:p>
        </w:tc>
        <w:tc>
          <w:tcPr>
            <w:tcW w:w="550" w:type="pct"/>
            <w:shd w:val="clear" w:color="000000" w:fill="FFFFFF"/>
            <w:noWrap w:val="0"/>
            <w:vAlign w:val="center"/>
          </w:tcPr>
          <w:p>
            <w:pPr>
              <w:spacing w:line="240" w:lineRule="auto"/>
              <w:ind w:firstLine="0"/>
              <w:jc w:val="center"/>
              <w:rPr>
                <w:rFonts w:hint="default" w:eastAsia="宋体"/>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6924</w:t>
            </w:r>
          </w:p>
        </w:tc>
        <w:tc>
          <w:tcPr>
            <w:tcW w:w="576" w:type="pct"/>
            <w:shd w:val="clear" w:color="000000" w:fill="FFFFFF"/>
            <w:noWrap w:val="0"/>
            <w:vAlign w:val="center"/>
          </w:tcPr>
          <w:p>
            <w:pPr>
              <w:spacing w:line="240" w:lineRule="auto"/>
              <w:ind w:firstLine="0"/>
              <w:jc w:val="center"/>
              <w:rPr>
                <w:rFonts w:hint="default"/>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2743</w:t>
            </w:r>
          </w:p>
        </w:tc>
        <w:tc>
          <w:tcPr>
            <w:tcW w:w="767" w:type="pct"/>
            <w:shd w:val="clear" w:color="000000" w:fill="FFFFFF"/>
            <w:noWrap w:val="0"/>
            <w:vAlign w:val="center"/>
          </w:tcPr>
          <w:p>
            <w:pPr>
              <w:spacing w:line="240" w:lineRule="auto"/>
              <w:ind w:firstLine="0"/>
              <w:jc w:val="center"/>
              <w:rPr>
                <w:rFonts w:hint="default" w:eastAsia="宋体"/>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2" w:type="pct"/>
            <w:vMerge w:val="continue"/>
            <w:shd w:val="clear" w:color="auto" w:fill="auto"/>
            <w:noWrap w:val="0"/>
            <w:vAlign w:val="center"/>
          </w:tcPr>
          <w:p>
            <w:pPr>
              <w:spacing w:line="240" w:lineRule="auto"/>
              <w:ind w:firstLine="0"/>
              <w:jc w:val="center"/>
              <w:rPr>
                <w:spacing w:val="-6"/>
                <w:w w:val="100"/>
                <w:sz w:val="21"/>
                <w:szCs w:val="21"/>
              </w:rPr>
            </w:pPr>
          </w:p>
        </w:tc>
        <w:tc>
          <w:tcPr>
            <w:tcW w:w="1957" w:type="pct"/>
            <w:shd w:val="clear" w:color="000000" w:fill="FFFFFF"/>
            <w:noWrap w:val="0"/>
            <w:vAlign w:val="center"/>
          </w:tcPr>
          <w:p>
            <w:pPr>
              <w:spacing w:line="240" w:lineRule="auto"/>
              <w:ind w:firstLine="0"/>
              <w:jc w:val="center"/>
              <w:rPr>
                <w:rFonts w:hint="eastAsia" w:eastAsia="宋体"/>
                <w:spacing w:val="-6"/>
                <w:w w:val="100"/>
                <w:sz w:val="21"/>
                <w:szCs w:val="21"/>
                <w:lang w:eastAsia="zh-CN"/>
              </w:rPr>
            </w:pPr>
            <w:r>
              <w:rPr>
                <w:spacing w:val="-6"/>
                <w:w w:val="100"/>
                <w:sz w:val="21"/>
                <w:szCs w:val="21"/>
              </w:rPr>
              <w:t>出水</w:t>
            </w:r>
            <w:r>
              <w:rPr>
                <w:rFonts w:hint="eastAsia"/>
                <w:spacing w:val="-6"/>
                <w:w w:val="100"/>
                <w:sz w:val="21"/>
                <w:szCs w:val="21"/>
                <w:lang w:eastAsia="zh-CN"/>
              </w:rPr>
              <w:t>浓度（根据验收监测）</w:t>
            </w:r>
          </w:p>
        </w:tc>
        <w:tc>
          <w:tcPr>
            <w:tcW w:w="686" w:type="pct"/>
            <w:shd w:val="clear" w:color="000000" w:fill="FFFFFF"/>
            <w:noWrap w:val="0"/>
            <w:vAlign w:val="center"/>
          </w:tcPr>
          <w:p>
            <w:pPr>
              <w:spacing w:line="240" w:lineRule="auto"/>
              <w:ind w:firstLine="0"/>
              <w:jc w:val="center"/>
              <w:rPr>
                <w:rFonts w:hint="default" w:eastAsia="宋体"/>
                <w:spacing w:val="-6"/>
                <w:w w:val="100"/>
                <w:sz w:val="21"/>
                <w:szCs w:val="21"/>
                <w:lang w:val="en-US" w:eastAsia="zh-CN"/>
              </w:rPr>
            </w:pPr>
            <w:r>
              <w:rPr>
                <w:rFonts w:hint="eastAsia" w:ascii="Times New Roman" w:hAnsi="Times New Roman"/>
                <w:spacing w:val="-6"/>
                <w:w w:val="100"/>
                <w:sz w:val="21"/>
                <w:szCs w:val="21"/>
                <w:lang w:val="en-US" w:eastAsia="zh-CN"/>
              </w:rPr>
              <w:t>153</w:t>
            </w:r>
            <w:r>
              <w:rPr>
                <w:rFonts w:hint="eastAsia"/>
                <w:spacing w:val="-6"/>
                <w:w w:val="100"/>
                <w:sz w:val="21"/>
                <w:szCs w:val="21"/>
                <w:lang w:val="en-US" w:eastAsia="zh-CN"/>
              </w:rPr>
              <w:t>.</w:t>
            </w:r>
            <w:r>
              <w:rPr>
                <w:rFonts w:hint="eastAsia" w:ascii="Times New Roman" w:hAnsi="Times New Roman"/>
                <w:spacing w:val="-6"/>
                <w:w w:val="100"/>
                <w:sz w:val="21"/>
                <w:szCs w:val="21"/>
                <w:lang w:val="en-US" w:eastAsia="zh-CN"/>
              </w:rPr>
              <w:t>08</w:t>
            </w:r>
          </w:p>
        </w:tc>
        <w:tc>
          <w:tcPr>
            <w:tcW w:w="550" w:type="pct"/>
            <w:shd w:val="clear" w:color="000000" w:fill="FFFFFF"/>
            <w:noWrap w:val="0"/>
            <w:vAlign w:val="center"/>
          </w:tcPr>
          <w:p>
            <w:pPr>
              <w:spacing w:line="240" w:lineRule="auto"/>
              <w:ind w:firstLine="0" w:firstLineChars="0"/>
              <w:jc w:val="center"/>
              <w:rPr>
                <w:rFonts w:hint="default" w:ascii="Times New Roman" w:hAnsi="Times New Roman" w:eastAsia="宋体" w:cs="Times New Roman"/>
                <w:color w:val="auto"/>
                <w:spacing w:val="-6"/>
                <w:w w:val="100"/>
                <w:sz w:val="21"/>
                <w:szCs w:val="21"/>
                <w:lang w:val="en-US" w:eastAsia="zh-CN" w:bidi="ar-SA"/>
              </w:rPr>
            </w:pPr>
            <w:r>
              <w:rPr>
                <w:rFonts w:hint="eastAsia" w:ascii="Times New Roman" w:hAnsi="Times New Roman"/>
                <w:color w:val="auto"/>
                <w:spacing w:val="-6"/>
                <w:w w:val="100"/>
                <w:sz w:val="21"/>
                <w:szCs w:val="21"/>
                <w:lang w:val="en-US" w:eastAsia="zh-CN"/>
              </w:rPr>
              <w:t>101</w:t>
            </w:r>
            <w:r>
              <w:rPr>
                <w:rFonts w:hint="eastAsia" w:ascii="Times New Roman" w:hAns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108</w:t>
            </w:r>
          </w:p>
        </w:tc>
        <w:tc>
          <w:tcPr>
            <w:tcW w:w="576" w:type="pct"/>
            <w:shd w:val="clear" w:color="000000" w:fill="FFFFFF"/>
            <w:noWrap w:val="0"/>
            <w:vAlign w:val="center"/>
          </w:tcPr>
          <w:p>
            <w:pPr>
              <w:spacing w:line="240" w:lineRule="auto"/>
              <w:ind w:firstLine="0" w:firstLineChars="0"/>
              <w:jc w:val="center"/>
              <w:rPr>
                <w:rFonts w:hint="default" w:ascii="Times New Roman" w:hAnsi="Times New Roman" w:eastAsia="宋体" w:cs="Times New Roman"/>
                <w:color w:val="auto"/>
                <w:spacing w:val="-6"/>
                <w:w w:val="100"/>
                <w:sz w:val="21"/>
                <w:szCs w:val="21"/>
                <w:lang w:val="en-US" w:eastAsia="zh-CN" w:bidi="ar-SA"/>
              </w:rPr>
            </w:pPr>
            <w:r>
              <w:rPr>
                <w:rFonts w:hint="eastAsia" w:ascii="Times New Roman" w:hAnsi="Times New Roman"/>
                <w:color w:val="auto"/>
                <w:spacing w:val="-6"/>
                <w:w w:val="100"/>
                <w:sz w:val="21"/>
                <w:szCs w:val="21"/>
                <w:lang w:val="en-US" w:eastAsia="zh-CN"/>
              </w:rPr>
              <w:t>37</w:t>
            </w:r>
            <w:r>
              <w:rPr>
                <w:rFonts w:hint="eastAsia" w:ascii="Times New Roman" w:hAns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3</w:t>
            </w:r>
            <w:r>
              <w:rPr>
                <w:rFonts w:hint="eastAsia" w:ascii="Times New Roman" w:hAns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108</w:t>
            </w:r>
          </w:p>
        </w:tc>
        <w:tc>
          <w:tcPr>
            <w:tcW w:w="767" w:type="pct"/>
            <w:shd w:val="clear" w:color="000000" w:fill="FFFFFF"/>
            <w:noWrap w:val="0"/>
            <w:vAlign w:val="center"/>
          </w:tcPr>
          <w:p>
            <w:pPr>
              <w:spacing w:line="240" w:lineRule="auto"/>
              <w:ind w:firstLine="0" w:firstLineChars="0"/>
              <w:jc w:val="center"/>
              <w:rPr>
                <w:rFonts w:hint="default" w:ascii="宋体" w:hAnsi="宋体" w:eastAsia="宋体" w:cs="Times New Roman"/>
                <w:color w:val="auto"/>
                <w:spacing w:val="-6"/>
                <w:w w:val="100"/>
                <w:sz w:val="21"/>
                <w:szCs w:val="21"/>
                <w:lang w:val="en-US" w:eastAsia="zh-CN" w:bidi="ar-SA"/>
              </w:rPr>
            </w:pPr>
            <w:r>
              <w:rPr>
                <w:rFonts w:hint="eastAsia" w:ascii="Times New Roman" w:hAnsi="Times New Roman"/>
                <w:color w:val="auto"/>
                <w:spacing w:val="-6"/>
                <w:w w:val="100"/>
                <w:sz w:val="21"/>
                <w:szCs w:val="21"/>
                <w:lang w:val="en-US" w:eastAsia="zh-CN"/>
              </w:rPr>
              <w:t>3</w:t>
            </w:r>
            <w:r>
              <w:rPr>
                <w:rFonts w:hint="eastAsia"/>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997</w:t>
            </w:r>
            <w:r>
              <w:rPr>
                <w:rFonts w:hint="eastAsia"/>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4</w:t>
            </w:r>
            <w:r>
              <w:rPr>
                <w:rFonts w:hint="eastAsia"/>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2" w:type="pct"/>
            <w:vMerge w:val="continue"/>
            <w:shd w:val="clear" w:color="000000" w:fill="FFFFFF"/>
            <w:noWrap w:val="0"/>
            <w:vAlign w:val="center"/>
          </w:tcPr>
          <w:p>
            <w:pPr>
              <w:spacing w:line="240" w:lineRule="auto"/>
              <w:ind w:firstLine="0"/>
              <w:jc w:val="center"/>
              <w:rPr>
                <w:spacing w:val="-6"/>
                <w:w w:val="100"/>
                <w:sz w:val="21"/>
                <w:szCs w:val="21"/>
              </w:rPr>
            </w:pPr>
          </w:p>
        </w:tc>
        <w:tc>
          <w:tcPr>
            <w:tcW w:w="1957" w:type="pct"/>
            <w:shd w:val="clear" w:color="000000" w:fill="FFFFFF"/>
            <w:noWrap w:val="0"/>
            <w:vAlign w:val="center"/>
          </w:tcPr>
          <w:p>
            <w:pPr>
              <w:spacing w:line="240" w:lineRule="auto"/>
              <w:ind w:firstLine="0"/>
              <w:jc w:val="center"/>
              <w:rPr>
                <w:spacing w:val="-6"/>
                <w:w w:val="100"/>
                <w:sz w:val="21"/>
                <w:szCs w:val="21"/>
              </w:rPr>
            </w:pPr>
            <w:r>
              <w:rPr>
                <w:rFonts w:hint="eastAsia"/>
                <w:spacing w:val="-6"/>
                <w:w w:val="100"/>
                <w:sz w:val="21"/>
                <w:szCs w:val="21"/>
                <w:lang w:eastAsia="zh-CN"/>
              </w:rPr>
              <w:t>处理</w:t>
            </w:r>
            <w:r>
              <w:rPr>
                <w:spacing w:val="-6"/>
                <w:w w:val="100"/>
                <w:sz w:val="21"/>
                <w:szCs w:val="21"/>
              </w:rPr>
              <w:t>效率</w:t>
            </w:r>
          </w:p>
        </w:tc>
        <w:tc>
          <w:tcPr>
            <w:tcW w:w="686" w:type="pct"/>
            <w:shd w:val="clear" w:color="000000" w:fill="FFFFFF"/>
            <w:noWrap w:val="0"/>
            <w:vAlign w:val="center"/>
          </w:tcPr>
          <w:p>
            <w:pPr>
              <w:spacing w:line="240" w:lineRule="auto"/>
              <w:ind w:firstLine="0"/>
              <w:jc w:val="center"/>
              <w:rPr>
                <w:spacing w:val="-6"/>
                <w:w w:val="100"/>
                <w:sz w:val="21"/>
                <w:szCs w:val="21"/>
              </w:rPr>
            </w:pPr>
            <w:r>
              <w:rPr>
                <w:spacing w:val="-6"/>
                <w:w w:val="100"/>
                <w:sz w:val="21"/>
                <w:szCs w:val="21"/>
              </w:rPr>
              <w:t>/</w:t>
            </w:r>
          </w:p>
        </w:tc>
        <w:tc>
          <w:tcPr>
            <w:tcW w:w="550" w:type="pct"/>
            <w:shd w:val="clear" w:color="000000" w:fill="FFFFFF"/>
            <w:noWrap w:val="0"/>
            <w:vAlign w:val="center"/>
          </w:tcPr>
          <w:p>
            <w:pPr>
              <w:spacing w:line="240" w:lineRule="auto"/>
              <w:ind w:firstLine="0"/>
              <w:jc w:val="center"/>
              <w:rPr>
                <w:color w:val="auto"/>
                <w:spacing w:val="-6"/>
                <w:w w:val="100"/>
                <w:sz w:val="21"/>
                <w:szCs w:val="21"/>
              </w:rPr>
            </w:pPr>
            <w:r>
              <w:rPr>
                <w:rFonts w:hint="eastAsia" w:ascii="Times New Roman" w:hAnsi="Times New Roman"/>
                <w:color w:val="auto"/>
                <w:spacing w:val="-6"/>
                <w:w w:val="100"/>
                <w:sz w:val="21"/>
                <w:szCs w:val="21"/>
                <w:lang w:val="en-US" w:eastAsia="zh-CN"/>
              </w:rPr>
              <w:t>98</w:t>
            </w:r>
            <w:r>
              <w:rPr>
                <w:rFonts w:hint="eastAsia" w:ascii="Times New Roman" w:hAns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4</w:t>
            </w:r>
            <w:r>
              <w:rPr>
                <w:color w:val="auto"/>
                <w:spacing w:val="-6"/>
                <w:w w:val="100"/>
                <w:sz w:val="21"/>
                <w:szCs w:val="21"/>
              </w:rPr>
              <w:t>%</w:t>
            </w:r>
          </w:p>
        </w:tc>
        <w:tc>
          <w:tcPr>
            <w:tcW w:w="576" w:type="pct"/>
            <w:shd w:val="clear" w:color="000000" w:fill="FFFFFF"/>
            <w:noWrap w:val="0"/>
            <w:vAlign w:val="center"/>
          </w:tcPr>
          <w:p>
            <w:pPr>
              <w:spacing w:line="240" w:lineRule="auto"/>
              <w:ind w:firstLine="0"/>
              <w:jc w:val="center"/>
              <w:rPr>
                <w:rFonts w:hint="default" w:ascii="Times New Roman" w:hAnsi="Times New Roman"/>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96</w:t>
            </w:r>
            <w:r>
              <w:rPr>
                <w:rFonts w:hint="eastAsia" w:ascii="Times New Roman" w:hAnsi="Times New Roman"/>
                <w:color w:val="auto"/>
                <w:spacing w:val="-6"/>
                <w:w w:val="100"/>
                <w:sz w:val="21"/>
                <w:szCs w:val="21"/>
                <w:lang w:val="en-US" w:eastAsia="zh-CN"/>
              </w:rPr>
              <w:t>%</w:t>
            </w:r>
          </w:p>
        </w:tc>
        <w:tc>
          <w:tcPr>
            <w:tcW w:w="767" w:type="pct"/>
            <w:shd w:val="clear" w:color="000000" w:fill="FFFFFF"/>
            <w:noWrap w:val="0"/>
            <w:vAlign w:val="center"/>
          </w:tcPr>
          <w:p>
            <w:pPr>
              <w:spacing w:line="240" w:lineRule="auto"/>
              <w:ind w:firstLine="0"/>
              <w:jc w:val="center"/>
              <w:rPr>
                <w:rFonts w:hint="default" w:eastAsia="宋体"/>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99</w:t>
            </w:r>
            <w:r>
              <w:rPr>
                <w:rFonts w:hint="eastAsia"/>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1</w:t>
            </w:r>
            <w:r>
              <w:rPr>
                <w:rFonts w:hint="eastAsia"/>
                <w:color w:val="auto"/>
                <w:spacing w:val="-6"/>
                <w:w w:val="1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2" w:type="pct"/>
            <w:vMerge w:val="continue"/>
            <w:shd w:val="clear" w:color="000000" w:fill="FFFFFF"/>
            <w:noWrap w:val="0"/>
            <w:vAlign w:val="center"/>
          </w:tcPr>
          <w:p>
            <w:pPr>
              <w:spacing w:line="240" w:lineRule="auto"/>
              <w:ind w:firstLine="0"/>
              <w:jc w:val="center"/>
              <w:rPr>
                <w:spacing w:val="-6"/>
                <w:w w:val="100"/>
                <w:sz w:val="21"/>
                <w:szCs w:val="21"/>
              </w:rPr>
            </w:pPr>
          </w:p>
        </w:tc>
        <w:tc>
          <w:tcPr>
            <w:tcW w:w="1957" w:type="pct"/>
            <w:shd w:val="clear" w:color="000000" w:fill="FFFFFF"/>
            <w:noWrap w:val="0"/>
            <w:vAlign w:val="center"/>
          </w:tcPr>
          <w:p>
            <w:pPr>
              <w:spacing w:line="240" w:lineRule="auto"/>
              <w:ind w:firstLine="0"/>
              <w:jc w:val="center"/>
              <w:rPr>
                <w:rFonts w:hint="eastAsia" w:eastAsia="宋体"/>
                <w:spacing w:val="-6"/>
                <w:w w:val="100"/>
                <w:sz w:val="21"/>
                <w:szCs w:val="21"/>
                <w:lang w:eastAsia="zh-CN"/>
              </w:rPr>
            </w:pPr>
            <w:r>
              <w:rPr>
                <w:rFonts w:hint="eastAsia"/>
                <w:spacing w:val="-6"/>
                <w:w w:val="100"/>
                <w:sz w:val="21"/>
                <w:szCs w:val="21"/>
                <w:lang w:eastAsia="zh-CN"/>
              </w:rPr>
              <w:t>本项目实施后进水</w:t>
            </w:r>
          </w:p>
        </w:tc>
        <w:tc>
          <w:tcPr>
            <w:tcW w:w="686" w:type="pct"/>
            <w:shd w:val="clear" w:color="000000" w:fill="FFFFFF"/>
            <w:noWrap w:val="0"/>
            <w:vAlign w:val="center"/>
          </w:tcPr>
          <w:p>
            <w:pPr>
              <w:spacing w:line="240" w:lineRule="auto"/>
              <w:ind w:firstLine="0"/>
              <w:jc w:val="center"/>
              <w:rPr>
                <w:rFonts w:hint="default" w:eastAsia="宋体"/>
                <w:spacing w:val="-6"/>
                <w:w w:val="100"/>
                <w:sz w:val="21"/>
                <w:szCs w:val="21"/>
                <w:lang w:val="en-US" w:eastAsia="zh-CN"/>
              </w:rPr>
            </w:pPr>
            <w:r>
              <w:rPr>
                <w:rFonts w:hint="eastAsia" w:ascii="Times New Roman" w:hAnsi="Times New Roman"/>
                <w:spacing w:val="-6"/>
                <w:w w:val="100"/>
                <w:sz w:val="21"/>
                <w:szCs w:val="21"/>
                <w:lang w:val="en-US" w:eastAsia="zh-CN"/>
              </w:rPr>
              <w:t>153</w:t>
            </w:r>
            <w:r>
              <w:rPr>
                <w:rFonts w:hint="eastAsia"/>
                <w:spacing w:val="-6"/>
                <w:w w:val="100"/>
                <w:sz w:val="21"/>
                <w:szCs w:val="21"/>
                <w:lang w:val="en-US" w:eastAsia="zh-CN"/>
              </w:rPr>
              <w:t>.</w:t>
            </w:r>
            <w:r>
              <w:rPr>
                <w:rFonts w:hint="eastAsia" w:ascii="Times New Roman" w:hAnsi="Times New Roman"/>
                <w:spacing w:val="-6"/>
                <w:w w:val="100"/>
                <w:sz w:val="21"/>
                <w:szCs w:val="21"/>
                <w:lang w:val="en-US" w:eastAsia="zh-CN"/>
              </w:rPr>
              <w:t>106</w:t>
            </w:r>
          </w:p>
        </w:tc>
        <w:tc>
          <w:tcPr>
            <w:tcW w:w="550" w:type="pct"/>
            <w:shd w:val="clear" w:color="000000" w:fill="FFFFFF"/>
            <w:noWrap w:val="0"/>
            <w:vAlign w:val="center"/>
          </w:tcPr>
          <w:p>
            <w:pPr>
              <w:spacing w:line="240" w:lineRule="auto"/>
              <w:ind w:firstLine="0"/>
              <w:jc w:val="center"/>
              <w:rPr>
                <w:rFonts w:hint="default" w:ascii="Times New Roman" w:hAnsi="Times New Roman"/>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6921</w:t>
            </w:r>
          </w:p>
        </w:tc>
        <w:tc>
          <w:tcPr>
            <w:tcW w:w="576" w:type="pct"/>
            <w:shd w:val="clear" w:color="000000" w:fill="FFFFFF"/>
            <w:noWrap w:val="0"/>
            <w:vAlign w:val="center"/>
          </w:tcPr>
          <w:p>
            <w:pPr>
              <w:spacing w:line="240" w:lineRule="auto"/>
              <w:ind w:firstLine="0"/>
              <w:jc w:val="center"/>
              <w:rPr>
                <w:rFonts w:hint="default" w:ascii="Times New Roman" w:hAnsi="Times New Roman"/>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2742</w:t>
            </w:r>
          </w:p>
        </w:tc>
        <w:tc>
          <w:tcPr>
            <w:tcW w:w="767" w:type="pct"/>
            <w:shd w:val="clear" w:color="000000" w:fill="FFFFFF"/>
            <w:noWrap w:val="0"/>
            <w:vAlign w:val="center"/>
          </w:tcPr>
          <w:p>
            <w:pPr>
              <w:spacing w:line="240" w:lineRule="auto"/>
              <w:ind w:firstLine="0"/>
              <w:jc w:val="center"/>
              <w:rPr>
                <w:rFonts w:hint="default"/>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62" w:type="pct"/>
            <w:vMerge w:val="continue"/>
            <w:shd w:val="clear" w:color="000000" w:fill="FFFFFF"/>
            <w:noWrap w:val="0"/>
            <w:vAlign w:val="center"/>
          </w:tcPr>
          <w:p>
            <w:pPr>
              <w:spacing w:line="240" w:lineRule="auto"/>
              <w:ind w:firstLine="0"/>
              <w:jc w:val="center"/>
              <w:rPr>
                <w:spacing w:val="-6"/>
                <w:w w:val="100"/>
                <w:sz w:val="21"/>
                <w:szCs w:val="21"/>
              </w:rPr>
            </w:pPr>
          </w:p>
        </w:tc>
        <w:tc>
          <w:tcPr>
            <w:tcW w:w="1957" w:type="pct"/>
            <w:shd w:val="clear" w:color="000000" w:fill="FFFFFF"/>
            <w:noWrap w:val="0"/>
            <w:vAlign w:val="center"/>
          </w:tcPr>
          <w:p>
            <w:pPr>
              <w:spacing w:line="240" w:lineRule="auto"/>
              <w:ind w:firstLine="0"/>
              <w:jc w:val="center"/>
              <w:rPr>
                <w:rFonts w:hint="eastAsia"/>
                <w:spacing w:val="-6"/>
                <w:w w:val="100"/>
                <w:sz w:val="21"/>
                <w:szCs w:val="21"/>
                <w:lang w:eastAsia="zh-CN"/>
              </w:rPr>
            </w:pPr>
            <w:r>
              <w:rPr>
                <w:rFonts w:hint="eastAsia"/>
                <w:spacing w:val="-6"/>
                <w:w w:val="100"/>
                <w:sz w:val="21"/>
                <w:szCs w:val="21"/>
                <w:lang w:eastAsia="zh-CN"/>
              </w:rPr>
              <w:t>预计出水浓度</w:t>
            </w:r>
          </w:p>
        </w:tc>
        <w:tc>
          <w:tcPr>
            <w:tcW w:w="686" w:type="pct"/>
            <w:shd w:val="clear" w:color="000000" w:fill="FFFFFF"/>
            <w:noWrap w:val="0"/>
            <w:vAlign w:val="center"/>
          </w:tcPr>
          <w:p>
            <w:pPr>
              <w:spacing w:line="240" w:lineRule="auto"/>
              <w:ind w:firstLine="0"/>
              <w:jc w:val="center"/>
              <w:rPr>
                <w:rFonts w:hint="default" w:eastAsia="宋体"/>
                <w:spacing w:val="-6"/>
                <w:w w:val="100"/>
                <w:sz w:val="21"/>
                <w:szCs w:val="21"/>
                <w:lang w:val="en-US" w:eastAsia="zh-CN"/>
              </w:rPr>
            </w:pPr>
            <w:r>
              <w:rPr>
                <w:rFonts w:hint="eastAsia" w:ascii="Times New Roman" w:hAnsi="Times New Roman"/>
                <w:spacing w:val="-6"/>
                <w:w w:val="100"/>
                <w:sz w:val="21"/>
                <w:szCs w:val="21"/>
                <w:lang w:val="en-US" w:eastAsia="zh-CN"/>
              </w:rPr>
              <w:t>153</w:t>
            </w:r>
            <w:r>
              <w:rPr>
                <w:rFonts w:hint="eastAsia"/>
                <w:spacing w:val="-6"/>
                <w:w w:val="100"/>
                <w:sz w:val="21"/>
                <w:szCs w:val="21"/>
                <w:lang w:val="en-US" w:eastAsia="zh-CN"/>
              </w:rPr>
              <w:t>.</w:t>
            </w:r>
            <w:r>
              <w:rPr>
                <w:rFonts w:hint="eastAsia" w:ascii="Times New Roman" w:hAnsi="Times New Roman"/>
                <w:spacing w:val="-6"/>
                <w:w w:val="100"/>
                <w:sz w:val="21"/>
                <w:szCs w:val="21"/>
                <w:lang w:val="en-US" w:eastAsia="zh-CN"/>
              </w:rPr>
              <w:t>106</w:t>
            </w:r>
          </w:p>
        </w:tc>
        <w:tc>
          <w:tcPr>
            <w:tcW w:w="550" w:type="pct"/>
            <w:shd w:val="clear" w:color="000000" w:fill="FFFFFF"/>
            <w:noWrap w:val="0"/>
            <w:vAlign w:val="center"/>
          </w:tcPr>
          <w:p>
            <w:pPr>
              <w:spacing w:line="240" w:lineRule="auto"/>
              <w:ind w:firstLine="0"/>
              <w:jc w:val="center"/>
              <w:rPr>
                <w:rFonts w:hint="default" w:ascii="Times New Roman" w:hAnsi="Times New Roman"/>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110</w:t>
            </w:r>
          </w:p>
        </w:tc>
        <w:tc>
          <w:tcPr>
            <w:tcW w:w="576" w:type="pct"/>
            <w:shd w:val="clear" w:color="000000" w:fill="FFFFFF"/>
            <w:noWrap w:val="0"/>
            <w:vAlign w:val="center"/>
          </w:tcPr>
          <w:p>
            <w:pPr>
              <w:spacing w:line="240" w:lineRule="auto"/>
              <w:ind w:firstLine="0"/>
              <w:jc w:val="center"/>
              <w:rPr>
                <w:rFonts w:hint="default" w:ascii="Times New Roman" w:hAnsi="Times New Roman"/>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109</w:t>
            </w:r>
          </w:p>
        </w:tc>
        <w:tc>
          <w:tcPr>
            <w:tcW w:w="767" w:type="pct"/>
            <w:shd w:val="clear" w:color="000000" w:fill="FFFFFF"/>
            <w:noWrap w:val="0"/>
            <w:vAlign w:val="center"/>
          </w:tcPr>
          <w:p>
            <w:pPr>
              <w:spacing w:line="240" w:lineRule="auto"/>
              <w:ind w:firstLine="0"/>
              <w:jc w:val="center"/>
              <w:rPr>
                <w:rFonts w:hint="default"/>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4</w:t>
            </w:r>
            <w:r>
              <w:rPr>
                <w:rFonts w:hint="eastAsia"/>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06" w:type="pct"/>
            <w:gridSpan w:val="3"/>
            <w:shd w:val="clear" w:color="000000" w:fill="FFFFFF"/>
            <w:noWrap w:val="0"/>
            <w:vAlign w:val="center"/>
          </w:tcPr>
          <w:p>
            <w:pPr>
              <w:spacing w:line="240" w:lineRule="auto"/>
              <w:ind w:firstLine="0"/>
              <w:jc w:val="center"/>
              <w:rPr>
                <w:rFonts w:hint="eastAsia"/>
                <w:spacing w:val="-6"/>
                <w:w w:val="100"/>
                <w:sz w:val="21"/>
                <w:szCs w:val="21"/>
              </w:rPr>
            </w:pPr>
            <w:r>
              <w:rPr>
                <w:rFonts w:hint="eastAsia"/>
                <w:spacing w:val="-6"/>
                <w:w w:val="100"/>
                <w:sz w:val="21"/>
                <w:szCs w:val="21"/>
              </w:rPr>
              <w:t>《</w:t>
            </w:r>
            <w:r>
              <w:rPr>
                <w:rFonts w:hint="eastAsia"/>
                <w:spacing w:val="-6"/>
                <w:w w:val="100"/>
                <w:sz w:val="21"/>
                <w:szCs w:val="21"/>
                <w:lang w:eastAsia="zh-CN"/>
              </w:rPr>
              <w:t>污水排入城镇下水道水质标准</w:t>
            </w:r>
            <w:r>
              <w:rPr>
                <w:rFonts w:hint="eastAsia"/>
                <w:spacing w:val="-6"/>
                <w:w w:val="100"/>
                <w:sz w:val="21"/>
                <w:szCs w:val="21"/>
              </w:rPr>
              <w:t>》（</w:t>
            </w:r>
            <w:r>
              <w:rPr>
                <w:rFonts w:hint="eastAsia" w:ascii="Times New Roman" w:hAnsi="Times New Roman"/>
                <w:spacing w:val="-6"/>
                <w:w w:val="100"/>
                <w:sz w:val="21"/>
                <w:szCs w:val="21"/>
              </w:rPr>
              <w:t>GB</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T31962</w:t>
            </w:r>
            <w:r>
              <w:rPr>
                <w:rFonts w:hint="eastAsia" w:ascii="Times New Roman" w:hAnsi="Times New Roman"/>
                <w:spacing w:val="-6"/>
                <w:w w:val="100"/>
                <w:sz w:val="21"/>
                <w:szCs w:val="21"/>
                <w:lang w:val="en-US" w:eastAsia="zh-CN"/>
              </w:rPr>
              <w:t>-</w:t>
            </w:r>
            <w:r>
              <w:rPr>
                <w:rFonts w:hint="eastAsia" w:ascii="Times New Roman" w:hAnsi="Times New Roman"/>
                <w:spacing w:val="-6"/>
                <w:w w:val="100"/>
                <w:sz w:val="21"/>
                <w:szCs w:val="21"/>
                <w:lang w:val="en-US" w:eastAsia="zh-CN"/>
              </w:rPr>
              <w:t>2015</w:t>
            </w:r>
            <w:r>
              <w:rPr>
                <w:rFonts w:hint="eastAsia"/>
                <w:spacing w:val="-6"/>
                <w:w w:val="100"/>
                <w:sz w:val="21"/>
                <w:szCs w:val="21"/>
              </w:rPr>
              <w:t>）</w:t>
            </w:r>
            <w:r>
              <w:rPr>
                <w:rFonts w:hint="eastAsia"/>
                <w:spacing w:val="-6"/>
                <w:w w:val="100"/>
                <w:sz w:val="21"/>
                <w:szCs w:val="21"/>
                <w:lang w:eastAsia="zh-CN"/>
              </w:rPr>
              <w:t>表</w:t>
            </w:r>
            <w:r>
              <w:rPr>
                <w:rFonts w:hint="eastAsia" w:ascii="Times New Roman" w:hAnsi="Times New Roman"/>
                <w:spacing w:val="-6"/>
                <w:w w:val="100"/>
                <w:sz w:val="21"/>
                <w:szCs w:val="21"/>
                <w:lang w:val="en-US" w:eastAsia="zh-CN"/>
              </w:rPr>
              <w:t>1B</w:t>
            </w:r>
            <w:r>
              <w:rPr>
                <w:rFonts w:hint="eastAsia"/>
                <w:spacing w:val="-6"/>
                <w:w w:val="100"/>
                <w:sz w:val="21"/>
                <w:szCs w:val="21"/>
                <w:lang w:val="en-US" w:eastAsia="zh-CN"/>
              </w:rPr>
              <w:t>级</w:t>
            </w:r>
          </w:p>
        </w:tc>
        <w:tc>
          <w:tcPr>
            <w:tcW w:w="550" w:type="pct"/>
            <w:shd w:val="clear" w:color="000000" w:fill="FFFFFF"/>
            <w:noWrap w:val="0"/>
            <w:vAlign w:val="center"/>
          </w:tcPr>
          <w:p>
            <w:pPr>
              <w:spacing w:line="240" w:lineRule="auto"/>
              <w:ind w:firstLine="0"/>
              <w:jc w:val="center"/>
              <w:rPr>
                <w:spacing w:val="-6"/>
                <w:w w:val="100"/>
                <w:sz w:val="21"/>
                <w:szCs w:val="21"/>
              </w:rPr>
            </w:pPr>
            <w:r>
              <w:rPr>
                <w:rFonts w:hint="eastAsia" w:ascii="Times New Roman" w:hAnsi="Times New Roman"/>
                <w:spacing w:val="-6"/>
                <w:w w:val="100"/>
                <w:sz w:val="21"/>
                <w:szCs w:val="21"/>
                <w:lang w:val="en-US" w:eastAsia="zh-CN"/>
              </w:rPr>
              <w:t>5</w:t>
            </w:r>
            <w:r>
              <w:rPr>
                <w:rFonts w:hint="eastAsia" w:ascii="Times New Roman" w:hAnsi="Times New Roman"/>
                <w:spacing w:val="-6"/>
                <w:w w:val="100"/>
                <w:sz w:val="21"/>
                <w:szCs w:val="21"/>
              </w:rPr>
              <w:t>00</w:t>
            </w:r>
          </w:p>
        </w:tc>
        <w:tc>
          <w:tcPr>
            <w:tcW w:w="576" w:type="pct"/>
            <w:shd w:val="clear" w:color="000000" w:fill="FFFFFF"/>
            <w:noWrap w:val="0"/>
            <w:vAlign w:val="center"/>
          </w:tcPr>
          <w:p>
            <w:pPr>
              <w:spacing w:line="240" w:lineRule="auto"/>
              <w:ind w:firstLine="0"/>
              <w:jc w:val="center"/>
              <w:rPr>
                <w:rFonts w:hint="default" w:ascii="Times New Roman" w:hAnsi="Times New Roman"/>
                <w:spacing w:val="-6"/>
                <w:w w:val="100"/>
                <w:sz w:val="21"/>
                <w:szCs w:val="21"/>
                <w:lang w:val="en-US" w:eastAsia="zh-CN"/>
              </w:rPr>
            </w:pPr>
            <w:r>
              <w:rPr>
                <w:rFonts w:hint="eastAsia" w:ascii="Times New Roman" w:hAnsi="Times New Roman"/>
                <w:spacing w:val="-6"/>
                <w:w w:val="100"/>
                <w:sz w:val="21"/>
                <w:szCs w:val="21"/>
                <w:lang w:val="en-US" w:eastAsia="zh-CN"/>
              </w:rPr>
              <w:t>350</w:t>
            </w:r>
          </w:p>
        </w:tc>
        <w:tc>
          <w:tcPr>
            <w:tcW w:w="767" w:type="pct"/>
            <w:shd w:val="clear" w:color="000000" w:fill="FFFFFF"/>
            <w:noWrap w:val="0"/>
            <w:vAlign w:val="center"/>
          </w:tcPr>
          <w:p>
            <w:pPr>
              <w:spacing w:line="240" w:lineRule="auto"/>
              <w:ind w:firstLine="0"/>
              <w:jc w:val="center"/>
              <w:rPr>
                <w:rFonts w:hint="default" w:eastAsia="宋体"/>
                <w:spacing w:val="-6"/>
                <w:w w:val="100"/>
                <w:sz w:val="21"/>
                <w:szCs w:val="21"/>
                <w:lang w:val="en-US" w:eastAsia="zh-CN"/>
              </w:rPr>
            </w:pPr>
            <w:r>
              <w:rPr>
                <w:rFonts w:hint="eastAsia" w:ascii="Times New Roman" w:hAnsi="Times New Roman"/>
                <w:spacing w:val="-6"/>
                <w:w w:val="100"/>
                <w:sz w:val="21"/>
                <w:szCs w:val="21"/>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06" w:type="pct"/>
            <w:gridSpan w:val="3"/>
            <w:shd w:val="clear" w:color="000000" w:fill="FFFFFF"/>
            <w:noWrap w:val="0"/>
            <w:vAlign w:val="center"/>
          </w:tcPr>
          <w:p>
            <w:pPr>
              <w:spacing w:line="240" w:lineRule="auto"/>
              <w:ind w:firstLine="0"/>
              <w:jc w:val="center"/>
              <w:rPr>
                <w:rFonts w:hint="eastAsia"/>
                <w:spacing w:val="-6"/>
                <w:w w:val="100"/>
                <w:sz w:val="21"/>
                <w:szCs w:val="21"/>
                <w:lang w:eastAsia="zh-CN"/>
              </w:rPr>
            </w:pPr>
            <w:r>
              <w:rPr>
                <w:rFonts w:hint="eastAsia"/>
                <w:spacing w:val="-6"/>
                <w:w w:val="100"/>
                <w:sz w:val="21"/>
                <w:szCs w:val="21"/>
                <w:lang w:eastAsia="zh-CN"/>
              </w:rPr>
              <w:t>达标情况</w:t>
            </w:r>
          </w:p>
        </w:tc>
        <w:tc>
          <w:tcPr>
            <w:tcW w:w="550" w:type="pct"/>
            <w:shd w:val="clear" w:color="000000" w:fill="FFFFFF"/>
            <w:noWrap w:val="0"/>
            <w:vAlign w:val="center"/>
          </w:tcPr>
          <w:p>
            <w:pPr>
              <w:spacing w:line="240" w:lineRule="auto"/>
              <w:ind w:firstLine="0"/>
              <w:jc w:val="center"/>
              <w:rPr>
                <w:rFonts w:hint="eastAsia" w:ascii="Times New Roman" w:hAnsi="Times New Roman"/>
                <w:spacing w:val="-6"/>
                <w:w w:val="100"/>
                <w:sz w:val="21"/>
                <w:szCs w:val="21"/>
                <w:lang w:val="en-US" w:eastAsia="zh-CN"/>
              </w:rPr>
            </w:pPr>
            <w:r>
              <w:rPr>
                <w:rFonts w:hint="eastAsia" w:ascii="Times New Roman" w:hAnsi="Times New Roman"/>
                <w:spacing w:val="-6"/>
                <w:w w:val="100"/>
                <w:sz w:val="21"/>
                <w:szCs w:val="21"/>
                <w:lang w:val="en-US" w:eastAsia="zh-CN"/>
              </w:rPr>
              <w:t>达标</w:t>
            </w:r>
          </w:p>
        </w:tc>
        <w:tc>
          <w:tcPr>
            <w:tcW w:w="576" w:type="pct"/>
            <w:shd w:val="clear" w:color="000000" w:fill="FFFFFF"/>
            <w:noWrap w:val="0"/>
            <w:vAlign w:val="center"/>
          </w:tcPr>
          <w:p>
            <w:pPr>
              <w:spacing w:line="240" w:lineRule="auto"/>
              <w:ind w:firstLine="0"/>
              <w:jc w:val="center"/>
              <w:rPr>
                <w:rFonts w:hint="eastAsia" w:ascii="Times New Roman" w:hAnsi="Times New Roman"/>
                <w:spacing w:val="-6"/>
                <w:w w:val="100"/>
                <w:sz w:val="21"/>
                <w:szCs w:val="21"/>
                <w:lang w:val="en-US" w:eastAsia="zh-CN"/>
              </w:rPr>
            </w:pPr>
            <w:r>
              <w:rPr>
                <w:rFonts w:hint="eastAsia" w:ascii="Times New Roman" w:hAnsi="Times New Roman"/>
                <w:spacing w:val="-6"/>
                <w:w w:val="100"/>
                <w:sz w:val="21"/>
                <w:szCs w:val="21"/>
                <w:lang w:val="en-US" w:eastAsia="zh-CN"/>
              </w:rPr>
              <w:t>达标</w:t>
            </w:r>
          </w:p>
        </w:tc>
        <w:tc>
          <w:tcPr>
            <w:tcW w:w="767" w:type="pct"/>
            <w:shd w:val="clear" w:color="000000" w:fill="FFFFFF"/>
            <w:noWrap w:val="0"/>
            <w:vAlign w:val="center"/>
          </w:tcPr>
          <w:p>
            <w:pPr>
              <w:spacing w:line="240" w:lineRule="auto"/>
              <w:ind w:firstLine="0"/>
              <w:jc w:val="center"/>
              <w:rPr>
                <w:rFonts w:hint="eastAsia"/>
                <w:spacing w:val="-6"/>
                <w:w w:val="100"/>
                <w:sz w:val="21"/>
                <w:szCs w:val="21"/>
                <w:lang w:val="en-US" w:eastAsia="zh-CN"/>
              </w:rPr>
            </w:pPr>
            <w:r>
              <w:rPr>
                <w:rFonts w:hint="eastAsia"/>
                <w:spacing w:val="-6"/>
                <w:w w:val="100"/>
                <w:sz w:val="21"/>
                <w:szCs w:val="21"/>
                <w:lang w:val="en-US" w:eastAsia="zh-CN"/>
              </w:rPr>
              <w:t>达标</w:t>
            </w:r>
          </w:p>
        </w:tc>
      </w:tr>
    </w:tbl>
    <w:p>
      <w:pPr>
        <w:rPr>
          <w:rFonts w:hint="eastAsia"/>
        </w:rPr>
      </w:pPr>
      <w:r>
        <w:rPr>
          <w:rFonts w:hint="eastAsia"/>
          <w:lang w:eastAsia="zh-CN"/>
        </w:rPr>
        <w:t>本项目废水经处理后，对污水站进出水质的影响很小，出水可满足达标排放要求。</w:t>
      </w:r>
    </w:p>
    <w:p>
      <w:pPr>
        <w:pStyle w:val="5"/>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rPr>
        <w:t>.</w:t>
      </w:r>
      <w:r>
        <w:rPr>
          <w:rFonts w:hint="eastAsia" w:ascii="Times New Roman" w:hAnsi="Times New Roman"/>
          <w:lang w:val="en-US" w:eastAsia="zh-CN"/>
        </w:rPr>
        <w:t>3</w:t>
      </w:r>
      <w:r>
        <w:rPr>
          <w:rFonts w:hint="eastAsia"/>
        </w:rPr>
        <w:t>噪声</w:t>
      </w:r>
    </w:p>
    <w:p>
      <w:pPr>
        <w:spacing w:line="440" w:lineRule="exact"/>
        <w:ind w:firstLine="480"/>
      </w:pPr>
      <w:r>
        <w:rPr>
          <w:rFonts w:hint="eastAsia"/>
          <w:lang w:eastAsia="zh-CN"/>
        </w:rPr>
        <w:t>本项目主要噪声源为机泵、空压机等</w:t>
      </w:r>
      <w:r>
        <w:t>，主要噪声源</w:t>
      </w:r>
      <w:r>
        <w:rPr>
          <w:rFonts w:hint="eastAsia"/>
          <w:lang w:eastAsia="zh-CN"/>
        </w:rPr>
        <w:t>及分布</w:t>
      </w:r>
      <w:r>
        <w:t>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rPr>
        <w:t>-</w:t>
      </w:r>
      <w:r>
        <w:rPr>
          <w:rFonts w:hint="eastAsia" w:ascii="Times New Roman" w:hAnsi="Times New Roman"/>
          <w:lang w:val="en-US" w:eastAsia="zh-CN"/>
        </w:rPr>
        <w:t>9</w:t>
      </w:r>
      <w:r>
        <w:t>。</w:t>
      </w:r>
    </w:p>
    <w:p>
      <w:pPr>
        <w:pStyle w:val="20"/>
        <w:spacing w:before="156"/>
        <w:rPr>
          <w:rFonts w:hint="eastAsia"/>
        </w:rPr>
      </w:pPr>
      <w:r>
        <w:rPr>
          <w:rFonts w:hint="eastAsia"/>
        </w:rP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9</w:t>
      </w:r>
      <w:r>
        <w:rPr>
          <w:rFonts w:hint="eastAsia"/>
        </w:rPr>
        <w:t xml:space="preserve">  主要设备噪声源强及降噪措施</w:t>
      </w:r>
    </w:p>
    <w:tbl>
      <w:tblPr>
        <w:tblStyle w:val="8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916"/>
        <w:gridCol w:w="2053"/>
        <w:gridCol w:w="688"/>
        <w:gridCol w:w="2539"/>
        <w:gridCol w:w="1143"/>
        <w:gridCol w:w="11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noWrap w:val="0"/>
            <w:vAlign w:val="center"/>
          </w:tcPr>
          <w:p>
            <w:pPr>
              <w:pStyle w:val="555"/>
              <w:spacing w:line="240" w:lineRule="auto"/>
              <w:ind w:firstLine="0" w:firstLineChars="0"/>
              <w:jc w:val="center"/>
              <w:rPr>
                <w:rFonts w:hint="eastAsia" w:hAnsi="宋体" w:cs="宋体"/>
                <w:bCs/>
                <w:color w:val="000000"/>
                <w:sz w:val="21"/>
                <w:szCs w:val="21"/>
              </w:rPr>
            </w:pPr>
            <w:r>
              <w:rPr>
                <w:rFonts w:hint="eastAsia" w:hAnsi="宋体" w:cs="宋体"/>
                <w:bCs/>
                <w:color w:val="000000"/>
                <w:sz w:val="21"/>
                <w:szCs w:val="21"/>
              </w:rPr>
              <w:t>序号</w:t>
            </w:r>
          </w:p>
        </w:tc>
        <w:tc>
          <w:tcPr>
            <w:tcW w:w="499" w:type="pct"/>
            <w:noWrap w:val="0"/>
            <w:vAlign w:val="center"/>
          </w:tcPr>
          <w:p>
            <w:pPr>
              <w:pStyle w:val="555"/>
              <w:spacing w:line="240" w:lineRule="auto"/>
              <w:ind w:firstLine="0" w:firstLineChars="0"/>
              <w:jc w:val="center"/>
              <w:rPr>
                <w:rFonts w:hint="eastAsia" w:hAnsi="宋体" w:eastAsia="宋体" w:cs="宋体"/>
                <w:bCs/>
                <w:color w:val="000000"/>
                <w:sz w:val="21"/>
                <w:szCs w:val="21"/>
                <w:lang w:eastAsia="zh-CN"/>
              </w:rPr>
            </w:pPr>
            <w:r>
              <w:rPr>
                <w:rFonts w:hint="eastAsia" w:cs="宋体"/>
                <w:bCs/>
                <w:color w:val="000000"/>
                <w:sz w:val="21"/>
                <w:szCs w:val="21"/>
                <w:lang w:eastAsia="zh-CN"/>
              </w:rPr>
              <w:t>位置</w:t>
            </w:r>
          </w:p>
        </w:tc>
        <w:tc>
          <w:tcPr>
            <w:tcW w:w="1119" w:type="pct"/>
            <w:noWrap w:val="0"/>
            <w:vAlign w:val="center"/>
          </w:tcPr>
          <w:p>
            <w:pPr>
              <w:pStyle w:val="555"/>
              <w:spacing w:line="240" w:lineRule="auto"/>
              <w:ind w:firstLine="0" w:firstLineChars="0"/>
              <w:jc w:val="center"/>
              <w:rPr>
                <w:rFonts w:hint="eastAsia" w:hAnsi="宋体" w:cs="宋体"/>
                <w:bCs/>
                <w:color w:val="000000"/>
                <w:sz w:val="21"/>
                <w:szCs w:val="21"/>
              </w:rPr>
            </w:pPr>
            <w:r>
              <w:rPr>
                <w:rFonts w:hint="eastAsia" w:hAnsi="宋体" w:cs="宋体"/>
                <w:bCs/>
                <w:color w:val="000000"/>
                <w:sz w:val="21"/>
                <w:szCs w:val="21"/>
              </w:rPr>
              <w:t>噪声源</w:t>
            </w:r>
          </w:p>
        </w:tc>
        <w:tc>
          <w:tcPr>
            <w:tcW w:w="375" w:type="pct"/>
            <w:noWrap w:val="0"/>
            <w:vAlign w:val="center"/>
          </w:tcPr>
          <w:p>
            <w:pPr>
              <w:pStyle w:val="555"/>
              <w:spacing w:line="240" w:lineRule="auto"/>
              <w:ind w:firstLine="0" w:firstLineChars="0"/>
              <w:jc w:val="center"/>
              <w:rPr>
                <w:rFonts w:hint="eastAsia" w:hAnsi="宋体" w:eastAsia="宋体" w:cs="宋体"/>
                <w:bCs/>
                <w:color w:val="000000"/>
                <w:sz w:val="21"/>
                <w:szCs w:val="21"/>
                <w:lang w:eastAsia="zh-CN"/>
              </w:rPr>
            </w:pPr>
            <w:r>
              <w:rPr>
                <w:rFonts w:hint="eastAsia" w:cs="宋体"/>
                <w:bCs/>
                <w:color w:val="000000"/>
                <w:sz w:val="21"/>
                <w:szCs w:val="21"/>
                <w:lang w:eastAsia="zh-CN"/>
              </w:rPr>
              <w:t>数量</w:t>
            </w:r>
          </w:p>
        </w:tc>
        <w:tc>
          <w:tcPr>
            <w:tcW w:w="1384" w:type="pct"/>
            <w:noWrap w:val="0"/>
            <w:vAlign w:val="center"/>
          </w:tcPr>
          <w:p>
            <w:pPr>
              <w:pStyle w:val="555"/>
              <w:spacing w:line="240" w:lineRule="auto"/>
              <w:ind w:firstLine="0" w:firstLineChars="0"/>
              <w:jc w:val="center"/>
              <w:rPr>
                <w:rFonts w:hint="eastAsia" w:hAnsi="宋体" w:cs="宋体"/>
                <w:bCs/>
                <w:color w:val="000000"/>
                <w:sz w:val="21"/>
                <w:szCs w:val="21"/>
              </w:rPr>
            </w:pPr>
            <w:r>
              <w:rPr>
                <w:rFonts w:hint="eastAsia" w:hAnsi="宋体" w:cs="宋体"/>
                <w:bCs/>
                <w:color w:val="000000"/>
                <w:sz w:val="21"/>
                <w:szCs w:val="21"/>
              </w:rPr>
              <w:t>单台设备源强</w:t>
            </w:r>
            <w:r>
              <w:rPr>
                <w:rFonts w:hint="eastAsia" w:ascii="Times New Roman" w:hAnsi="Times New Roman"/>
                <w:bCs/>
                <w:color w:val="000000"/>
                <w:sz w:val="21"/>
                <w:szCs w:val="21"/>
              </w:rPr>
              <w:t>dB</w:t>
            </w:r>
            <w:r>
              <w:rPr>
                <w:rFonts w:hint="eastAsia" w:hAnsi="宋体" w:cs="宋体"/>
                <w:bCs/>
                <w:color w:val="000000"/>
                <w:sz w:val="21"/>
                <w:szCs w:val="21"/>
              </w:rPr>
              <w:t>（</w:t>
            </w:r>
            <w:r>
              <w:rPr>
                <w:rFonts w:hint="eastAsia" w:ascii="Times New Roman" w:hAnsi="Times New Roman"/>
                <w:bCs/>
                <w:color w:val="000000"/>
                <w:sz w:val="21"/>
                <w:szCs w:val="21"/>
              </w:rPr>
              <w:t>A</w:t>
            </w:r>
            <w:r>
              <w:rPr>
                <w:rFonts w:hint="eastAsia" w:hAnsi="宋体" w:cs="宋体"/>
                <w:bCs/>
                <w:color w:val="000000"/>
                <w:sz w:val="21"/>
                <w:szCs w:val="21"/>
              </w:rPr>
              <w:t>）</w:t>
            </w:r>
          </w:p>
        </w:tc>
        <w:tc>
          <w:tcPr>
            <w:tcW w:w="623" w:type="pct"/>
            <w:noWrap w:val="0"/>
            <w:vAlign w:val="center"/>
          </w:tcPr>
          <w:p>
            <w:pPr>
              <w:pStyle w:val="555"/>
              <w:spacing w:line="240" w:lineRule="auto"/>
              <w:ind w:firstLine="0" w:firstLineChars="0"/>
              <w:jc w:val="center"/>
              <w:rPr>
                <w:rFonts w:hint="eastAsia" w:hAnsi="宋体" w:eastAsia="宋体" w:cs="宋体"/>
                <w:bCs/>
                <w:color w:val="000000"/>
                <w:sz w:val="21"/>
                <w:szCs w:val="21"/>
                <w:lang w:eastAsia="zh-CN"/>
              </w:rPr>
            </w:pPr>
            <w:r>
              <w:rPr>
                <w:rFonts w:hint="eastAsia" w:cs="宋体"/>
                <w:bCs/>
                <w:color w:val="000000"/>
                <w:sz w:val="21"/>
                <w:szCs w:val="21"/>
                <w:lang w:eastAsia="zh-CN"/>
              </w:rPr>
              <w:t>核算方法</w:t>
            </w:r>
          </w:p>
        </w:tc>
        <w:tc>
          <w:tcPr>
            <w:tcW w:w="623" w:type="pct"/>
            <w:noWrap w:val="0"/>
            <w:vAlign w:val="center"/>
          </w:tcPr>
          <w:p>
            <w:pPr>
              <w:pStyle w:val="555"/>
              <w:spacing w:line="240" w:lineRule="auto"/>
              <w:ind w:firstLine="0" w:firstLineChars="0"/>
              <w:jc w:val="center"/>
              <w:rPr>
                <w:rFonts w:hint="eastAsia" w:cs="宋体"/>
                <w:bCs/>
                <w:color w:val="000000"/>
                <w:sz w:val="21"/>
                <w:szCs w:val="21"/>
                <w:lang w:eastAsia="zh-CN"/>
              </w:rPr>
            </w:pPr>
            <w:r>
              <w:rPr>
                <w:rFonts w:hint="eastAsia" w:cs="宋体"/>
                <w:bCs/>
                <w:color w:val="000000"/>
                <w:sz w:val="21"/>
                <w:szCs w:val="21"/>
                <w:lang w:eastAsia="zh-CN"/>
              </w:rPr>
              <w:t>排放规律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5" w:type="pct"/>
            <w:noWrap w:val="0"/>
            <w:vAlign w:val="center"/>
          </w:tcPr>
          <w:p>
            <w:pPr>
              <w:pStyle w:val="555"/>
              <w:spacing w:line="240" w:lineRule="auto"/>
              <w:ind w:firstLine="0" w:firstLineChars="0"/>
              <w:jc w:val="center"/>
              <w:rPr>
                <w:rFonts w:hint="eastAsia" w:hAnsi="宋体" w:cs="宋体"/>
                <w:bCs/>
                <w:color w:val="000000"/>
                <w:sz w:val="21"/>
                <w:szCs w:val="21"/>
              </w:rPr>
            </w:pPr>
            <w:r>
              <w:rPr>
                <w:rFonts w:hint="eastAsia" w:ascii="Times New Roman" w:hAnsi="Times New Roman"/>
                <w:bCs/>
                <w:color w:val="000000"/>
                <w:sz w:val="21"/>
                <w:szCs w:val="21"/>
              </w:rPr>
              <w:t>1</w:t>
            </w:r>
          </w:p>
        </w:tc>
        <w:tc>
          <w:tcPr>
            <w:tcW w:w="499" w:type="pct"/>
            <w:vMerge w:val="restart"/>
            <w:noWrap w:val="0"/>
            <w:vAlign w:val="center"/>
          </w:tcPr>
          <w:p>
            <w:pPr>
              <w:spacing w:line="240" w:lineRule="auto"/>
              <w:ind w:firstLine="0"/>
              <w:jc w:val="center"/>
              <w:rPr>
                <w:rFonts w:hint="eastAsia" w:hAnsi="宋体" w:eastAsia="宋体" w:cs="宋体"/>
                <w:bCs/>
                <w:color w:val="000000"/>
                <w:sz w:val="21"/>
                <w:szCs w:val="21"/>
                <w:lang w:eastAsia="zh-CN"/>
              </w:rPr>
            </w:pPr>
            <w:r>
              <w:rPr>
                <w:rFonts w:hint="eastAsia" w:cs="宋体"/>
                <w:bCs/>
                <w:color w:val="000000"/>
                <w:sz w:val="21"/>
                <w:szCs w:val="21"/>
                <w:lang w:eastAsia="zh-CN"/>
              </w:rPr>
              <w:t>装置区</w:t>
            </w:r>
          </w:p>
        </w:tc>
        <w:tc>
          <w:tcPr>
            <w:tcW w:w="1119" w:type="pct"/>
            <w:noWrap w:val="0"/>
            <w:vAlign w:val="center"/>
          </w:tcPr>
          <w:p>
            <w:pPr>
              <w:spacing w:line="240" w:lineRule="auto"/>
              <w:ind w:firstLine="0"/>
              <w:jc w:val="center"/>
              <w:rPr>
                <w:rFonts w:hint="eastAsia" w:hAnsi="宋体" w:eastAsia="宋体" w:cs="宋体"/>
                <w:bCs/>
                <w:color w:val="000000"/>
                <w:sz w:val="21"/>
                <w:szCs w:val="21"/>
                <w:lang w:eastAsia="zh-CN"/>
              </w:rPr>
            </w:pPr>
            <w:r>
              <w:rPr>
                <w:rFonts w:hint="eastAsia" w:cs="宋体"/>
                <w:bCs/>
                <w:color w:val="000000"/>
                <w:sz w:val="21"/>
                <w:szCs w:val="21"/>
                <w:lang w:eastAsia="zh-CN"/>
              </w:rPr>
              <w:t>真空泵</w:t>
            </w:r>
          </w:p>
        </w:tc>
        <w:tc>
          <w:tcPr>
            <w:tcW w:w="375" w:type="pct"/>
            <w:noWrap w:val="0"/>
            <w:vAlign w:val="center"/>
          </w:tcPr>
          <w:p>
            <w:pPr>
              <w:spacing w:line="240" w:lineRule="auto"/>
              <w:ind w:firstLine="0"/>
              <w:jc w:val="center"/>
              <w:rPr>
                <w:rFonts w:hint="default" w:hAnsi="宋体" w:eastAsia="宋体" w:cs="宋体"/>
                <w:bCs/>
                <w:color w:val="000000"/>
                <w:sz w:val="21"/>
                <w:szCs w:val="21"/>
                <w:lang w:val="en-US" w:eastAsia="zh-CN"/>
              </w:rPr>
            </w:pPr>
            <w:r>
              <w:rPr>
                <w:rFonts w:hint="eastAsia" w:ascii="Times New Roman" w:hAnsi="Times New Roman" w:cs="宋体"/>
                <w:bCs/>
                <w:color w:val="000000"/>
                <w:sz w:val="21"/>
                <w:szCs w:val="21"/>
                <w:lang w:val="en-US" w:eastAsia="zh-CN"/>
              </w:rPr>
              <w:t>1</w:t>
            </w:r>
          </w:p>
        </w:tc>
        <w:tc>
          <w:tcPr>
            <w:tcW w:w="1384" w:type="pct"/>
            <w:noWrap w:val="0"/>
            <w:vAlign w:val="center"/>
          </w:tcPr>
          <w:p>
            <w:pPr>
              <w:pStyle w:val="555"/>
              <w:spacing w:line="240" w:lineRule="auto"/>
              <w:ind w:firstLine="0" w:firstLineChars="0"/>
              <w:jc w:val="center"/>
              <w:rPr>
                <w:rFonts w:hint="default" w:hAnsi="宋体" w:eastAsia="宋体" w:cs="宋体"/>
                <w:bCs/>
                <w:color w:val="000000"/>
                <w:sz w:val="21"/>
                <w:szCs w:val="21"/>
                <w:lang w:val="en-US" w:eastAsia="zh-CN"/>
              </w:rPr>
            </w:pPr>
            <w:r>
              <w:rPr>
                <w:rFonts w:hint="eastAsia" w:ascii="Times New Roman" w:hAnsi="Times New Roman" w:cs="宋体"/>
                <w:bCs/>
                <w:color w:val="000000"/>
                <w:sz w:val="21"/>
                <w:szCs w:val="21"/>
                <w:lang w:val="en-US" w:eastAsia="zh-CN"/>
              </w:rPr>
              <w:t>75</w:t>
            </w:r>
            <w:r>
              <w:rPr>
                <w:rFonts w:hint="eastAsia" w:cs="宋体"/>
                <w:bCs/>
                <w:color w:val="000000"/>
                <w:sz w:val="21"/>
                <w:szCs w:val="21"/>
                <w:lang w:val="en-US" w:eastAsia="zh-CN"/>
              </w:rPr>
              <w:t>～</w:t>
            </w:r>
            <w:r>
              <w:rPr>
                <w:rFonts w:hint="eastAsia" w:ascii="Times New Roman" w:hAnsi="Times New Roman" w:cs="宋体"/>
                <w:bCs/>
                <w:color w:val="000000"/>
                <w:sz w:val="21"/>
                <w:szCs w:val="21"/>
                <w:lang w:val="en-US" w:eastAsia="zh-CN"/>
              </w:rPr>
              <w:t>90</w:t>
            </w:r>
          </w:p>
        </w:tc>
        <w:tc>
          <w:tcPr>
            <w:tcW w:w="623" w:type="pct"/>
            <w:noWrap w:val="0"/>
            <w:vAlign w:val="center"/>
          </w:tcPr>
          <w:p>
            <w:pPr>
              <w:pStyle w:val="555"/>
              <w:spacing w:line="240" w:lineRule="auto"/>
              <w:ind w:firstLine="0" w:firstLineChars="0"/>
              <w:jc w:val="center"/>
              <w:rPr>
                <w:rFonts w:hint="eastAsia" w:hAnsi="宋体" w:eastAsia="宋体" w:cs="宋体"/>
                <w:bCs/>
                <w:color w:val="000000"/>
                <w:sz w:val="21"/>
                <w:szCs w:val="21"/>
                <w:lang w:eastAsia="zh-CN"/>
              </w:rPr>
            </w:pPr>
            <w:r>
              <w:rPr>
                <w:rFonts w:hint="eastAsia" w:cs="宋体"/>
                <w:bCs/>
                <w:color w:val="000000"/>
                <w:sz w:val="21"/>
                <w:szCs w:val="21"/>
                <w:lang w:eastAsia="zh-CN"/>
              </w:rPr>
              <w:t>类比</w:t>
            </w:r>
          </w:p>
        </w:tc>
        <w:tc>
          <w:tcPr>
            <w:tcW w:w="623" w:type="pct"/>
            <w:noWrap w:val="0"/>
            <w:vAlign w:val="center"/>
          </w:tcPr>
          <w:p>
            <w:pPr>
              <w:pStyle w:val="555"/>
              <w:spacing w:line="240" w:lineRule="auto"/>
              <w:ind w:firstLine="0" w:firstLineChars="0"/>
              <w:jc w:val="center"/>
              <w:rPr>
                <w:rFonts w:hint="eastAsia" w:ascii="Times New Roman" w:eastAsia="宋体"/>
                <w:bCs/>
                <w:color w:val="000000"/>
                <w:sz w:val="21"/>
                <w:szCs w:val="21"/>
                <w:lang w:eastAsia="zh-CN"/>
              </w:rPr>
            </w:pPr>
            <w:r>
              <w:rPr>
                <w:rFonts w:hint="eastAsia" w:ascii="Times New Roman"/>
                <w:bCs/>
                <w:color w:val="000000"/>
                <w:sz w:val="21"/>
                <w:szCs w:val="21"/>
                <w:lang w:eastAsia="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5" w:type="pct"/>
            <w:noWrap w:val="0"/>
            <w:vAlign w:val="center"/>
          </w:tcPr>
          <w:p>
            <w:pPr>
              <w:pStyle w:val="555"/>
              <w:spacing w:line="240" w:lineRule="auto"/>
              <w:ind w:firstLine="0" w:firstLineChars="0"/>
              <w:jc w:val="center"/>
              <w:rPr>
                <w:rFonts w:hint="eastAsia" w:hAnsi="宋体" w:cs="宋体"/>
                <w:bCs/>
                <w:color w:val="000000"/>
                <w:sz w:val="21"/>
                <w:szCs w:val="21"/>
              </w:rPr>
            </w:pPr>
            <w:r>
              <w:rPr>
                <w:rFonts w:hint="eastAsia" w:ascii="Times New Roman" w:hAnsi="Times New Roman"/>
                <w:bCs/>
                <w:color w:val="000000"/>
                <w:sz w:val="21"/>
                <w:szCs w:val="21"/>
              </w:rPr>
              <w:t>2</w:t>
            </w:r>
          </w:p>
        </w:tc>
        <w:tc>
          <w:tcPr>
            <w:tcW w:w="499" w:type="pct"/>
            <w:vMerge w:val="continue"/>
            <w:noWrap w:val="0"/>
            <w:vAlign w:val="center"/>
          </w:tcPr>
          <w:p>
            <w:pPr>
              <w:spacing w:line="240" w:lineRule="auto"/>
              <w:ind w:firstLine="0"/>
              <w:jc w:val="center"/>
              <w:rPr>
                <w:rFonts w:hint="eastAsia" w:hAnsi="宋体" w:cs="宋体"/>
                <w:bCs/>
                <w:color w:val="000000"/>
                <w:sz w:val="21"/>
                <w:szCs w:val="21"/>
              </w:rPr>
            </w:pPr>
          </w:p>
        </w:tc>
        <w:tc>
          <w:tcPr>
            <w:tcW w:w="1119" w:type="pct"/>
            <w:noWrap w:val="0"/>
            <w:vAlign w:val="center"/>
          </w:tcPr>
          <w:p>
            <w:pPr>
              <w:spacing w:line="240" w:lineRule="auto"/>
              <w:ind w:firstLine="0"/>
              <w:jc w:val="center"/>
              <w:rPr>
                <w:rFonts w:hint="eastAsia" w:hAnsi="宋体" w:cs="宋体"/>
                <w:bCs/>
                <w:color w:val="000000"/>
                <w:sz w:val="21"/>
                <w:szCs w:val="21"/>
              </w:rPr>
            </w:pPr>
            <w:r>
              <w:rPr>
                <w:rFonts w:hint="eastAsia" w:hAnsi="宋体" w:cs="宋体"/>
                <w:bCs/>
                <w:color w:val="000000"/>
                <w:sz w:val="21"/>
                <w:szCs w:val="21"/>
              </w:rPr>
              <w:t>泵机</w:t>
            </w:r>
          </w:p>
        </w:tc>
        <w:tc>
          <w:tcPr>
            <w:tcW w:w="375" w:type="pct"/>
            <w:noWrap w:val="0"/>
            <w:vAlign w:val="center"/>
          </w:tcPr>
          <w:p>
            <w:pPr>
              <w:spacing w:line="240" w:lineRule="auto"/>
              <w:ind w:firstLine="0"/>
              <w:jc w:val="center"/>
              <w:rPr>
                <w:rFonts w:hint="default" w:hAnsi="宋体" w:eastAsia="宋体" w:cs="宋体"/>
                <w:bCs/>
                <w:color w:val="000000"/>
                <w:sz w:val="21"/>
                <w:szCs w:val="21"/>
                <w:lang w:val="en-US" w:eastAsia="zh-CN"/>
              </w:rPr>
            </w:pPr>
            <w:r>
              <w:rPr>
                <w:rFonts w:hint="eastAsia" w:ascii="Times New Roman" w:hAnsi="Times New Roman" w:cs="宋体"/>
                <w:bCs/>
                <w:color w:val="000000"/>
                <w:sz w:val="21"/>
                <w:szCs w:val="21"/>
                <w:lang w:val="en-US" w:eastAsia="zh-CN"/>
              </w:rPr>
              <w:t>10</w:t>
            </w:r>
          </w:p>
        </w:tc>
        <w:tc>
          <w:tcPr>
            <w:tcW w:w="1384" w:type="pct"/>
            <w:noWrap w:val="0"/>
            <w:vAlign w:val="center"/>
          </w:tcPr>
          <w:p>
            <w:pPr>
              <w:pStyle w:val="555"/>
              <w:spacing w:line="240" w:lineRule="auto"/>
              <w:ind w:firstLine="0" w:firstLineChars="0"/>
              <w:jc w:val="center"/>
              <w:rPr>
                <w:rFonts w:hAnsi="宋体" w:cs="宋体"/>
                <w:bCs/>
                <w:color w:val="000000"/>
                <w:sz w:val="21"/>
                <w:szCs w:val="21"/>
              </w:rPr>
            </w:pPr>
            <w:r>
              <w:rPr>
                <w:rFonts w:hint="eastAsia" w:ascii="Times New Roman" w:hAnsi="Times New Roman"/>
                <w:bCs/>
                <w:color w:val="000000"/>
                <w:sz w:val="21"/>
                <w:szCs w:val="21"/>
              </w:rPr>
              <w:t>75</w:t>
            </w:r>
            <w:r>
              <w:rPr>
                <w:rFonts w:hint="eastAsia" w:hAnsi="宋体" w:cs="宋体"/>
                <w:bCs/>
                <w:color w:val="000000"/>
                <w:sz w:val="21"/>
                <w:szCs w:val="21"/>
              </w:rPr>
              <w:t>～</w:t>
            </w:r>
            <w:r>
              <w:rPr>
                <w:rFonts w:hint="eastAsia" w:ascii="Times New Roman" w:hAnsi="Times New Roman"/>
                <w:bCs/>
                <w:color w:val="000000"/>
                <w:sz w:val="21"/>
                <w:szCs w:val="21"/>
              </w:rPr>
              <w:t>85</w:t>
            </w:r>
          </w:p>
        </w:tc>
        <w:tc>
          <w:tcPr>
            <w:tcW w:w="623" w:type="pct"/>
            <w:noWrap w:val="0"/>
            <w:vAlign w:val="center"/>
          </w:tcPr>
          <w:p>
            <w:pPr>
              <w:pStyle w:val="555"/>
              <w:spacing w:line="240" w:lineRule="auto"/>
              <w:ind w:firstLine="0" w:firstLineChars="0"/>
              <w:jc w:val="center"/>
              <w:rPr>
                <w:rFonts w:hint="eastAsia" w:ascii="宋体" w:hAnsi="宋体" w:eastAsia="宋体" w:cs="宋体"/>
                <w:bCs/>
                <w:color w:val="000000"/>
                <w:sz w:val="21"/>
                <w:szCs w:val="21"/>
                <w:lang w:val="en-US" w:eastAsia="zh-CN" w:bidi="ar-SA"/>
              </w:rPr>
            </w:pPr>
            <w:r>
              <w:rPr>
                <w:rFonts w:hint="eastAsia" w:cs="宋体"/>
                <w:bCs/>
                <w:color w:val="000000"/>
                <w:sz w:val="21"/>
                <w:szCs w:val="21"/>
                <w:lang w:eastAsia="zh-CN"/>
              </w:rPr>
              <w:t>类比</w:t>
            </w:r>
          </w:p>
        </w:tc>
        <w:tc>
          <w:tcPr>
            <w:tcW w:w="623" w:type="pct"/>
            <w:noWrap w:val="0"/>
            <w:vAlign w:val="center"/>
          </w:tcPr>
          <w:p>
            <w:pPr>
              <w:pStyle w:val="555"/>
              <w:spacing w:line="240" w:lineRule="auto"/>
              <w:ind w:firstLine="0" w:firstLineChars="0"/>
              <w:jc w:val="center"/>
              <w:rPr>
                <w:rFonts w:hint="eastAsia" w:ascii="Times New Roman" w:hAnsi="宋体" w:eastAsia="宋体" w:cs="Times New Roman"/>
                <w:bCs/>
                <w:color w:val="000000"/>
                <w:sz w:val="21"/>
                <w:szCs w:val="21"/>
                <w:lang w:val="en-US" w:eastAsia="zh-CN" w:bidi="ar-SA"/>
              </w:rPr>
            </w:pPr>
            <w:r>
              <w:rPr>
                <w:rFonts w:hint="eastAsia" w:ascii="Times New Roman"/>
                <w:bCs/>
                <w:color w:val="000000"/>
                <w:sz w:val="21"/>
                <w:szCs w:val="21"/>
                <w:lang w:eastAsia="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5" w:type="pct"/>
            <w:noWrap w:val="0"/>
            <w:vAlign w:val="center"/>
          </w:tcPr>
          <w:p>
            <w:pPr>
              <w:pStyle w:val="555"/>
              <w:spacing w:line="240" w:lineRule="auto"/>
              <w:ind w:firstLine="0" w:firstLineChars="0"/>
              <w:jc w:val="center"/>
              <w:rPr>
                <w:rFonts w:hint="eastAsia" w:ascii="Times New Roman" w:hAnsi="宋体" w:eastAsia="宋体" w:cs="Times New Roman"/>
                <w:bCs/>
                <w:color w:val="000000"/>
                <w:sz w:val="21"/>
                <w:szCs w:val="21"/>
                <w:lang w:val="en-US" w:eastAsia="zh-CN" w:bidi="ar-SA"/>
              </w:rPr>
            </w:pPr>
            <w:r>
              <w:rPr>
                <w:rFonts w:hint="eastAsia" w:ascii="Times New Roman" w:hAnsi="Times New Roman"/>
                <w:bCs/>
                <w:color w:val="000000"/>
                <w:sz w:val="21"/>
                <w:szCs w:val="21"/>
                <w:lang w:val="en-US" w:eastAsia="zh-CN"/>
              </w:rPr>
              <w:t>3</w:t>
            </w:r>
          </w:p>
        </w:tc>
        <w:tc>
          <w:tcPr>
            <w:tcW w:w="499" w:type="pct"/>
            <w:vMerge w:val="continue"/>
            <w:noWrap w:val="0"/>
            <w:vAlign w:val="center"/>
          </w:tcPr>
          <w:p>
            <w:pPr>
              <w:spacing w:line="240" w:lineRule="auto"/>
              <w:ind w:firstLine="0"/>
              <w:jc w:val="center"/>
              <w:rPr>
                <w:rFonts w:hint="eastAsia" w:hAnsi="宋体" w:cs="宋体"/>
                <w:bCs/>
                <w:color w:val="000000"/>
                <w:sz w:val="21"/>
                <w:szCs w:val="21"/>
              </w:rPr>
            </w:pPr>
          </w:p>
        </w:tc>
        <w:tc>
          <w:tcPr>
            <w:tcW w:w="1119" w:type="pct"/>
            <w:noWrap w:val="0"/>
            <w:vAlign w:val="center"/>
          </w:tcPr>
          <w:p>
            <w:pPr>
              <w:spacing w:line="240" w:lineRule="auto"/>
              <w:ind w:firstLine="0" w:firstLineChars="0"/>
              <w:jc w:val="center"/>
              <w:rPr>
                <w:rFonts w:hint="eastAsia" w:ascii="宋体" w:hAnsi="宋体" w:eastAsia="宋体" w:cs="宋体"/>
                <w:bCs/>
                <w:color w:val="000000"/>
                <w:sz w:val="21"/>
                <w:szCs w:val="21"/>
                <w:lang w:val="en-US" w:eastAsia="zh-CN" w:bidi="ar-SA"/>
              </w:rPr>
            </w:pPr>
            <w:r>
              <w:rPr>
                <w:rFonts w:hint="eastAsia" w:cs="宋体"/>
                <w:bCs/>
                <w:color w:val="000000"/>
                <w:sz w:val="21"/>
                <w:szCs w:val="21"/>
                <w:lang w:eastAsia="zh-CN"/>
              </w:rPr>
              <w:t>罗茨水环真空机组</w:t>
            </w:r>
          </w:p>
        </w:tc>
        <w:tc>
          <w:tcPr>
            <w:tcW w:w="375" w:type="pct"/>
            <w:noWrap w:val="0"/>
            <w:vAlign w:val="center"/>
          </w:tcPr>
          <w:p>
            <w:pPr>
              <w:spacing w:line="240" w:lineRule="auto"/>
              <w:ind w:firstLine="0" w:firstLineChars="0"/>
              <w:jc w:val="center"/>
              <w:rPr>
                <w:rFonts w:hint="eastAsia" w:ascii="宋体" w:hAnsi="宋体" w:eastAsia="宋体" w:cs="宋体"/>
                <w:bCs/>
                <w:color w:val="000000"/>
                <w:sz w:val="21"/>
                <w:szCs w:val="21"/>
                <w:lang w:val="en-US" w:eastAsia="zh-CN" w:bidi="ar-SA"/>
              </w:rPr>
            </w:pPr>
            <w:r>
              <w:rPr>
                <w:rFonts w:hint="eastAsia" w:ascii="Times New Roman" w:hAnsi="Times New Roman" w:cs="宋体"/>
                <w:bCs/>
                <w:color w:val="000000"/>
                <w:sz w:val="21"/>
                <w:szCs w:val="21"/>
                <w:lang w:val="en-US" w:eastAsia="zh-CN"/>
              </w:rPr>
              <w:t>1</w:t>
            </w:r>
          </w:p>
        </w:tc>
        <w:tc>
          <w:tcPr>
            <w:tcW w:w="1384" w:type="pct"/>
            <w:noWrap w:val="0"/>
            <w:vAlign w:val="center"/>
          </w:tcPr>
          <w:p>
            <w:pPr>
              <w:pStyle w:val="555"/>
              <w:spacing w:line="240" w:lineRule="auto"/>
              <w:ind w:firstLine="0" w:firstLineChars="0"/>
              <w:jc w:val="center"/>
              <w:rPr>
                <w:rFonts w:hint="eastAsia" w:ascii="Times New Roman" w:hAnsi="宋体" w:eastAsia="宋体" w:cs="Times New Roman"/>
                <w:bCs/>
                <w:color w:val="000000"/>
                <w:sz w:val="21"/>
                <w:szCs w:val="21"/>
                <w:lang w:val="en-US" w:eastAsia="zh-CN" w:bidi="ar-SA"/>
              </w:rPr>
            </w:pPr>
            <w:r>
              <w:rPr>
                <w:rFonts w:hint="eastAsia" w:ascii="Times New Roman" w:hAnsi="Times New Roman"/>
                <w:bCs/>
                <w:color w:val="000000"/>
                <w:sz w:val="21"/>
                <w:szCs w:val="21"/>
                <w:lang w:val="en-US" w:eastAsia="zh-CN"/>
              </w:rPr>
              <w:t>75</w:t>
            </w:r>
            <w:r>
              <w:rPr>
                <w:rFonts w:hint="eastAsia" w:hAnsi="宋体" w:cs="宋体"/>
                <w:bCs/>
                <w:color w:val="000000"/>
                <w:sz w:val="21"/>
                <w:szCs w:val="21"/>
              </w:rPr>
              <w:t>～</w:t>
            </w:r>
            <w:r>
              <w:rPr>
                <w:rFonts w:hint="eastAsia" w:ascii="Times New Roman" w:hAnsi="Times New Roman" w:cs="宋体"/>
                <w:bCs/>
                <w:color w:val="000000"/>
                <w:sz w:val="21"/>
                <w:szCs w:val="21"/>
                <w:lang w:val="en-US" w:eastAsia="zh-CN"/>
              </w:rPr>
              <w:t>9</w:t>
            </w:r>
            <w:r>
              <w:rPr>
                <w:rFonts w:hint="eastAsia" w:ascii="Times New Roman" w:hAnsi="Times New Roman"/>
                <w:bCs/>
                <w:color w:val="000000"/>
                <w:sz w:val="21"/>
                <w:szCs w:val="21"/>
              </w:rPr>
              <w:t>0</w:t>
            </w:r>
          </w:p>
        </w:tc>
        <w:tc>
          <w:tcPr>
            <w:tcW w:w="623" w:type="pct"/>
            <w:noWrap w:val="0"/>
            <w:vAlign w:val="center"/>
          </w:tcPr>
          <w:p>
            <w:pPr>
              <w:pStyle w:val="555"/>
              <w:spacing w:line="240" w:lineRule="auto"/>
              <w:ind w:firstLine="0" w:firstLineChars="0"/>
              <w:jc w:val="center"/>
              <w:rPr>
                <w:rFonts w:hint="eastAsia" w:ascii="宋体" w:hAnsi="宋体" w:eastAsia="宋体" w:cs="宋体"/>
                <w:bCs/>
                <w:color w:val="000000"/>
                <w:sz w:val="21"/>
                <w:szCs w:val="21"/>
                <w:lang w:val="en-US" w:eastAsia="zh-CN" w:bidi="ar-SA"/>
              </w:rPr>
            </w:pPr>
            <w:r>
              <w:rPr>
                <w:rFonts w:hint="eastAsia" w:cs="宋体"/>
                <w:bCs/>
                <w:color w:val="000000"/>
                <w:sz w:val="21"/>
                <w:szCs w:val="21"/>
                <w:lang w:eastAsia="zh-CN"/>
              </w:rPr>
              <w:t>类比</w:t>
            </w:r>
          </w:p>
        </w:tc>
        <w:tc>
          <w:tcPr>
            <w:tcW w:w="623" w:type="pct"/>
            <w:noWrap w:val="0"/>
            <w:vAlign w:val="center"/>
          </w:tcPr>
          <w:p>
            <w:pPr>
              <w:pStyle w:val="555"/>
              <w:spacing w:line="240" w:lineRule="auto"/>
              <w:ind w:firstLine="0" w:firstLineChars="0"/>
              <w:jc w:val="center"/>
              <w:rPr>
                <w:rFonts w:hint="eastAsia" w:ascii="Times New Roman" w:hAnsi="宋体" w:eastAsia="宋体" w:cs="Times New Roman"/>
                <w:bCs/>
                <w:color w:val="000000"/>
                <w:sz w:val="21"/>
                <w:szCs w:val="21"/>
                <w:lang w:val="en-US" w:eastAsia="zh-CN" w:bidi="ar-SA"/>
              </w:rPr>
            </w:pPr>
            <w:r>
              <w:rPr>
                <w:rFonts w:hint="eastAsia" w:ascii="Times New Roman"/>
                <w:bCs/>
                <w:color w:val="000000"/>
                <w:sz w:val="21"/>
                <w:szCs w:val="21"/>
                <w:lang w:eastAsia="zh-CN"/>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75" w:type="pct"/>
            <w:noWrap w:val="0"/>
            <w:vAlign w:val="center"/>
          </w:tcPr>
          <w:p>
            <w:pPr>
              <w:pStyle w:val="555"/>
              <w:spacing w:line="240" w:lineRule="auto"/>
              <w:ind w:firstLine="0" w:firstLineChars="0"/>
              <w:jc w:val="center"/>
              <w:rPr>
                <w:rFonts w:hint="eastAsia" w:ascii="Times New Roman" w:hAnsi="宋体" w:eastAsia="宋体" w:cs="Times New Roman"/>
                <w:bCs/>
                <w:color w:val="000000"/>
                <w:sz w:val="21"/>
                <w:szCs w:val="21"/>
                <w:lang w:val="en-US" w:eastAsia="zh-CN" w:bidi="ar-SA"/>
              </w:rPr>
            </w:pPr>
            <w:r>
              <w:rPr>
                <w:rFonts w:hint="eastAsia" w:ascii="Times New Roman" w:hAnsi="Times New Roman"/>
                <w:bCs/>
                <w:color w:val="000000"/>
                <w:sz w:val="21"/>
                <w:szCs w:val="21"/>
                <w:lang w:val="en-US" w:eastAsia="zh-CN"/>
              </w:rPr>
              <w:t>4</w:t>
            </w:r>
          </w:p>
        </w:tc>
        <w:tc>
          <w:tcPr>
            <w:tcW w:w="499" w:type="pct"/>
            <w:noWrap w:val="0"/>
            <w:vAlign w:val="center"/>
          </w:tcPr>
          <w:p>
            <w:pPr>
              <w:spacing w:line="240" w:lineRule="auto"/>
              <w:ind w:firstLine="0"/>
              <w:jc w:val="center"/>
              <w:rPr>
                <w:rFonts w:hint="eastAsia" w:hAnsi="宋体" w:cs="宋体"/>
                <w:bCs/>
                <w:color w:val="000000"/>
                <w:sz w:val="21"/>
                <w:szCs w:val="21"/>
              </w:rPr>
            </w:pPr>
            <w:r>
              <w:rPr>
                <w:rFonts w:hint="eastAsia" w:cs="宋体"/>
                <w:bCs/>
                <w:color w:val="000000"/>
                <w:sz w:val="21"/>
                <w:szCs w:val="21"/>
                <w:lang w:eastAsia="zh-CN"/>
              </w:rPr>
              <w:t>罐区</w:t>
            </w:r>
          </w:p>
        </w:tc>
        <w:tc>
          <w:tcPr>
            <w:tcW w:w="1119" w:type="pct"/>
            <w:noWrap w:val="0"/>
            <w:vAlign w:val="center"/>
          </w:tcPr>
          <w:p>
            <w:pPr>
              <w:spacing w:line="240" w:lineRule="auto"/>
              <w:ind w:firstLine="0"/>
              <w:jc w:val="center"/>
              <w:rPr>
                <w:rFonts w:hint="eastAsia" w:hAnsi="宋体" w:eastAsia="宋体" w:cs="宋体"/>
                <w:bCs/>
                <w:color w:val="000000"/>
                <w:sz w:val="21"/>
                <w:szCs w:val="21"/>
                <w:lang w:eastAsia="zh-CN"/>
              </w:rPr>
            </w:pPr>
            <w:r>
              <w:rPr>
                <w:rFonts w:hint="eastAsia" w:cs="宋体"/>
                <w:bCs/>
                <w:color w:val="000000"/>
                <w:sz w:val="21"/>
                <w:szCs w:val="21"/>
                <w:lang w:eastAsia="zh-CN"/>
              </w:rPr>
              <w:t>装车泵</w:t>
            </w:r>
          </w:p>
        </w:tc>
        <w:tc>
          <w:tcPr>
            <w:tcW w:w="375" w:type="pct"/>
            <w:noWrap w:val="0"/>
            <w:vAlign w:val="center"/>
          </w:tcPr>
          <w:p>
            <w:pPr>
              <w:spacing w:line="240" w:lineRule="auto"/>
              <w:ind w:firstLine="0"/>
              <w:jc w:val="center"/>
              <w:rPr>
                <w:rFonts w:hint="default" w:cs="宋体"/>
                <w:bCs/>
                <w:color w:val="000000"/>
                <w:sz w:val="21"/>
                <w:szCs w:val="21"/>
                <w:lang w:val="en-US" w:eastAsia="zh-CN"/>
              </w:rPr>
            </w:pPr>
            <w:r>
              <w:rPr>
                <w:rFonts w:hint="eastAsia" w:ascii="Times New Roman" w:hAnsi="Times New Roman" w:cs="宋体"/>
                <w:bCs/>
                <w:color w:val="000000"/>
                <w:sz w:val="21"/>
                <w:szCs w:val="21"/>
                <w:lang w:val="en-US" w:eastAsia="zh-CN"/>
              </w:rPr>
              <w:t>4</w:t>
            </w:r>
          </w:p>
        </w:tc>
        <w:tc>
          <w:tcPr>
            <w:tcW w:w="1384" w:type="pct"/>
            <w:noWrap w:val="0"/>
            <w:vAlign w:val="center"/>
          </w:tcPr>
          <w:p>
            <w:pPr>
              <w:pStyle w:val="555"/>
              <w:spacing w:line="240" w:lineRule="auto"/>
              <w:ind w:firstLine="0" w:firstLineChars="0"/>
              <w:jc w:val="center"/>
              <w:rPr>
                <w:rFonts w:hint="default" w:ascii="Times New Roman" w:eastAsia="宋体"/>
                <w:bCs/>
                <w:color w:val="000000"/>
                <w:sz w:val="21"/>
                <w:szCs w:val="21"/>
                <w:lang w:val="en-US" w:eastAsia="zh-CN"/>
              </w:rPr>
            </w:pPr>
            <w:r>
              <w:rPr>
                <w:rFonts w:hint="eastAsia" w:ascii="Times New Roman" w:hAnsi="Times New Roman"/>
                <w:bCs/>
                <w:color w:val="000000"/>
                <w:sz w:val="21"/>
                <w:szCs w:val="21"/>
                <w:lang w:val="en-US" w:eastAsia="zh-CN"/>
              </w:rPr>
              <w:t>75</w:t>
            </w:r>
            <w:r>
              <w:rPr>
                <w:rFonts w:hint="eastAsia" w:hAnsi="宋体" w:cs="宋体"/>
                <w:bCs/>
                <w:color w:val="000000"/>
                <w:sz w:val="21"/>
                <w:szCs w:val="21"/>
              </w:rPr>
              <w:t>～</w:t>
            </w:r>
            <w:r>
              <w:rPr>
                <w:rFonts w:hint="eastAsia" w:ascii="Times New Roman" w:hAnsi="Times New Roman" w:cs="宋体"/>
                <w:bCs/>
                <w:color w:val="000000"/>
                <w:sz w:val="21"/>
                <w:szCs w:val="21"/>
                <w:lang w:val="en-US" w:eastAsia="zh-CN"/>
              </w:rPr>
              <w:t>85</w:t>
            </w:r>
          </w:p>
        </w:tc>
        <w:tc>
          <w:tcPr>
            <w:tcW w:w="623" w:type="pct"/>
            <w:noWrap w:val="0"/>
            <w:vAlign w:val="center"/>
          </w:tcPr>
          <w:p>
            <w:pPr>
              <w:pStyle w:val="555"/>
              <w:spacing w:line="240" w:lineRule="auto"/>
              <w:ind w:firstLine="0" w:firstLineChars="0"/>
              <w:jc w:val="center"/>
              <w:rPr>
                <w:rFonts w:hint="eastAsia" w:ascii="宋体" w:hAnsi="宋体" w:eastAsia="宋体" w:cs="宋体"/>
                <w:bCs/>
                <w:color w:val="000000"/>
                <w:sz w:val="21"/>
                <w:szCs w:val="21"/>
                <w:lang w:val="en-US" w:eastAsia="zh-CN" w:bidi="ar-SA"/>
              </w:rPr>
            </w:pPr>
            <w:r>
              <w:rPr>
                <w:rFonts w:hint="eastAsia" w:cs="宋体"/>
                <w:bCs/>
                <w:color w:val="000000"/>
                <w:sz w:val="21"/>
                <w:szCs w:val="21"/>
                <w:lang w:eastAsia="zh-CN"/>
              </w:rPr>
              <w:t>类比</w:t>
            </w:r>
          </w:p>
        </w:tc>
        <w:tc>
          <w:tcPr>
            <w:tcW w:w="623" w:type="pct"/>
            <w:noWrap w:val="0"/>
            <w:vAlign w:val="center"/>
          </w:tcPr>
          <w:p>
            <w:pPr>
              <w:pStyle w:val="555"/>
              <w:spacing w:line="240" w:lineRule="auto"/>
              <w:ind w:firstLine="0" w:firstLineChars="0"/>
              <w:jc w:val="center"/>
              <w:rPr>
                <w:rFonts w:hint="eastAsia" w:ascii="Times New Roman" w:hAnsi="宋体" w:eastAsia="宋体" w:cs="Times New Roman"/>
                <w:bCs/>
                <w:color w:val="000000"/>
                <w:sz w:val="21"/>
                <w:szCs w:val="21"/>
                <w:lang w:val="en-US" w:eastAsia="zh-CN" w:bidi="ar-SA"/>
              </w:rPr>
            </w:pPr>
            <w:r>
              <w:rPr>
                <w:rFonts w:hint="eastAsia" w:ascii="Times New Roman"/>
                <w:bCs/>
                <w:color w:val="000000"/>
                <w:sz w:val="21"/>
                <w:szCs w:val="21"/>
                <w:lang w:eastAsia="zh-CN"/>
              </w:rPr>
              <w:t>连续</w:t>
            </w:r>
          </w:p>
        </w:tc>
      </w:tr>
    </w:tbl>
    <w:p>
      <w:pPr>
        <w:pStyle w:val="5"/>
        <w:bidi w:val="0"/>
        <w:rPr>
          <w:rFonts w:hint="eastAsia"/>
        </w:rPr>
      </w:pPr>
      <w:r>
        <w:rPr>
          <w:rFonts w:hint="eastAsia" w:ascii="Times New Roman" w:hAnsi="Times New Roman"/>
          <w:lang w:val="en-US" w:eastAsia="zh-CN"/>
        </w:rPr>
        <w:t>4</w:t>
      </w:r>
      <w:r>
        <w:rPr>
          <w:rFonts w:hint="eastAsia"/>
        </w:rPr>
        <w:t>.</w:t>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4</w:t>
      </w:r>
      <w:r>
        <w:rPr>
          <w:rFonts w:hint="eastAsia"/>
        </w:rPr>
        <w:t>固体废物</w:t>
      </w:r>
    </w:p>
    <w:p>
      <w:pPr>
        <w:spacing w:line="440" w:lineRule="exact"/>
        <w:rPr>
          <w:rFonts w:hint="eastAsia"/>
          <w:lang w:eastAsia="zh-CN"/>
        </w:rPr>
      </w:pPr>
      <w:r>
        <w:rPr>
          <w:rFonts w:hint="eastAsia"/>
          <w:lang w:eastAsia="zh-CN"/>
        </w:rPr>
        <w:t>（</w:t>
      </w:r>
      <w:r>
        <w:rPr>
          <w:rFonts w:hint="eastAsia" w:ascii="Times New Roman" w:hAnsi="Times New Roman"/>
          <w:lang w:val="en-US" w:eastAsia="zh-CN"/>
        </w:rPr>
        <w:t>1</w:t>
      </w:r>
      <w:r>
        <w:rPr>
          <w:rFonts w:hint="eastAsia"/>
          <w:lang w:eastAsia="zh-CN"/>
        </w:rPr>
        <w:t>）废催化剂</w:t>
      </w:r>
    </w:p>
    <w:p>
      <w:pPr>
        <w:spacing w:line="440" w:lineRule="exact"/>
        <w:rPr>
          <w:rFonts w:hint="eastAsia" w:ascii="Times New Roman"/>
          <w:lang w:eastAsia="zh-CN"/>
        </w:rPr>
      </w:pPr>
      <w:r>
        <w:rPr>
          <w:rFonts w:hint="eastAsia"/>
          <w:lang w:eastAsia="zh-CN"/>
        </w:rPr>
        <w:t>本项目主要固废为废催化剂，包括</w:t>
      </w:r>
      <w:r>
        <w:rPr>
          <w:rFonts w:hint="eastAsia" w:ascii="Times New Roman" w:hAnsi="Times New Roman"/>
          <w:lang w:val="en-US" w:eastAsia="zh-CN"/>
        </w:rPr>
        <w:t>PD</w:t>
      </w:r>
      <w:r>
        <w:rPr>
          <w:rFonts w:hint="eastAsia"/>
          <w:lang w:val="en-US" w:eastAsia="zh-CN"/>
        </w:rPr>
        <w:t>反应器废催化剂</w:t>
      </w:r>
      <w:r>
        <w:rPr>
          <w:rFonts w:hint="eastAsia"/>
          <w:lang w:eastAsia="zh-CN"/>
        </w:rPr>
        <w:t>（</w:t>
      </w:r>
      <w:r>
        <w:rPr>
          <w:rFonts w:hint="eastAsia" w:ascii="Times New Roman" w:hAnsi="Times New Roman"/>
          <w:lang w:val="en-US" w:eastAsia="zh-CN"/>
        </w:rPr>
        <w:t>S</w:t>
      </w:r>
      <w:r>
        <w:rPr>
          <w:rFonts w:hint="eastAsia" w:ascii="Times New Roman" w:hAnsi="Times New Roman"/>
          <w:vertAlign w:val="subscript"/>
          <w:lang w:val="en-US" w:eastAsia="zh-CN"/>
        </w:rPr>
        <w:t>1</w:t>
      </w:r>
      <w:r>
        <w:rPr>
          <w:rFonts w:hint="eastAsia"/>
          <w:lang w:eastAsia="zh-CN"/>
        </w:rPr>
        <w:t>）（</w:t>
      </w:r>
      <w:r>
        <w:rPr>
          <w:rFonts w:hint="eastAsia"/>
          <w:lang w:val="en-US" w:eastAsia="zh-CN"/>
        </w:rPr>
        <w:t>废物代码：</w:t>
      </w:r>
      <w:r>
        <w:rPr>
          <w:rFonts w:hint="eastAsia" w:ascii="Times New Roman" w:hAnsi="Times New Roman"/>
          <w:lang w:val="en-US" w:eastAsia="zh-CN"/>
        </w:rPr>
        <w:t>276</w:t>
      </w:r>
      <w:r>
        <w:rPr>
          <w:rFonts w:hint="eastAsia"/>
          <w:lang w:val="en-US" w:eastAsia="zh-CN"/>
        </w:rPr>
        <w:t>-</w:t>
      </w:r>
      <w:r>
        <w:rPr>
          <w:rFonts w:hint="eastAsia" w:ascii="Times New Roman" w:hAnsi="Times New Roman"/>
          <w:lang w:val="en-US" w:eastAsia="zh-CN"/>
        </w:rPr>
        <w:t>006</w:t>
      </w:r>
      <w:r>
        <w:rPr>
          <w:rFonts w:hint="eastAsia"/>
          <w:lang w:val="en-US" w:eastAsia="zh-CN"/>
        </w:rPr>
        <w:t>-</w:t>
      </w:r>
      <w:r>
        <w:rPr>
          <w:rFonts w:hint="eastAsia" w:ascii="Times New Roman" w:hAnsi="Times New Roman"/>
          <w:lang w:val="en-US" w:eastAsia="zh-CN"/>
        </w:rPr>
        <w:t>50</w:t>
      </w:r>
      <w:r>
        <w:rPr>
          <w:rFonts w:hint="eastAsia"/>
          <w:lang w:eastAsia="zh-CN"/>
        </w:rPr>
        <w:t>），合计产生量</w:t>
      </w:r>
      <w:r>
        <w:rPr>
          <w:rFonts w:hint="eastAsia" w:ascii="Times New Roman" w:hAnsi="Times New Roman"/>
          <w:lang w:val="en-US" w:eastAsia="zh-CN"/>
        </w:rPr>
        <w:t>0</w:t>
      </w:r>
      <w:r>
        <w:rPr>
          <w:rFonts w:hint="eastAsia" w:ascii="Times New Roman" w:hAnsi="Times New Roman"/>
          <w:lang w:val="en-US" w:eastAsia="zh-CN"/>
        </w:rPr>
        <w:t>.</w:t>
      </w:r>
      <w:r>
        <w:rPr>
          <w:rFonts w:hint="eastAsia" w:ascii="Times New Roman" w:hAnsi="Times New Roman"/>
          <w:lang w:val="en-US" w:eastAsia="zh-CN"/>
        </w:rPr>
        <w:t>6t</w:t>
      </w:r>
      <w:r>
        <w:rPr>
          <w:rFonts w:hint="eastAsia"/>
          <w:lang w:val="en-US" w:eastAsia="zh-CN"/>
        </w:rPr>
        <w:t>/</w:t>
      </w:r>
      <w:r>
        <w:rPr>
          <w:rFonts w:hint="eastAsia" w:ascii="Times New Roman" w:hAnsi="Times New Roman"/>
          <w:lang w:val="en-US" w:eastAsia="zh-CN"/>
        </w:rPr>
        <w:t>a</w:t>
      </w:r>
      <w:r>
        <w:rPr>
          <w:rFonts w:hint="eastAsia"/>
          <w:lang w:eastAsia="zh-CN"/>
        </w:rPr>
        <w:t>，厂内规范收集，危险废物贮存库暂存，定期委托有资质的单位处理</w:t>
      </w:r>
      <w:r>
        <w:rPr>
          <w:rFonts w:hint="eastAsia"/>
        </w:rPr>
        <w:t>。</w:t>
      </w:r>
    </w:p>
    <w:p>
      <w:pPr>
        <w:spacing w:line="440" w:lineRule="exact"/>
        <w:rPr>
          <w:rFonts w:hint="eastAsia" w:ascii="Times New Roman"/>
          <w:lang w:eastAsia="zh-CN"/>
        </w:rPr>
      </w:pPr>
      <w:r>
        <w:rPr>
          <w:rFonts w:hint="eastAsia" w:ascii="Times New Roman"/>
          <w:lang w:eastAsia="zh-CN"/>
        </w:rPr>
        <w:t>（</w:t>
      </w:r>
      <w:r>
        <w:rPr>
          <w:rFonts w:hint="eastAsia" w:ascii="Times New Roman" w:hAnsi="Times New Roman"/>
          <w:lang w:val="en-US" w:eastAsia="zh-CN"/>
        </w:rPr>
        <w:t>2</w:t>
      </w:r>
      <w:r>
        <w:rPr>
          <w:rFonts w:hint="eastAsia" w:ascii="Times New Roman"/>
          <w:lang w:eastAsia="zh-CN"/>
        </w:rPr>
        <w:t>）污水站污泥</w:t>
      </w:r>
    </w:p>
    <w:p>
      <w:pPr>
        <w:bidi w:val="0"/>
        <w:rPr>
          <w:rFonts w:hint="default"/>
          <w:lang w:val="en-US" w:eastAsia="zh-CN"/>
        </w:rPr>
      </w:pPr>
      <w:r>
        <w:rPr>
          <w:rFonts w:hint="eastAsia"/>
          <w:lang w:val="en-US" w:eastAsia="zh-CN"/>
        </w:rPr>
        <w:t>本项目新增污水量包括装置地面冲洗废水</w:t>
      </w:r>
      <w:r>
        <w:rPr>
          <w:rFonts w:hint="eastAsia" w:ascii="Times New Roman" w:hAnsi="Times New Roman"/>
          <w:lang w:val="en-US" w:eastAsia="zh-CN"/>
        </w:rPr>
        <w:t>266</w:t>
      </w:r>
      <w:r>
        <w:rPr>
          <w:rFonts w:hint="eastAsia"/>
          <w:lang w:val="en-US" w:eastAsia="zh-CN"/>
        </w:rPr>
        <w:t>.</w:t>
      </w:r>
      <w:r>
        <w:rPr>
          <w:rFonts w:hint="eastAsia" w:ascii="Times New Roman" w:hAnsi="Times New Roman"/>
          <w:lang w:val="en-US" w:eastAsia="zh-CN"/>
        </w:rPr>
        <w:t>02m</w:t>
      </w:r>
      <w:r>
        <w:rPr>
          <w:rFonts w:hint="eastAsia"/>
          <w:lang w:val="en-US" w:eastAsia="zh-CN"/>
        </w:rPr>
        <w:t>³/</w:t>
      </w:r>
      <w:r>
        <w:rPr>
          <w:rFonts w:hint="eastAsia" w:ascii="Times New Roman" w:hAnsi="Times New Roman"/>
          <w:lang w:val="en-US" w:eastAsia="zh-CN"/>
        </w:rPr>
        <w:t>a</w:t>
      </w:r>
      <w:r>
        <w:rPr>
          <w:rFonts w:hint="eastAsia"/>
          <w:lang w:val="en-US" w:eastAsia="zh-CN"/>
        </w:rPr>
        <w:t>，新增生活污水</w:t>
      </w:r>
      <w:r>
        <w:rPr>
          <w:rFonts w:hint="eastAsia" w:ascii="Times New Roman" w:hAnsi="Times New Roman"/>
          <w:lang w:val="en-US" w:eastAsia="zh-CN"/>
        </w:rPr>
        <w:t>213</w:t>
      </w:r>
      <w:r>
        <w:rPr>
          <w:rFonts w:hint="eastAsia"/>
          <w:lang w:val="en-US" w:eastAsia="zh-CN"/>
        </w:rPr>
        <w:t>.</w:t>
      </w:r>
      <w:r>
        <w:rPr>
          <w:rFonts w:hint="eastAsia" w:ascii="Times New Roman" w:hAnsi="Times New Roman"/>
          <w:lang w:val="en-US" w:eastAsia="zh-CN"/>
        </w:rPr>
        <w:t>12m</w:t>
      </w:r>
      <w:r>
        <w:rPr>
          <w:rFonts w:hint="eastAsia"/>
          <w:lang w:val="en-US" w:eastAsia="zh-CN"/>
        </w:rPr>
        <w:t>³/</w:t>
      </w:r>
      <w:r>
        <w:rPr>
          <w:rFonts w:hint="eastAsia" w:ascii="Times New Roman" w:hAnsi="Times New Roman"/>
          <w:lang w:val="en-US" w:eastAsia="zh-CN"/>
        </w:rPr>
        <w:t>a</w:t>
      </w:r>
      <w:r>
        <w:rPr>
          <w:rFonts w:hint="eastAsia"/>
          <w:lang w:val="en-US" w:eastAsia="zh-CN"/>
        </w:rPr>
        <w:t>。根据现有工程废水主要污染物</w:t>
      </w:r>
      <w:r>
        <w:rPr>
          <w:rFonts w:hint="eastAsia" w:ascii="Times New Roman" w:hAnsi="Times New Roman"/>
          <w:lang w:val="en-US" w:eastAsia="zh-CN"/>
        </w:rPr>
        <w:t>COD</w:t>
      </w:r>
      <w:r>
        <w:rPr>
          <w:rFonts w:hint="eastAsia"/>
          <w:lang w:val="en-US" w:eastAsia="zh-CN"/>
        </w:rPr>
        <w:t>产生量与污泥产生量类比，验收期间厂内</w:t>
      </w:r>
      <w:r>
        <w:rPr>
          <w:rFonts w:hint="eastAsia" w:ascii="Times New Roman" w:hAnsi="Times New Roman"/>
          <w:lang w:val="en-US" w:eastAsia="zh-CN"/>
        </w:rPr>
        <w:t>COD</w:t>
      </w:r>
      <w:r>
        <w:rPr>
          <w:rFonts w:hint="eastAsia"/>
          <w:lang w:val="en-US" w:eastAsia="zh-CN"/>
        </w:rPr>
        <w:t>：</w:t>
      </w:r>
      <w:r>
        <w:rPr>
          <w:rFonts w:hint="eastAsia" w:ascii="Times New Roman" w:hAnsi="Times New Roman"/>
          <w:lang w:val="en-US" w:eastAsia="zh-CN"/>
        </w:rPr>
        <w:t>3322300t</w:t>
      </w:r>
      <w:r>
        <w:rPr>
          <w:rFonts w:hint="eastAsia"/>
          <w:lang w:val="en-US" w:eastAsia="zh-CN"/>
        </w:rPr>
        <w:t>/</w:t>
      </w:r>
      <w:r>
        <w:rPr>
          <w:rFonts w:hint="eastAsia" w:ascii="Times New Roman" w:hAnsi="Times New Roman"/>
          <w:lang w:val="en-US" w:eastAsia="zh-CN"/>
        </w:rPr>
        <w:t>a</w:t>
      </w:r>
      <w:r>
        <w:rPr>
          <w:rFonts w:hint="eastAsia"/>
          <w:lang w:val="en-US" w:eastAsia="zh-CN"/>
        </w:rPr>
        <w:t>，产生污泥</w:t>
      </w:r>
      <w:r>
        <w:rPr>
          <w:rFonts w:hint="eastAsia" w:ascii="Times New Roman" w:hAnsi="Times New Roman"/>
          <w:lang w:val="en-US" w:eastAsia="zh-CN"/>
        </w:rPr>
        <w:t>34650t</w:t>
      </w:r>
      <w:r>
        <w:rPr>
          <w:rFonts w:hint="eastAsia"/>
          <w:lang w:val="en-US" w:eastAsia="zh-CN"/>
        </w:rPr>
        <w:t>/</w:t>
      </w:r>
      <w:r>
        <w:rPr>
          <w:rFonts w:hint="eastAsia" w:ascii="Times New Roman" w:hAnsi="Times New Roman"/>
          <w:lang w:val="en-US" w:eastAsia="zh-CN"/>
        </w:rPr>
        <w:t>a</w:t>
      </w:r>
      <w:r>
        <w:rPr>
          <w:rFonts w:hint="eastAsia"/>
          <w:lang w:val="en-US" w:eastAsia="zh-CN"/>
        </w:rPr>
        <w:t>（含水率≤</w:t>
      </w:r>
      <w:r>
        <w:rPr>
          <w:rFonts w:hint="eastAsia" w:ascii="Times New Roman" w:hAnsi="Times New Roman"/>
          <w:lang w:val="en-US" w:eastAsia="zh-CN"/>
        </w:rPr>
        <w:t>60</w:t>
      </w:r>
      <w:r>
        <w:rPr>
          <w:rFonts w:hint="eastAsia"/>
          <w:lang w:val="en-US" w:eastAsia="zh-CN"/>
        </w:rPr>
        <w:t>%），则本项目新增废水处理将新增</w:t>
      </w:r>
      <w:r>
        <w:rPr>
          <w:rFonts w:hint="eastAsia" w:ascii="Times New Roman" w:hAnsi="Times New Roman"/>
          <w:lang w:val="en-US" w:eastAsia="zh-CN"/>
        </w:rPr>
        <w:t>COD0</w:t>
      </w:r>
      <w:r>
        <w:rPr>
          <w:rFonts w:hint="eastAsia"/>
          <w:lang w:val="en-US" w:eastAsia="zh-CN"/>
        </w:rPr>
        <w:t>.</w:t>
      </w:r>
      <w:r>
        <w:rPr>
          <w:rFonts w:hint="eastAsia" w:ascii="Times New Roman" w:hAnsi="Times New Roman"/>
          <w:lang w:val="en-US" w:eastAsia="zh-CN"/>
        </w:rPr>
        <w:t>222t</w:t>
      </w:r>
      <w:r>
        <w:rPr>
          <w:rFonts w:hint="eastAsia"/>
          <w:lang w:val="en-US" w:eastAsia="zh-CN"/>
        </w:rPr>
        <w:t>/</w:t>
      </w:r>
      <w:r>
        <w:rPr>
          <w:rFonts w:hint="eastAsia" w:ascii="Times New Roman" w:hAnsi="Times New Roman"/>
          <w:lang w:val="en-US" w:eastAsia="zh-CN"/>
        </w:rPr>
        <w:t>a</w:t>
      </w:r>
      <w:r>
        <w:rPr>
          <w:rFonts w:hint="eastAsia"/>
          <w:lang w:val="en-US" w:eastAsia="zh-CN"/>
        </w:rPr>
        <w:t>，则增加污水站污泥量</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0023t</w:t>
      </w:r>
      <w:r>
        <w:rPr>
          <w:rFonts w:hint="eastAsia"/>
          <w:lang w:val="en-US" w:eastAsia="zh-CN"/>
        </w:rPr>
        <w:t>/</w:t>
      </w:r>
      <w:r>
        <w:rPr>
          <w:rFonts w:hint="eastAsia" w:ascii="Times New Roman" w:hAnsi="Times New Roman"/>
          <w:lang w:val="en-US" w:eastAsia="zh-CN"/>
        </w:rPr>
        <w:t>a</w:t>
      </w:r>
      <w:r>
        <w:rPr>
          <w:rFonts w:hint="eastAsia"/>
          <w:lang w:val="en-US" w:eastAsia="zh-CN"/>
        </w:rPr>
        <w:t>。根据新疆危废管家环保工程有限公司出具的《关于凯赛（乌苏）生物材料有限公司污水处理污泥固体废物属性鉴别情况的证明》，污水处理污泥初筛检测结果表面，厂内污泥不具有危险特性，属于一般固废，纳入厂内现有工程固废管理，压滤后拉运至乌苏工业园区一般工业固废填埋场。</w:t>
      </w:r>
    </w:p>
    <w:p>
      <w:pPr>
        <w:spacing w:line="440" w:lineRule="exact"/>
        <w:rPr>
          <w:rFonts w:hint="eastAsia"/>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）生活垃圾</w:t>
      </w:r>
    </w:p>
    <w:p>
      <w:pPr>
        <w:spacing w:line="440" w:lineRule="exact"/>
        <w:rPr>
          <w:rFonts w:hint="eastAsia"/>
        </w:rPr>
      </w:pPr>
      <w:r>
        <w:rPr>
          <w:rFonts w:hint="eastAsia"/>
        </w:rPr>
        <w:t>本项目</w:t>
      </w:r>
      <w:r>
        <w:rPr>
          <w:rFonts w:hint="eastAsia"/>
          <w:lang w:eastAsia="zh-CN"/>
        </w:rPr>
        <w:t>新增</w:t>
      </w:r>
      <w:r>
        <w:rPr>
          <w:rFonts w:hint="eastAsia"/>
        </w:rPr>
        <w:t>员工</w:t>
      </w:r>
      <w:r>
        <w:rPr>
          <w:rFonts w:hint="eastAsia" w:ascii="Times New Roman" w:hAnsi="Times New Roman"/>
          <w:lang w:val="en-US" w:eastAsia="zh-CN"/>
        </w:rPr>
        <w:t>8</w:t>
      </w:r>
      <w:r>
        <w:rPr>
          <w:rFonts w:hint="eastAsia"/>
        </w:rPr>
        <w:t>人，生活垃圾产生量以每人</w:t>
      </w:r>
      <w:r>
        <w:rPr>
          <w:rFonts w:hint="eastAsia" w:ascii="Times New Roman" w:hAnsi="Times New Roman"/>
        </w:rPr>
        <w:t>0</w:t>
      </w:r>
      <w:r>
        <w:rPr>
          <w:rFonts w:hint="eastAsia"/>
        </w:rPr>
        <w:t>.</w:t>
      </w:r>
      <w:r>
        <w:rPr>
          <w:rFonts w:hint="eastAsia" w:ascii="Times New Roman" w:hAnsi="Times New Roman"/>
        </w:rPr>
        <w:t>5kg</w:t>
      </w:r>
      <w:r>
        <w:rPr>
          <w:rFonts w:hint="eastAsia"/>
        </w:rPr>
        <w:t>/</w:t>
      </w:r>
      <w:r>
        <w:rPr>
          <w:rFonts w:hint="eastAsia" w:ascii="Times New Roman" w:hAnsi="Times New Roman"/>
        </w:rPr>
        <w:t>d</w:t>
      </w:r>
      <w:r>
        <w:rPr>
          <w:rFonts w:hint="eastAsia"/>
        </w:rPr>
        <w:t>·天计，则生活垃圾产生量为</w:t>
      </w:r>
      <w:r>
        <w:rPr>
          <w:rFonts w:hint="eastAsia" w:ascii="Times New Roman" w:hAnsi="Times New Roman"/>
          <w:lang w:val="en-US" w:eastAsia="zh-CN"/>
        </w:rPr>
        <w:t>1</w:t>
      </w:r>
      <w:r>
        <w:rPr>
          <w:rFonts w:hint="eastAsia" w:ascii="Times New Roman"/>
          <w:lang w:val="en-US" w:eastAsia="zh-CN"/>
        </w:rPr>
        <w:t>.</w:t>
      </w:r>
      <w:r>
        <w:rPr>
          <w:rFonts w:hint="eastAsia" w:ascii="Times New Roman" w:hAnsi="Times New Roman"/>
          <w:lang w:val="en-US" w:eastAsia="zh-CN"/>
        </w:rPr>
        <w:t>332</w:t>
      </w:r>
      <w:r>
        <w:rPr>
          <w:rFonts w:hint="eastAsia" w:ascii="Times New Roman" w:hAnsi="Times New Roman"/>
        </w:rPr>
        <w:t>t</w:t>
      </w:r>
      <w:r>
        <w:rPr>
          <w:rFonts w:hint="eastAsia"/>
        </w:rPr>
        <w:t>/</w:t>
      </w:r>
      <w:r>
        <w:rPr>
          <w:rFonts w:hint="eastAsia" w:ascii="Times New Roman" w:hAnsi="Times New Roman"/>
        </w:rPr>
        <w:t>a</w:t>
      </w:r>
      <w:r>
        <w:rPr>
          <w:rFonts w:hint="eastAsia" w:ascii="Times New Roman"/>
          <w:lang w:eastAsia="zh-CN"/>
        </w:rPr>
        <w:t>。</w:t>
      </w:r>
    </w:p>
    <w:p>
      <w:pPr>
        <w:pStyle w:val="4"/>
        <w:spacing w:before="156" w:after="156"/>
        <w:rPr>
          <w:rFonts w:hint="eastAsia"/>
        </w:rPr>
      </w:pPr>
      <w:bookmarkStart w:id="141" w:name="_Toc20055"/>
      <w:bookmarkStart w:id="142" w:name="_Toc23909"/>
      <w:r>
        <w:rPr>
          <w:rFonts w:hint="eastAsia" w:ascii="Times New Roman" w:hAnsi="Times New Roman"/>
          <w:lang w:val="en-US" w:eastAsia="zh-CN"/>
        </w:rPr>
        <w:t>4</w:t>
      </w:r>
      <w:r>
        <w:rPr>
          <w:rFonts w:hint="eastAsia"/>
        </w:rPr>
        <w:t>.</w:t>
      </w:r>
      <w:r>
        <w:rPr>
          <w:rFonts w:hint="eastAsia" w:ascii="Times New Roman" w:hAnsi="Times New Roman"/>
          <w:lang w:val="en-US" w:eastAsia="zh-CN"/>
        </w:rPr>
        <w:t>8</w:t>
      </w:r>
      <w:r>
        <w:rPr>
          <w:rFonts w:hint="eastAsia"/>
        </w:rPr>
        <w:t>污染源汇总分析</w:t>
      </w:r>
      <w:bookmarkEnd w:id="141"/>
      <w:bookmarkEnd w:id="142"/>
    </w:p>
    <w:p>
      <w:pPr>
        <w:rPr>
          <w:rFonts w:hint="eastAsia"/>
        </w:rPr>
      </w:pPr>
      <w:r>
        <w:rPr>
          <w:rFonts w:hint="eastAsia"/>
        </w:rPr>
        <w:t>本项目建成后，各类污染物的的排放情况统计见表</w:t>
      </w:r>
      <w:r>
        <w:rPr>
          <w:rFonts w:hint="eastAsia" w:ascii="Times New Roman" w:hAnsi="Times New Roman"/>
          <w:lang w:val="en-US" w:eastAsia="zh-CN"/>
        </w:rPr>
        <w:t>4</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1</w:t>
      </w:r>
      <w:r>
        <w:rPr>
          <w:rFonts w:hint="eastAsia"/>
        </w:rPr>
        <w:t>。</w:t>
      </w:r>
    </w:p>
    <w:p>
      <w:pPr>
        <w:pStyle w:val="20"/>
        <w:spacing w:before="156"/>
        <w:rPr>
          <w:rFonts w:hint="eastAsia" w:eastAsia="宋体"/>
          <w:lang w:eastAsia="zh-CN"/>
        </w:rPr>
      </w:pPr>
      <w:r>
        <w:rPr>
          <w:rFonts w:hint="eastAsia"/>
        </w:rP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1</w:t>
      </w:r>
      <w:r>
        <w:rPr>
          <w:rFonts w:hint="eastAsia"/>
        </w:rPr>
        <w:t xml:space="preserve">  本项目污染物</w:t>
      </w:r>
      <w:r>
        <w:rPr>
          <w:rFonts w:hint="eastAsia"/>
          <w:lang w:eastAsia="zh-CN"/>
        </w:rPr>
        <w:t>排放量</w:t>
      </w:r>
      <w:r>
        <w:rPr>
          <w:rFonts w:hint="eastAsia"/>
        </w:rPr>
        <w:t>统计</w:t>
      </w:r>
      <w:r>
        <w:rPr>
          <w:rFonts w:hint="eastAsia"/>
          <w:lang w:eastAsia="zh-CN"/>
        </w:rPr>
        <w:t>一览表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370"/>
        <w:gridCol w:w="2017"/>
        <w:gridCol w:w="988"/>
        <w:gridCol w:w="1409"/>
        <w:gridCol w:w="1398"/>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tcBorders>
              <w:top w:val="single" w:color="auto" w:sz="12" w:space="0"/>
              <w:left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项目</w:t>
            </w:r>
          </w:p>
        </w:tc>
        <w:tc>
          <w:tcPr>
            <w:tcW w:w="3005" w:type="dxa"/>
            <w:gridSpan w:val="2"/>
            <w:tcBorders>
              <w:top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指标名称</w:t>
            </w:r>
          </w:p>
        </w:tc>
        <w:tc>
          <w:tcPr>
            <w:tcW w:w="0" w:type="auto"/>
            <w:tcBorders>
              <w:top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产生量（</w:t>
            </w:r>
            <w:r>
              <w:rPr>
                <w:rFonts w:hint="eastAsia" w:ascii="Times New Roman" w:hAnsi="Times New Roman"/>
                <w:sz w:val="21"/>
                <w:szCs w:val="21"/>
              </w:rPr>
              <w:t>t</w:t>
            </w:r>
            <w:r>
              <w:rPr>
                <w:rFonts w:hint="eastAsia"/>
                <w:sz w:val="21"/>
                <w:szCs w:val="21"/>
              </w:rPr>
              <w:t>/</w:t>
            </w:r>
            <w:r>
              <w:rPr>
                <w:rFonts w:hint="eastAsia" w:ascii="Times New Roman" w:hAnsi="Times New Roman"/>
                <w:sz w:val="21"/>
                <w:szCs w:val="21"/>
              </w:rPr>
              <w:t>a</w:t>
            </w:r>
            <w:r>
              <w:rPr>
                <w:rFonts w:hint="eastAsia"/>
                <w:sz w:val="21"/>
                <w:szCs w:val="21"/>
              </w:rPr>
              <w:t>）</w:t>
            </w:r>
          </w:p>
        </w:tc>
        <w:tc>
          <w:tcPr>
            <w:tcW w:w="0" w:type="auto"/>
            <w:tcBorders>
              <w:top w:val="single" w:color="auto" w:sz="12" w:space="0"/>
            </w:tcBorders>
            <w:noWrap w:val="0"/>
            <w:vAlign w:val="center"/>
          </w:tcPr>
          <w:p>
            <w:pPr>
              <w:spacing w:line="260" w:lineRule="exact"/>
              <w:ind w:firstLine="0"/>
              <w:jc w:val="center"/>
              <w:rPr>
                <w:rFonts w:hint="eastAsia"/>
                <w:sz w:val="21"/>
                <w:szCs w:val="21"/>
              </w:rPr>
            </w:pPr>
            <w:r>
              <w:rPr>
                <w:rFonts w:hint="eastAsia"/>
                <w:sz w:val="21"/>
                <w:szCs w:val="21"/>
                <w:lang w:eastAsia="zh-CN"/>
              </w:rPr>
              <w:t>削减</w:t>
            </w:r>
            <w:r>
              <w:rPr>
                <w:rFonts w:hint="eastAsia"/>
                <w:sz w:val="21"/>
                <w:szCs w:val="21"/>
              </w:rPr>
              <w:t>量（</w:t>
            </w:r>
            <w:r>
              <w:rPr>
                <w:rFonts w:hint="eastAsia" w:ascii="Times New Roman" w:hAnsi="Times New Roman"/>
                <w:sz w:val="21"/>
                <w:szCs w:val="21"/>
              </w:rPr>
              <w:t>t</w:t>
            </w:r>
            <w:r>
              <w:rPr>
                <w:rFonts w:hint="eastAsia"/>
                <w:sz w:val="21"/>
                <w:szCs w:val="21"/>
              </w:rPr>
              <w:t>/</w:t>
            </w:r>
            <w:r>
              <w:rPr>
                <w:rFonts w:hint="eastAsia" w:ascii="Times New Roman" w:hAnsi="Times New Roman"/>
                <w:sz w:val="21"/>
                <w:szCs w:val="21"/>
              </w:rPr>
              <w:t>a</w:t>
            </w:r>
            <w:r>
              <w:rPr>
                <w:rFonts w:hint="eastAsia"/>
                <w:sz w:val="21"/>
                <w:szCs w:val="21"/>
              </w:rPr>
              <w:t>）</w:t>
            </w:r>
          </w:p>
        </w:tc>
        <w:tc>
          <w:tcPr>
            <w:tcW w:w="0" w:type="auto"/>
            <w:tcBorders>
              <w:top w:val="single" w:color="auto" w:sz="12" w:space="0"/>
              <w:right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排放量（</w:t>
            </w:r>
            <w:r>
              <w:rPr>
                <w:rFonts w:hint="eastAsia" w:ascii="Times New Roman" w:hAnsi="Times New Roman"/>
                <w:sz w:val="21"/>
                <w:szCs w:val="21"/>
              </w:rPr>
              <w:t>t</w:t>
            </w:r>
            <w:r>
              <w:rPr>
                <w:rFonts w:hint="eastAsia"/>
                <w:sz w:val="21"/>
                <w:szCs w:val="21"/>
              </w:rPr>
              <w:t>/</w:t>
            </w:r>
            <w:r>
              <w:rPr>
                <w:rFonts w:hint="eastAsia" w:ascii="Times New Roman" w:hAnsi="Times New Roman"/>
                <w:sz w:val="21"/>
                <w:szCs w:val="21"/>
              </w:rPr>
              <w:t>a</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0" w:type="auto"/>
            <w:vMerge w:val="restart"/>
            <w:tcBorders>
              <w:left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废气</w:t>
            </w:r>
          </w:p>
        </w:tc>
        <w:tc>
          <w:tcPr>
            <w:tcW w:w="1370" w:type="dxa"/>
            <w:vMerge w:val="restart"/>
            <w:tcBorders>
              <w:left w:val="single" w:color="auto" w:sz="4" w:space="0"/>
            </w:tcBorders>
            <w:noWrap w:val="0"/>
            <w:vAlign w:val="center"/>
          </w:tcPr>
          <w:p>
            <w:pPr>
              <w:spacing w:line="260" w:lineRule="exact"/>
              <w:ind w:firstLine="0"/>
              <w:jc w:val="center"/>
              <w:rPr>
                <w:rFonts w:hint="eastAsia" w:eastAsia="宋体"/>
                <w:sz w:val="21"/>
                <w:szCs w:val="21"/>
                <w:lang w:eastAsia="zh-CN"/>
              </w:rPr>
            </w:pPr>
            <w:r>
              <w:rPr>
                <w:rFonts w:hint="eastAsia"/>
                <w:sz w:val="21"/>
                <w:szCs w:val="21"/>
                <w:lang w:eastAsia="zh-CN"/>
              </w:rPr>
              <w:t>有组织废气</w:t>
            </w:r>
          </w:p>
        </w:tc>
        <w:tc>
          <w:tcPr>
            <w:tcW w:w="2017" w:type="dxa"/>
            <w:vMerge w:val="restart"/>
            <w:noWrap w:val="0"/>
            <w:vAlign w:val="center"/>
          </w:tcPr>
          <w:p>
            <w:pPr>
              <w:spacing w:line="260" w:lineRule="exact"/>
              <w:ind w:firstLine="0"/>
              <w:jc w:val="center"/>
              <w:rPr>
                <w:rFonts w:hint="default" w:eastAsia="宋体"/>
                <w:sz w:val="21"/>
                <w:szCs w:val="21"/>
                <w:lang w:val="en-US" w:eastAsia="zh-CN"/>
              </w:rPr>
            </w:pPr>
            <w:r>
              <w:rPr>
                <w:rFonts w:hint="eastAsia" w:ascii="Times New Roman"/>
                <w:sz w:val="21"/>
                <w:szCs w:val="21"/>
                <w:lang w:val="en-US" w:eastAsia="zh-CN"/>
              </w:rPr>
              <w:t>尾气吸收塔（一级水吸收+二级酸吸收）</w:t>
            </w:r>
          </w:p>
        </w:tc>
        <w:tc>
          <w:tcPr>
            <w:tcW w:w="988" w:type="dxa"/>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NH</w:t>
            </w:r>
            <w:r>
              <w:rPr>
                <w:rFonts w:hint="eastAsia" w:ascii="Times New Roman" w:hAnsi="Times New Roman"/>
                <w:sz w:val="21"/>
                <w:szCs w:val="21"/>
                <w:vertAlign w:val="subscript"/>
                <w:lang w:val="en-US" w:eastAsia="zh-CN"/>
              </w:rPr>
              <w:t>3</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2430</w:t>
            </w:r>
            <w:r>
              <w:rPr>
                <w:rFonts w:hint="eastAsia"/>
                <w:sz w:val="21"/>
                <w:szCs w:val="21"/>
                <w:lang w:val="en-US" w:eastAsia="zh-CN"/>
              </w:rPr>
              <w:t>.</w:t>
            </w:r>
            <w:r>
              <w:rPr>
                <w:rFonts w:hint="eastAsia" w:ascii="Times New Roman" w:hAnsi="Times New Roman"/>
                <w:sz w:val="21"/>
                <w:szCs w:val="21"/>
                <w:lang w:val="en-US" w:eastAsia="zh-CN"/>
              </w:rPr>
              <w:t>33</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2427</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9</w:t>
            </w:r>
          </w:p>
        </w:tc>
        <w:tc>
          <w:tcPr>
            <w:tcW w:w="0" w:type="auto"/>
            <w:tcBorders>
              <w:right w:val="single" w:color="auto" w:sz="12" w:space="0"/>
            </w:tcBorders>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2</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0" w:type="auto"/>
            <w:vMerge w:val="continue"/>
            <w:tcBorders>
              <w:left w:val="single" w:color="auto" w:sz="12" w:space="0"/>
            </w:tcBorders>
            <w:noWrap w:val="0"/>
            <w:vAlign w:val="center"/>
          </w:tcPr>
          <w:p>
            <w:pPr>
              <w:spacing w:line="260" w:lineRule="exact"/>
              <w:ind w:firstLine="0"/>
              <w:jc w:val="center"/>
              <w:rPr>
                <w:rFonts w:hint="eastAsia"/>
                <w:color w:val="FF0000"/>
                <w:sz w:val="21"/>
                <w:szCs w:val="21"/>
              </w:rPr>
            </w:pPr>
          </w:p>
        </w:tc>
        <w:tc>
          <w:tcPr>
            <w:tcW w:w="1370" w:type="dxa"/>
            <w:vMerge w:val="continue"/>
            <w:tcBorders>
              <w:left w:val="single" w:color="auto" w:sz="4" w:space="0"/>
            </w:tcBorders>
            <w:noWrap w:val="0"/>
            <w:vAlign w:val="center"/>
          </w:tcPr>
          <w:p>
            <w:pPr>
              <w:spacing w:line="260" w:lineRule="exact"/>
              <w:ind w:firstLine="0"/>
              <w:jc w:val="center"/>
              <w:rPr>
                <w:rFonts w:hint="eastAsia"/>
                <w:color w:val="FF0000"/>
                <w:sz w:val="21"/>
                <w:szCs w:val="21"/>
              </w:rPr>
            </w:pPr>
          </w:p>
        </w:tc>
        <w:tc>
          <w:tcPr>
            <w:tcW w:w="2017" w:type="dxa"/>
            <w:vMerge w:val="continue"/>
            <w:noWrap w:val="0"/>
            <w:vAlign w:val="center"/>
          </w:tcPr>
          <w:p>
            <w:pPr>
              <w:spacing w:line="260" w:lineRule="exact"/>
              <w:ind w:firstLine="0"/>
              <w:jc w:val="center"/>
              <w:rPr>
                <w:rFonts w:hint="eastAsia"/>
                <w:sz w:val="21"/>
                <w:szCs w:val="21"/>
              </w:rPr>
            </w:pPr>
          </w:p>
        </w:tc>
        <w:tc>
          <w:tcPr>
            <w:tcW w:w="988" w:type="dxa"/>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NMHC</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1</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1</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1</w:t>
            </w:r>
            <w:r>
              <w:rPr>
                <w:rFonts w:hint="eastAsia"/>
                <w:sz w:val="21"/>
                <w:szCs w:val="21"/>
                <w:lang w:val="en-US" w:eastAsia="zh-CN"/>
              </w:rPr>
              <w:t>.</w:t>
            </w:r>
            <w:r>
              <w:rPr>
                <w:rFonts w:hint="eastAsia" w:ascii="Times New Roman" w:hAnsi="Times New Roman"/>
                <w:sz w:val="21"/>
                <w:szCs w:val="21"/>
                <w:lang w:val="en-US" w:eastAsia="zh-CN"/>
              </w:rPr>
              <w:t>0989</w:t>
            </w:r>
          </w:p>
        </w:tc>
        <w:tc>
          <w:tcPr>
            <w:tcW w:w="0" w:type="auto"/>
            <w:tcBorders>
              <w:right w:val="single" w:color="auto" w:sz="12" w:space="0"/>
            </w:tcBorders>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0" w:type="auto"/>
            <w:vMerge w:val="continue"/>
            <w:tcBorders>
              <w:left w:val="single" w:color="auto" w:sz="12" w:space="0"/>
            </w:tcBorders>
            <w:noWrap w:val="0"/>
            <w:vAlign w:val="center"/>
          </w:tcPr>
          <w:p>
            <w:pPr>
              <w:spacing w:line="260" w:lineRule="exact"/>
              <w:ind w:firstLine="0"/>
              <w:jc w:val="center"/>
              <w:rPr>
                <w:rFonts w:hint="eastAsia"/>
                <w:color w:val="FF0000"/>
                <w:sz w:val="21"/>
                <w:szCs w:val="21"/>
              </w:rPr>
            </w:pPr>
          </w:p>
        </w:tc>
        <w:tc>
          <w:tcPr>
            <w:tcW w:w="1370" w:type="dxa"/>
            <w:tcBorders>
              <w:left w:val="single" w:color="auto" w:sz="4" w:space="0"/>
            </w:tcBorders>
            <w:noWrap w:val="0"/>
            <w:vAlign w:val="center"/>
          </w:tcPr>
          <w:p>
            <w:pPr>
              <w:spacing w:line="260" w:lineRule="exact"/>
              <w:ind w:firstLine="0"/>
              <w:jc w:val="center"/>
              <w:rPr>
                <w:rFonts w:hint="eastAsia" w:eastAsia="宋体"/>
                <w:color w:val="FF0000"/>
                <w:sz w:val="21"/>
                <w:szCs w:val="21"/>
                <w:lang w:eastAsia="zh-CN"/>
              </w:rPr>
            </w:pPr>
            <w:r>
              <w:rPr>
                <w:rFonts w:hint="eastAsia"/>
                <w:color w:val="auto"/>
                <w:sz w:val="21"/>
                <w:szCs w:val="21"/>
                <w:lang w:eastAsia="zh-CN"/>
              </w:rPr>
              <w:t>无组织废气</w:t>
            </w:r>
          </w:p>
        </w:tc>
        <w:tc>
          <w:tcPr>
            <w:tcW w:w="2017" w:type="dxa"/>
            <w:noWrap w:val="0"/>
            <w:vAlign w:val="center"/>
          </w:tcPr>
          <w:p>
            <w:pPr>
              <w:spacing w:line="260" w:lineRule="exact"/>
              <w:ind w:firstLine="0" w:firstLineChars="0"/>
              <w:jc w:val="center"/>
              <w:rPr>
                <w:rFonts w:hint="eastAsia" w:ascii="Times New Roman"/>
                <w:sz w:val="21"/>
                <w:szCs w:val="21"/>
                <w:lang w:eastAsia="zh-CN"/>
              </w:rPr>
            </w:pPr>
            <w:r>
              <w:rPr>
                <w:rFonts w:hint="eastAsia" w:ascii="Times New Roman"/>
                <w:sz w:val="21"/>
                <w:szCs w:val="21"/>
                <w:lang w:eastAsia="zh-CN"/>
              </w:rPr>
              <w:t>产品罐区</w:t>
            </w:r>
          </w:p>
        </w:tc>
        <w:tc>
          <w:tcPr>
            <w:tcW w:w="988" w:type="dxa"/>
            <w:noWrap w:val="0"/>
            <w:vAlign w:val="center"/>
          </w:tcPr>
          <w:p>
            <w:pPr>
              <w:spacing w:line="260" w:lineRule="exact"/>
              <w:ind w:firstLine="0" w:firstLineChars="0"/>
              <w:jc w:val="center"/>
              <w:rPr>
                <w:rFonts w:hint="eastAsia" w:ascii="宋体" w:hAnsi="宋体" w:eastAsia="宋体" w:cs="Times New Roman"/>
                <w:sz w:val="21"/>
                <w:szCs w:val="21"/>
                <w:lang w:val="en-US" w:eastAsia="zh-CN" w:bidi="ar-SA"/>
              </w:rPr>
            </w:pPr>
            <w:r>
              <w:rPr>
                <w:rFonts w:hint="eastAsia" w:ascii="Times New Roman" w:hAnsi="Times New Roman"/>
                <w:sz w:val="21"/>
                <w:szCs w:val="21"/>
                <w:lang w:val="en-US" w:eastAsia="zh-CN"/>
              </w:rPr>
              <w:t>NMHC</w:t>
            </w:r>
          </w:p>
        </w:tc>
        <w:tc>
          <w:tcPr>
            <w:tcW w:w="0" w:type="auto"/>
            <w:noWrap w:val="0"/>
            <w:vAlign w:val="center"/>
          </w:tcPr>
          <w:p>
            <w:pPr>
              <w:spacing w:line="260" w:lineRule="exact"/>
              <w:ind w:firstLine="0" w:firstLineChars="0"/>
              <w:jc w:val="center"/>
              <w:rPr>
                <w:rFonts w:hint="eastAsia" w:ascii="宋体" w:hAnsi="宋体" w:eastAsia="宋体" w:cs="Times New Roman"/>
                <w:sz w:val="21"/>
                <w:szCs w:val="21"/>
                <w:lang w:val="en-US" w:eastAsia="zh-CN" w:bidi="ar-SA"/>
              </w:rPr>
            </w:pPr>
            <w:r>
              <w:rPr>
                <w:rFonts w:hint="eastAsia" w:ascii="Times New Roman" w:hAnsi="Times New Roman" w:cs="Times New Roman"/>
                <w:sz w:val="21"/>
                <w:szCs w:val="21"/>
                <w:lang w:val="en-US" w:eastAsia="zh-CN" w:bidi="ar-SA"/>
              </w:rPr>
              <w:t>1</w:t>
            </w:r>
            <w:r>
              <w:rPr>
                <w:rFonts w:hint="eastAsia" w:cs="Times New Roman"/>
                <w:sz w:val="21"/>
                <w:szCs w:val="21"/>
                <w:lang w:val="en-US" w:eastAsia="zh-CN" w:bidi="ar-SA"/>
              </w:rPr>
              <w:t>.</w:t>
            </w:r>
            <w:r>
              <w:rPr>
                <w:rFonts w:hint="eastAsia" w:ascii="Times New Roman" w:hAnsi="Times New Roman" w:cs="Times New Roman"/>
                <w:sz w:val="21"/>
                <w:szCs w:val="21"/>
                <w:lang w:val="en-US" w:eastAsia="zh-CN" w:bidi="ar-SA"/>
              </w:rPr>
              <w:t>3844</w:t>
            </w:r>
          </w:p>
        </w:tc>
        <w:tc>
          <w:tcPr>
            <w:tcW w:w="0" w:type="auto"/>
            <w:noWrap w:val="0"/>
            <w:vAlign w:val="center"/>
          </w:tcPr>
          <w:p>
            <w:pPr>
              <w:spacing w:line="260" w:lineRule="exact"/>
              <w:ind w:firstLine="0" w:firstLineChars="0"/>
              <w:jc w:val="center"/>
              <w:rPr>
                <w:rFonts w:hint="eastAsia" w:ascii="宋体" w:hAnsi="宋体" w:eastAsia="宋体" w:cs="Times New Roman"/>
                <w:sz w:val="21"/>
                <w:szCs w:val="21"/>
                <w:lang w:val="en-US" w:eastAsia="zh-CN" w:bidi="ar-SA"/>
              </w:rPr>
            </w:pPr>
            <w:r>
              <w:rPr>
                <w:rFonts w:hint="eastAsia" w:ascii="Times New Roman" w:hAnsi="Times New Roman" w:cs="Times New Roman"/>
                <w:sz w:val="21"/>
                <w:szCs w:val="21"/>
                <w:lang w:val="en-US" w:eastAsia="zh-CN" w:bidi="ar-SA"/>
              </w:rPr>
              <w:t>0</w:t>
            </w:r>
          </w:p>
        </w:tc>
        <w:tc>
          <w:tcPr>
            <w:tcW w:w="0" w:type="auto"/>
            <w:tcBorders>
              <w:right w:val="single" w:color="auto" w:sz="12" w:space="0"/>
            </w:tcBorders>
            <w:noWrap w:val="0"/>
            <w:vAlign w:val="center"/>
          </w:tcPr>
          <w:p>
            <w:pPr>
              <w:spacing w:line="260" w:lineRule="exact"/>
              <w:ind w:firstLine="0" w:firstLineChars="0"/>
              <w:jc w:val="center"/>
              <w:rPr>
                <w:rFonts w:hint="eastAsia" w:ascii="宋体" w:hAnsi="宋体" w:eastAsia="宋体" w:cs="Times New Roman"/>
                <w:sz w:val="21"/>
                <w:szCs w:val="21"/>
                <w:lang w:val="en-US" w:eastAsia="zh-CN" w:bidi="ar-SA"/>
              </w:rPr>
            </w:pPr>
            <w:r>
              <w:rPr>
                <w:rFonts w:hint="eastAsia" w:ascii="Times New Roman" w:hAnsi="Times New Roman" w:cs="Times New Roman"/>
                <w:sz w:val="21"/>
                <w:szCs w:val="21"/>
                <w:lang w:val="en-US" w:eastAsia="zh-CN" w:bidi="ar-SA"/>
              </w:rPr>
              <w:t>1</w:t>
            </w:r>
            <w:r>
              <w:rPr>
                <w:rFonts w:hint="eastAsia" w:cs="Times New Roman"/>
                <w:sz w:val="21"/>
                <w:szCs w:val="21"/>
                <w:lang w:val="en-US" w:eastAsia="zh-CN" w:bidi="ar-SA"/>
              </w:rPr>
              <w:t>.</w:t>
            </w:r>
            <w:r>
              <w:rPr>
                <w:rFonts w:hint="eastAsia" w:ascii="Times New Roman" w:hAnsi="Times New Roman" w:cs="Times New Roman"/>
                <w:sz w:val="21"/>
                <w:szCs w:val="21"/>
                <w:lang w:val="en-US" w:eastAsia="zh-CN" w:bidi="ar-SA"/>
              </w:rPr>
              <w:t>3844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restart"/>
            <w:tcBorders>
              <w:left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废水</w:t>
            </w:r>
          </w:p>
          <w:p>
            <w:pPr>
              <w:spacing w:line="260" w:lineRule="exact"/>
              <w:ind w:firstLine="0"/>
              <w:jc w:val="center"/>
              <w:rPr>
                <w:rFonts w:hint="eastAsia"/>
                <w:sz w:val="21"/>
                <w:szCs w:val="21"/>
              </w:rPr>
            </w:pPr>
            <w:r>
              <w:rPr>
                <w:rFonts w:hint="eastAsia"/>
                <w:sz w:val="21"/>
                <w:szCs w:val="21"/>
              </w:rPr>
              <w:t>（</w:t>
            </w:r>
            <w:r>
              <w:rPr>
                <w:rFonts w:hint="eastAsia"/>
                <w:sz w:val="21"/>
                <w:szCs w:val="21"/>
                <w:lang w:eastAsia="zh-CN"/>
              </w:rPr>
              <w:t>污水站</w:t>
            </w:r>
            <w:r>
              <w:rPr>
                <w:rFonts w:hint="eastAsia"/>
                <w:sz w:val="21"/>
                <w:szCs w:val="21"/>
              </w:rPr>
              <w:t>排口）</w:t>
            </w:r>
          </w:p>
        </w:tc>
        <w:tc>
          <w:tcPr>
            <w:tcW w:w="3005" w:type="dxa"/>
            <w:gridSpan w:val="2"/>
            <w:noWrap w:val="0"/>
            <w:vAlign w:val="center"/>
          </w:tcPr>
          <w:p>
            <w:pPr>
              <w:spacing w:line="260" w:lineRule="exact"/>
              <w:ind w:firstLine="0"/>
              <w:jc w:val="center"/>
              <w:rPr>
                <w:rFonts w:hint="eastAsia"/>
                <w:sz w:val="21"/>
                <w:szCs w:val="21"/>
              </w:rPr>
            </w:pPr>
            <w:r>
              <w:rPr>
                <w:rFonts w:hint="eastAsia"/>
                <w:sz w:val="21"/>
                <w:szCs w:val="21"/>
              </w:rPr>
              <w:t>废水量（</w:t>
            </w:r>
            <w:r>
              <w:rPr>
                <w:rFonts w:hint="eastAsia" w:ascii="Times New Roman" w:hAnsi="Times New Roman"/>
                <w:sz w:val="21"/>
                <w:szCs w:val="21"/>
              </w:rPr>
              <w:t>m</w:t>
            </w:r>
            <w:r>
              <w:rPr>
                <w:rFonts w:hint="eastAsia"/>
                <w:sz w:val="21"/>
                <w:szCs w:val="21"/>
              </w:rPr>
              <w:t>³/</w:t>
            </w:r>
            <w:r>
              <w:rPr>
                <w:rFonts w:hint="eastAsia" w:ascii="Times New Roman" w:hAnsi="Times New Roman"/>
                <w:sz w:val="21"/>
                <w:szCs w:val="21"/>
              </w:rPr>
              <w:t>a</w:t>
            </w:r>
            <w:r>
              <w:rPr>
                <w:rFonts w:hint="eastAsia"/>
                <w:sz w:val="21"/>
                <w:szCs w:val="21"/>
              </w:rPr>
              <w:t>）</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479</w:t>
            </w:r>
            <w:r>
              <w:rPr>
                <w:rFonts w:hint="eastAsia" w:ascii="Times New Roman"/>
                <w:sz w:val="21"/>
                <w:szCs w:val="21"/>
                <w:lang w:val="en-US" w:eastAsia="zh-CN"/>
              </w:rPr>
              <w:t>.</w:t>
            </w:r>
            <w:r>
              <w:rPr>
                <w:rFonts w:hint="eastAsia" w:ascii="Times New Roman" w:hAnsi="Times New Roman"/>
                <w:sz w:val="21"/>
                <w:szCs w:val="21"/>
                <w:lang w:val="en-US" w:eastAsia="zh-CN"/>
              </w:rPr>
              <w:t>14</w:t>
            </w:r>
          </w:p>
        </w:tc>
        <w:tc>
          <w:tcPr>
            <w:tcW w:w="0" w:type="auto"/>
            <w:noWrap w:val="0"/>
            <w:vAlign w:val="center"/>
          </w:tcPr>
          <w:p>
            <w:pPr>
              <w:spacing w:line="260" w:lineRule="exact"/>
              <w:ind w:firstLine="0"/>
              <w:jc w:val="center"/>
              <w:rPr>
                <w:rFonts w:hint="eastAsia"/>
                <w:sz w:val="21"/>
                <w:szCs w:val="21"/>
              </w:rPr>
            </w:pPr>
            <w:r>
              <w:rPr>
                <w:rFonts w:hint="eastAsia" w:ascii="Times New Roman" w:hAnsi="Times New Roman"/>
                <w:sz w:val="21"/>
                <w:szCs w:val="21"/>
              </w:rPr>
              <w:t>0</w:t>
            </w:r>
          </w:p>
        </w:tc>
        <w:tc>
          <w:tcPr>
            <w:tcW w:w="0" w:type="auto"/>
            <w:tcBorders>
              <w:right w:val="single" w:color="auto" w:sz="12" w:space="0"/>
            </w:tcBorders>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479</w:t>
            </w:r>
            <w:r>
              <w:rPr>
                <w:rFonts w:hint="eastAsia" w:ascii="Times New Roman"/>
                <w:sz w:val="21"/>
                <w:szCs w:val="21"/>
                <w:lang w:val="en-US" w:eastAsia="zh-CN"/>
              </w:rPr>
              <w:t>.</w:t>
            </w:r>
            <w:r>
              <w:rPr>
                <w:rFonts w:hint="eastAsia" w:ascii="Times New Roman" w:hAnsi="Times New Roman"/>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continue"/>
            <w:tcBorders>
              <w:left w:val="single" w:color="auto" w:sz="12" w:space="0"/>
            </w:tcBorders>
            <w:noWrap w:val="0"/>
            <w:vAlign w:val="center"/>
          </w:tcPr>
          <w:p>
            <w:pPr>
              <w:spacing w:line="260" w:lineRule="exact"/>
              <w:ind w:firstLine="0"/>
              <w:jc w:val="center"/>
              <w:rPr>
                <w:rFonts w:hint="eastAsia"/>
                <w:sz w:val="21"/>
                <w:szCs w:val="21"/>
              </w:rPr>
            </w:pPr>
          </w:p>
        </w:tc>
        <w:tc>
          <w:tcPr>
            <w:tcW w:w="3005" w:type="dxa"/>
            <w:gridSpan w:val="2"/>
            <w:noWrap w:val="0"/>
            <w:vAlign w:val="center"/>
          </w:tcPr>
          <w:p>
            <w:pPr>
              <w:spacing w:line="260" w:lineRule="exact"/>
              <w:ind w:firstLine="0"/>
              <w:jc w:val="center"/>
              <w:rPr>
                <w:rFonts w:hint="eastAsia"/>
                <w:sz w:val="21"/>
                <w:szCs w:val="21"/>
              </w:rPr>
            </w:pPr>
            <w:r>
              <w:rPr>
                <w:rFonts w:hint="eastAsia" w:ascii="Times New Roman" w:hAnsi="Times New Roman"/>
                <w:sz w:val="21"/>
                <w:szCs w:val="21"/>
              </w:rPr>
              <w:t>COD</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222</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219</w:t>
            </w:r>
          </w:p>
        </w:tc>
        <w:tc>
          <w:tcPr>
            <w:tcW w:w="0" w:type="auto"/>
            <w:tcBorders>
              <w:right w:val="single" w:color="auto" w:sz="12" w:space="0"/>
            </w:tcBorders>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continue"/>
            <w:tcBorders>
              <w:left w:val="single" w:color="auto" w:sz="12" w:space="0"/>
            </w:tcBorders>
            <w:noWrap w:val="0"/>
            <w:vAlign w:val="center"/>
          </w:tcPr>
          <w:p>
            <w:pPr>
              <w:spacing w:line="260" w:lineRule="exact"/>
              <w:ind w:firstLine="0"/>
              <w:jc w:val="center"/>
              <w:rPr>
                <w:rFonts w:hint="eastAsia"/>
                <w:sz w:val="21"/>
                <w:szCs w:val="21"/>
              </w:rPr>
            </w:pPr>
          </w:p>
        </w:tc>
        <w:tc>
          <w:tcPr>
            <w:tcW w:w="3005" w:type="dxa"/>
            <w:gridSpan w:val="2"/>
            <w:noWrap w:val="0"/>
            <w:vAlign w:val="center"/>
          </w:tcPr>
          <w:p>
            <w:pPr>
              <w:spacing w:line="260" w:lineRule="exact"/>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BOD</w:t>
            </w:r>
            <w:r>
              <w:rPr>
                <w:rFonts w:hint="eastAsia" w:ascii="Times New Roman" w:hAnsi="Times New Roman"/>
                <w:sz w:val="21"/>
                <w:szCs w:val="21"/>
                <w:vertAlign w:val="subscript"/>
                <w:lang w:val="en-US" w:eastAsia="zh-CN"/>
              </w:rPr>
              <w:t>5</w:t>
            </w:r>
          </w:p>
        </w:tc>
        <w:tc>
          <w:tcPr>
            <w:tcW w:w="0" w:type="auto"/>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064</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062</w:t>
            </w:r>
          </w:p>
        </w:tc>
        <w:tc>
          <w:tcPr>
            <w:tcW w:w="0" w:type="auto"/>
            <w:tcBorders>
              <w:right w:val="single" w:color="auto" w:sz="12" w:space="0"/>
            </w:tcBorders>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continue"/>
            <w:tcBorders>
              <w:left w:val="single" w:color="auto" w:sz="12" w:space="0"/>
            </w:tcBorders>
            <w:noWrap w:val="0"/>
            <w:vAlign w:val="center"/>
          </w:tcPr>
          <w:p>
            <w:pPr>
              <w:spacing w:line="260" w:lineRule="exact"/>
              <w:ind w:firstLine="0"/>
              <w:jc w:val="center"/>
              <w:rPr>
                <w:rFonts w:hint="eastAsia"/>
                <w:sz w:val="21"/>
                <w:szCs w:val="21"/>
              </w:rPr>
            </w:pPr>
          </w:p>
        </w:tc>
        <w:tc>
          <w:tcPr>
            <w:tcW w:w="3005" w:type="dxa"/>
            <w:gridSpan w:val="2"/>
            <w:noWrap w:val="0"/>
            <w:vAlign w:val="center"/>
          </w:tcPr>
          <w:p>
            <w:pPr>
              <w:spacing w:line="260" w:lineRule="exact"/>
              <w:ind w:firstLine="0"/>
              <w:jc w:val="center"/>
              <w:rPr>
                <w:rFonts w:hint="eastAsia"/>
                <w:sz w:val="21"/>
                <w:szCs w:val="21"/>
              </w:rPr>
            </w:pPr>
            <w:r>
              <w:rPr>
                <w:rFonts w:hint="eastAsia" w:ascii="Times New Roman" w:hAnsi="Times New Roman"/>
                <w:sz w:val="21"/>
                <w:szCs w:val="21"/>
              </w:rPr>
              <w:t>NH</w:t>
            </w:r>
            <w:r>
              <w:rPr>
                <w:rFonts w:hint="eastAsia" w:ascii="Times New Roman" w:hAnsi="Times New Roman"/>
                <w:sz w:val="21"/>
                <w:szCs w:val="21"/>
                <w:vertAlign w:val="subscript"/>
              </w:rPr>
              <w:t>3</w:t>
            </w:r>
            <w:r>
              <w:rPr>
                <w:rFonts w:hint="eastAsia"/>
                <w:sz w:val="21"/>
                <w:szCs w:val="21"/>
              </w:rPr>
              <w:t>-</w:t>
            </w:r>
            <w:r>
              <w:rPr>
                <w:rFonts w:hint="eastAsia" w:ascii="Times New Roman" w:hAnsi="Times New Roman"/>
                <w:sz w:val="21"/>
                <w:szCs w:val="21"/>
              </w:rPr>
              <w:t>N</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017</w:t>
            </w:r>
          </w:p>
        </w:tc>
        <w:tc>
          <w:tcPr>
            <w:tcW w:w="0" w:type="auto"/>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0169</w:t>
            </w:r>
          </w:p>
        </w:tc>
        <w:tc>
          <w:tcPr>
            <w:tcW w:w="0" w:type="auto"/>
            <w:tcBorders>
              <w:right w:val="single" w:color="auto" w:sz="12" w:space="0"/>
            </w:tcBorders>
            <w:noWrap w:val="0"/>
            <w:vAlign w:val="center"/>
          </w:tcPr>
          <w:p>
            <w:pPr>
              <w:spacing w:line="260" w:lineRule="exact"/>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restart"/>
            <w:tcBorders>
              <w:left w:val="single" w:color="auto" w:sz="12" w:space="0"/>
            </w:tcBorders>
            <w:noWrap w:val="0"/>
            <w:vAlign w:val="center"/>
          </w:tcPr>
          <w:p>
            <w:pPr>
              <w:spacing w:line="260" w:lineRule="exact"/>
              <w:ind w:firstLine="0"/>
              <w:jc w:val="center"/>
              <w:rPr>
                <w:rFonts w:hint="eastAsia"/>
                <w:sz w:val="21"/>
                <w:szCs w:val="21"/>
                <w:lang w:eastAsia="zh-CN"/>
              </w:rPr>
            </w:pPr>
            <w:r>
              <w:rPr>
                <w:rFonts w:hint="eastAsia"/>
                <w:sz w:val="21"/>
                <w:szCs w:val="21"/>
                <w:lang w:eastAsia="zh-CN"/>
              </w:rPr>
              <w:t>废水</w:t>
            </w:r>
          </w:p>
          <w:p>
            <w:pPr>
              <w:spacing w:line="260" w:lineRule="exact"/>
              <w:ind w:firstLine="0"/>
              <w:jc w:val="center"/>
              <w:rPr>
                <w:rFonts w:hint="eastAsia" w:eastAsia="宋体"/>
                <w:sz w:val="21"/>
                <w:szCs w:val="21"/>
                <w:lang w:eastAsia="zh-CN"/>
              </w:rPr>
            </w:pPr>
            <w:r>
              <w:rPr>
                <w:rFonts w:hint="eastAsia"/>
                <w:sz w:val="21"/>
                <w:szCs w:val="21"/>
                <w:lang w:eastAsia="zh-CN"/>
              </w:rPr>
              <w:t>（清净下水）</w:t>
            </w:r>
          </w:p>
        </w:tc>
        <w:tc>
          <w:tcPr>
            <w:tcW w:w="3005" w:type="dxa"/>
            <w:gridSpan w:val="2"/>
            <w:noWrap w:val="0"/>
            <w:vAlign w:val="center"/>
          </w:tcPr>
          <w:p>
            <w:pPr>
              <w:spacing w:line="260" w:lineRule="exact"/>
              <w:ind w:firstLine="0"/>
              <w:jc w:val="center"/>
              <w:rPr>
                <w:rFonts w:hint="eastAsia" w:ascii="Times New Roman"/>
                <w:sz w:val="21"/>
                <w:szCs w:val="21"/>
                <w:lang w:val="en-US" w:eastAsia="zh-CN"/>
              </w:rPr>
            </w:pPr>
            <w:r>
              <w:rPr>
                <w:rFonts w:hint="eastAsia" w:ascii="Times New Roman"/>
                <w:sz w:val="21"/>
                <w:szCs w:val="21"/>
                <w:lang w:val="en-US" w:eastAsia="zh-CN"/>
              </w:rPr>
              <w:t>废水量（</w:t>
            </w:r>
            <w:r>
              <w:rPr>
                <w:rFonts w:hint="eastAsia" w:ascii="Times New Roman" w:hAnsi="Times New Roman"/>
                <w:sz w:val="21"/>
                <w:szCs w:val="21"/>
                <w:lang w:val="en-US" w:eastAsia="zh-CN"/>
              </w:rPr>
              <w:t>m</w:t>
            </w:r>
            <w:r>
              <w:rPr>
                <w:rFonts w:hint="eastAsia" w:ascii="Times New Roman"/>
                <w:sz w:val="21"/>
                <w:szCs w:val="21"/>
                <w:lang w:val="en-US" w:eastAsia="zh-CN"/>
              </w:rPr>
              <w:t>³/</w:t>
            </w:r>
            <w:r>
              <w:rPr>
                <w:rFonts w:hint="eastAsia" w:ascii="Times New Roman" w:hAnsi="Times New Roman"/>
                <w:sz w:val="21"/>
                <w:szCs w:val="21"/>
                <w:lang w:val="en-US" w:eastAsia="zh-CN"/>
              </w:rPr>
              <w:t>a</w:t>
            </w:r>
            <w:r>
              <w:rPr>
                <w:rFonts w:hint="eastAsia" w:ascii="Times New Roman"/>
                <w:sz w:val="21"/>
                <w:szCs w:val="21"/>
                <w:lang w:val="en-US" w:eastAsia="zh-CN"/>
              </w:rPr>
              <w:t>）</w:t>
            </w:r>
          </w:p>
        </w:tc>
        <w:tc>
          <w:tcPr>
            <w:tcW w:w="0" w:type="auto"/>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19200</w:t>
            </w:r>
          </w:p>
        </w:tc>
        <w:tc>
          <w:tcPr>
            <w:tcW w:w="0" w:type="auto"/>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0</w:t>
            </w:r>
          </w:p>
        </w:tc>
        <w:tc>
          <w:tcPr>
            <w:tcW w:w="0" w:type="auto"/>
            <w:tcBorders>
              <w:right w:val="single" w:color="auto" w:sz="12" w:space="0"/>
            </w:tcBorders>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continue"/>
            <w:tcBorders>
              <w:left w:val="single" w:color="auto" w:sz="12" w:space="0"/>
            </w:tcBorders>
            <w:noWrap w:val="0"/>
            <w:vAlign w:val="center"/>
          </w:tcPr>
          <w:p>
            <w:pPr>
              <w:spacing w:line="260" w:lineRule="exact"/>
              <w:ind w:firstLine="0"/>
              <w:jc w:val="center"/>
              <w:rPr>
                <w:rFonts w:hint="eastAsia" w:eastAsia="宋体"/>
                <w:sz w:val="21"/>
                <w:szCs w:val="21"/>
                <w:lang w:eastAsia="zh-CN"/>
              </w:rPr>
            </w:pPr>
          </w:p>
        </w:tc>
        <w:tc>
          <w:tcPr>
            <w:tcW w:w="3005" w:type="dxa"/>
            <w:gridSpan w:val="2"/>
            <w:noWrap w:val="0"/>
            <w:vAlign w:val="center"/>
          </w:tcPr>
          <w:p>
            <w:pPr>
              <w:spacing w:line="260" w:lineRule="exact"/>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COD</w:t>
            </w:r>
          </w:p>
        </w:tc>
        <w:tc>
          <w:tcPr>
            <w:tcW w:w="0" w:type="auto"/>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576</w:t>
            </w:r>
          </w:p>
        </w:tc>
        <w:tc>
          <w:tcPr>
            <w:tcW w:w="0" w:type="auto"/>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0</w:t>
            </w:r>
          </w:p>
        </w:tc>
        <w:tc>
          <w:tcPr>
            <w:tcW w:w="0" w:type="auto"/>
            <w:tcBorders>
              <w:right w:val="single" w:color="auto" w:sz="12" w:space="0"/>
            </w:tcBorders>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continue"/>
            <w:tcBorders>
              <w:left w:val="single" w:color="auto" w:sz="12" w:space="0"/>
            </w:tcBorders>
            <w:noWrap w:val="0"/>
            <w:vAlign w:val="center"/>
          </w:tcPr>
          <w:p>
            <w:pPr>
              <w:spacing w:line="260" w:lineRule="exact"/>
              <w:ind w:firstLine="0"/>
              <w:jc w:val="center"/>
              <w:rPr>
                <w:rFonts w:hint="eastAsia"/>
                <w:sz w:val="21"/>
                <w:szCs w:val="21"/>
              </w:rPr>
            </w:pPr>
          </w:p>
        </w:tc>
        <w:tc>
          <w:tcPr>
            <w:tcW w:w="3005" w:type="dxa"/>
            <w:gridSpan w:val="2"/>
            <w:noWrap w:val="0"/>
            <w:vAlign w:val="center"/>
          </w:tcPr>
          <w:p>
            <w:pPr>
              <w:spacing w:line="260" w:lineRule="exact"/>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TDS</w:t>
            </w:r>
          </w:p>
        </w:tc>
        <w:tc>
          <w:tcPr>
            <w:tcW w:w="0" w:type="auto"/>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5</w:t>
            </w:r>
            <w:r>
              <w:rPr>
                <w:rFonts w:hint="eastAsia"/>
                <w:sz w:val="21"/>
                <w:szCs w:val="21"/>
                <w:lang w:val="en-US" w:eastAsia="zh-CN"/>
              </w:rPr>
              <w:t>.</w:t>
            </w:r>
            <w:r>
              <w:rPr>
                <w:rFonts w:hint="eastAsia" w:ascii="Times New Roman" w:hAnsi="Times New Roman"/>
                <w:sz w:val="21"/>
                <w:szCs w:val="21"/>
                <w:lang w:val="en-US" w:eastAsia="zh-CN"/>
              </w:rPr>
              <w:t>76</w:t>
            </w:r>
          </w:p>
        </w:tc>
        <w:tc>
          <w:tcPr>
            <w:tcW w:w="0" w:type="auto"/>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0</w:t>
            </w:r>
          </w:p>
        </w:tc>
        <w:tc>
          <w:tcPr>
            <w:tcW w:w="0" w:type="auto"/>
            <w:tcBorders>
              <w:right w:val="single" w:color="auto" w:sz="12" w:space="0"/>
            </w:tcBorders>
            <w:noWrap w:val="0"/>
            <w:vAlign w:val="center"/>
          </w:tcPr>
          <w:p>
            <w:pPr>
              <w:spacing w:line="260" w:lineRule="exact"/>
              <w:ind w:firstLine="0"/>
              <w:jc w:val="center"/>
              <w:rPr>
                <w:rFonts w:hint="default"/>
                <w:sz w:val="21"/>
                <w:szCs w:val="21"/>
                <w:lang w:val="en-US" w:eastAsia="zh-CN"/>
              </w:rPr>
            </w:pPr>
            <w:r>
              <w:rPr>
                <w:rFonts w:hint="eastAsia" w:ascii="Times New Roman" w:hAnsi="Times New Roman"/>
                <w:sz w:val="21"/>
                <w:szCs w:val="21"/>
                <w:lang w:val="en-US" w:eastAsia="zh-CN"/>
              </w:rPr>
              <w:t>5</w:t>
            </w:r>
            <w:r>
              <w:rPr>
                <w:rFonts w:hint="eastAsia"/>
                <w:sz w:val="21"/>
                <w:szCs w:val="21"/>
                <w:lang w:val="en-US" w:eastAsia="zh-CN"/>
              </w:rPr>
              <w:t>.</w:t>
            </w:r>
            <w:r>
              <w:rPr>
                <w:rFonts w:hint="eastAsia" w:ascii="Times New Roman" w:hAnsi="Times New Roman"/>
                <w:sz w:val="21"/>
                <w:szCs w:val="21"/>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restart"/>
            <w:tcBorders>
              <w:left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一般固废</w:t>
            </w:r>
          </w:p>
        </w:tc>
        <w:tc>
          <w:tcPr>
            <w:tcW w:w="3005" w:type="dxa"/>
            <w:gridSpan w:val="2"/>
            <w:noWrap w:val="0"/>
            <w:vAlign w:val="center"/>
          </w:tcPr>
          <w:p>
            <w:pPr>
              <w:spacing w:line="260" w:lineRule="exact"/>
              <w:ind w:firstLine="0" w:firstLineChars="0"/>
              <w:jc w:val="center"/>
              <w:rPr>
                <w:rFonts w:hint="eastAsia" w:ascii="宋体" w:hAnsi="宋体" w:eastAsia="宋体" w:cs="Times New Roman"/>
                <w:sz w:val="21"/>
                <w:szCs w:val="21"/>
                <w:lang w:val="en-US" w:eastAsia="zh-CN" w:bidi="ar-SA"/>
              </w:rPr>
            </w:pPr>
            <w:r>
              <w:rPr>
                <w:rFonts w:hint="eastAsia"/>
                <w:sz w:val="21"/>
                <w:szCs w:val="21"/>
                <w:lang w:eastAsia="zh-CN"/>
              </w:rPr>
              <w:t>污水站污泥（</w:t>
            </w:r>
            <w:r>
              <w:rPr>
                <w:rFonts w:hint="eastAsia" w:ascii="Times New Roman" w:hAnsi="Times New Roman"/>
                <w:sz w:val="21"/>
                <w:szCs w:val="21"/>
                <w:lang w:val="en-US" w:eastAsia="zh-CN"/>
              </w:rPr>
              <w:t>900</w:t>
            </w:r>
            <w:r>
              <w:rPr>
                <w:rFonts w:hint="eastAsia"/>
                <w:sz w:val="21"/>
                <w:szCs w:val="21"/>
                <w:lang w:val="en-US" w:eastAsia="zh-CN"/>
              </w:rPr>
              <w:t>-</w:t>
            </w:r>
            <w:r>
              <w:rPr>
                <w:rFonts w:hint="eastAsia" w:ascii="Times New Roman" w:hAnsi="Times New Roman"/>
                <w:sz w:val="21"/>
                <w:szCs w:val="21"/>
                <w:lang w:val="en-US" w:eastAsia="zh-CN"/>
              </w:rPr>
              <w:t>001</w:t>
            </w:r>
            <w:r>
              <w:rPr>
                <w:rFonts w:hint="eastAsia"/>
                <w:sz w:val="21"/>
                <w:szCs w:val="21"/>
                <w:lang w:val="en-US" w:eastAsia="zh-CN"/>
              </w:rPr>
              <w:t>-</w:t>
            </w:r>
            <w:r>
              <w:rPr>
                <w:rFonts w:hint="eastAsia" w:ascii="Times New Roman" w:hAnsi="Times New Roman"/>
                <w:sz w:val="21"/>
                <w:szCs w:val="21"/>
                <w:lang w:val="en-US" w:eastAsia="zh-CN"/>
              </w:rPr>
              <w:t>07</w:t>
            </w:r>
            <w:r>
              <w:rPr>
                <w:rFonts w:hint="eastAsia"/>
                <w:sz w:val="21"/>
                <w:szCs w:val="21"/>
                <w:lang w:eastAsia="zh-CN"/>
              </w:rPr>
              <w:t>）</w:t>
            </w:r>
          </w:p>
        </w:tc>
        <w:tc>
          <w:tcPr>
            <w:tcW w:w="0" w:type="auto"/>
            <w:noWrap w:val="0"/>
            <w:vAlign w:val="center"/>
          </w:tcPr>
          <w:p>
            <w:pPr>
              <w:spacing w:line="260" w:lineRule="exact"/>
              <w:ind w:firstLine="0" w:firstLineChars="0"/>
              <w:jc w:val="center"/>
              <w:rPr>
                <w:rFonts w:hint="default" w:ascii="Times New Roman" w:hAnsi="宋体" w:eastAsia="宋体" w:cs="Times New Roman"/>
                <w:sz w:val="21"/>
                <w:szCs w:val="21"/>
                <w:lang w:val="en-US" w:eastAsia="zh-CN" w:bidi="ar-SA"/>
              </w:rPr>
            </w:pPr>
            <w:r>
              <w:rPr>
                <w:rFonts w:hint="eastAsia" w:ascii="Times New Roman" w:hAnsi="Times New Roman" w:cs="Times New Roman"/>
                <w:sz w:val="21"/>
                <w:szCs w:val="21"/>
                <w:lang w:val="en-US" w:eastAsia="zh-CN" w:bidi="ar-SA"/>
              </w:rPr>
              <w:t>0</w:t>
            </w:r>
            <w:r>
              <w:rPr>
                <w:rFonts w:hint="eastAsia" w:ascii="Times New Roman" w:cs="Times New Roman"/>
                <w:sz w:val="21"/>
                <w:szCs w:val="21"/>
                <w:lang w:val="en-US" w:eastAsia="zh-CN" w:bidi="ar-SA"/>
              </w:rPr>
              <w:t>.</w:t>
            </w:r>
            <w:r>
              <w:rPr>
                <w:rFonts w:hint="eastAsia" w:ascii="Times New Roman" w:hAnsi="Times New Roman" w:cs="Times New Roman"/>
                <w:sz w:val="21"/>
                <w:szCs w:val="21"/>
                <w:lang w:val="en-US" w:eastAsia="zh-CN" w:bidi="ar-SA"/>
              </w:rPr>
              <w:t>0023</w:t>
            </w:r>
          </w:p>
        </w:tc>
        <w:tc>
          <w:tcPr>
            <w:tcW w:w="0" w:type="auto"/>
            <w:noWrap w:val="0"/>
            <w:vAlign w:val="center"/>
          </w:tcPr>
          <w:p>
            <w:pPr>
              <w:spacing w:line="260" w:lineRule="exact"/>
              <w:ind w:firstLine="0" w:firstLineChars="0"/>
              <w:jc w:val="center"/>
              <w:rPr>
                <w:rFonts w:hint="default" w:ascii="Times New Roman" w:hAnsi="宋体" w:eastAsia="宋体" w:cs="Times New Roman"/>
                <w:sz w:val="21"/>
                <w:szCs w:val="21"/>
                <w:lang w:val="en-US" w:eastAsia="zh-CN" w:bidi="ar-SA"/>
              </w:rPr>
            </w:pPr>
            <w:r>
              <w:rPr>
                <w:rFonts w:hint="eastAsia" w:ascii="Times New Roman" w:hAnsi="Times New Roman" w:cs="Times New Roman"/>
                <w:sz w:val="21"/>
                <w:szCs w:val="21"/>
                <w:lang w:val="en-US" w:eastAsia="zh-CN" w:bidi="ar-SA"/>
              </w:rPr>
              <w:t>0</w:t>
            </w:r>
            <w:r>
              <w:rPr>
                <w:rFonts w:hint="eastAsia" w:ascii="Times New Roman" w:cs="Times New Roman"/>
                <w:sz w:val="21"/>
                <w:szCs w:val="21"/>
                <w:lang w:val="en-US" w:eastAsia="zh-CN" w:bidi="ar-SA"/>
              </w:rPr>
              <w:t>.</w:t>
            </w:r>
            <w:r>
              <w:rPr>
                <w:rFonts w:hint="eastAsia" w:ascii="Times New Roman" w:hAnsi="Times New Roman" w:cs="Times New Roman"/>
                <w:sz w:val="21"/>
                <w:szCs w:val="21"/>
                <w:lang w:val="en-US" w:eastAsia="zh-CN" w:bidi="ar-SA"/>
              </w:rPr>
              <w:t>0023</w:t>
            </w:r>
          </w:p>
        </w:tc>
        <w:tc>
          <w:tcPr>
            <w:tcW w:w="0" w:type="auto"/>
            <w:tcBorders>
              <w:right w:val="single" w:color="auto" w:sz="12" w:space="0"/>
            </w:tcBorders>
            <w:noWrap w:val="0"/>
            <w:vAlign w:val="center"/>
          </w:tcPr>
          <w:p>
            <w:pPr>
              <w:spacing w:line="260" w:lineRule="exact"/>
              <w:ind w:firstLine="0" w:firstLineChars="0"/>
              <w:jc w:val="center"/>
              <w:rPr>
                <w:rFonts w:hint="default" w:ascii="Times New Roman" w:hAnsi="宋体" w:eastAsia="宋体" w:cs="Times New Roman"/>
                <w:sz w:val="21"/>
                <w:szCs w:val="21"/>
                <w:lang w:val="en-US" w:eastAsia="zh-CN" w:bidi="ar-SA"/>
              </w:rPr>
            </w:pPr>
            <w:r>
              <w:rPr>
                <w:rFonts w:hint="eastAsia" w:ascii="Times New Roman" w:hAnsi="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vMerge w:val="continue"/>
            <w:tcBorders>
              <w:left w:val="single" w:color="auto" w:sz="12" w:space="0"/>
            </w:tcBorders>
            <w:noWrap w:val="0"/>
            <w:vAlign w:val="center"/>
          </w:tcPr>
          <w:p>
            <w:pPr>
              <w:spacing w:line="260" w:lineRule="exact"/>
              <w:ind w:firstLine="0"/>
              <w:jc w:val="center"/>
              <w:rPr>
                <w:rFonts w:hint="eastAsia"/>
                <w:sz w:val="21"/>
                <w:szCs w:val="21"/>
              </w:rPr>
            </w:pPr>
          </w:p>
        </w:tc>
        <w:tc>
          <w:tcPr>
            <w:tcW w:w="3005" w:type="dxa"/>
            <w:gridSpan w:val="2"/>
            <w:noWrap w:val="0"/>
            <w:vAlign w:val="center"/>
          </w:tcPr>
          <w:p>
            <w:pPr>
              <w:spacing w:line="260" w:lineRule="exact"/>
              <w:ind w:firstLine="0" w:firstLineChars="0"/>
              <w:jc w:val="center"/>
              <w:rPr>
                <w:rFonts w:hint="eastAsia"/>
                <w:sz w:val="21"/>
                <w:szCs w:val="21"/>
                <w:lang w:eastAsia="zh-CN"/>
              </w:rPr>
            </w:pPr>
            <w:r>
              <w:rPr>
                <w:rFonts w:hint="eastAsia"/>
                <w:sz w:val="21"/>
                <w:szCs w:val="21"/>
                <w:lang w:eastAsia="zh-CN"/>
              </w:rPr>
              <w:t>生活垃圾（</w:t>
            </w:r>
            <w:r>
              <w:rPr>
                <w:rFonts w:hint="eastAsia" w:ascii="Times New Roman" w:hAnsi="Times New Roman"/>
                <w:sz w:val="21"/>
                <w:szCs w:val="21"/>
                <w:lang w:val="en-US" w:eastAsia="zh-CN"/>
              </w:rPr>
              <w:t>SW60</w:t>
            </w:r>
            <w:r>
              <w:rPr>
                <w:rFonts w:hint="eastAsia"/>
                <w:sz w:val="21"/>
                <w:szCs w:val="21"/>
                <w:lang w:val="en-US" w:eastAsia="zh-CN"/>
              </w:rPr>
              <w:t>～</w:t>
            </w:r>
            <w:r>
              <w:rPr>
                <w:rFonts w:hint="eastAsia" w:ascii="Times New Roman" w:hAnsi="Times New Roman"/>
                <w:sz w:val="21"/>
                <w:szCs w:val="21"/>
                <w:lang w:val="en-US" w:eastAsia="zh-CN"/>
              </w:rPr>
              <w:t>SW63</w:t>
            </w:r>
            <w:r>
              <w:rPr>
                <w:rFonts w:hint="eastAsia"/>
                <w:sz w:val="21"/>
                <w:szCs w:val="21"/>
                <w:lang w:eastAsia="zh-CN"/>
              </w:rPr>
              <w:t>）</w:t>
            </w:r>
          </w:p>
        </w:tc>
        <w:tc>
          <w:tcPr>
            <w:tcW w:w="0" w:type="auto"/>
            <w:noWrap w:val="0"/>
            <w:vAlign w:val="center"/>
          </w:tcPr>
          <w:p>
            <w:pPr>
              <w:spacing w:line="260" w:lineRule="exact"/>
              <w:ind w:firstLine="0" w:firstLineChars="0"/>
              <w:jc w:val="center"/>
              <w:rPr>
                <w:rFonts w:hint="default" w:ascii="Times New Roman"/>
                <w:sz w:val="21"/>
                <w:szCs w:val="21"/>
                <w:lang w:val="en-US" w:eastAsia="zh-CN"/>
              </w:rPr>
            </w:pPr>
            <w:r>
              <w:rPr>
                <w:rFonts w:hint="eastAsia" w:ascii="Times New Roman" w:hAnsi="Times New Roman"/>
                <w:sz w:val="21"/>
                <w:szCs w:val="21"/>
                <w:lang w:val="en-US" w:eastAsia="zh-CN"/>
              </w:rPr>
              <w:t>1</w:t>
            </w:r>
            <w:r>
              <w:rPr>
                <w:rFonts w:hint="eastAsia" w:ascii="Times New Roman"/>
                <w:sz w:val="21"/>
                <w:szCs w:val="21"/>
                <w:lang w:val="en-US" w:eastAsia="zh-CN"/>
              </w:rPr>
              <w:t>.</w:t>
            </w:r>
            <w:r>
              <w:rPr>
                <w:rFonts w:hint="eastAsia" w:ascii="Times New Roman" w:hAnsi="Times New Roman"/>
                <w:sz w:val="21"/>
                <w:szCs w:val="21"/>
                <w:lang w:val="en-US" w:eastAsia="zh-CN"/>
              </w:rPr>
              <w:t>332</w:t>
            </w:r>
          </w:p>
        </w:tc>
        <w:tc>
          <w:tcPr>
            <w:tcW w:w="0" w:type="auto"/>
            <w:noWrap w:val="0"/>
            <w:vAlign w:val="center"/>
          </w:tcPr>
          <w:p>
            <w:pPr>
              <w:spacing w:line="260" w:lineRule="exact"/>
              <w:ind w:firstLine="0" w:firstLineChars="0"/>
              <w:jc w:val="center"/>
              <w:rPr>
                <w:rFonts w:hint="default" w:ascii="Times New Roman"/>
                <w:sz w:val="21"/>
                <w:szCs w:val="21"/>
                <w:lang w:val="en-US" w:eastAsia="zh-CN"/>
              </w:rPr>
            </w:pPr>
            <w:r>
              <w:rPr>
                <w:rFonts w:hint="eastAsia" w:ascii="Times New Roman" w:hAnsi="Times New Roman"/>
                <w:sz w:val="21"/>
                <w:szCs w:val="21"/>
                <w:lang w:val="en-US" w:eastAsia="zh-CN"/>
              </w:rPr>
              <w:t>1</w:t>
            </w:r>
            <w:r>
              <w:rPr>
                <w:rFonts w:hint="eastAsia" w:ascii="Times New Roman"/>
                <w:sz w:val="21"/>
                <w:szCs w:val="21"/>
                <w:lang w:val="en-US" w:eastAsia="zh-CN"/>
              </w:rPr>
              <w:t>.</w:t>
            </w:r>
            <w:r>
              <w:rPr>
                <w:rFonts w:hint="eastAsia" w:ascii="Times New Roman" w:hAnsi="Times New Roman"/>
                <w:sz w:val="21"/>
                <w:szCs w:val="21"/>
                <w:lang w:val="en-US" w:eastAsia="zh-CN"/>
              </w:rPr>
              <w:t>332</w:t>
            </w:r>
          </w:p>
        </w:tc>
        <w:tc>
          <w:tcPr>
            <w:tcW w:w="0" w:type="auto"/>
            <w:tcBorders>
              <w:right w:val="single" w:color="auto" w:sz="12" w:space="0"/>
            </w:tcBorders>
            <w:noWrap w:val="0"/>
            <w:vAlign w:val="center"/>
          </w:tcPr>
          <w:p>
            <w:pPr>
              <w:spacing w:line="260" w:lineRule="exact"/>
              <w:ind w:firstLine="0" w:firstLineChars="0"/>
              <w:jc w:val="center"/>
              <w:rPr>
                <w:rFonts w:hint="default" w:ascii="Times New Roman"/>
                <w:sz w:val="21"/>
                <w:szCs w:val="21"/>
                <w:lang w:val="en-US" w:eastAsia="zh-CN"/>
              </w:rPr>
            </w:pPr>
            <w:r>
              <w:rPr>
                <w:rFonts w:hint="eastAsia" w:ascii="Times New Roman" w:hAnsi="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962" w:type="dxa"/>
            <w:gridSpan w:val="2"/>
            <w:tcBorders>
              <w:left w:val="single" w:color="auto" w:sz="12" w:space="0"/>
              <w:bottom w:val="single" w:color="auto" w:sz="12" w:space="0"/>
            </w:tcBorders>
            <w:noWrap w:val="0"/>
            <w:vAlign w:val="center"/>
          </w:tcPr>
          <w:p>
            <w:pPr>
              <w:spacing w:line="260" w:lineRule="exact"/>
              <w:ind w:firstLine="0"/>
              <w:jc w:val="center"/>
              <w:rPr>
                <w:rFonts w:hint="eastAsia"/>
                <w:sz w:val="21"/>
                <w:szCs w:val="21"/>
              </w:rPr>
            </w:pPr>
            <w:r>
              <w:rPr>
                <w:rFonts w:hint="eastAsia"/>
                <w:sz w:val="21"/>
                <w:szCs w:val="21"/>
              </w:rPr>
              <w:t>危险废物</w:t>
            </w:r>
          </w:p>
        </w:tc>
        <w:tc>
          <w:tcPr>
            <w:tcW w:w="3005" w:type="dxa"/>
            <w:gridSpan w:val="2"/>
            <w:tcBorders>
              <w:bottom w:val="single" w:color="auto" w:sz="12" w:space="0"/>
            </w:tcBorders>
            <w:noWrap w:val="0"/>
            <w:vAlign w:val="center"/>
          </w:tcPr>
          <w:p>
            <w:pPr>
              <w:spacing w:line="260" w:lineRule="exact"/>
              <w:ind w:firstLine="0" w:firstLineChars="0"/>
              <w:jc w:val="center"/>
              <w:rPr>
                <w:rFonts w:hint="eastAsia" w:ascii="宋体" w:hAnsi="宋体" w:eastAsia="宋体" w:cs="Times New Roman"/>
                <w:sz w:val="21"/>
                <w:szCs w:val="21"/>
                <w:lang w:val="en-US" w:eastAsia="zh-CN" w:bidi="ar-SA"/>
              </w:rPr>
            </w:pPr>
            <w:r>
              <w:rPr>
                <w:rFonts w:hint="eastAsia"/>
                <w:sz w:val="21"/>
                <w:szCs w:val="21"/>
                <w:lang w:eastAsia="zh-CN"/>
              </w:rPr>
              <w:t>废催化剂（</w:t>
            </w:r>
            <w:r>
              <w:rPr>
                <w:rFonts w:hint="eastAsia" w:ascii="Times New Roman" w:hAnsi="Times New Roman"/>
                <w:sz w:val="21"/>
                <w:szCs w:val="21"/>
                <w:lang w:val="en-US" w:eastAsia="zh-CN"/>
              </w:rPr>
              <w:t>276</w:t>
            </w:r>
            <w:r>
              <w:rPr>
                <w:rFonts w:hint="eastAsia"/>
                <w:sz w:val="21"/>
                <w:szCs w:val="21"/>
                <w:lang w:val="en-US" w:eastAsia="zh-CN"/>
              </w:rPr>
              <w:t>-</w:t>
            </w:r>
            <w:r>
              <w:rPr>
                <w:rFonts w:hint="eastAsia" w:ascii="Times New Roman" w:hAnsi="Times New Roman"/>
                <w:sz w:val="21"/>
                <w:szCs w:val="21"/>
                <w:lang w:val="en-US" w:eastAsia="zh-CN"/>
              </w:rPr>
              <w:t>006</w:t>
            </w:r>
            <w:r>
              <w:rPr>
                <w:rFonts w:hint="eastAsia"/>
                <w:sz w:val="21"/>
                <w:szCs w:val="21"/>
                <w:lang w:val="en-US" w:eastAsia="zh-CN"/>
              </w:rPr>
              <w:t>-</w:t>
            </w:r>
            <w:r>
              <w:rPr>
                <w:rFonts w:hint="eastAsia" w:ascii="Times New Roman" w:hAnsi="Times New Roman"/>
                <w:sz w:val="21"/>
                <w:szCs w:val="21"/>
                <w:lang w:val="en-US" w:eastAsia="zh-CN"/>
              </w:rPr>
              <w:t>50</w:t>
            </w:r>
            <w:r>
              <w:rPr>
                <w:rFonts w:hint="eastAsia"/>
                <w:sz w:val="21"/>
                <w:szCs w:val="21"/>
                <w:lang w:eastAsia="zh-CN"/>
              </w:rPr>
              <w:t>）</w:t>
            </w:r>
          </w:p>
        </w:tc>
        <w:tc>
          <w:tcPr>
            <w:tcW w:w="0" w:type="auto"/>
            <w:tcBorders>
              <w:bottom w:val="single" w:color="auto" w:sz="12" w:space="0"/>
            </w:tcBorders>
            <w:noWrap w:val="0"/>
            <w:vAlign w:val="center"/>
          </w:tcPr>
          <w:p>
            <w:pPr>
              <w:spacing w:line="260" w:lineRule="exact"/>
              <w:ind w:firstLine="0" w:firstLineChars="0"/>
              <w:jc w:val="center"/>
              <w:rPr>
                <w:rFonts w:hint="default" w:ascii="Times New Roman" w:hAnsi="宋体" w:eastAsia="宋体" w:cs="Times New Roman"/>
                <w:sz w:val="21"/>
                <w:szCs w:val="21"/>
                <w:lang w:val="en-US" w:eastAsia="zh-CN" w:bidi="ar-SA"/>
              </w:rPr>
            </w:pPr>
            <w:r>
              <w:rPr>
                <w:rFonts w:hint="eastAsia" w:ascii="Times New Roman" w:hAnsi="Times New Roman"/>
                <w:sz w:val="21"/>
                <w:szCs w:val="21"/>
                <w:lang w:val="en-US" w:eastAsia="zh-CN"/>
              </w:rPr>
              <w:t>0</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6</w:t>
            </w:r>
          </w:p>
        </w:tc>
        <w:tc>
          <w:tcPr>
            <w:tcW w:w="0" w:type="auto"/>
            <w:tcBorders>
              <w:bottom w:val="single" w:color="auto" w:sz="12" w:space="0"/>
            </w:tcBorders>
            <w:noWrap w:val="0"/>
            <w:vAlign w:val="center"/>
          </w:tcPr>
          <w:p>
            <w:pPr>
              <w:spacing w:line="260" w:lineRule="exact"/>
              <w:ind w:firstLine="0" w:firstLineChars="0"/>
              <w:jc w:val="center"/>
              <w:rPr>
                <w:rFonts w:hint="default" w:ascii="Times New Roman" w:hAnsi="宋体" w:eastAsia="宋体" w:cs="Times New Roman"/>
                <w:sz w:val="21"/>
                <w:szCs w:val="21"/>
                <w:lang w:val="en-US" w:eastAsia="zh-CN" w:bidi="ar-SA"/>
              </w:rPr>
            </w:pPr>
            <w:r>
              <w:rPr>
                <w:rFonts w:hint="eastAsia" w:ascii="Times New Roman" w:hAnsi="Times New Roman"/>
                <w:sz w:val="21"/>
                <w:szCs w:val="21"/>
                <w:lang w:val="en-US" w:eastAsia="zh-CN"/>
              </w:rPr>
              <w:t>0</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6</w:t>
            </w:r>
          </w:p>
        </w:tc>
        <w:tc>
          <w:tcPr>
            <w:tcW w:w="0" w:type="auto"/>
            <w:tcBorders>
              <w:bottom w:val="single" w:color="auto" w:sz="12" w:space="0"/>
              <w:right w:val="single" w:color="auto" w:sz="12" w:space="0"/>
            </w:tcBorders>
            <w:noWrap w:val="0"/>
            <w:vAlign w:val="center"/>
          </w:tcPr>
          <w:p>
            <w:pPr>
              <w:spacing w:line="260" w:lineRule="exact"/>
              <w:ind w:firstLine="0" w:firstLineChars="0"/>
              <w:jc w:val="center"/>
              <w:rPr>
                <w:rFonts w:hint="eastAsia" w:ascii="Times New Roman" w:hAnsi="宋体" w:eastAsia="宋体" w:cs="Times New Roman"/>
                <w:sz w:val="21"/>
                <w:szCs w:val="21"/>
                <w:lang w:val="en-US" w:eastAsia="zh-CN" w:bidi="ar-SA"/>
              </w:rPr>
            </w:pPr>
            <w:r>
              <w:rPr>
                <w:rFonts w:hint="eastAsia" w:ascii="Times New Roman" w:hAnsi="Times New Roman"/>
                <w:sz w:val="21"/>
                <w:szCs w:val="21"/>
                <w:lang w:val="en-US" w:eastAsia="zh-CN"/>
              </w:rPr>
              <w:t>0</w:t>
            </w:r>
          </w:p>
        </w:tc>
      </w:tr>
      <w:bookmarkEnd w:id="135"/>
      <w:bookmarkEnd w:id="136"/>
      <w:bookmarkEnd w:id="137"/>
      <w:bookmarkEnd w:id="138"/>
    </w:tbl>
    <w:p>
      <w:pPr>
        <w:pStyle w:val="4"/>
        <w:bidi w:val="0"/>
        <w:rPr>
          <w:rFonts w:hint="default" w:eastAsia="楷体_GB2312"/>
          <w:lang w:val="en-US" w:eastAsia="zh-CN"/>
        </w:rPr>
      </w:pPr>
      <w:bookmarkStart w:id="143" w:name="_Toc7764"/>
      <w:bookmarkStart w:id="144" w:name="_Toc2425"/>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9</w:t>
      </w:r>
      <w:r>
        <w:rPr>
          <w:rFonts w:hint="eastAsia"/>
          <w:lang w:val="en-US" w:eastAsia="zh-CN"/>
        </w:rPr>
        <w:t>温室气体排放分析</w:t>
      </w:r>
      <w:bookmarkEnd w:id="143"/>
    </w:p>
    <w:p>
      <w:pPr>
        <w:pStyle w:val="5"/>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w:t>
      </w:r>
      <w:r>
        <w:rPr>
          <w:rFonts w:hint="eastAsia"/>
          <w:lang w:val="en-US" w:eastAsia="zh-CN"/>
        </w:rPr>
        <w:t>概念简述</w:t>
      </w:r>
    </w:p>
    <w:p>
      <w:pPr>
        <w:bidi w:val="0"/>
      </w:pPr>
      <w:r>
        <w:t>温室气体是指大气层中自然存在的和由于人类活动产生的能够吸收和散发由地球表面、大气层和云层所产生的、波长在红外光谱内的辐射的气态成分。碳排放是关于温室气体排放的一个总称或简称，温室气体中最主要的组成部分是二氧化碳(</w:t>
      </w:r>
      <w:r>
        <w:rPr>
          <w:rFonts w:ascii="Times New Roman" w:hAnsi="Times New Roman"/>
        </w:rPr>
        <w:t>CO</w:t>
      </w:r>
      <w:r>
        <w:rPr>
          <w:rFonts w:ascii="Times New Roman" w:hAnsi="Times New Roman"/>
          <w:vertAlign w:val="subscript"/>
        </w:rPr>
        <w:t>2</w:t>
      </w:r>
      <w:r>
        <w:t>），因此人们</w:t>
      </w:r>
      <w:r>
        <w:rPr>
          <w:rFonts w:hint="eastAsia"/>
        </w:rPr>
        <w:t>简</w:t>
      </w:r>
      <w:r>
        <w:t>单地将“碳排放”理解为“二氧化碳排放”。伴随全球气候变暖，人们日益关注到温室气体排放对环境产生的不利影响，我国日益注重碳减排工作的推进，在此大背景下，将碳排放纳入建设项目环境影响评价中十分必要。</w:t>
      </w:r>
    </w:p>
    <w:p>
      <w:pPr>
        <w:bidi w:val="0"/>
        <w:rPr>
          <w:rFonts w:hint="eastAsia"/>
        </w:rPr>
      </w:pPr>
      <w:r>
        <w:t>本次评价根据</w:t>
      </w:r>
      <w:r>
        <w:rPr>
          <w:color w:val="auto"/>
        </w:rPr>
        <w:t>《</w:t>
      </w:r>
      <w:r>
        <w:rPr>
          <w:rFonts w:hint="eastAsia"/>
          <w:color w:val="auto"/>
          <w:lang w:val="en-US" w:eastAsia="zh-CN"/>
        </w:rPr>
        <w:t>中国化工生产企业</w:t>
      </w:r>
      <w:r>
        <w:rPr>
          <w:color w:val="auto"/>
        </w:rPr>
        <w:t>温室气体排放核算</w:t>
      </w:r>
      <w:r>
        <w:rPr>
          <w:rFonts w:hint="eastAsia"/>
          <w:color w:val="auto"/>
          <w:lang w:val="en-US" w:eastAsia="zh-CN"/>
        </w:rPr>
        <w:t>方法与报告指南（试行）</w:t>
      </w:r>
      <w:r>
        <w:rPr>
          <w:color w:val="auto"/>
        </w:rPr>
        <w:t>》</w:t>
      </w:r>
      <w:r>
        <w:t>对项目的温室气体排放进行核算，并提出一定的减排建议。</w:t>
      </w:r>
    </w:p>
    <w:p>
      <w:pPr>
        <w:pStyle w:val="5"/>
        <w:bidi w:val="0"/>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rPr>
        <w:t>核算边界及核算方法</w:t>
      </w:r>
    </w:p>
    <w:p>
      <w:pPr>
        <w:bidi w:val="0"/>
      </w:pPr>
      <w:r>
        <w:rPr>
          <w:rFonts w:hint="eastAsia"/>
          <w:lang w:eastAsia="zh-CN"/>
        </w:rPr>
        <w:t>本次核算以本项目装置区为核算边界，核算其生产系统产生的温室气体。</w:t>
      </w:r>
      <w:r>
        <w:rPr>
          <w:rFonts w:hint="eastAsia"/>
        </w:rPr>
        <w:t>生产系统包括主要生产系统、辅助生产系统以及间接为生产服务的附属生产系统，其中辅助生产系统包括动力、供电、供水、机修、库房、厂内运输等。</w:t>
      </w:r>
      <w:r>
        <w:t>根据</w:t>
      </w:r>
      <w:r>
        <w:rPr>
          <w:color w:val="auto"/>
        </w:rPr>
        <w:t>《</w:t>
      </w:r>
      <w:r>
        <w:rPr>
          <w:rFonts w:hint="eastAsia"/>
          <w:color w:val="auto"/>
          <w:lang w:val="en-US" w:eastAsia="zh-CN"/>
        </w:rPr>
        <w:t xml:space="preserve">中国化工生产企业 </w:t>
      </w:r>
      <w:r>
        <w:rPr>
          <w:color w:val="auto"/>
        </w:rPr>
        <w:t>温室气体排放核算</w:t>
      </w:r>
      <w:r>
        <w:rPr>
          <w:rFonts w:hint="eastAsia"/>
          <w:color w:val="auto"/>
          <w:lang w:val="en-US" w:eastAsia="zh-CN"/>
        </w:rPr>
        <w:t>方法与报告指南（试行）</w:t>
      </w:r>
      <w:r>
        <w:rPr>
          <w:color w:val="auto"/>
        </w:rPr>
        <w:t>》</w:t>
      </w:r>
      <w:r>
        <w:t>，石油化工企业温室气体排放总量计算公式如下：</w:t>
      </w:r>
    </w:p>
    <w:p>
      <w:pPr>
        <w:pStyle w:val="31"/>
        <w:ind w:firstLine="480"/>
        <w:rPr>
          <w:snapToGrid/>
        </w:rPr>
      </w:pPr>
      <m:oMathPara>
        <m:oMath>
          <m:sSub>
            <m:sSubPr>
              <m:ctrlPr>
                <w:rPr>
                  <w:rFonts w:ascii="Cambria Math" w:hAnsi="Cambria Math" w:cs="宋体"/>
                  <w:i/>
                  <w:kern w:val="0"/>
                  <w:sz w:val="24"/>
                  <w:szCs w:val="24"/>
                  <w:lang w:val="en-US" w:bidi="ar"/>
                </w:rPr>
              </m:ctrlPr>
            </m:sSubPr>
            <m:e>
              <m:r>
                <m:rPr/>
                <w:rPr>
                  <w:rFonts w:hint="default" w:ascii="Cambria Math" w:hAnsi="Cambria Math" w:cs="宋体"/>
                  <w:kern w:val="0"/>
                  <w:sz w:val="24"/>
                  <w:szCs w:val="24"/>
                  <w:lang w:val="en-US" w:eastAsia="zh-CN" w:bidi="ar"/>
                </w:rPr>
                <m:t>E</m:t>
              </m:r>
              <m:ctrlPr>
                <w:rPr>
                  <w:rFonts w:ascii="Cambria Math" w:hAnsi="Cambria Math" w:cs="宋体"/>
                  <w:i/>
                  <w:kern w:val="0"/>
                  <w:sz w:val="24"/>
                  <w:szCs w:val="24"/>
                  <w:lang w:val="en-US" w:bidi="ar"/>
                </w:rPr>
              </m:ctrlPr>
            </m:e>
            <m:sub>
              <m:r>
                <m:rPr/>
                <w:rPr>
                  <w:rFonts w:hint="default" w:ascii="Cambria Math" w:hAnsi="Cambria Math" w:cs="宋体"/>
                  <w:kern w:val="0"/>
                  <w:sz w:val="24"/>
                  <w:szCs w:val="24"/>
                  <w:lang w:val="en-US" w:eastAsia="zh-CN" w:bidi="ar"/>
                </w:rPr>
                <m:t>GHG</m:t>
              </m:r>
              <m:ctrlPr>
                <w:rPr>
                  <w:rFonts w:ascii="Cambria Math" w:hAnsi="Cambria Math" w:cs="宋体"/>
                  <w:i/>
                  <w:kern w:val="0"/>
                  <w:sz w:val="24"/>
                  <w:szCs w:val="24"/>
                  <w:lang w:val="en-US" w:bidi="ar"/>
                </w:rPr>
              </m:ctrlPr>
            </m:sub>
          </m:sSub>
          <m:r>
            <m:rPr/>
            <w:rPr>
              <w:rFonts w:hint="default" w:ascii="Cambria Math" w:hAnsi="Cambria Math" w:cs="宋体"/>
              <w:kern w:val="0"/>
              <w:sz w:val="24"/>
              <w:szCs w:val="24"/>
              <w:lang w:val="en-US" w:eastAsia="zh-CN" w:bidi="ar"/>
            </w:rPr>
            <m:t>=</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E</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C</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O</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2</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燃烧</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E</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CHG过程</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R</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C</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O</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2</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回收</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E</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C</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O</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2</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净电</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E</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C</m:t>
              </m:r>
              <m:sSub>
                <m:sSubPr>
                  <m:ctrlPr>
                    <w:rPr>
                      <w:rFonts w:hint="default" w:ascii="Cambria Math" w:hAnsi="Cambria Math" w:cs="宋体"/>
                      <w:i/>
                      <w:kern w:val="0"/>
                      <w:sz w:val="24"/>
                      <w:szCs w:val="24"/>
                      <w:lang w:val="en-US" w:eastAsia="zh-CN" w:bidi="ar"/>
                    </w:rPr>
                  </m:ctrlPr>
                </m:sSubPr>
                <m:e>
                  <m:r>
                    <m:rPr/>
                    <w:rPr>
                      <w:rFonts w:hint="default" w:ascii="Cambria Math" w:hAnsi="Cambria Math" w:cs="宋体"/>
                      <w:kern w:val="0"/>
                      <w:sz w:val="24"/>
                      <w:szCs w:val="24"/>
                      <w:lang w:val="en-US" w:eastAsia="zh-CN" w:bidi="ar"/>
                    </w:rPr>
                    <m:t>O</m:t>
                  </m:r>
                  <m:ctrlPr>
                    <w:rPr>
                      <w:rFonts w:hint="default" w:ascii="Cambria Math" w:hAnsi="Cambria Math" w:cs="宋体"/>
                      <w:i/>
                      <w:kern w:val="0"/>
                      <w:sz w:val="24"/>
                      <w:szCs w:val="24"/>
                      <w:lang w:val="en-US" w:eastAsia="zh-CN" w:bidi="ar"/>
                    </w:rPr>
                  </m:ctrlPr>
                </m:e>
                <m:sub>
                  <m:r>
                    <m:rPr/>
                    <w:rPr>
                      <w:rFonts w:hint="default" w:ascii="Cambria Math" w:hAnsi="Cambria Math" w:cs="宋体"/>
                      <w:kern w:val="0"/>
                      <w:sz w:val="24"/>
                      <w:szCs w:val="24"/>
                      <w:lang w:val="en-US" w:eastAsia="zh-CN" w:bidi="ar"/>
                    </w:rPr>
                    <m:t>2</m:t>
                  </m:r>
                  <m:ctrlPr>
                    <w:rPr>
                      <w:rFonts w:hint="default" w:ascii="Cambria Math" w:hAnsi="Cambria Math" w:cs="宋体"/>
                      <w:i/>
                      <w:kern w:val="0"/>
                      <w:sz w:val="24"/>
                      <w:szCs w:val="24"/>
                      <w:lang w:val="en-US" w:eastAsia="zh-CN" w:bidi="ar"/>
                    </w:rPr>
                  </m:ctrlPr>
                </m:sub>
              </m:sSub>
              <m:r>
                <m:rPr/>
                <w:rPr>
                  <w:rFonts w:hint="default" w:ascii="Cambria Math" w:hAnsi="Cambria Math" w:cs="宋体"/>
                  <w:kern w:val="0"/>
                  <w:sz w:val="24"/>
                  <w:szCs w:val="24"/>
                  <w:lang w:val="en-US" w:eastAsia="zh-CN" w:bidi="ar"/>
                </w:rPr>
                <m:t>净热</m:t>
              </m:r>
              <m:ctrlPr>
                <w:rPr>
                  <w:rFonts w:hint="default" w:ascii="Cambria Math" w:hAnsi="Cambria Math" w:cs="宋体"/>
                  <w:i/>
                  <w:kern w:val="0"/>
                  <w:sz w:val="24"/>
                  <w:szCs w:val="24"/>
                  <w:lang w:val="en-US" w:eastAsia="zh-CN" w:bidi="ar"/>
                </w:rPr>
              </m:ctrlPr>
            </m:sub>
          </m:sSub>
        </m:oMath>
      </m:oMathPara>
    </w:p>
    <w:p>
      <w:pPr>
        <w:rPr>
          <w:color w:val="auto"/>
        </w:rPr>
      </w:pPr>
      <w:r>
        <w:rPr>
          <w:color w:val="auto"/>
        </w:rPr>
        <w:t>式中：</w:t>
      </w:r>
    </w:p>
    <w:p>
      <w:pPr>
        <w:rPr>
          <w:color w:val="auto"/>
        </w:rPr>
      </w:pPr>
      <w:r>
        <w:rPr>
          <w:rFonts w:ascii="Times New Roman" w:hAnsi="Times New Roman" w:cs="Times New Roman"/>
          <w:color w:val="auto"/>
        </w:rPr>
        <w:t>E</w:t>
      </w:r>
      <w:r>
        <w:rPr>
          <w:rFonts w:hint="eastAsia" w:ascii="Times New Roman" w:hAnsi="Times New Roman" w:cs="Times New Roman"/>
          <w:color w:val="auto"/>
          <w:vertAlign w:val="subscript"/>
          <w:lang w:val="en-US" w:eastAsia="zh-CN"/>
        </w:rPr>
        <w:t>GHG</w:t>
      </w:r>
      <w:r>
        <w:rPr>
          <w:color w:val="auto"/>
        </w:rPr>
        <w:t>—二氧化碳排放总量；</w:t>
      </w:r>
    </w:p>
    <w:p>
      <w:pPr>
        <w:rPr>
          <w:color w:val="auto"/>
        </w:rPr>
      </w:pPr>
      <w:r>
        <w:rPr>
          <w:rFonts w:ascii="Times New Roman" w:hAnsi="Times New Roman" w:cs="Times New Roman"/>
          <w:color w:val="auto"/>
        </w:rPr>
        <w:t>E</w:t>
      </w:r>
      <w:r>
        <w:rPr>
          <w:rFonts w:hint="eastAsia" w:ascii="Times New Roman" w:hAnsi="Times New Roman" w:cs="Times New Roman"/>
          <w:color w:val="auto"/>
          <w:vertAlign w:val="subscript"/>
          <w:lang w:val="en-US" w:eastAsia="zh-CN"/>
        </w:rPr>
        <w:t>CO2</w:t>
      </w:r>
      <w:r>
        <w:rPr>
          <w:color w:val="auto"/>
          <w:vertAlign w:val="subscript"/>
        </w:rPr>
        <w:t>燃烧</w:t>
      </w:r>
      <w:r>
        <w:rPr>
          <w:color w:val="auto"/>
        </w:rPr>
        <w:t>—</w:t>
      </w:r>
      <w:r>
        <w:rPr>
          <w:rFonts w:hint="eastAsia"/>
          <w:color w:val="auto"/>
          <w:lang w:val="en-US" w:eastAsia="zh-CN"/>
        </w:rPr>
        <w:t>企业边界内</w:t>
      </w:r>
      <w:r>
        <w:rPr>
          <w:color w:val="auto"/>
        </w:rPr>
        <w:t>化石燃料燃烧</w:t>
      </w:r>
      <w:r>
        <w:rPr>
          <w:rFonts w:hint="eastAsia"/>
          <w:color w:val="auto"/>
          <w:lang w:val="en-US" w:eastAsia="zh-CN"/>
        </w:rPr>
        <w:t>产生的</w:t>
      </w:r>
      <w:r>
        <w:rPr>
          <w:rFonts w:hint="eastAsia" w:ascii="Times New Roman" w:hAnsi="Times New Roman" w:cs="Times New Roman"/>
          <w:color w:val="auto"/>
          <w:lang w:val="en-US" w:eastAsia="zh-CN"/>
        </w:rPr>
        <w:t>CO</w:t>
      </w:r>
      <w:r>
        <w:rPr>
          <w:rFonts w:hint="eastAsia" w:ascii="Times New Roman" w:hAnsi="Times New Roman" w:cs="Times New Roman"/>
          <w:color w:val="auto"/>
          <w:vertAlign w:val="subscript"/>
          <w:lang w:val="en-US" w:eastAsia="zh-CN"/>
        </w:rPr>
        <w:t>2</w:t>
      </w:r>
      <w:r>
        <w:rPr>
          <w:color w:val="auto"/>
        </w:rPr>
        <w:t>排放量；</w:t>
      </w:r>
    </w:p>
    <w:p>
      <w:pPr>
        <w:rPr>
          <w:color w:val="auto"/>
        </w:rPr>
      </w:pPr>
      <w:r>
        <w:rPr>
          <w:rFonts w:ascii="Times New Roman" w:hAnsi="Times New Roman" w:cs="Times New Roman"/>
          <w:color w:val="auto"/>
        </w:rPr>
        <w:t>E</w:t>
      </w:r>
      <w:r>
        <w:rPr>
          <w:rFonts w:hint="eastAsia" w:ascii="Times New Roman" w:hAnsi="Times New Roman" w:cs="Times New Roman"/>
          <w:color w:val="auto"/>
          <w:vertAlign w:val="subscript"/>
          <w:lang w:val="en-US" w:eastAsia="zh-CN"/>
        </w:rPr>
        <w:t>GHG</w:t>
      </w:r>
      <w:r>
        <w:rPr>
          <w:color w:val="auto"/>
          <w:vertAlign w:val="subscript"/>
        </w:rPr>
        <w:t>过程</w:t>
      </w:r>
      <w:r>
        <w:rPr>
          <w:color w:val="auto"/>
        </w:rPr>
        <w:t>—</w:t>
      </w:r>
      <w:r>
        <w:rPr>
          <w:rFonts w:hint="eastAsia"/>
          <w:color w:val="auto"/>
          <w:lang w:val="en-US" w:eastAsia="zh-CN"/>
        </w:rPr>
        <w:t>企业边界内工业</w:t>
      </w:r>
      <w:r>
        <w:rPr>
          <w:color w:val="auto"/>
        </w:rPr>
        <w:t>生产过程</w:t>
      </w:r>
      <w:r>
        <w:rPr>
          <w:rFonts w:hint="eastAsia"/>
          <w:color w:val="auto"/>
          <w:lang w:val="en-US" w:eastAsia="zh-CN"/>
        </w:rPr>
        <w:t>产生的温室气体</w:t>
      </w:r>
      <w:r>
        <w:rPr>
          <w:rFonts w:hint="eastAsia" w:ascii="Times New Roman" w:hAnsi="Times New Roman" w:cs="Times New Roman"/>
          <w:color w:val="auto"/>
          <w:lang w:val="en-US" w:eastAsia="zh-CN"/>
        </w:rPr>
        <w:t>CO</w:t>
      </w:r>
      <w:r>
        <w:rPr>
          <w:rFonts w:hint="eastAsia" w:ascii="Times New Roman" w:hAnsi="Times New Roman" w:cs="Times New Roman"/>
          <w:color w:val="auto"/>
          <w:vertAlign w:val="subscript"/>
          <w:lang w:val="en-US" w:eastAsia="zh-CN"/>
        </w:rPr>
        <w:t>2</w:t>
      </w:r>
      <w:r>
        <w:rPr>
          <w:rFonts w:hint="eastAsia"/>
          <w:color w:val="auto"/>
          <w:lang w:val="en-US" w:eastAsia="zh-CN"/>
        </w:rPr>
        <w:t>当量排放</w:t>
      </w:r>
      <w:r>
        <w:rPr>
          <w:color w:val="auto"/>
        </w:rPr>
        <w:t>；</w:t>
      </w:r>
    </w:p>
    <w:p>
      <w:pPr>
        <w:rPr>
          <w:rFonts w:hint="default" w:eastAsia="宋体"/>
          <w:color w:val="auto"/>
          <w:lang w:val="en-US" w:eastAsia="zh-CN"/>
        </w:rPr>
      </w:pPr>
      <w:r>
        <w:rPr>
          <w:rFonts w:hint="eastAsia" w:ascii="Times New Roman" w:hAnsi="Times New Roman" w:cs="Times New Roman"/>
          <w:color w:val="auto"/>
          <w:lang w:val="en-US" w:eastAsia="zh-CN"/>
        </w:rPr>
        <w:t>E</w:t>
      </w:r>
      <w:r>
        <w:rPr>
          <w:rFonts w:hint="eastAsia" w:ascii="Times New Roman" w:hAnsi="Times New Roman" w:cs="Times New Roman"/>
          <w:color w:val="auto"/>
          <w:vertAlign w:val="subscript"/>
          <w:lang w:val="en-US" w:eastAsia="zh-CN"/>
        </w:rPr>
        <w:t>CO2</w:t>
      </w:r>
      <w:r>
        <w:rPr>
          <w:rFonts w:hint="eastAsia"/>
          <w:color w:val="auto"/>
          <w:lang w:val="en-US" w:eastAsia="zh-CN"/>
        </w:rPr>
        <w:t>回收—为企业回收且外供的</w:t>
      </w:r>
      <w:r>
        <w:rPr>
          <w:rFonts w:hint="eastAsia" w:ascii="Times New Roman" w:hAnsi="Times New Roman" w:cs="Times New Roman"/>
          <w:color w:val="auto"/>
          <w:lang w:val="en-US" w:eastAsia="zh-CN"/>
        </w:rPr>
        <w:t>CO</w:t>
      </w:r>
      <w:r>
        <w:rPr>
          <w:rFonts w:hint="eastAsia" w:ascii="Times New Roman" w:hAnsi="Times New Roman" w:cs="Times New Roman"/>
          <w:color w:val="auto"/>
          <w:vertAlign w:val="subscript"/>
          <w:lang w:val="en-US" w:eastAsia="zh-CN"/>
        </w:rPr>
        <w:t>2</w:t>
      </w:r>
      <w:r>
        <w:rPr>
          <w:rFonts w:hint="eastAsia"/>
          <w:color w:val="auto"/>
          <w:lang w:val="en-US" w:eastAsia="zh-CN"/>
        </w:rPr>
        <w:t>量；</w:t>
      </w:r>
    </w:p>
    <w:p>
      <w:pPr>
        <w:rPr>
          <w:color w:val="auto"/>
        </w:rPr>
      </w:pPr>
      <w:r>
        <w:rPr>
          <w:rFonts w:ascii="Times New Roman" w:hAnsi="Times New Roman" w:cs="Times New Roman"/>
          <w:color w:val="auto"/>
        </w:rPr>
        <w:t>E</w:t>
      </w:r>
      <w:r>
        <w:rPr>
          <w:rFonts w:hint="eastAsia" w:ascii="Times New Roman" w:hAnsi="Times New Roman" w:cs="Times New Roman"/>
          <w:color w:val="auto"/>
          <w:vertAlign w:val="subscript"/>
          <w:lang w:val="en-US" w:eastAsia="zh-CN"/>
        </w:rPr>
        <w:t>CO2</w:t>
      </w:r>
      <w:r>
        <w:rPr>
          <w:rFonts w:hint="eastAsia"/>
          <w:color w:val="auto"/>
          <w:vertAlign w:val="subscript"/>
          <w:lang w:val="en-US" w:eastAsia="zh-CN"/>
        </w:rPr>
        <w:t>净</w:t>
      </w:r>
      <w:r>
        <w:rPr>
          <w:color w:val="auto"/>
          <w:vertAlign w:val="subscript"/>
        </w:rPr>
        <w:t>电</w:t>
      </w:r>
      <w:r>
        <w:rPr>
          <w:color w:val="auto"/>
        </w:rPr>
        <w:t>—</w:t>
      </w:r>
      <w:r>
        <w:rPr>
          <w:rFonts w:hint="eastAsia"/>
          <w:color w:val="auto"/>
          <w:lang w:val="en-US" w:eastAsia="zh-CN"/>
        </w:rPr>
        <w:t>为企业净购入的电力消费引起的</w:t>
      </w:r>
      <w:r>
        <w:rPr>
          <w:rFonts w:hint="eastAsia" w:ascii="Times New Roman" w:hAnsi="Times New Roman" w:cs="Times New Roman"/>
          <w:color w:val="auto"/>
          <w:lang w:val="en-US" w:eastAsia="zh-CN"/>
        </w:rPr>
        <w:t>CO</w:t>
      </w:r>
      <w:r>
        <w:rPr>
          <w:rFonts w:hint="eastAsia" w:ascii="Times New Roman" w:hAnsi="Times New Roman" w:cs="Times New Roman"/>
          <w:color w:val="auto"/>
          <w:vertAlign w:val="subscript"/>
          <w:lang w:val="en-US" w:eastAsia="zh-CN"/>
        </w:rPr>
        <w:t>2</w:t>
      </w:r>
      <w:r>
        <w:rPr>
          <w:rFonts w:hint="eastAsia"/>
          <w:color w:val="auto"/>
          <w:lang w:val="en-US" w:eastAsia="zh-CN"/>
        </w:rPr>
        <w:t>排放；</w:t>
      </w:r>
    </w:p>
    <w:p>
      <w:pPr>
        <w:bidi w:val="0"/>
      </w:pPr>
      <w:r>
        <w:rPr>
          <w:rFonts w:ascii="Times New Roman" w:hAnsi="Times New Roman" w:cs="Times New Roman"/>
          <w:color w:val="auto"/>
        </w:rPr>
        <w:t>E</w:t>
      </w:r>
      <w:r>
        <w:rPr>
          <w:rFonts w:hint="eastAsia" w:ascii="Times New Roman" w:hAnsi="Times New Roman" w:cs="Times New Roman"/>
          <w:color w:val="auto"/>
          <w:vertAlign w:val="subscript"/>
          <w:lang w:val="en-US" w:eastAsia="zh-CN"/>
        </w:rPr>
        <w:t>CO2</w:t>
      </w:r>
      <w:r>
        <w:rPr>
          <w:rFonts w:hint="eastAsia"/>
          <w:color w:val="auto"/>
          <w:vertAlign w:val="subscript"/>
          <w:lang w:val="en-US" w:eastAsia="zh-CN"/>
        </w:rPr>
        <w:t>净</w:t>
      </w:r>
      <w:r>
        <w:rPr>
          <w:color w:val="auto"/>
          <w:vertAlign w:val="subscript"/>
        </w:rPr>
        <w:t>热</w:t>
      </w:r>
      <w:r>
        <w:rPr>
          <w:color w:val="auto"/>
        </w:rPr>
        <w:t>—</w:t>
      </w:r>
      <w:r>
        <w:rPr>
          <w:rFonts w:hint="eastAsia"/>
          <w:color w:val="auto"/>
          <w:lang w:val="en-US" w:eastAsia="zh-CN"/>
        </w:rPr>
        <w:t>为企业净购入的热力消费引起的</w:t>
      </w:r>
      <w:r>
        <w:rPr>
          <w:rFonts w:hint="eastAsia" w:ascii="Times New Roman" w:hAnsi="Times New Roman" w:cs="Times New Roman"/>
          <w:color w:val="auto"/>
          <w:lang w:val="en-US" w:eastAsia="zh-CN"/>
        </w:rPr>
        <w:t>CO</w:t>
      </w:r>
      <w:r>
        <w:rPr>
          <w:rFonts w:hint="eastAsia" w:ascii="Times New Roman" w:hAnsi="Times New Roman" w:cs="Times New Roman"/>
          <w:color w:val="auto"/>
          <w:vertAlign w:val="subscript"/>
          <w:lang w:val="en-US" w:eastAsia="zh-CN"/>
        </w:rPr>
        <w:t>2</w:t>
      </w:r>
      <w:r>
        <w:rPr>
          <w:rFonts w:hint="eastAsia"/>
          <w:color w:val="auto"/>
          <w:lang w:val="en-US" w:eastAsia="zh-CN"/>
        </w:rPr>
        <w:t>排放</w:t>
      </w:r>
      <w:r>
        <w:rPr>
          <w:rFonts w:hint="eastAsia"/>
          <w:color w:val="auto"/>
          <w:lang w:eastAsia="zh-CN"/>
        </w:rPr>
        <w:t>。</w:t>
      </w:r>
    </w:p>
    <w:p>
      <w:pPr>
        <w:pStyle w:val="5"/>
        <w:spacing w:after="31"/>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3</w:t>
      </w:r>
      <w:r>
        <w:rPr>
          <w:rFonts w:hint="eastAsia"/>
        </w:rPr>
        <w:t>温室</w:t>
      </w:r>
      <w:r>
        <w:rPr>
          <w:rFonts w:hint="eastAsia"/>
          <w:lang w:val="en-US" w:eastAsia="zh-CN"/>
        </w:rPr>
        <w:t>气体</w:t>
      </w:r>
      <w:r>
        <w:rPr>
          <w:rFonts w:hint="eastAsia"/>
        </w:rPr>
        <w:t>排放核算</w:t>
      </w:r>
    </w:p>
    <w:p>
      <w:pPr>
        <w:bidi w:val="0"/>
      </w:pPr>
      <w:r>
        <w:t>结合</w:t>
      </w:r>
      <w:r>
        <w:rPr>
          <w:rFonts w:hint="eastAsia"/>
          <w:lang w:val="en-US" w:eastAsia="zh-CN"/>
        </w:rPr>
        <w:t>本</w:t>
      </w:r>
      <w:r>
        <w:rPr>
          <w:rFonts w:hint="eastAsia"/>
        </w:rPr>
        <w:t>项目</w:t>
      </w:r>
      <w:r>
        <w:t>特点，因</w:t>
      </w:r>
      <w:r>
        <w:rPr>
          <w:rFonts w:hint="eastAsia"/>
          <w:lang w:val="en-US" w:eastAsia="zh-CN"/>
        </w:rPr>
        <w:t>本项目蒸汽由现有动力站锅炉提供</w:t>
      </w:r>
      <w:r>
        <w:t>，</w:t>
      </w:r>
      <w:r>
        <w:rPr>
          <w:rFonts w:hint="eastAsia"/>
          <w:lang w:eastAsia="zh-CN"/>
        </w:rPr>
        <w:t>蒸汽供应导致的燃煤量增加进而会导致</w:t>
      </w:r>
      <w:r>
        <w:t>二氧化碳排放增量</w:t>
      </w:r>
      <w:r>
        <w:rPr>
          <w:rFonts w:hint="eastAsia"/>
          <w:lang w:eastAsia="zh-CN"/>
        </w:rPr>
        <w:t>。</w:t>
      </w:r>
      <w:r>
        <w:rPr>
          <w:rFonts w:hint="eastAsia"/>
          <w:color w:val="auto"/>
          <w:lang w:val="en-US" w:eastAsia="zh-CN"/>
        </w:rPr>
        <w:t>综合考虑，</w:t>
      </w:r>
      <w:r>
        <w:rPr>
          <w:color w:val="auto"/>
        </w:rPr>
        <w:t>本项目</w:t>
      </w:r>
      <w:r>
        <w:rPr>
          <w:rFonts w:hint="eastAsia"/>
          <w:color w:val="auto"/>
        </w:rPr>
        <w:t>二氧化碳</w:t>
      </w:r>
      <w:r>
        <w:rPr>
          <w:color w:val="auto"/>
        </w:rPr>
        <w:t>排放源主要包括</w:t>
      </w:r>
      <w:r>
        <w:rPr>
          <w:rFonts w:hint="eastAsia"/>
          <w:color w:val="auto"/>
          <w:lang w:val="en-US" w:eastAsia="zh-CN"/>
        </w:rPr>
        <w:t>间接换算</w:t>
      </w:r>
      <w:r>
        <w:rPr>
          <w:color w:val="auto"/>
        </w:rPr>
        <w:t>化石燃料燃烧</w:t>
      </w:r>
      <w:r>
        <w:rPr>
          <w:rFonts w:hint="eastAsia"/>
          <w:color w:val="auto"/>
          <w:lang w:eastAsia="zh-CN"/>
        </w:rPr>
        <w:t>（</w:t>
      </w:r>
      <w:r>
        <w:rPr>
          <w:rFonts w:hint="eastAsia"/>
          <w:color w:val="auto"/>
          <w:lang w:val="en-US" w:eastAsia="zh-CN"/>
        </w:rPr>
        <w:t>提供蒸汽</w:t>
      </w:r>
      <w:r>
        <w:rPr>
          <w:rFonts w:hint="eastAsia"/>
          <w:color w:val="auto"/>
          <w:lang w:eastAsia="zh-CN"/>
        </w:rPr>
        <w:t>）</w:t>
      </w:r>
      <w:r>
        <w:rPr>
          <w:rFonts w:hint="eastAsia"/>
          <w:color w:val="auto"/>
          <w:lang w:val="en-US" w:eastAsia="zh-CN"/>
        </w:rPr>
        <w:t>导致的</w:t>
      </w:r>
      <w:r>
        <w:rPr>
          <w:color w:val="auto"/>
        </w:rPr>
        <w:t>二氧化碳排放，生产过程的二氧化碳排放，购入的电力对应的二氧化碳排放</w:t>
      </w:r>
      <w:r>
        <w:rPr>
          <w:rFonts w:hint="eastAsia"/>
          <w:color w:val="auto"/>
          <w:lang w:val="en-US" w:eastAsia="zh-CN"/>
        </w:rPr>
        <w:t>三部分</w:t>
      </w:r>
      <w:r>
        <w:rPr>
          <w:color w:val="auto"/>
        </w:rPr>
        <w:t>，温室气体排放总量计算公式可</w:t>
      </w:r>
      <w:r>
        <w:rPr>
          <w:rFonts w:hint="eastAsia"/>
          <w:color w:val="auto"/>
        </w:rPr>
        <w:t>简化</w:t>
      </w:r>
      <w:r>
        <w:rPr>
          <w:color w:val="auto"/>
        </w:rPr>
        <w:t>为：</w:t>
      </w:r>
    </w:p>
    <w:p>
      <w:pPr>
        <w:pStyle w:val="31"/>
        <w:ind w:firstLine="480"/>
        <w:jc w:val="center"/>
        <w:rPr>
          <w:sz w:val="24"/>
          <w:szCs w:val="36"/>
        </w:rPr>
      </w:pPr>
      <w:r>
        <w:rPr>
          <w:rFonts w:ascii="Times New Roman" w:hAnsi="Times New Roman"/>
          <w:sz w:val="24"/>
          <w:szCs w:val="36"/>
        </w:rPr>
        <w:t>E</w:t>
      </w:r>
      <w:r>
        <w:rPr>
          <w:sz w:val="24"/>
          <w:szCs w:val="36"/>
        </w:rPr>
        <w:t>=</w:t>
      </w:r>
      <w:r>
        <w:rPr>
          <w:rFonts w:ascii="Times New Roman" w:hAnsi="Times New Roman"/>
          <w:sz w:val="24"/>
          <w:szCs w:val="36"/>
        </w:rPr>
        <w:t>E</w:t>
      </w:r>
      <w:r>
        <w:rPr>
          <w:sz w:val="24"/>
          <w:szCs w:val="36"/>
          <w:vertAlign w:val="subscript"/>
        </w:rPr>
        <w:t>燃烧</w:t>
      </w:r>
      <w:r>
        <w:rPr>
          <w:rFonts w:hint="eastAsia"/>
          <w:sz w:val="24"/>
          <w:szCs w:val="36"/>
        </w:rPr>
        <w:t>+</w:t>
      </w:r>
      <w:r>
        <w:rPr>
          <w:rFonts w:ascii="Times New Roman" w:hAnsi="Times New Roman"/>
          <w:sz w:val="24"/>
          <w:szCs w:val="36"/>
        </w:rPr>
        <w:t>E</w:t>
      </w:r>
      <w:r>
        <w:rPr>
          <w:sz w:val="24"/>
          <w:szCs w:val="36"/>
          <w:vertAlign w:val="subscript"/>
        </w:rPr>
        <w:t>过程</w:t>
      </w:r>
      <w:r>
        <w:rPr>
          <w:sz w:val="24"/>
          <w:szCs w:val="36"/>
        </w:rPr>
        <w:t>+</w:t>
      </w:r>
      <w:r>
        <w:rPr>
          <w:rFonts w:ascii="Times New Roman" w:hAnsi="Times New Roman"/>
          <w:sz w:val="24"/>
          <w:szCs w:val="36"/>
        </w:rPr>
        <w:t>E</w:t>
      </w:r>
      <w:r>
        <w:rPr>
          <w:sz w:val="24"/>
          <w:szCs w:val="36"/>
          <w:vertAlign w:val="subscript"/>
        </w:rPr>
        <w:t>购入电</w:t>
      </w:r>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）蒸汽导致的二氧化碳排放</w:t>
      </w:r>
    </w:p>
    <w:p>
      <w:pPr>
        <w:bidi w:val="0"/>
        <w:rPr>
          <w:rFonts w:hint="eastAsia"/>
          <w:lang w:val="en-US" w:eastAsia="zh-CN"/>
        </w:rPr>
      </w:pPr>
      <w:r>
        <w:rPr>
          <w:rFonts w:hint="eastAsia"/>
          <w:lang w:eastAsia="zh-CN"/>
        </w:rPr>
        <w:t>蒸汽由燃煤锅炉化石燃料燃烧产生。</w:t>
      </w:r>
      <w:r>
        <w:rPr>
          <w:rFonts w:hint="eastAsia"/>
          <w:lang w:val="en-US" w:eastAsia="zh-CN"/>
        </w:rPr>
        <w:t>蒸汽的当量折标系数按照蒸汽的温度、压力、查蒸汽的焓熵表得到对应的蒸汽焓进行计算：蒸汽的等价折标系数=等价热/</w:t>
      </w:r>
      <w:r>
        <w:rPr>
          <w:rFonts w:hint="eastAsia" w:ascii="Times New Roman" w:hAnsi="Times New Roman"/>
          <w:lang w:val="en-US" w:eastAsia="zh-CN"/>
        </w:rPr>
        <w:t>29307</w:t>
      </w:r>
      <w:r>
        <w:rPr>
          <w:rFonts w:hint="eastAsia"/>
          <w:lang w:val="en-US" w:eastAsia="zh-CN"/>
        </w:rPr>
        <w:t>。则本项目蒸汽折标系数：</w:t>
      </w:r>
    </w:p>
    <w:p>
      <w:pPr>
        <w:bidi w:val="0"/>
        <w:rPr>
          <w:rFonts w:hint="default"/>
          <w:lang w:val="en-US" w:eastAsia="zh-CN"/>
        </w:rPr>
      </w:pP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6MPa</w:t>
      </w:r>
      <w:r>
        <w:rPr>
          <w:rFonts w:hint="eastAsia"/>
          <w:lang w:val="en-US" w:eastAsia="zh-CN"/>
        </w:rPr>
        <w:t>，饱和蒸汽温度</w:t>
      </w:r>
      <w:r>
        <w:rPr>
          <w:rFonts w:hint="eastAsia" w:ascii="Times New Roman" w:hAnsi="Times New Roman"/>
          <w:lang w:val="en-US" w:eastAsia="zh-CN"/>
        </w:rPr>
        <w:t>158</w:t>
      </w:r>
      <w:r>
        <w:rPr>
          <w:rFonts w:hint="eastAsia"/>
          <w:lang w:val="en-US" w:eastAsia="zh-CN"/>
        </w:rPr>
        <w:t>℃，查表得蒸汽焓</w:t>
      </w:r>
      <w:r>
        <w:rPr>
          <w:rFonts w:hint="eastAsia" w:ascii="Times New Roman" w:hAnsi="Times New Roman"/>
          <w:lang w:val="en-US" w:eastAsia="zh-CN"/>
        </w:rPr>
        <w:t>2756</w:t>
      </w:r>
      <w:r>
        <w:rPr>
          <w:rFonts w:hint="eastAsia"/>
          <w:lang w:val="en-US" w:eastAsia="zh-CN"/>
        </w:rPr>
        <w:t>.</w:t>
      </w:r>
      <w:r>
        <w:rPr>
          <w:rFonts w:hint="eastAsia" w:ascii="Times New Roman" w:hAnsi="Times New Roman"/>
          <w:lang w:val="en-US" w:eastAsia="zh-CN"/>
        </w:rPr>
        <w:t>4kJ</w:t>
      </w:r>
      <w:r>
        <w:rPr>
          <w:rFonts w:hint="eastAsia"/>
          <w:lang w:val="en-US" w:eastAsia="zh-CN"/>
        </w:rPr>
        <w:t>/</w:t>
      </w:r>
      <w:r>
        <w:rPr>
          <w:rFonts w:hint="eastAsia" w:ascii="Times New Roman" w:hAnsi="Times New Roman"/>
          <w:lang w:val="en-US" w:eastAsia="zh-CN"/>
        </w:rPr>
        <w:t>kg</w:t>
      </w:r>
      <w:r>
        <w:rPr>
          <w:rFonts w:hint="eastAsia"/>
          <w:lang w:val="en-US" w:eastAsia="zh-CN"/>
        </w:rPr>
        <w:t>，当量折标系数=</w:t>
      </w:r>
      <w:r>
        <w:rPr>
          <w:rFonts w:hint="eastAsia" w:ascii="Times New Roman" w:hAnsi="Times New Roman"/>
          <w:lang w:val="en-US" w:eastAsia="zh-CN"/>
        </w:rPr>
        <w:t>2757</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29307</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0940tce</w:t>
      </w:r>
      <w:r>
        <w:rPr>
          <w:rFonts w:hint="eastAsia"/>
          <w:lang w:val="en-US" w:eastAsia="zh-CN"/>
        </w:rPr>
        <w:t>/</w:t>
      </w:r>
      <w:r>
        <w:rPr>
          <w:rFonts w:hint="eastAsia" w:ascii="Times New Roman" w:hAnsi="Times New Roman"/>
          <w:lang w:val="en-US" w:eastAsia="zh-CN"/>
        </w:rPr>
        <w:t>t</w:t>
      </w:r>
      <w:r>
        <w:rPr>
          <w:rFonts w:hint="eastAsia"/>
          <w:lang w:val="en-US" w:eastAsia="zh-CN"/>
        </w:rPr>
        <w:t>。</w:t>
      </w:r>
    </w:p>
    <w:p>
      <w:pPr>
        <w:bidi w:val="0"/>
        <w:rPr>
          <w:rFonts w:hint="default"/>
          <w:lang w:val="en-US" w:eastAsia="zh-CN"/>
        </w:rPr>
      </w:pP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3MPa</w:t>
      </w:r>
      <w:r>
        <w:rPr>
          <w:rFonts w:hint="eastAsia"/>
          <w:lang w:val="en-US" w:eastAsia="zh-CN"/>
        </w:rPr>
        <w:t>，饱和蒸汽温度</w:t>
      </w:r>
      <w:r>
        <w:rPr>
          <w:rFonts w:hint="eastAsia" w:ascii="Times New Roman" w:hAnsi="Times New Roman"/>
          <w:lang w:val="en-US" w:eastAsia="zh-CN"/>
        </w:rPr>
        <w:t>133</w:t>
      </w:r>
      <w:r>
        <w:rPr>
          <w:rFonts w:hint="eastAsia"/>
          <w:lang w:val="en-US" w:eastAsia="zh-CN"/>
        </w:rPr>
        <w:t>℃，查表得蒸汽焓</w:t>
      </w:r>
      <w:r>
        <w:rPr>
          <w:rFonts w:hint="eastAsia" w:ascii="Times New Roman" w:hAnsi="Times New Roman"/>
          <w:lang w:val="en-US" w:eastAsia="zh-CN"/>
        </w:rPr>
        <w:t>2725</w:t>
      </w:r>
      <w:r>
        <w:rPr>
          <w:rFonts w:hint="eastAsia"/>
          <w:lang w:val="en-US" w:eastAsia="zh-CN"/>
        </w:rPr>
        <w:t>.</w:t>
      </w:r>
      <w:r>
        <w:rPr>
          <w:rFonts w:hint="eastAsia" w:ascii="Times New Roman" w:hAnsi="Times New Roman"/>
          <w:lang w:val="en-US" w:eastAsia="zh-CN"/>
        </w:rPr>
        <w:t>5kJ</w:t>
      </w:r>
      <w:r>
        <w:rPr>
          <w:rFonts w:hint="eastAsia"/>
          <w:lang w:val="en-US" w:eastAsia="zh-CN"/>
        </w:rPr>
        <w:t>/</w:t>
      </w:r>
      <w:r>
        <w:rPr>
          <w:rFonts w:hint="eastAsia" w:ascii="Times New Roman" w:hAnsi="Times New Roman"/>
          <w:lang w:val="en-US" w:eastAsia="zh-CN"/>
        </w:rPr>
        <w:t>kg</w:t>
      </w:r>
      <w:r>
        <w:rPr>
          <w:rFonts w:hint="eastAsia"/>
          <w:lang w:val="en-US" w:eastAsia="zh-CN"/>
        </w:rPr>
        <w:t>，当量折标系数=</w:t>
      </w:r>
      <w:r>
        <w:rPr>
          <w:rFonts w:hint="eastAsia" w:ascii="Times New Roman" w:hAnsi="Times New Roman"/>
          <w:lang w:val="en-US" w:eastAsia="zh-CN"/>
        </w:rPr>
        <w:t>2725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29307</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0929tce</w:t>
      </w:r>
      <w:r>
        <w:rPr>
          <w:rFonts w:hint="eastAsia"/>
          <w:lang w:val="en-US" w:eastAsia="zh-CN"/>
        </w:rPr>
        <w:t>/</w:t>
      </w:r>
      <w:r>
        <w:rPr>
          <w:rFonts w:hint="eastAsia" w:ascii="Times New Roman" w:hAnsi="Times New Roman"/>
          <w:lang w:val="en-US" w:eastAsia="zh-CN"/>
        </w:rPr>
        <w:t>t</w:t>
      </w:r>
      <w:r>
        <w:rPr>
          <w:rFonts w:hint="eastAsia"/>
          <w:lang w:val="en-US" w:eastAsia="zh-CN"/>
        </w:rPr>
        <w:t>。</w:t>
      </w:r>
    </w:p>
    <w:p>
      <w:pPr>
        <w:bidi w:val="0"/>
        <w:rPr>
          <w:rFonts w:hint="default" w:eastAsia="宋体"/>
          <w:lang w:val="en-US" w:eastAsia="zh-CN"/>
        </w:rPr>
      </w:pPr>
      <w:r>
        <w:rPr>
          <w:rFonts w:hint="eastAsia"/>
          <w:lang w:val="en-US" w:eastAsia="zh-CN"/>
        </w:rPr>
        <w:t>根据本项目设计，厂内主要能源消耗见表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w:t>
      </w:r>
      <w:r>
        <w:rPr>
          <w:rFonts w:hint="eastAsia"/>
          <w:lang w:val="en-US" w:eastAsia="zh-CN"/>
        </w:rPr>
        <w:t xml:space="preserve">  本项目电力与蒸汽能耗指标表</w:t>
      </w:r>
    </w:p>
    <w:tbl>
      <w:tblPr>
        <w:tblStyle w:val="8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1159"/>
        <w:gridCol w:w="1623"/>
        <w:gridCol w:w="1909"/>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vertAlign w:val="baseline"/>
                <w:lang w:val="en-US" w:eastAsia="zh-CN"/>
              </w:rPr>
            </w:pPr>
            <w:r>
              <w:rPr>
                <w:rFonts w:hint="eastAsia"/>
                <w:sz w:val="21"/>
                <w:szCs w:val="16"/>
                <w:vertAlign w:val="baseline"/>
                <w:lang w:val="en-US" w:eastAsia="zh-CN"/>
              </w:rPr>
              <w:t>主要能源种类</w:t>
            </w:r>
          </w:p>
        </w:tc>
        <w:tc>
          <w:tcPr>
            <w:tcW w:w="632"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vertAlign w:val="baseline"/>
                <w:lang w:val="en-US" w:eastAsia="zh-CN"/>
              </w:rPr>
            </w:pPr>
            <w:r>
              <w:rPr>
                <w:rFonts w:hint="eastAsia"/>
                <w:sz w:val="21"/>
                <w:szCs w:val="16"/>
                <w:vertAlign w:val="baseline"/>
                <w:lang w:val="en-US" w:eastAsia="zh-CN"/>
              </w:rPr>
              <w:t>计量单位</w:t>
            </w:r>
          </w:p>
        </w:tc>
        <w:tc>
          <w:tcPr>
            <w:tcW w:w="885"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vertAlign w:val="baseline"/>
                <w:lang w:val="en-US" w:eastAsia="zh-CN"/>
              </w:rPr>
            </w:pPr>
            <w:r>
              <w:rPr>
                <w:rFonts w:hint="eastAsia"/>
                <w:sz w:val="21"/>
                <w:szCs w:val="16"/>
                <w:vertAlign w:val="baseline"/>
                <w:lang w:val="en-US" w:eastAsia="zh-CN"/>
              </w:rPr>
              <w:t>年需要实物量</w:t>
            </w:r>
          </w:p>
        </w:tc>
        <w:tc>
          <w:tcPr>
            <w:tcW w:w="1041"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val="en-US" w:eastAsia="zh-CN"/>
              </w:rPr>
            </w:pPr>
            <w:r>
              <w:rPr>
                <w:rFonts w:hint="eastAsia"/>
                <w:sz w:val="21"/>
                <w:szCs w:val="16"/>
                <w:vertAlign w:val="baseline"/>
                <w:lang w:val="en-US" w:eastAsia="zh-CN"/>
              </w:rPr>
              <w:t>折标系数</w:t>
            </w:r>
          </w:p>
        </w:tc>
        <w:tc>
          <w:tcPr>
            <w:tcW w:w="1089"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vertAlign w:val="baseline"/>
                <w:lang w:val="en-US" w:eastAsia="zh-CN"/>
              </w:rPr>
            </w:pPr>
            <w:r>
              <w:rPr>
                <w:rFonts w:hint="eastAsia"/>
                <w:sz w:val="21"/>
                <w:szCs w:val="16"/>
                <w:vertAlign w:val="baseline"/>
                <w:lang w:val="en-US" w:eastAsia="zh-CN"/>
              </w:rPr>
              <w:t>折标煤量（</w:t>
            </w:r>
            <w:r>
              <w:rPr>
                <w:rFonts w:hint="eastAsia" w:ascii="Times New Roman" w:hAnsi="Times New Roman"/>
                <w:sz w:val="21"/>
                <w:szCs w:val="16"/>
                <w:vertAlign w:val="baseline"/>
                <w:lang w:val="en-US" w:eastAsia="zh-CN"/>
              </w:rPr>
              <w:t>tce</w:t>
            </w:r>
            <w:r>
              <w:rPr>
                <w:rFonts w:hint="eastAsia"/>
                <w:sz w:val="21"/>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sz w:val="21"/>
                <w:szCs w:val="16"/>
                <w:vertAlign w:val="baseline"/>
                <w:lang w:val="en-US" w:eastAsia="zh-CN"/>
              </w:rPr>
              <w:t>电力</w:t>
            </w:r>
          </w:p>
        </w:tc>
        <w:tc>
          <w:tcPr>
            <w:tcW w:w="6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10</w:t>
            </w:r>
            <w:r>
              <w:rPr>
                <w:rFonts w:hint="eastAsia" w:ascii="Times New Roman" w:hAnsi="Times New Roman"/>
                <w:sz w:val="21"/>
                <w:szCs w:val="16"/>
                <w:vertAlign w:val="superscript"/>
                <w:lang w:val="en-US" w:eastAsia="zh-CN"/>
              </w:rPr>
              <w:t>4</w:t>
            </w:r>
            <w:r>
              <w:rPr>
                <w:rFonts w:hint="eastAsia" w:ascii="Times New Roman" w:hAnsi="Times New Roman"/>
                <w:sz w:val="21"/>
                <w:szCs w:val="16"/>
                <w:vertAlign w:val="baseline"/>
                <w:lang w:val="en-US" w:eastAsia="zh-CN"/>
              </w:rPr>
              <w:t>kWh</w:t>
            </w:r>
          </w:p>
        </w:tc>
        <w:tc>
          <w:tcPr>
            <w:tcW w:w="8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180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576</w:t>
            </w: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1</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229tce</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10</w:t>
            </w:r>
            <w:r>
              <w:rPr>
                <w:rFonts w:hint="eastAsia" w:ascii="Times New Roman" w:hAnsi="Times New Roman"/>
                <w:sz w:val="21"/>
                <w:szCs w:val="16"/>
                <w:vertAlign w:val="superscript"/>
                <w:lang w:val="en-US" w:eastAsia="zh-CN"/>
              </w:rPr>
              <w:t>4</w:t>
            </w:r>
            <w:r>
              <w:rPr>
                <w:rFonts w:hint="eastAsia" w:ascii="Times New Roman" w:hAnsi="Times New Roman"/>
                <w:sz w:val="21"/>
                <w:szCs w:val="16"/>
                <w:vertAlign w:val="baseline"/>
                <w:lang w:val="en-US" w:eastAsia="zh-CN"/>
              </w:rPr>
              <w:t>kWh</w:t>
            </w:r>
          </w:p>
        </w:tc>
        <w:tc>
          <w:tcPr>
            <w:tcW w:w="108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221</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6MPa</w:t>
            </w:r>
            <w:r>
              <w:rPr>
                <w:rFonts w:hint="eastAsia"/>
                <w:sz w:val="21"/>
                <w:szCs w:val="16"/>
                <w:vertAlign w:val="baseline"/>
                <w:lang w:val="en-US" w:eastAsia="zh-CN"/>
              </w:rPr>
              <w:t>蒸汽</w:t>
            </w:r>
          </w:p>
        </w:tc>
        <w:tc>
          <w:tcPr>
            <w:tcW w:w="6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ascii="Times New Roman" w:hAnsi="Times New Roman"/>
                <w:sz w:val="21"/>
                <w:szCs w:val="16"/>
                <w:vertAlign w:val="baseline"/>
                <w:lang w:val="en-US" w:eastAsia="zh-CN"/>
              </w:rPr>
              <w:t>t</w:t>
            </w:r>
          </w:p>
        </w:tc>
        <w:tc>
          <w:tcPr>
            <w:tcW w:w="8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4800</w:t>
            </w: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vertAlign w:val="baseline"/>
                <w:lang w:val="en-US" w:eastAsia="zh-CN" w:bidi="ar-SA"/>
              </w:rPr>
            </w:pP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0940tce</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t</w:t>
            </w:r>
          </w:p>
        </w:tc>
        <w:tc>
          <w:tcPr>
            <w:tcW w:w="108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451</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3MPa</w:t>
            </w:r>
            <w:r>
              <w:rPr>
                <w:rFonts w:hint="eastAsia"/>
                <w:sz w:val="21"/>
                <w:szCs w:val="16"/>
                <w:vertAlign w:val="baseline"/>
                <w:lang w:val="en-US" w:eastAsia="zh-CN"/>
              </w:rPr>
              <w:t>蒸汽</w:t>
            </w:r>
          </w:p>
        </w:tc>
        <w:tc>
          <w:tcPr>
            <w:tcW w:w="632"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t</w:t>
            </w:r>
          </w:p>
        </w:tc>
        <w:tc>
          <w:tcPr>
            <w:tcW w:w="8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13040</w:t>
            </w:r>
          </w:p>
        </w:tc>
        <w:tc>
          <w:tcPr>
            <w:tcW w:w="104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0929tce</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t</w:t>
            </w:r>
          </w:p>
        </w:tc>
        <w:tc>
          <w:tcPr>
            <w:tcW w:w="1089"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1211</w:t>
            </w:r>
            <w:r>
              <w:rPr>
                <w:rFonts w:hint="eastAsia" w:ascii="Times New Roman" w:hAnsi="Times New Roman"/>
                <w:sz w:val="21"/>
                <w:szCs w:val="16"/>
                <w:vertAlign w:val="baseline"/>
                <w:lang w:val="en-US" w:eastAsia="zh-CN"/>
              </w:rPr>
              <w:t>.</w:t>
            </w:r>
            <w:r>
              <w:rPr>
                <w:rFonts w:hint="eastAsia" w:ascii="Times New Roman" w:hAnsi="Times New Roman"/>
                <w:sz w:val="21"/>
                <w:szCs w:val="16"/>
                <w:vertAlign w:val="baseline"/>
                <w:lang w:val="en-US" w:eastAsia="zh-CN"/>
              </w:rPr>
              <w:t>416</w:t>
            </w:r>
          </w:p>
        </w:tc>
      </w:tr>
    </w:tbl>
    <w:p>
      <w:pPr>
        <w:bidi w:val="0"/>
      </w:pPr>
      <w:r>
        <w:rPr>
          <w:rFonts w:hint="eastAsia"/>
        </w:rPr>
        <w:t>化石燃料燃烧二氧化碳排放量主要基于企业内各燃烧设施分品种的化石燃料燃烧量，乘以相应的燃料含碳量和碳氧化率，在逐层累加汇总得到，计算公式如下：</w:t>
      </w:r>
    </w:p>
    <w:p>
      <w:pPr>
        <w:pStyle w:val="31"/>
        <w:ind w:firstLine="480"/>
        <w:jc w:val="center"/>
      </w:pPr>
      <w:r>
        <w:rPr>
          <w:snapToGrid/>
        </w:rPr>
        <w:drawing>
          <wp:inline distT="0" distB="0" distL="0" distR="0">
            <wp:extent cx="2495550" cy="347345"/>
            <wp:effectExtent l="0" t="0" r="635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495550" cy="347345"/>
                    </a:xfrm>
                    <a:prstGeom prst="rect">
                      <a:avLst/>
                    </a:prstGeom>
                    <a:noFill/>
                    <a:ln>
                      <a:noFill/>
                    </a:ln>
                  </pic:spPr>
                </pic:pic>
              </a:graphicData>
            </a:graphic>
          </wp:inline>
        </w:drawing>
      </w:r>
    </w:p>
    <w:p>
      <w:pPr>
        <w:bidi w:val="0"/>
      </w:pPr>
      <w:r>
        <w:rPr>
          <w:rFonts w:hint="eastAsia"/>
        </w:rPr>
        <w:t>式中：</w:t>
      </w:r>
    </w:p>
    <w:p>
      <w:pPr>
        <w:bidi w:val="0"/>
      </w:pPr>
      <w:r>
        <w:rPr>
          <w:rFonts w:hint="eastAsia" w:ascii="Times New Roman" w:hAnsi="Times New Roman"/>
        </w:rPr>
        <w:t>E</w:t>
      </w:r>
      <w:r>
        <w:rPr>
          <w:rFonts w:hint="eastAsia"/>
        </w:rPr>
        <w:t>燃烧——化石燃料燃烧二氧化碳排放量；</w:t>
      </w:r>
    </w:p>
    <w:p>
      <w:pPr>
        <w:bidi w:val="0"/>
      </w:pPr>
      <w:r>
        <w:rPr>
          <w:rFonts w:hint="eastAsia" w:ascii="Times New Roman" w:hAnsi="Times New Roman"/>
        </w:rPr>
        <w:t>i</w:t>
      </w:r>
      <w:r>
        <w:rPr>
          <w:rFonts w:hint="eastAsia"/>
        </w:rPr>
        <w:t>——化石燃料种类；</w:t>
      </w:r>
    </w:p>
    <w:p>
      <w:pPr>
        <w:bidi w:val="0"/>
      </w:pPr>
      <w:r>
        <w:rPr>
          <w:rFonts w:hint="eastAsia" w:ascii="Times New Roman" w:hAnsi="Times New Roman"/>
        </w:rPr>
        <w:t>j</w:t>
      </w:r>
      <w:r>
        <w:rPr>
          <w:rFonts w:hint="eastAsia"/>
        </w:rPr>
        <w:t>——燃烧设施序号；</w:t>
      </w:r>
    </w:p>
    <w:p>
      <w:pPr>
        <w:bidi w:val="0"/>
        <w:rPr>
          <w:rFonts w:hint="eastAsia" w:eastAsia="宋体"/>
          <w:szCs w:val="24"/>
          <w:lang w:eastAsia="zh-CN"/>
        </w:rPr>
      </w:pPr>
      <w:r>
        <w:rPr>
          <w:rFonts w:hint="eastAsia" w:ascii="Times New Roman" w:hAnsi="Times New Roman"/>
          <w:szCs w:val="24"/>
        </w:rPr>
        <w:t>A</w:t>
      </w:r>
      <w:r>
        <w:rPr>
          <w:rFonts w:ascii="Times New Roman" w:hAnsi="Times New Roman"/>
          <w:szCs w:val="24"/>
        </w:rPr>
        <w:t>D</w:t>
      </w:r>
      <w:r>
        <w:rPr>
          <w:rFonts w:hint="eastAsia" w:ascii="Times New Roman" w:hAnsi="Times New Roman"/>
          <w:szCs w:val="24"/>
          <w:vertAlign w:val="subscript"/>
        </w:rPr>
        <w:t>i</w:t>
      </w:r>
      <w:r>
        <w:rPr>
          <w:szCs w:val="24"/>
          <w:vertAlign w:val="subscript"/>
        </w:rPr>
        <w:t>,</w:t>
      </w:r>
      <w:r>
        <w:rPr>
          <w:rFonts w:hint="eastAsia" w:ascii="Times New Roman" w:hAnsi="Times New Roman"/>
          <w:szCs w:val="24"/>
          <w:vertAlign w:val="subscript"/>
        </w:rPr>
        <w:t>j</w:t>
      </w:r>
      <w:r>
        <w:rPr>
          <w:rFonts w:hint="eastAsia"/>
          <w:szCs w:val="24"/>
        </w:rPr>
        <w:t>——燃烧设施</w:t>
      </w:r>
      <w:r>
        <w:rPr>
          <w:rFonts w:hint="eastAsia" w:ascii="Times New Roman" w:hAnsi="Times New Roman"/>
          <w:szCs w:val="24"/>
        </w:rPr>
        <w:t>j</w:t>
      </w:r>
      <w:r>
        <w:rPr>
          <w:rFonts w:hint="eastAsia"/>
          <w:szCs w:val="24"/>
        </w:rPr>
        <w:t>内燃烧的化石燃料品种</w:t>
      </w:r>
      <w:r>
        <w:rPr>
          <w:rFonts w:hint="eastAsia" w:ascii="Times New Roman" w:hAnsi="Times New Roman"/>
          <w:szCs w:val="24"/>
        </w:rPr>
        <w:t>i</w:t>
      </w:r>
      <w:r>
        <w:rPr>
          <w:rFonts w:hint="eastAsia"/>
          <w:szCs w:val="24"/>
        </w:rPr>
        <w:t>燃烧量,对固体或液体燃料以及炼厂干气以吨(</w:t>
      </w:r>
      <w:r>
        <w:rPr>
          <w:rFonts w:hint="eastAsia" w:ascii="Times New Roman" w:hAnsi="Times New Roman"/>
          <w:szCs w:val="24"/>
        </w:rPr>
        <w:t>t</w:t>
      </w:r>
      <w:r>
        <w:rPr>
          <w:rFonts w:hint="eastAsia"/>
          <w:szCs w:val="24"/>
        </w:rPr>
        <w:t>)为单位</w:t>
      </w:r>
      <w:r>
        <w:rPr>
          <w:rFonts w:hint="eastAsia"/>
          <w:szCs w:val="24"/>
          <w:lang w:eastAsia="zh-CN"/>
        </w:rPr>
        <w:t>；</w:t>
      </w:r>
    </w:p>
    <w:p>
      <w:pPr>
        <w:bidi w:val="0"/>
        <w:rPr>
          <w:rFonts w:hint="eastAsia" w:eastAsia="宋体"/>
          <w:szCs w:val="24"/>
          <w:lang w:eastAsia="zh-CN"/>
        </w:rPr>
      </w:pPr>
      <w:r>
        <w:rPr>
          <w:rFonts w:hint="eastAsia" w:ascii="Times New Roman" w:hAnsi="Times New Roman"/>
          <w:szCs w:val="24"/>
        </w:rPr>
        <w:t>CC</w:t>
      </w:r>
      <w:r>
        <w:rPr>
          <w:rFonts w:hint="eastAsia" w:ascii="Times New Roman" w:hAnsi="Times New Roman"/>
          <w:szCs w:val="24"/>
          <w:vertAlign w:val="subscript"/>
        </w:rPr>
        <w:t>i</w:t>
      </w:r>
      <w:r>
        <w:rPr>
          <w:szCs w:val="24"/>
          <w:vertAlign w:val="subscript"/>
        </w:rPr>
        <w:t>,</w:t>
      </w:r>
      <w:r>
        <w:rPr>
          <w:rFonts w:hint="eastAsia" w:ascii="Times New Roman" w:hAnsi="Times New Roman"/>
          <w:szCs w:val="24"/>
          <w:vertAlign w:val="subscript"/>
        </w:rPr>
        <w:t>j</w:t>
      </w:r>
      <w:r>
        <w:rPr>
          <w:rFonts w:hint="eastAsia"/>
          <w:szCs w:val="24"/>
        </w:rPr>
        <w:t>—设施</w:t>
      </w:r>
      <w:r>
        <w:rPr>
          <w:rFonts w:hint="eastAsia" w:ascii="Times New Roman" w:hAnsi="Times New Roman"/>
          <w:szCs w:val="24"/>
        </w:rPr>
        <w:t>j</w:t>
      </w:r>
      <w:r>
        <w:rPr>
          <w:rFonts w:hint="eastAsia"/>
          <w:szCs w:val="24"/>
        </w:rPr>
        <w:t>内燃烧的化石燃料</w:t>
      </w:r>
      <w:r>
        <w:rPr>
          <w:rFonts w:hint="eastAsia" w:ascii="Times New Roman" w:hAnsi="Times New Roman"/>
          <w:szCs w:val="24"/>
        </w:rPr>
        <w:t>i</w:t>
      </w:r>
      <w:r>
        <w:rPr>
          <w:rFonts w:hint="eastAsia"/>
          <w:szCs w:val="24"/>
        </w:rPr>
        <w:t>的含碳量，对固体和液体燃料以吨碳每吨燃料(</w:t>
      </w:r>
      <w:r>
        <w:rPr>
          <w:rFonts w:hint="eastAsia" w:ascii="Times New Roman" w:hAnsi="Times New Roman"/>
          <w:szCs w:val="24"/>
        </w:rPr>
        <w:t>tC</w:t>
      </w:r>
      <w:r>
        <w:rPr>
          <w:rFonts w:hint="eastAsia"/>
          <w:szCs w:val="24"/>
        </w:rPr>
        <w:t>/</w:t>
      </w:r>
      <w:r>
        <w:rPr>
          <w:rFonts w:hint="eastAsia" w:ascii="Times New Roman" w:hAnsi="Times New Roman"/>
          <w:szCs w:val="24"/>
        </w:rPr>
        <w:t>t</w:t>
      </w:r>
      <w:r>
        <w:rPr>
          <w:rFonts w:hint="eastAsia"/>
          <w:szCs w:val="24"/>
        </w:rPr>
        <w:t>)为单位</w:t>
      </w:r>
      <w:r>
        <w:rPr>
          <w:rFonts w:hint="eastAsia"/>
          <w:szCs w:val="24"/>
          <w:lang w:eastAsia="zh-CN"/>
        </w:rPr>
        <w:t>；</w:t>
      </w:r>
    </w:p>
    <w:p>
      <w:pPr>
        <w:bidi w:val="0"/>
        <w:rPr>
          <w:szCs w:val="24"/>
        </w:rPr>
      </w:pPr>
      <w:r>
        <w:rPr>
          <w:rFonts w:hint="eastAsia" w:ascii="Times New Roman" w:hAnsi="Times New Roman"/>
          <w:szCs w:val="24"/>
        </w:rPr>
        <w:t>OF</w:t>
      </w:r>
      <w:r>
        <w:rPr>
          <w:rFonts w:hint="eastAsia" w:ascii="Times New Roman" w:hAnsi="Times New Roman"/>
          <w:szCs w:val="24"/>
          <w:vertAlign w:val="subscript"/>
        </w:rPr>
        <w:t>i</w:t>
      </w:r>
      <w:r>
        <w:rPr>
          <w:szCs w:val="24"/>
          <w:vertAlign w:val="subscript"/>
        </w:rPr>
        <w:t>,</w:t>
      </w:r>
      <w:r>
        <w:rPr>
          <w:rFonts w:hint="eastAsia" w:ascii="Times New Roman" w:hAnsi="Times New Roman"/>
          <w:szCs w:val="24"/>
          <w:vertAlign w:val="subscript"/>
        </w:rPr>
        <w:t>j</w:t>
      </w:r>
      <w:r>
        <w:rPr>
          <w:rFonts w:hint="eastAsia"/>
          <w:szCs w:val="24"/>
        </w:rPr>
        <w:t>—燃烧的化石燃料</w:t>
      </w:r>
      <w:r>
        <w:rPr>
          <w:rFonts w:hint="eastAsia" w:ascii="Times New Roman" w:hAnsi="Times New Roman"/>
          <w:szCs w:val="24"/>
        </w:rPr>
        <w:t>i</w:t>
      </w:r>
      <w:r>
        <w:rPr>
          <w:rFonts w:hint="eastAsia"/>
          <w:szCs w:val="24"/>
        </w:rPr>
        <w:t>的碳氧化率，以%表示。</w:t>
      </w:r>
    </w:p>
    <w:p>
      <w:pPr>
        <w:bidi w:val="0"/>
      </w:pPr>
      <w:r>
        <w:rPr>
          <w:rFonts w:hint="eastAsia"/>
          <w:szCs w:val="24"/>
        </w:rPr>
        <w:t>本项目</w:t>
      </w:r>
      <w:r>
        <w:rPr>
          <w:rFonts w:hint="eastAsia"/>
          <w:szCs w:val="24"/>
          <w:lang w:val="en-US" w:eastAsia="zh-CN"/>
        </w:rPr>
        <w:t>折算</w:t>
      </w:r>
      <w:r>
        <w:rPr>
          <w:rFonts w:hint="eastAsia"/>
          <w:szCs w:val="24"/>
        </w:rPr>
        <w:t>化石燃料燃烧二氧化碳排放</w:t>
      </w:r>
      <w:r>
        <w:rPr>
          <w:rFonts w:hint="eastAsia"/>
          <w:szCs w:val="24"/>
          <w:lang w:eastAsia="zh-CN"/>
        </w:rPr>
        <w:t>计算参数取值及</w:t>
      </w:r>
      <w:r>
        <w:rPr>
          <w:rFonts w:hint="eastAsia"/>
          <w:snapToGrid/>
        </w:rPr>
        <w:t>核算过程如下：</w:t>
      </w:r>
    </w:p>
    <w:p>
      <w:pPr>
        <w:pStyle w:val="20"/>
        <w:bidi w:val="0"/>
        <w:rPr>
          <w:rFonts w:hint="eastAsia" w:eastAsia="宋体"/>
          <w:color w:val="auto"/>
          <w:lang w:eastAsia="zh-CN"/>
        </w:rPr>
      </w:pPr>
      <w:r>
        <w:rPr>
          <w:color w:val="auto"/>
        </w:rPr>
        <w:t>表</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 xml:space="preserve">  </w:t>
      </w:r>
      <w:r>
        <w:rPr>
          <w:rFonts w:hint="eastAsia"/>
          <w:color w:val="auto"/>
        </w:rPr>
        <w:t>化石燃料燃烧</w:t>
      </w:r>
      <w:r>
        <w:rPr>
          <w:rFonts w:hint="eastAsia"/>
          <w:color w:val="auto"/>
          <w:lang w:eastAsia="zh-CN"/>
        </w:rPr>
        <w:t>二氧化碳排放计算参数取值及排放情况</w:t>
      </w:r>
    </w:p>
    <w:tbl>
      <w:tblPr>
        <w:tblStyle w:val="80"/>
        <w:tblW w:w="91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59"/>
        <w:gridCol w:w="1302"/>
        <w:gridCol w:w="1333"/>
        <w:gridCol w:w="1721"/>
        <w:gridCol w:w="889"/>
        <w:gridCol w:w="900"/>
        <w:gridCol w:w="16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6" w:hRule="atLeast"/>
        </w:trPr>
        <w:tc>
          <w:tcPr>
            <w:tcW w:w="1359"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snapToGrid/>
                <w:color w:val="auto"/>
                <w:sz w:val="21"/>
                <w:szCs w:val="11"/>
              </w:rPr>
              <w:t>装置</w:t>
            </w:r>
          </w:p>
        </w:tc>
        <w:tc>
          <w:tcPr>
            <w:tcW w:w="1302"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eastAsia" w:eastAsia="宋体"/>
                <w:snapToGrid/>
                <w:color w:val="auto"/>
                <w:sz w:val="21"/>
                <w:szCs w:val="11"/>
                <w:lang w:eastAsia="zh-CN"/>
              </w:rPr>
            </w:pPr>
            <w:r>
              <w:rPr>
                <w:rFonts w:hint="eastAsia"/>
                <w:snapToGrid/>
                <w:color w:val="auto"/>
                <w:sz w:val="21"/>
                <w:szCs w:val="11"/>
              </w:rPr>
              <w:t>燃料消耗量</w:t>
            </w:r>
            <w:r>
              <w:rPr>
                <w:rFonts w:hint="eastAsia"/>
                <w:snapToGrid/>
                <w:color w:val="auto"/>
                <w:sz w:val="21"/>
                <w:szCs w:val="11"/>
                <w:lang w:eastAsia="zh-CN"/>
              </w:rPr>
              <w:t>（</w:t>
            </w:r>
            <w:r>
              <w:rPr>
                <w:rFonts w:hint="eastAsia" w:ascii="Times New Roman" w:hAnsi="Times New Roman"/>
                <w:snapToGrid/>
                <w:color w:val="auto"/>
                <w:sz w:val="21"/>
                <w:szCs w:val="11"/>
                <w:lang w:val="en-US" w:eastAsia="zh-CN"/>
              </w:rPr>
              <w:t>t</w:t>
            </w:r>
            <w:r>
              <w:rPr>
                <w:rFonts w:hint="eastAsia"/>
                <w:snapToGrid/>
                <w:color w:val="auto"/>
                <w:sz w:val="21"/>
                <w:szCs w:val="11"/>
                <w:lang w:eastAsia="zh-CN"/>
              </w:rPr>
              <w:t>）</w:t>
            </w:r>
          </w:p>
        </w:tc>
        <w:tc>
          <w:tcPr>
            <w:tcW w:w="1333"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snapToGrid/>
                <w:color w:val="auto"/>
                <w:sz w:val="21"/>
                <w:szCs w:val="11"/>
              </w:rPr>
              <w:t>低位发热量(</w:t>
            </w:r>
            <w:r>
              <w:rPr>
                <w:rFonts w:ascii="Times New Roman" w:hAnsi="Times New Roman"/>
                <w:snapToGrid/>
                <w:color w:val="auto"/>
                <w:sz w:val="21"/>
                <w:szCs w:val="11"/>
              </w:rPr>
              <w:t>GJ</w:t>
            </w:r>
            <w:r>
              <w:rPr>
                <w:snapToGrid/>
                <w:color w:val="auto"/>
                <w:sz w:val="21"/>
                <w:szCs w:val="11"/>
              </w:rPr>
              <w:t>/</w:t>
            </w:r>
            <w:r>
              <w:rPr>
                <w:rFonts w:ascii="Times New Roman" w:hAnsi="Times New Roman"/>
                <w:snapToGrid/>
                <w:color w:val="auto"/>
                <w:sz w:val="21"/>
                <w:szCs w:val="11"/>
              </w:rPr>
              <w:t>t</w:t>
            </w:r>
            <w:r>
              <w:rPr>
                <w:snapToGrid/>
                <w:color w:val="auto"/>
                <w:sz w:val="21"/>
                <w:szCs w:val="11"/>
              </w:rPr>
              <w:t>)</w:t>
            </w:r>
          </w:p>
        </w:tc>
        <w:tc>
          <w:tcPr>
            <w:tcW w:w="1721"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snapToGrid/>
                <w:color w:val="auto"/>
                <w:sz w:val="21"/>
                <w:szCs w:val="11"/>
              </w:rPr>
              <w:t>单位热值含碳量(</w:t>
            </w:r>
            <w:r>
              <w:rPr>
                <w:rFonts w:ascii="Times New Roman" w:hAnsi="Times New Roman"/>
                <w:snapToGrid/>
                <w:color w:val="auto"/>
                <w:sz w:val="21"/>
                <w:szCs w:val="11"/>
              </w:rPr>
              <w:t>tC</w:t>
            </w:r>
            <w:r>
              <w:rPr>
                <w:snapToGrid/>
                <w:color w:val="auto"/>
                <w:sz w:val="21"/>
                <w:szCs w:val="11"/>
              </w:rPr>
              <w:t>/</w:t>
            </w:r>
            <w:r>
              <w:rPr>
                <w:rFonts w:ascii="Times New Roman" w:hAnsi="Times New Roman"/>
                <w:snapToGrid/>
                <w:color w:val="auto"/>
                <w:sz w:val="21"/>
                <w:szCs w:val="11"/>
              </w:rPr>
              <w:t>GJ</w:t>
            </w:r>
            <w:r>
              <w:rPr>
                <w:snapToGrid/>
                <w:color w:val="auto"/>
                <w:sz w:val="21"/>
                <w:szCs w:val="11"/>
              </w:rPr>
              <w:t>)</w:t>
            </w:r>
          </w:p>
        </w:tc>
        <w:tc>
          <w:tcPr>
            <w:tcW w:w="889"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rFonts w:ascii="Times New Roman" w:hAnsi="Times New Roman"/>
                <w:snapToGrid/>
                <w:color w:val="auto"/>
                <w:sz w:val="21"/>
                <w:szCs w:val="11"/>
              </w:rPr>
              <w:t>CCi</w:t>
            </w:r>
          </w:p>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snapToGrid/>
                <w:color w:val="auto"/>
                <w:sz w:val="21"/>
                <w:szCs w:val="11"/>
              </w:rPr>
              <w:t>（</w:t>
            </w:r>
            <w:r>
              <w:rPr>
                <w:rFonts w:ascii="Times New Roman" w:hAnsi="Times New Roman"/>
                <w:snapToGrid/>
                <w:color w:val="auto"/>
                <w:sz w:val="21"/>
                <w:szCs w:val="11"/>
              </w:rPr>
              <w:t>tC</w:t>
            </w:r>
            <w:r>
              <w:rPr>
                <w:snapToGrid/>
                <w:color w:val="auto"/>
                <w:sz w:val="21"/>
                <w:szCs w:val="11"/>
              </w:rPr>
              <w:t>/</w:t>
            </w:r>
            <w:r>
              <w:rPr>
                <w:rFonts w:ascii="Times New Roman" w:hAnsi="Times New Roman"/>
                <w:snapToGrid/>
                <w:color w:val="auto"/>
                <w:sz w:val="21"/>
                <w:szCs w:val="11"/>
              </w:rPr>
              <w:t>t</w:t>
            </w:r>
            <w:r>
              <w:rPr>
                <w:snapToGrid/>
                <w:color w:val="auto"/>
                <w:sz w:val="21"/>
                <w:szCs w:val="11"/>
              </w:rPr>
              <w:t>）</w:t>
            </w:r>
          </w:p>
        </w:tc>
        <w:tc>
          <w:tcPr>
            <w:tcW w:w="900"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snapToGrid/>
                <w:color w:val="auto"/>
                <w:sz w:val="21"/>
                <w:szCs w:val="11"/>
              </w:rPr>
              <w:t>碳氧化率</w:t>
            </w:r>
          </w:p>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rFonts w:hint="eastAsia"/>
                <w:snapToGrid/>
                <w:color w:val="auto"/>
                <w:sz w:val="21"/>
                <w:szCs w:val="11"/>
              </w:rPr>
              <w:t>（%）</w:t>
            </w:r>
          </w:p>
        </w:tc>
        <w:tc>
          <w:tcPr>
            <w:tcW w:w="1622"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snapToGrid/>
                <w:color w:val="auto"/>
                <w:sz w:val="21"/>
                <w:szCs w:val="11"/>
              </w:rPr>
              <w:t>二氧化碳排放量</w:t>
            </w:r>
          </w:p>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rFonts w:hint="eastAsia"/>
                <w:snapToGrid/>
                <w:color w:val="auto"/>
                <w:sz w:val="21"/>
                <w:szCs w:val="11"/>
              </w:rPr>
              <w:t>（</w:t>
            </w:r>
            <w:r>
              <w:rPr>
                <w:rFonts w:hint="eastAsia" w:ascii="Times New Roman" w:hAnsi="Times New Roman"/>
                <w:snapToGrid/>
                <w:color w:val="auto"/>
                <w:sz w:val="21"/>
                <w:szCs w:val="11"/>
              </w:rPr>
              <w:t>t</w:t>
            </w:r>
            <w:r>
              <w:rPr>
                <w:rFonts w:ascii="Times New Roman" w:hAnsi="Times New Roman"/>
                <w:snapToGrid/>
                <w:color w:val="auto"/>
                <w:sz w:val="21"/>
                <w:szCs w:val="11"/>
              </w:rPr>
              <w:t>CO</w:t>
            </w:r>
            <w:r>
              <w:rPr>
                <w:rFonts w:ascii="Times New Roman" w:hAnsi="Times New Roman"/>
                <w:snapToGrid/>
                <w:color w:val="auto"/>
                <w:sz w:val="21"/>
                <w:szCs w:val="11"/>
                <w:vertAlign w:val="subscript"/>
              </w:rPr>
              <w:t>2</w:t>
            </w:r>
            <w:r>
              <w:rPr>
                <w:snapToGrid/>
                <w:color w:val="auto"/>
                <w:sz w:val="21"/>
                <w:szCs w:val="11"/>
              </w:rPr>
              <w:t>/</w:t>
            </w:r>
            <w:r>
              <w:rPr>
                <w:rFonts w:ascii="Times New Roman" w:hAnsi="Times New Roman"/>
                <w:snapToGrid/>
                <w:color w:val="auto"/>
                <w:sz w:val="21"/>
                <w:szCs w:val="11"/>
              </w:rPr>
              <w:t>a</w:t>
            </w:r>
            <w:r>
              <w:rPr>
                <w:rFonts w:hint="eastAsia"/>
                <w:snapToGrid/>
                <w:color w:val="auto"/>
                <w:sz w:val="21"/>
                <w:szCs w:val="1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1359"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color w:val="auto"/>
                <w:kern w:val="0"/>
                <w:sz w:val="21"/>
                <w:szCs w:val="11"/>
                <w:lang w:val="en-US" w:eastAsia="zh-CN" w:bidi="ar-SA"/>
              </w:rPr>
            </w:pPr>
            <w:r>
              <w:rPr>
                <w:rFonts w:hint="eastAsia" w:cs="Times New Roman"/>
                <w:snapToGrid/>
                <w:color w:val="auto"/>
                <w:kern w:val="0"/>
                <w:sz w:val="21"/>
                <w:szCs w:val="11"/>
                <w:lang w:val="en-US" w:eastAsia="zh-CN" w:bidi="ar-SA"/>
              </w:rPr>
              <w:t>厂内动力锅炉</w:t>
            </w:r>
          </w:p>
        </w:tc>
        <w:tc>
          <w:tcPr>
            <w:tcW w:w="1302"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color w:val="auto"/>
                <w:kern w:val="0"/>
                <w:sz w:val="21"/>
                <w:szCs w:val="11"/>
                <w:lang w:val="en-US" w:eastAsia="zh-CN" w:bidi="ar-SA"/>
              </w:rPr>
            </w:pPr>
            <w:r>
              <w:rPr>
                <w:rFonts w:hint="eastAsia" w:ascii="Times New Roman" w:hAnsi="Times New Roman" w:cs="Times New Roman"/>
                <w:snapToGrid/>
                <w:color w:val="auto"/>
                <w:kern w:val="0"/>
                <w:sz w:val="21"/>
                <w:szCs w:val="11"/>
                <w:lang w:val="en-US" w:eastAsia="zh-CN" w:bidi="ar-SA"/>
              </w:rPr>
              <w:t>1662</w:t>
            </w:r>
            <w:r>
              <w:rPr>
                <w:rFonts w:hint="eastAsia" w:cs="Times New Roman"/>
                <w:snapToGrid/>
                <w:color w:val="auto"/>
                <w:kern w:val="0"/>
                <w:sz w:val="21"/>
                <w:szCs w:val="11"/>
                <w:lang w:val="en-US" w:eastAsia="zh-CN" w:bidi="ar-SA"/>
              </w:rPr>
              <w:t>.</w:t>
            </w:r>
            <w:r>
              <w:rPr>
                <w:rFonts w:hint="eastAsia" w:ascii="Times New Roman" w:hAnsi="Times New Roman" w:cs="Times New Roman"/>
                <w:snapToGrid/>
                <w:color w:val="auto"/>
                <w:kern w:val="0"/>
                <w:sz w:val="21"/>
                <w:szCs w:val="11"/>
                <w:lang w:val="en-US" w:eastAsia="zh-CN" w:bidi="ar-SA"/>
              </w:rPr>
              <w:t>616</w:t>
            </w:r>
          </w:p>
        </w:tc>
        <w:tc>
          <w:tcPr>
            <w:tcW w:w="1333"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color w:val="auto"/>
                <w:kern w:val="0"/>
                <w:sz w:val="21"/>
                <w:szCs w:val="11"/>
                <w:lang w:val="en-US" w:eastAsia="zh-CN" w:bidi="ar-SA"/>
              </w:rPr>
            </w:pPr>
            <w:r>
              <w:rPr>
                <w:rFonts w:ascii="Times New Roman" w:hAnsi="Times New Roman"/>
                <w:snapToGrid/>
                <w:color w:val="auto"/>
                <w:sz w:val="21"/>
                <w:szCs w:val="11"/>
              </w:rPr>
              <w:t>26</w:t>
            </w:r>
            <w:r>
              <w:rPr>
                <w:snapToGrid/>
                <w:color w:val="auto"/>
                <w:sz w:val="21"/>
                <w:szCs w:val="11"/>
              </w:rPr>
              <w:t>.</w:t>
            </w:r>
            <w:r>
              <w:rPr>
                <w:rFonts w:hint="eastAsia" w:ascii="Times New Roman" w:hAnsi="Times New Roman"/>
                <w:snapToGrid/>
                <w:color w:val="auto"/>
                <w:sz w:val="21"/>
                <w:szCs w:val="11"/>
                <w:lang w:val="en-US" w:eastAsia="zh-CN"/>
              </w:rPr>
              <w:t>307</w:t>
            </w:r>
          </w:p>
        </w:tc>
        <w:tc>
          <w:tcPr>
            <w:tcW w:w="1721"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snapToGrid/>
                <w:color w:val="auto"/>
                <w:kern w:val="0"/>
                <w:sz w:val="21"/>
                <w:szCs w:val="11"/>
                <w:lang w:val="en-US" w:eastAsia="zh-CN" w:bidi="ar-SA"/>
              </w:rPr>
            </w:pPr>
            <w:r>
              <w:rPr>
                <w:rFonts w:ascii="Times New Roman" w:hAnsi="Times New Roman"/>
                <w:snapToGrid/>
                <w:color w:val="auto"/>
                <w:sz w:val="21"/>
                <w:szCs w:val="11"/>
              </w:rPr>
              <w:t>0</w:t>
            </w:r>
            <w:r>
              <w:rPr>
                <w:snapToGrid/>
                <w:color w:val="auto"/>
                <w:sz w:val="21"/>
                <w:szCs w:val="11"/>
              </w:rPr>
              <w:t>.</w:t>
            </w:r>
            <w:r>
              <w:rPr>
                <w:rFonts w:ascii="Times New Roman" w:hAnsi="Times New Roman"/>
                <w:snapToGrid/>
                <w:color w:val="auto"/>
                <w:sz w:val="21"/>
                <w:szCs w:val="11"/>
              </w:rPr>
              <w:t>0274</w:t>
            </w:r>
          </w:p>
        </w:tc>
        <w:tc>
          <w:tcPr>
            <w:tcW w:w="889"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snapToGrid/>
                <w:color w:val="auto"/>
                <w:kern w:val="0"/>
                <w:sz w:val="21"/>
                <w:szCs w:val="11"/>
                <w:lang w:val="en-US" w:eastAsia="zh-CN" w:bidi="ar-SA"/>
              </w:rPr>
            </w:pPr>
            <w:r>
              <w:rPr>
                <w:rFonts w:ascii="Times New Roman" w:hAnsi="Times New Roman"/>
                <w:snapToGrid/>
                <w:color w:val="auto"/>
                <w:sz w:val="21"/>
                <w:szCs w:val="11"/>
              </w:rPr>
              <w:t>0</w:t>
            </w:r>
            <w:r>
              <w:rPr>
                <w:snapToGrid/>
                <w:color w:val="auto"/>
                <w:sz w:val="21"/>
                <w:szCs w:val="11"/>
              </w:rPr>
              <w:t>.</w:t>
            </w:r>
            <w:r>
              <w:rPr>
                <w:rFonts w:ascii="Times New Roman" w:hAnsi="Times New Roman"/>
                <w:snapToGrid/>
                <w:color w:val="auto"/>
                <w:sz w:val="21"/>
                <w:szCs w:val="11"/>
              </w:rPr>
              <w:t>73158</w:t>
            </w:r>
          </w:p>
        </w:tc>
        <w:tc>
          <w:tcPr>
            <w:tcW w:w="900"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snapToGrid/>
                <w:color w:val="auto"/>
                <w:kern w:val="0"/>
                <w:sz w:val="21"/>
                <w:szCs w:val="11"/>
                <w:lang w:val="en-US" w:eastAsia="zh-CN" w:bidi="ar-SA"/>
              </w:rPr>
            </w:pPr>
            <w:r>
              <w:rPr>
                <w:rFonts w:ascii="Times New Roman" w:hAnsi="Times New Roman"/>
                <w:snapToGrid/>
                <w:color w:val="auto"/>
                <w:sz w:val="21"/>
                <w:szCs w:val="11"/>
              </w:rPr>
              <w:t>94</w:t>
            </w:r>
          </w:p>
        </w:tc>
        <w:tc>
          <w:tcPr>
            <w:tcW w:w="1622"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color w:val="auto"/>
                <w:kern w:val="0"/>
                <w:sz w:val="21"/>
                <w:szCs w:val="11"/>
                <w:lang w:val="en-US" w:eastAsia="zh-CN" w:bidi="ar-SA"/>
              </w:rPr>
            </w:pPr>
            <w:r>
              <w:rPr>
                <w:rFonts w:hint="eastAsia" w:ascii="Times New Roman" w:hAnsi="Times New Roman" w:cs="Times New Roman"/>
                <w:snapToGrid/>
                <w:color w:val="auto"/>
                <w:kern w:val="0"/>
                <w:sz w:val="21"/>
                <w:szCs w:val="11"/>
                <w:lang w:val="en-US" w:eastAsia="zh-CN" w:bidi="ar-SA"/>
              </w:rPr>
              <w:t>4192</w:t>
            </w:r>
            <w:r>
              <w:rPr>
                <w:rFonts w:hint="eastAsia" w:cs="Times New Roman"/>
                <w:snapToGrid/>
                <w:color w:val="auto"/>
                <w:kern w:val="0"/>
                <w:sz w:val="21"/>
                <w:szCs w:val="11"/>
                <w:lang w:val="en-US" w:eastAsia="zh-CN" w:bidi="ar-SA"/>
              </w:rPr>
              <w:t>.</w:t>
            </w:r>
            <w:r>
              <w:rPr>
                <w:rFonts w:hint="eastAsia" w:ascii="Times New Roman" w:hAnsi="Times New Roman" w:cs="Times New Roman"/>
                <w:snapToGrid/>
                <w:color w:val="auto"/>
                <w:kern w:val="0"/>
                <w:sz w:val="21"/>
                <w:szCs w:val="11"/>
                <w:lang w:val="en-US" w:eastAsia="zh-CN" w:bidi="ar-SA"/>
              </w:rPr>
              <w:t>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7504" w:type="dxa"/>
            <w:gridSpan w:val="6"/>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color w:val="auto"/>
                <w:sz w:val="21"/>
                <w:szCs w:val="11"/>
              </w:rPr>
            </w:pPr>
            <w:r>
              <w:rPr>
                <w:snapToGrid/>
                <w:color w:val="auto"/>
                <w:sz w:val="21"/>
                <w:szCs w:val="11"/>
              </w:rPr>
              <w:t>合计</w:t>
            </w:r>
          </w:p>
        </w:tc>
        <w:tc>
          <w:tcPr>
            <w:tcW w:w="1622" w:type="dxa"/>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eastAsia="宋体"/>
                <w:snapToGrid/>
                <w:color w:val="auto"/>
                <w:sz w:val="21"/>
                <w:szCs w:val="11"/>
                <w:lang w:val="en-US" w:eastAsia="zh-CN"/>
              </w:rPr>
            </w:pPr>
            <w:r>
              <w:rPr>
                <w:rFonts w:hint="eastAsia" w:ascii="Times New Roman" w:hAnsi="Times New Roman"/>
                <w:snapToGrid/>
                <w:color w:val="auto"/>
                <w:sz w:val="21"/>
                <w:szCs w:val="11"/>
                <w:lang w:val="en-US" w:eastAsia="zh-CN"/>
              </w:rPr>
              <w:t>4192</w:t>
            </w:r>
            <w:r>
              <w:rPr>
                <w:rFonts w:hint="eastAsia"/>
                <w:snapToGrid/>
                <w:color w:val="auto"/>
                <w:sz w:val="21"/>
                <w:szCs w:val="11"/>
                <w:lang w:val="en-US" w:eastAsia="zh-CN"/>
              </w:rPr>
              <w:t>.</w:t>
            </w:r>
            <w:r>
              <w:rPr>
                <w:rFonts w:hint="eastAsia" w:ascii="Times New Roman" w:hAnsi="Times New Roman"/>
                <w:snapToGrid/>
                <w:color w:val="auto"/>
                <w:sz w:val="21"/>
                <w:szCs w:val="11"/>
                <w:lang w:val="en-US" w:eastAsia="zh-CN"/>
              </w:rPr>
              <w:t>306</w:t>
            </w:r>
          </w:p>
        </w:tc>
      </w:tr>
    </w:tbl>
    <w:p>
      <w:pPr>
        <w:bidi w:val="0"/>
      </w:pPr>
      <w:r>
        <w:rPr>
          <w:rFonts w:hint="eastAsia"/>
        </w:rPr>
        <w:t>（</w:t>
      </w:r>
      <w:r>
        <w:rPr>
          <w:rFonts w:hint="eastAsia" w:ascii="Times New Roman" w:hAnsi="Times New Roman"/>
        </w:rPr>
        <w:t>2</w:t>
      </w:r>
      <w:r>
        <w:rPr>
          <w:rFonts w:hint="eastAsia"/>
        </w:rPr>
        <w:t>）</w:t>
      </w:r>
      <w:r>
        <w:t>生产过程的二氧化碳排放</w:t>
      </w:r>
    </w:p>
    <w:p>
      <w:pPr>
        <w:bidi w:val="0"/>
      </w:pPr>
      <w:r>
        <w:rPr>
          <w:rFonts w:hint="eastAsia"/>
          <w:lang w:val="en-US" w:eastAsia="zh-CN"/>
        </w:rPr>
        <w:t>本项目厂内含</w:t>
      </w:r>
      <w:r>
        <w:rPr>
          <w:rFonts w:hint="eastAsia" w:ascii="Times New Roman" w:hAnsi="Times New Roman"/>
          <w:lang w:val="en-US" w:eastAsia="zh-CN"/>
        </w:rPr>
        <w:t>NMHC</w:t>
      </w:r>
      <w:r>
        <w:rPr>
          <w:rFonts w:hint="eastAsia"/>
          <w:lang w:val="en-US" w:eastAsia="zh-CN"/>
        </w:rPr>
        <w:t>废气主要为含</w:t>
      </w:r>
      <w:r>
        <w:rPr>
          <w:rFonts w:hint="eastAsia" w:ascii="Times New Roman" w:hAnsi="Times New Roman"/>
          <w:lang w:val="en-US" w:eastAsia="zh-CN"/>
        </w:rPr>
        <w:t>PD</w:t>
      </w:r>
      <w:r>
        <w:rPr>
          <w:rFonts w:hint="eastAsia"/>
          <w:lang w:val="en-US" w:eastAsia="zh-CN"/>
        </w:rPr>
        <w:t>等有机废气。相关</w:t>
      </w:r>
      <w:r>
        <w:rPr>
          <w:rFonts w:hint="eastAsia"/>
        </w:rPr>
        <w:t>计算结果见下表：</w:t>
      </w:r>
    </w:p>
    <w:p>
      <w:pPr>
        <w:pStyle w:val="20"/>
        <w:bidi w:val="0"/>
        <w:rPr>
          <w:szCs w:val="24"/>
        </w:rPr>
      </w:pPr>
      <w:r>
        <w:t>表</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3</w:t>
      </w:r>
      <w:r>
        <w:rPr>
          <w:rFonts w:hint="eastAsia"/>
          <w:lang w:val="en-US" w:eastAsia="zh-CN"/>
        </w:rPr>
        <w:t xml:space="preserve">  </w:t>
      </w:r>
      <w:r>
        <w:rPr>
          <w:rFonts w:hint="eastAsia"/>
          <w:szCs w:val="24"/>
        </w:rPr>
        <w:t>本项</w:t>
      </w:r>
      <w:r>
        <w:rPr>
          <w:rStyle w:val="97"/>
          <w:rFonts w:hint="eastAsia"/>
          <w:b/>
        </w:rPr>
        <w:t>目</w:t>
      </w:r>
      <w:r>
        <w:rPr>
          <w:rStyle w:val="97"/>
          <w:rFonts w:hint="eastAsia"/>
          <w:b/>
          <w:lang w:val="en-US" w:eastAsia="zh-CN"/>
        </w:rPr>
        <w:t>实施后</w:t>
      </w:r>
      <w:r>
        <w:rPr>
          <w:rFonts w:hint="eastAsia"/>
          <w:szCs w:val="24"/>
          <w:lang w:val="en-US" w:eastAsia="zh-CN"/>
        </w:rPr>
        <w:t>生产工艺</w:t>
      </w:r>
      <w:r>
        <w:rPr>
          <w:rFonts w:hint="eastAsia"/>
          <w:szCs w:val="24"/>
        </w:rPr>
        <w:t>二氧化碳排放</w:t>
      </w:r>
    </w:p>
    <w:tbl>
      <w:tblPr>
        <w:tblStyle w:val="8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538"/>
        <w:gridCol w:w="1114"/>
        <w:gridCol w:w="1107"/>
        <w:gridCol w:w="1019"/>
        <w:gridCol w:w="1360"/>
        <w:gridCol w:w="18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671" w:type="pct"/>
            <w:shd w:val="clear" w:color="auto" w:fill="auto"/>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snapToGrid/>
                <w:spacing w:val="-11"/>
                <w:sz w:val="21"/>
                <w:szCs w:val="21"/>
              </w:rPr>
              <w:t>装置</w:t>
            </w:r>
          </w:p>
        </w:tc>
        <w:tc>
          <w:tcPr>
            <w:tcW w:w="838" w:type="pct"/>
            <w:shd w:val="clear" w:color="auto" w:fill="auto"/>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snapToGrid/>
                <w:spacing w:val="-11"/>
                <w:sz w:val="21"/>
                <w:szCs w:val="21"/>
              </w:rPr>
              <w:t>处理工艺废气</w:t>
            </w:r>
          </w:p>
        </w:tc>
        <w:tc>
          <w:tcPr>
            <w:tcW w:w="607" w:type="pct"/>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snapToGrid/>
                <w:spacing w:val="-11"/>
                <w:sz w:val="21"/>
                <w:szCs w:val="21"/>
              </w:rPr>
              <w:t>主要成分</w:t>
            </w:r>
          </w:p>
        </w:tc>
        <w:tc>
          <w:tcPr>
            <w:tcW w:w="603"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snapToGrid/>
                <w:spacing w:val="-11"/>
                <w:sz w:val="21"/>
                <w:szCs w:val="21"/>
              </w:rPr>
              <w:t>排放量</w:t>
            </w:r>
            <w:r>
              <w:rPr>
                <w:rFonts w:ascii="Times New Roman" w:hAnsi="Times New Roman"/>
                <w:snapToGrid/>
                <w:spacing w:val="-11"/>
                <w:sz w:val="21"/>
                <w:szCs w:val="21"/>
              </w:rPr>
              <w:t>t</w:t>
            </w:r>
            <w:r>
              <w:rPr>
                <w:snapToGrid/>
                <w:spacing w:val="-11"/>
                <w:sz w:val="21"/>
                <w:szCs w:val="21"/>
              </w:rPr>
              <w:t>/</w:t>
            </w:r>
            <w:r>
              <w:rPr>
                <w:rFonts w:ascii="Times New Roman" w:hAnsi="Times New Roman"/>
                <w:snapToGrid/>
                <w:spacing w:val="-11"/>
                <w:sz w:val="21"/>
                <w:szCs w:val="21"/>
              </w:rPr>
              <w:t>a</w:t>
            </w:r>
          </w:p>
        </w:tc>
        <w:tc>
          <w:tcPr>
            <w:tcW w:w="555"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snapToGrid/>
                <w:spacing w:val="-11"/>
                <w:sz w:val="21"/>
                <w:szCs w:val="21"/>
              </w:rPr>
              <w:t>含碳量%</w:t>
            </w:r>
          </w:p>
        </w:tc>
        <w:tc>
          <w:tcPr>
            <w:tcW w:w="740"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snapToGrid/>
                <w:spacing w:val="-11"/>
                <w:sz w:val="21"/>
                <w:szCs w:val="21"/>
              </w:rPr>
              <w:t>碳转化率%</w:t>
            </w:r>
          </w:p>
        </w:tc>
        <w:tc>
          <w:tcPr>
            <w:tcW w:w="984"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eastAsia" w:eastAsia="宋体"/>
                <w:snapToGrid/>
                <w:spacing w:val="-11"/>
                <w:sz w:val="21"/>
                <w:szCs w:val="21"/>
                <w:lang w:val="en-US" w:eastAsia="zh-CN"/>
              </w:rPr>
            </w:pPr>
            <w:r>
              <w:rPr>
                <w:snapToGrid/>
                <w:spacing w:val="-11"/>
                <w:sz w:val="21"/>
                <w:szCs w:val="21"/>
              </w:rPr>
              <w:t>二氧化碳排放量</w:t>
            </w:r>
            <w:r>
              <w:rPr>
                <w:rFonts w:hint="eastAsia" w:ascii="Times New Roman" w:hAnsi="Times New Roman"/>
                <w:snapToGrid/>
                <w:spacing w:val="-11"/>
                <w:sz w:val="21"/>
                <w:szCs w:val="21"/>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71" w:type="pct"/>
            <w:shd w:val="clear" w:color="auto" w:fill="auto"/>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snapToGrid/>
                <w:spacing w:val="-11"/>
                <w:sz w:val="21"/>
                <w:szCs w:val="21"/>
                <w:lang w:val="en-US"/>
              </w:rPr>
            </w:pPr>
            <w:r>
              <w:rPr>
                <w:rFonts w:hint="eastAsia" w:ascii="Times New Roman" w:hAnsi="Times New Roman"/>
                <w:snapToGrid/>
                <w:spacing w:val="-11"/>
                <w:sz w:val="21"/>
                <w:szCs w:val="21"/>
                <w:lang w:val="en-US" w:eastAsia="zh-CN"/>
              </w:rPr>
              <w:t>PD</w:t>
            </w:r>
            <w:r>
              <w:rPr>
                <w:rFonts w:hint="eastAsia"/>
                <w:snapToGrid/>
                <w:spacing w:val="-11"/>
                <w:sz w:val="21"/>
                <w:szCs w:val="21"/>
                <w:lang w:val="en-US" w:eastAsia="zh-CN"/>
              </w:rPr>
              <w:t>生产装置</w:t>
            </w:r>
          </w:p>
        </w:tc>
        <w:tc>
          <w:tcPr>
            <w:tcW w:w="838" w:type="pct"/>
            <w:shd w:val="clear" w:color="auto" w:fill="auto"/>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napToGrid/>
                <w:spacing w:val="-11"/>
                <w:kern w:val="0"/>
                <w:sz w:val="21"/>
                <w:szCs w:val="21"/>
                <w:lang w:val="en-US" w:eastAsia="zh-CN" w:bidi="ar-SA"/>
              </w:rPr>
            </w:pPr>
            <w:r>
              <w:rPr>
                <w:rFonts w:hint="eastAsia"/>
                <w:snapToGrid/>
                <w:spacing w:val="-11"/>
                <w:sz w:val="21"/>
                <w:szCs w:val="21"/>
                <w:lang w:eastAsia="zh-CN"/>
              </w:rPr>
              <w:t>反应器、成品塔、脱水塔、脱轻塔</w:t>
            </w:r>
          </w:p>
        </w:tc>
        <w:tc>
          <w:tcPr>
            <w:tcW w:w="607" w:type="pct"/>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pacing w:val="-11"/>
                <w:kern w:val="0"/>
                <w:sz w:val="21"/>
                <w:szCs w:val="21"/>
                <w:lang w:val="en-US" w:eastAsia="zh-CN" w:bidi="ar-SA"/>
              </w:rPr>
            </w:pPr>
            <w:r>
              <w:rPr>
                <w:rFonts w:hint="eastAsia" w:ascii="Times New Roman" w:hAnsi="Times New Roman"/>
                <w:spacing w:val="-11"/>
                <w:sz w:val="21"/>
                <w:szCs w:val="21"/>
                <w:lang w:val="en-US" w:eastAsia="zh-CN"/>
              </w:rPr>
              <w:t>PD</w:t>
            </w:r>
          </w:p>
        </w:tc>
        <w:tc>
          <w:tcPr>
            <w:tcW w:w="603"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spacing w:val="-11"/>
                <w:kern w:val="0"/>
                <w:sz w:val="21"/>
                <w:szCs w:val="21"/>
                <w:lang w:val="en-US" w:eastAsia="zh-CN" w:bidi="ar-SA"/>
              </w:rPr>
            </w:pPr>
            <w:r>
              <w:rPr>
                <w:rFonts w:hint="eastAsia" w:ascii="Times New Roman" w:hAnsi="Times New Roman"/>
                <w:snapToGrid/>
                <w:spacing w:val="-11"/>
                <w:sz w:val="21"/>
                <w:szCs w:val="21"/>
                <w:lang w:val="en-US" w:eastAsia="zh-CN"/>
              </w:rPr>
              <w:t>0</w:t>
            </w:r>
            <w:r>
              <w:rPr>
                <w:rFonts w:hint="eastAsia"/>
                <w:snapToGrid/>
                <w:spacing w:val="-11"/>
                <w:sz w:val="21"/>
                <w:szCs w:val="21"/>
                <w:lang w:val="en-US" w:eastAsia="zh-CN"/>
              </w:rPr>
              <w:t>.</w:t>
            </w:r>
            <w:r>
              <w:rPr>
                <w:rFonts w:hint="eastAsia" w:ascii="Times New Roman" w:hAnsi="Times New Roman"/>
                <w:snapToGrid/>
                <w:spacing w:val="-11"/>
                <w:sz w:val="21"/>
                <w:szCs w:val="21"/>
                <w:lang w:val="en-US" w:eastAsia="zh-CN"/>
              </w:rPr>
              <w:t>0011</w:t>
            </w:r>
          </w:p>
        </w:tc>
        <w:tc>
          <w:tcPr>
            <w:tcW w:w="555"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eastAsia="宋体"/>
                <w:snapToGrid/>
                <w:spacing w:val="-11"/>
                <w:sz w:val="21"/>
                <w:szCs w:val="21"/>
                <w:lang w:val="en-US" w:eastAsia="zh-CN"/>
              </w:rPr>
            </w:pPr>
            <w:r>
              <w:rPr>
                <w:rFonts w:hint="eastAsia" w:ascii="Times New Roman" w:hAnsi="Times New Roman"/>
                <w:snapToGrid/>
                <w:spacing w:val="-11"/>
                <w:sz w:val="21"/>
                <w:szCs w:val="21"/>
                <w:lang w:val="en-US" w:eastAsia="zh-CN"/>
              </w:rPr>
              <w:t>70</w:t>
            </w:r>
            <w:r>
              <w:rPr>
                <w:rFonts w:hint="eastAsia"/>
                <w:snapToGrid/>
                <w:spacing w:val="-11"/>
                <w:sz w:val="21"/>
                <w:szCs w:val="21"/>
                <w:lang w:val="en-US" w:eastAsia="zh-CN"/>
              </w:rPr>
              <w:t>.</w:t>
            </w:r>
            <w:r>
              <w:rPr>
                <w:rFonts w:hint="eastAsia" w:ascii="Times New Roman" w:hAnsi="Times New Roman"/>
                <w:snapToGrid/>
                <w:spacing w:val="-11"/>
                <w:sz w:val="21"/>
                <w:szCs w:val="21"/>
                <w:lang w:val="en-US" w:eastAsia="zh-CN"/>
              </w:rPr>
              <w:t>58</w:t>
            </w:r>
          </w:p>
        </w:tc>
        <w:tc>
          <w:tcPr>
            <w:tcW w:w="740"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rFonts w:ascii="Times New Roman" w:hAnsi="Times New Roman"/>
                <w:snapToGrid/>
                <w:spacing w:val="-11"/>
                <w:sz w:val="21"/>
                <w:szCs w:val="21"/>
              </w:rPr>
              <w:t>99</w:t>
            </w:r>
          </w:p>
        </w:tc>
        <w:tc>
          <w:tcPr>
            <w:tcW w:w="984"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eastAsia="宋体"/>
                <w:snapToGrid/>
                <w:spacing w:val="-11"/>
                <w:sz w:val="21"/>
                <w:szCs w:val="21"/>
                <w:lang w:val="en-US" w:eastAsia="zh-CN"/>
              </w:rPr>
            </w:pPr>
            <w:r>
              <w:rPr>
                <w:rFonts w:hint="eastAsia" w:ascii="Times New Roman" w:hAnsi="Times New Roman"/>
                <w:snapToGrid/>
                <w:spacing w:val="-11"/>
                <w:sz w:val="21"/>
                <w:szCs w:val="21"/>
                <w:lang w:val="en-US" w:eastAsia="zh-CN"/>
              </w:rPr>
              <w:t>0</w:t>
            </w:r>
            <w:r>
              <w:rPr>
                <w:rFonts w:hint="eastAsia"/>
                <w:snapToGrid/>
                <w:spacing w:val="-11"/>
                <w:sz w:val="21"/>
                <w:szCs w:val="21"/>
                <w:lang w:val="en-US" w:eastAsia="zh-CN"/>
              </w:rPr>
              <w:t>.</w:t>
            </w:r>
            <w:r>
              <w:rPr>
                <w:rFonts w:hint="eastAsia" w:ascii="Times New Roman" w:hAnsi="Times New Roman"/>
                <w:snapToGrid/>
                <w:spacing w:val="-11"/>
                <w:sz w:val="21"/>
                <w:szCs w:val="21"/>
                <w:lang w:val="en-US" w:eastAsia="zh-CN"/>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015" w:type="pct"/>
            <w:gridSpan w:val="6"/>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snapToGrid/>
                <w:spacing w:val="-11"/>
                <w:sz w:val="21"/>
                <w:szCs w:val="21"/>
              </w:rPr>
            </w:pPr>
            <w:r>
              <w:rPr>
                <w:rFonts w:hint="eastAsia"/>
                <w:snapToGrid/>
                <w:spacing w:val="-11"/>
                <w:sz w:val="21"/>
                <w:szCs w:val="21"/>
                <w:lang w:val="en-US" w:eastAsia="zh-CN"/>
              </w:rPr>
              <w:t>合计</w:t>
            </w:r>
          </w:p>
        </w:tc>
        <w:tc>
          <w:tcPr>
            <w:tcW w:w="984" w:type="pct"/>
            <w:shd w:val="clear" w:color="auto" w:fill="auto"/>
            <w:noWrap/>
            <w:vAlign w:val="center"/>
          </w:tcPr>
          <w:p>
            <w:pPr>
              <w:pStyle w:val="766"/>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eastAsia="宋体"/>
                <w:spacing w:val="-11"/>
                <w:sz w:val="21"/>
                <w:szCs w:val="21"/>
                <w:lang w:val="en-US" w:eastAsia="zh-CN"/>
              </w:rPr>
            </w:pPr>
            <w:r>
              <w:rPr>
                <w:rFonts w:hint="eastAsia" w:ascii="Times New Roman" w:hAnsi="Times New Roman"/>
                <w:spacing w:val="-11"/>
                <w:sz w:val="21"/>
                <w:szCs w:val="21"/>
                <w:lang w:val="en-US" w:eastAsia="zh-CN"/>
              </w:rPr>
              <w:t>0</w:t>
            </w:r>
            <w:r>
              <w:rPr>
                <w:rFonts w:hint="eastAsia"/>
                <w:spacing w:val="-11"/>
                <w:sz w:val="21"/>
                <w:szCs w:val="21"/>
                <w:lang w:val="en-US" w:eastAsia="zh-CN"/>
              </w:rPr>
              <w:t>.</w:t>
            </w:r>
            <w:r>
              <w:rPr>
                <w:rFonts w:hint="eastAsia" w:ascii="Times New Roman" w:hAnsi="Times New Roman"/>
                <w:spacing w:val="-11"/>
                <w:sz w:val="21"/>
                <w:szCs w:val="21"/>
                <w:lang w:val="en-US" w:eastAsia="zh-CN"/>
              </w:rPr>
              <w:t>0028</w:t>
            </w:r>
          </w:p>
        </w:tc>
      </w:tr>
    </w:tbl>
    <w:p>
      <w:pPr>
        <w:bidi w:val="0"/>
      </w:pPr>
      <w:r>
        <w:rPr>
          <w:rFonts w:hint="eastAsia"/>
        </w:rPr>
        <w:t>（</w:t>
      </w:r>
      <w:r>
        <w:rPr>
          <w:rFonts w:hint="eastAsia" w:ascii="Times New Roman" w:hAnsi="Times New Roman"/>
        </w:rPr>
        <w:t>3</w:t>
      </w:r>
      <w:r>
        <w:rPr>
          <w:rFonts w:hint="eastAsia"/>
        </w:rPr>
        <w:t>）</w:t>
      </w:r>
      <w:r>
        <w:t>购入电力对应的二氧化碳排放</w:t>
      </w:r>
    </w:p>
    <w:p>
      <w:pPr>
        <w:bidi w:val="0"/>
      </w:pPr>
      <w:r>
        <w:rPr>
          <w:rFonts w:hint="eastAsia"/>
          <w:lang w:val="en-US" w:eastAsia="zh-CN"/>
        </w:rPr>
        <w:t>本项目建成后</w:t>
      </w:r>
      <w:r>
        <w:rPr>
          <w:rFonts w:hint="eastAsia"/>
        </w:rPr>
        <w:t>年电力消耗</w:t>
      </w:r>
      <w:r>
        <w:rPr>
          <w:rFonts w:hint="eastAsia" w:ascii="Times New Roman" w:hAnsi="Times New Roman"/>
          <w:lang w:val="en-US" w:eastAsia="zh-CN"/>
        </w:rPr>
        <w:t>180</w:t>
      </w:r>
      <w:r>
        <w:rPr>
          <w:rFonts w:hint="eastAsia"/>
          <w:lang w:val="en-US" w:eastAsia="zh-CN"/>
        </w:rPr>
        <w:t>.</w:t>
      </w:r>
      <w:r>
        <w:rPr>
          <w:rFonts w:hint="eastAsia" w:ascii="Times New Roman" w:hAnsi="Times New Roman"/>
          <w:lang w:val="en-US" w:eastAsia="zh-CN"/>
        </w:rPr>
        <w:t>576</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4</w:t>
      </w:r>
      <w:r>
        <w:rPr>
          <w:rFonts w:hint="eastAsia" w:ascii="Times New Roman" w:hAnsi="Times New Roman"/>
          <w:lang w:val="en-US" w:eastAsia="zh-CN"/>
        </w:rPr>
        <w:t>k</w:t>
      </w:r>
      <w:r>
        <w:rPr>
          <w:rFonts w:ascii="Times New Roman" w:hAnsi="Times New Roman"/>
        </w:rPr>
        <w:t>W</w:t>
      </w:r>
      <w:r>
        <w:rPr>
          <w:rFonts w:hint="eastAsia" w:ascii="Times New Roman" w:hAnsi="Times New Roman"/>
        </w:rPr>
        <w:t>h</w:t>
      </w:r>
      <w:r>
        <w:rPr>
          <w:rFonts w:hint="eastAsia"/>
        </w:rPr>
        <w:t>。</w:t>
      </w:r>
      <w:r>
        <w:t>购入电力对应的二氧化碳排放</w:t>
      </w:r>
      <w:r>
        <w:rPr>
          <w:rFonts w:hint="eastAsia"/>
        </w:rPr>
        <w:t>计算公式如下：</w:t>
      </w:r>
    </w:p>
    <w:p>
      <w:pPr>
        <w:pStyle w:val="31"/>
        <w:ind w:firstLine="480"/>
        <w:jc w:val="center"/>
      </w:pPr>
      <w:r>
        <w:rPr>
          <w:snapToGrid/>
        </w:rPr>
        <w:drawing>
          <wp:inline distT="0" distB="0" distL="0" distR="0">
            <wp:extent cx="1772285" cy="328295"/>
            <wp:effectExtent l="0" t="0" r="18415"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72285" cy="328295"/>
                    </a:xfrm>
                    <a:prstGeom prst="rect">
                      <a:avLst/>
                    </a:prstGeom>
                    <a:noFill/>
                    <a:ln>
                      <a:noFill/>
                    </a:ln>
                  </pic:spPr>
                </pic:pic>
              </a:graphicData>
            </a:graphic>
          </wp:inline>
        </w:drawing>
      </w:r>
    </w:p>
    <w:p>
      <w:pPr>
        <w:bidi w:val="0"/>
      </w:pPr>
      <w:r>
        <w:rPr>
          <w:rFonts w:hint="eastAsia"/>
        </w:rPr>
        <w:t>式中：</w:t>
      </w:r>
    </w:p>
    <w:p>
      <w:pPr>
        <w:bidi w:val="0"/>
      </w:pPr>
      <w:r>
        <w:rPr>
          <w:rFonts w:ascii="Times New Roman" w:hAnsi="Times New Roman"/>
        </w:rPr>
        <w:t>E</w:t>
      </w:r>
      <w:r>
        <w:rPr>
          <w:vertAlign w:val="subscript"/>
        </w:rPr>
        <w:t>购入电</w:t>
      </w:r>
      <w:r>
        <w:t>—购入电力对应所对应的二氧化碳排放量，单位为吨二氧化碳（</w:t>
      </w:r>
      <w:r>
        <w:rPr>
          <w:rFonts w:ascii="Times New Roman" w:hAnsi="Times New Roman"/>
        </w:rPr>
        <w:t>tCO</w:t>
      </w:r>
      <w:r>
        <w:rPr>
          <w:rFonts w:ascii="Times New Roman" w:hAnsi="Times New Roman"/>
          <w:vertAlign w:val="subscript"/>
        </w:rPr>
        <w:t>2</w:t>
      </w:r>
      <w:r>
        <w:t>）；</w:t>
      </w:r>
    </w:p>
    <w:p>
      <w:pPr>
        <w:bidi w:val="0"/>
      </w:pPr>
      <w:r>
        <w:rPr>
          <w:rFonts w:ascii="Times New Roman" w:hAnsi="Times New Roman"/>
        </w:rPr>
        <w:t>AD</w:t>
      </w:r>
      <w:r>
        <w:rPr>
          <w:vertAlign w:val="subscript"/>
        </w:rPr>
        <w:t>购入电</w:t>
      </w:r>
      <w:r>
        <w:t>—购入电力量，单位为兆瓦时（</w:t>
      </w:r>
      <w:r>
        <w:rPr>
          <w:rFonts w:ascii="Times New Roman" w:hAnsi="Times New Roman"/>
        </w:rPr>
        <w:t>MWh</w:t>
      </w:r>
      <w:r>
        <w:t>）；</w:t>
      </w:r>
    </w:p>
    <w:p>
      <w:pPr>
        <w:bidi w:val="0"/>
      </w:pPr>
      <w:r>
        <w:rPr>
          <w:rFonts w:ascii="Times New Roman" w:hAnsi="Times New Roman"/>
        </w:rPr>
        <w:t>EF</w:t>
      </w:r>
      <w:r>
        <w:rPr>
          <w:vertAlign w:val="subscript"/>
        </w:rPr>
        <w:t>电</w:t>
      </w:r>
      <w:r>
        <w:t>—所在区域电网年平均供电排放因子，单位为吨二氧化碳每兆瓦时（</w:t>
      </w:r>
      <w:r>
        <w:rPr>
          <w:rFonts w:ascii="Times New Roman" w:hAnsi="Times New Roman"/>
        </w:rPr>
        <w:t>tCO</w:t>
      </w:r>
      <w:r>
        <w:rPr>
          <w:rFonts w:ascii="Times New Roman" w:hAnsi="Times New Roman"/>
          <w:vertAlign w:val="subscript"/>
        </w:rPr>
        <w:t>2</w:t>
      </w:r>
      <w:r>
        <w:t>/</w:t>
      </w:r>
      <w:r>
        <w:rPr>
          <w:rFonts w:ascii="Times New Roman" w:hAnsi="Times New Roman"/>
        </w:rPr>
        <w:t>MWh</w:t>
      </w:r>
      <w:r>
        <w:t>）。</w:t>
      </w:r>
    </w:p>
    <w:p>
      <w:pPr>
        <w:bidi w:val="0"/>
      </w:pPr>
      <w:r>
        <w:rPr>
          <w:rFonts w:hint="eastAsia"/>
          <w:color w:val="auto"/>
          <w:lang w:eastAsia="zh-CN"/>
        </w:rPr>
        <w:t>根据</w:t>
      </w:r>
      <w:r>
        <w:rPr>
          <w:rFonts w:hint="eastAsia"/>
          <w:lang w:eastAsia="zh-CN"/>
        </w:rPr>
        <w:t>《</w:t>
      </w:r>
      <w:r>
        <w:rPr>
          <w:rFonts w:hint="eastAsia" w:cs="Times New Roman"/>
          <w:lang w:val="en-US" w:eastAsia="zh-CN"/>
        </w:rPr>
        <w:t>关于做好</w:t>
      </w:r>
      <w:r>
        <w:rPr>
          <w:rFonts w:hint="eastAsia" w:ascii="Times New Roman" w:hAnsi="Times New Roman" w:cs="Times New Roman"/>
          <w:lang w:val="en-US" w:eastAsia="zh-CN"/>
        </w:rPr>
        <w:t>2023</w:t>
      </w:r>
      <w:r>
        <w:rPr>
          <w:rFonts w:hint="eastAsia" w:cs="Times New Roman"/>
          <w:lang w:val="en-US" w:eastAsia="zh-CN"/>
        </w:rPr>
        <w:t>-</w:t>
      </w:r>
      <w:r>
        <w:rPr>
          <w:rFonts w:hint="eastAsia" w:ascii="Times New Roman" w:hAnsi="Times New Roman" w:cs="Times New Roman"/>
          <w:lang w:val="en-US" w:eastAsia="zh-CN"/>
        </w:rPr>
        <w:t>2025</w:t>
      </w:r>
      <w:r>
        <w:rPr>
          <w:rFonts w:hint="eastAsia" w:cs="Times New Roman"/>
          <w:lang w:val="en-US" w:eastAsia="zh-CN"/>
        </w:rPr>
        <w:t>年发电行业企业温室气体排放报告管理有关工作的通知</w:t>
      </w:r>
      <w:r>
        <w:rPr>
          <w:rFonts w:hint="eastAsia"/>
          <w:lang w:eastAsia="zh-CN"/>
        </w:rPr>
        <w:t>》中全国电网平均排放</w:t>
      </w:r>
      <w:r>
        <w:rPr>
          <w:rFonts w:hint="eastAsia"/>
        </w:rPr>
        <w:t>因子为</w:t>
      </w:r>
      <w:r>
        <w:rPr>
          <w:rFonts w:hint="eastAsia" w:ascii="Times New Roman" w:hAnsi="Times New Roman" w:cs="Times New Roman"/>
        </w:rPr>
        <w:t>0</w:t>
      </w:r>
      <w:r>
        <w:t>.</w:t>
      </w:r>
      <w:r>
        <w:rPr>
          <w:rFonts w:hint="eastAsia" w:ascii="Times New Roman" w:hAnsi="Times New Roman" w:cs="Times New Roman"/>
          <w:lang w:val="en-US" w:eastAsia="zh-CN"/>
        </w:rPr>
        <w:t>5703tCO</w:t>
      </w:r>
      <w:r>
        <w:rPr>
          <w:rFonts w:hint="eastAsia" w:ascii="Times New Roman" w:hAnsi="Times New Roman" w:cs="Times New Roman"/>
          <w:vertAlign w:val="subscript"/>
          <w:lang w:val="en-US" w:eastAsia="zh-CN"/>
        </w:rPr>
        <w:t>2</w:t>
      </w:r>
      <w:r>
        <w:rPr>
          <w:rFonts w:hint="eastAsia"/>
          <w:lang w:val="en-US" w:eastAsia="zh-CN"/>
        </w:rPr>
        <w:t>/</w:t>
      </w:r>
      <w:r>
        <w:rPr>
          <w:rFonts w:hint="eastAsia" w:ascii="Times New Roman" w:hAnsi="Times New Roman" w:cs="Times New Roman"/>
          <w:lang w:val="en-US" w:eastAsia="zh-CN"/>
        </w:rPr>
        <w:t>MWh</w:t>
      </w:r>
      <w:r>
        <w:rPr>
          <w:rFonts w:hint="eastAsia"/>
        </w:rPr>
        <w:t>，则</w:t>
      </w:r>
      <w:r>
        <w:rPr>
          <w:rFonts w:hint="eastAsia"/>
          <w:lang w:val="en-US" w:eastAsia="zh-CN"/>
        </w:rPr>
        <w:t>本项目购入电力二氧化碳排放量：</w:t>
      </w:r>
      <w:r>
        <w:rPr>
          <w:rFonts w:hint="eastAsia" w:ascii="Times New Roman" w:hAnsi="Times New Roman"/>
          <w:lang w:val="en-US" w:eastAsia="zh-CN"/>
        </w:rPr>
        <w:t>180</w:t>
      </w:r>
      <w:r>
        <w:rPr>
          <w:rFonts w:hint="eastAsia"/>
          <w:lang w:val="en-US" w:eastAsia="zh-CN"/>
        </w:rPr>
        <w:t>.</w:t>
      </w:r>
      <w:r>
        <w:rPr>
          <w:rFonts w:hint="eastAsia" w:ascii="Times New Roman" w:hAnsi="Times New Roman"/>
          <w:lang w:val="en-US" w:eastAsia="zh-CN"/>
        </w:rPr>
        <w:t>576</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5703</w:t>
      </w:r>
      <w:r>
        <w:rPr>
          <w:rFonts w:hint="eastAsia"/>
          <w:lang w:val="en-US" w:eastAsia="zh-CN"/>
        </w:rPr>
        <w:t>=</w:t>
      </w:r>
      <w:r>
        <w:rPr>
          <w:rFonts w:hint="eastAsia" w:ascii="Times New Roman" w:hAnsi="Times New Roman"/>
          <w:lang w:val="en-US" w:eastAsia="zh-CN"/>
        </w:rPr>
        <w:t>102</w:t>
      </w:r>
      <w:r>
        <w:rPr>
          <w:rFonts w:hint="eastAsia"/>
          <w:lang w:val="en-US" w:eastAsia="zh-CN"/>
        </w:rPr>
        <w:t>.</w:t>
      </w:r>
      <w:r>
        <w:rPr>
          <w:rFonts w:hint="eastAsia" w:ascii="Times New Roman" w:hAnsi="Times New Roman"/>
          <w:lang w:val="en-US" w:eastAsia="zh-CN"/>
        </w:rPr>
        <w:t>982</w:t>
      </w:r>
      <w:r>
        <w:rPr>
          <w:rFonts w:hint="eastAsia" w:ascii="Times New Roman" w:hAnsi="Times New Roman"/>
        </w:rPr>
        <w:t>tCO</w:t>
      </w:r>
      <w:r>
        <w:rPr>
          <w:rFonts w:ascii="Times New Roman" w:hAnsi="Times New Roman"/>
          <w:vertAlign w:val="subscript"/>
        </w:rPr>
        <w:t>2</w:t>
      </w:r>
      <w:r>
        <w:rPr>
          <w:rFonts w:hint="eastAsia"/>
        </w:rPr>
        <w:t>/</w:t>
      </w:r>
      <w:r>
        <w:rPr>
          <w:rFonts w:ascii="Times New Roman" w:hAnsi="Times New Roman"/>
        </w:rPr>
        <w:t>a</w:t>
      </w:r>
      <w:r>
        <w:rPr>
          <w:rFonts w:hint="eastAsia"/>
        </w:rPr>
        <w:t>。</w:t>
      </w:r>
    </w:p>
    <w:p>
      <w:pPr>
        <w:bidi w:val="0"/>
      </w:pPr>
      <w:r>
        <w:rPr>
          <w:rFonts w:hint="eastAsia"/>
        </w:rPr>
        <w:t>（</w:t>
      </w:r>
      <w:r>
        <w:rPr>
          <w:rFonts w:ascii="Times New Roman" w:hAnsi="Times New Roman"/>
        </w:rPr>
        <w:t>4</w:t>
      </w:r>
      <w:r>
        <w:rPr>
          <w:rFonts w:hint="eastAsia"/>
        </w:rPr>
        <w:t>）温室气体排放总量</w:t>
      </w:r>
    </w:p>
    <w:p>
      <w:pPr>
        <w:bidi w:val="0"/>
        <w:rPr>
          <w:rFonts w:hint="eastAsia"/>
          <w:lang w:eastAsia="zh-CN"/>
        </w:rPr>
      </w:pPr>
      <w:r>
        <w:rPr>
          <w:rFonts w:hint="eastAsia"/>
          <w:lang w:val="en-US" w:eastAsia="zh-CN"/>
        </w:rPr>
        <w:t>本项目</w:t>
      </w:r>
      <w:r>
        <w:rPr>
          <w:rFonts w:hint="eastAsia"/>
        </w:rPr>
        <w:t>温室气体排放量</w:t>
      </w:r>
      <w:r>
        <w:rPr>
          <w:rFonts w:hint="eastAsia"/>
          <w:lang w:eastAsia="zh-CN"/>
        </w:rPr>
        <w:t>：</w:t>
      </w:r>
    </w:p>
    <w:p>
      <w:pPr>
        <w:bidi w:val="0"/>
        <w:rPr>
          <w:color w:val="FF0000"/>
        </w:rPr>
      </w:pPr>
      <w:r>
        <w:rPr>
          <w:rFonts w:ascii="Times New Roman" w:hAnsi="Times New Roman"/>
        </w:rPr>
        <w:t>E</w:t>
      </w:r>
      <w:r>
        <w:rPr>
          <w:rFonts w:hint="eastAsia"/>
          <w:vertAlign w:val="subscript"/>
          <w:lang w:val="en-US" w:eastAsia="zh-CN"/>
        </w:rPr>
        <w:t>现有工程</w:t>
      </w:r>
      <w:r>
        <w:t>=</w:t>
      </w:r>
      <w:r>
        <w:rPr>
          <w:rFonts w:ascii="Times New Roman" w:hAnsi="Times New Roman"/>
        </w:rPr>
        <w:t>E</w:t>
      </w:r>
      <w:r>
        <w:rPr>
          <w:vertAlign w:val="subscript"/>
        </w:rPr>
        <w:t>燃烧</w:t>
      </w:r>
      <w:r>
        <w:t>+</w:t>
      </w:r>
      <w:r>
        <w:rPr>
          <w:rFonts w:ascii="Times New Roman" w:hAnsi="Times New Roman"/>
        </w:rPr>
        <w:t>E</w:t>
      </w:r>
      <w:r>
        <w:rPr>
          <w:vertAlign w:val="subscript"/>
        </w:rPr>
        <w:t>过程</w:t>
      </w:r>
      <w:r>
        <w:t>+</w:t>
      </w:r>
      <w:r>
        <w:rPr>
          <w:rFonts w:ascii="Times New Roman" w:hAnsi="Times New Roman"/>
        </w:rPr>
        <w:t>E</w:t>
      </w:r>
      <w:r>
        <w:rPr>
          <w:vertAlign w:val="subscript"/>
        </w:rPr>
        <w:t>购入电</w:t>
      </w:r>
      <w:r>
        <w:rPr>
          <w:rFonts w:hint="eastAsia"/>
        </w:rPr>
        <w:t>=</w:t>
      </w:r>
      <w:r>
        <w:rPr>
          <w:rFonts w:hint="eastAsia" w:ascii="Times New Roman" w:hAnsi="Times New Roman"/>
          <w:snapToGrid/>
          <w:lang w:val="en-US" w:eastAsia="zh-CN"/>
        </w:rPr>
        <w:t>4192</w:t>
      </w:r>
      <w:r>
        <w:rPr>
          <w:rFonts w:hint="eastAsia" w:ascii="Times New Roman" w:hAnsi="Times New Roman"/>
          <w:snapToGrid/>
          <w:lang w:val="en-US" w:eastAsia="zh-CN"/>
        </w:rPr>
        <w:t>.</w:t>
      </w:r>
      <w:r>
        <w:rPr>
          <w:rFonts w:hint="eastAsia" w:ascii="Times New Roman" w:hAnsi="Times New Roman"/>
          <w:snapToGrid/>
          <w:lang w:val="en-US" w:eastAsia="zh-CN"/>
        </w:rPr>
        <w:t>306</w:t>
      </w:r>
      <w:r>
        <w:rPr>
          <w:snapToGrid/>
        </w:rPr>
        <w:t>+</w:t>
      </w:r>
      <w:r>
        <w:rPr>
          <w:rFonts w:hint="eastAsia" w:ascii="Times New Roman" w:hAnsi="Times New Roman"/>
          <w:lang w:val="en-US" w:eastAsia="zh-CN"/>
        </w:rPr>
        <w:t>0</w:t>
      </w:r>
      <w:r>
        <w:rPr>
          <w:rFonts w:hint="eastAsia" w:ascii="Times New Roman" w:hAnsi="Times New Roman"/>
          <w:lang w:val="en-US" w:eastAsia="zh-CN"/>
        </w:rPr>
        <w:t>.</w:t>
      </w:r>
      <w:r>
        <w:rPr>
          <w:rFonts w:hint="eastAsia" w:ascii="Times New Roman" w:hAnsi="Times New Roman"/>
          <w:lang w:val="en-US" w:eastAsia="zh-CN"/>
        </w:rPr>
        <w:t>0028</w:t>
      </w:r>
      <w:r>
        <w:t>+</w:t>
      </w:r>
      <w:r>
        <w:rPr>
          <w:rFonts w:hint="eastAsia" w:ascii="Times New Roman" w:hAnsi="Times New Roman"/>
          <w:lang w:val="en-US" w:eastAsia="zh-CN"/>
        </w:rPr>
        <w:t>102</w:t>
      </w:r>
      <w:r>
        <w:rPr>
          <w:rFonts w:hint="eastAsia"/>
          <w:lang w:val="en-US" w:eastAsia="zh-CN"/>
        </w:rPr>
        <w:t>.</w:t>
      </w:r>
      <w:r>
        <w:rPr>
          <w:rFonts w:hint="eastAsia" w:ascii="Times New Roman" w:hAnsi="Times New Roman"/>
          <w:lang w:val="en-US" w:eastAsia="zh-CN"/>
        </w:rPr>
        <w:t>982</w:t>
      </w:r>
      <w:r>
        <w:rPr>
          <w:rFonts w:hint="eastAsia"/>
          <w:color w:val="auto"/>
        </w:rPr>
        <w:t>=</w:t>
      </w:r>
      <w:r>
        <w:rPr>
          <w:rFonts w:hint="eastAsia" w:ascii="Times New Roman" w:hAnsi="Times New Roman"/>
          <w:color w:val="auto"/>
          <w:lang w:val="en-US" w:eastAsia="zh-CN"/>
        </w:rPr>
        <w:t>4295</w:t>
      </w:r>
      <w:r>
        <w:rPr>
          <w:rFonts w:hint="eastAsia" w:ascii="Times New Roman" w:hAnsi="Times New Roman"/>
          <w:color w:val="auto"/>
          <w:lang w:val="en-US" w:eastAsia="zh-CN"/>
        </w:rPr>
        <w:t>.</w:t>
      </w:r>
      <w:r>
        <w:rPr>
          <w:rFonts w:hint="eastAsia" w:ascii="Times New Roman" w:hAnsi="Times New Roman"/>
          <w:color w:val="auto"/>
          <w:lang w:val="en-US" w:eastAsia="zh-CN"/>
        </w:rPr>
        <w:t>2908</w:t>
      </w:r>
      <w:r>
        <w:rPr>
          <w:rFonts w:hint="eastAsia" w:ascii="Times New Roman" w:hAnsi="Times New Roman"/>
          <w:color w:val="auto"/>
        </w:rPr>
        <w:t>tCO</w:t>
      </w:r>
      <w:r>
        <w:rPr>
          <w:rFonts w:ascii="Times New Roman" w:hAnsi="Times New Roman"/>
          <w:color w:val="auto"/>
          <w:vertAlign w:val="subscript"/>
        </w:rPr>
        <w:t>2</w:t>
      </w:r>
      <w:r>
        <w:rPr>
          <w:rFonts w:hint="eastAsia"/>
          <w:color w:val="auto"/>
        </w:rPr>
        <w:t>/</w:t>
      </w:r>
      <w:r>
        <w:rPr>
          <w:rFonts w:ascii="Times New Roman" w:hAnsi="Times New Roman"/>
          <w:color w:val="auto"/>
        </w:rPr>
        <w:t>a</w:t>
      </w:r>
    </w:p>
    <w:p>
      <w:pPr>
        <w:bidi w:val="0"/>
        <w:rPr>
          <w:rFonts w:hint="eastAsia"/>
        </w:rPr>
      </w:pPr>
      <w:r>
        <w:rPr>
          <w:rFonts w:hint="eastAsia"/>
          <w:color w:val="auto"/>
        </w:rPr>
        <w:t>综上所述，本项目温室气体排放量为：</w:t>
      </w:r>
      <w:r>
        <w:rPr>
          <w:rFonts w:hint="eastAsia" w:ascii="Times New Roman" w:hAnsi="Times New Roman"/>
          <w:color w:val="auto"/>
          <w:lang w:val="en-US" w:eastAsia="zh-CN"/>
        </w:rPr>
        <w:t>4295</w:t>
      </w:r>
      <w:r>
        <w:rPr>
          <w:rFonts w:hint="eastAsia" w:ascii="Times New Roman" w:hAnsi="Times New Roman"/>
          <w:color w:val="auto"/>
          <w:lang w:val="en-US" w:eastAsia="zh-CN"/>
        </w:rPr>
        <w:t>.</w:t>
      </w:r>
      <w:r>
        <w:rPr>
          <w:rFonts w:hint="eastAsia" w:ascii="Times New Roman" w:hAnsi="Times New Roman"/>
          <w:color w:val="auto"/>
          <w:lang w:val="en-US" w:eastAsia="zh-CN"/>
        </w:rPr>
        <w:t>2908</w:t>
      </w:r>
      <w:r>
        <w:rPr>
          <w:rFonts w:hint="eastAsia" w:ascii="Times New Roman" w:hAnsi="Times New Roman"/>
          <w:color w:val="auto"/>
        </w:rPr>
        <w:t>tCO</w:t>
      </w:r>
      <w:r>
        <w:rPr>
          <w:rFonts w:ascii="Times New Roman" w:hAnsi="Times New Roman"/>
          <w:color w:val="auto"/>
          <w:vertAlign w:val="subscript"/>
        </w:rPr>
        <w:t>2</w:t>
      </w:r>
      <w:r>
        <w:rPr>
          <w:rFonts w:hint="eastAsia"/>
          <w:color w:val="auto"/>
        </w:rPr>
        <w:t>/</w:t>
      </w:r>
      <w:r>
        <w:rPr>
          <w:rFonts w:ascii="Times New Roman" w:hAnsi="Times New Roman"/>
          <w:color w:val="auto"/>
        </w:rPr>
        <w:t>a</w:t>
      </w:r>
      <w:r>
        <w:rPr>
          <w:rFonts w:hint="eastAsia"/>
          <w:color w:val="auto"/>
        </w:rPr>
        <w:t>。</w:t>
      </w:r>
    </w:p>
    <w:p>
      <w:pPr>
        <w:pStyle w:val="4"/>
        <w:bidi w:val="0"/>
        <w:rPr>
          <w:rFonts w:hint="eastAsia" w:ascii="Times New Roman" w:hAnsi="Times New Roman"/>
          <w:lang w:val="en-US" w:eastAsia="zh-CN"/>
        </w:rPr>
      </w:pPr>
      <w:bookmarkStart w:id="145" w:name="_Toc6262"/>
      <w:r>
        <w:rPr>
          <w:rFonts w:hint="eastAsia" w:ascii="Times New Roman" w:hAnsi="Times New Roman"/>
          <w:lang w:val="en-US" w:eastAsia="zh-CN"/>
        </w:rPr>
        <w:t>4</w:t>
      </w:r>
      <w:r>
        <w:rPr>
          <w:rFonts w:hint="eastAsia"/>
        </w:rPr>
        <w:t>.</w:t>
      </w:r>
      <w:r>
        <w:rPr>
          <w:rFonts w:hint="eastAsia" w:ascii="Times New Roman" w:hAnsi="Times New Roman"/>
          <w:lang w:val="en-US" w:eastAsia="zh-CN"/>
        </w:rPr>
        <w:t>10</w:t>
      </w:r>
      <w:r>
        <w:rPr>
          <w:rFonts w:hint="eastAsia" w:ascii="Times New Roman" w:hAnsi="Times New Roman"/>
          <w:lang w:val="en-US" w:eastAsia="zh-CN"/>
        </w:rPr>
        <w:t>“三本账”分析</w:t>
      </w:r>
      <w:bookmarkEnd w:id="145"/>
    </w:p>
    <w:p>
      <w:pPr>
        <w:rPr>
          <w:rFonts w:hint="default"/>
          <w:color w:val="auto"/>
          <w:lang w:val="en-US" w:eastAsia="zh-CN"/>
        </w:rPr>
      </w:pPr>
      <w:r>
        <w:rPr>
          <w:rFonts w:hint="eastAsia"/>
          <w:color w:val="auto"/>
          <w:lang w:val="en-US" w:eastAsia="zh-CN"/>
        </w:rPr>
        <w:t>本项目实施后，全厂污染物排放“三本账”统计见表</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10</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p>
    <w:p>
      <w:pPr>
        <w:pStyle w:val="20"/>
        <w:rPr>
          <w:rFonts w:hint="eastAsia" w:ascii="Times New Roman" w:hAnsi="Times New Roman"/>
          <w:color w:val="auto"/>
          <w:lang w:val="en-US" w:eastAsia="zh-CN"/>
        </w:rPr>
      </w:pPr>
      <w:r>
        <w:rPr>
          <w:rFonts w:hint="eastAsia"/>
          <w:color w:val="auto"/>
          <w:lang w:val="en-US" w:eastAsia="zh-CN"/>
        </w:rPr>
        <w:t>表</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10</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本项目实施后全厂主要污染物排放“三本账”统计  单位：</w:t>
      </w:r>
      <w:r>
        <w:rPr>
          <w:rFonts w:hint="eastAsia" w:ascii="Times New Roman" w:hAnsi="Times New Roman"/>
          <w:color w:val="auto"/>
          <w:lang w:val="en-US" w:eastAsia="zh-CN"/>
        </w:rPr>
        <w:t>t</w:t>
      </w:r>
      <w:r>
        <w:rPr>
          <w:rFonts w:hint="eastAsia"/>
          <w:color w:val="auto"/>
          <w:lang w:val="en-US" w:eastAsia="zh-CN"/>
        </w:rPr>
        <w:t>/</w:t>
      </w:r>
      <w:r>
        <w:rPr>
          <w:rFonts w:hint="eastAsia" w:ascii="Times New Roman" w:hAnsi="Times New Roman"/>
          <w:color w:val="auto"/>
          <w:lang w:val="en-US" w:eastAsia="zh-CN"/>
        </w:rPr>
        <w:t>a</w:t>
      </w:r>
    </w:p>
    <w:tbl>
      <w:tblPr>
        <w:tblStyle w:val="80"/>
        <w:tblW w:w="500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92"/>
        <w:gridCol w:w="394"/>
        <w:gridCol w:w="1194"/>
        <w:gridCol w:w="1050"/>
        <w:gridCol w:w="1079"/>
        <w:gridCol w:w="1300"/>
        <w:gridCol w:w="1309"/>
        <w:gridCol w:w="1300"/>
        <w:gridCol w:w="11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污染物</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排放量</w:t>
            </w:r>
          </w:p>
        </w:tc>
        <w:tc>
          <w:tcPr>
            <w:tcW w:w="86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污染物</w:t>
            </w:r>
          </w:p>
        </w:tc>
        <w:tc>
          <w:tcPr>
            <w:tcW w:w="116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现有工程（已建）</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本工程（拟建）</w:t>
            </w:r>
          </w:p>
        </w:tc>
        <w:tc>
          <w:tcPr>
            <w:tcW w:w="2051" w:type="pct"/>
            <w:gridSpan w:val="3"/>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总体工程（已建+拟建或调整变更）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86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实际排放量（</w:t>
            </w:r>
            <w:r>
              <w:rPr>
                <w:rFonts w:hint="eastAsia" w:ascii="Times New Roman" w:hAnsi="Times New Roman" w:cs="Times New Roman"/>
                <w:spacing w:val="-17"/>
                <w:sz w:val="21"/>
                <w:szCs w:val="21"/>
                <w:lang w:val="en-US" w:eastAsia="zh-CN"/>
              </w:rPr>
              <w:t>t</w:t>
            </w:r>
            <w:r>
              <w:rPr>
                <w:rFonts w:hint="eastAsia"/>
                <w:spacing w:val="-17"/>
                <w:sz w:val="21"/>
                <w:szCs w:val="21"/>
                <w:lang w:val="en-US" w:eastAsia="zh-CN"/>
              </w:rPr>
              <w:t>/</w:t>
            </w:r>
            <w:r>
              <w:rPr>
                <w:rFonts w:hint="eastAsia" w:ascii="Times New Roman" w:hAnsi="Times New Roman" w:cs="Times New Roman"/>
                <w:spacing w:val="-17"/>
                <w:sz w:val="21"/>
                <w:szCs w:val="21"/>
                <w:lang w:val="en-US" w:eastAsia="zh-CN"/>
              </w:rPr>
              <w:t>a</w:t>
            </w:r>
            <w:r>
              <w:rPr>
                <w:spacing w:val="-17"/>
                <w:sz w:val="21"/>
                <w:szCs w:val="21"/>
              </w:rPr>
              <w:t>）</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许可排放量（</w:t>
            </w:r>
            <w:r>
              <w:rPr>
                <w:rFonts w:hint="eastAsia" w:ascii="Times New Roman" w:hAnsi="Times New Roman" w:cs="Times New Roman"/>
                <w:spacing w:val="-17"/>
                <w:sz w:val="21"/>
                <w:szCs w:val="21"/>
                <w:lang w:val="en-US" w:eastAsia="zh-CN"/>
              </w:rPr>
              <w:t>t</w:t>
            </w:r>
            <w:r>
              <w:rPr>
                <w:rFonts w:hint="eastAsia"/>
                <w:spacing w:val="-17"/>
                <w:sz w:val="21"/>
                <w:szCs w:val="21"/>
                <w:lang w:val="en-US" w:eastAsia="zh-CN"/>
              </w:rPr>
              <w:t>/</w:t>
            </w:r>
            <w:r>
              <w:rPr>
                <w:rFonts w:hint="eastAsia" w:ascii="Times New Roman" w:hAnsi="Times New Roman" w:cs="Times New Roman"/>
                <w:spacing w:val="-17"/>
                <w:sz w:val="21"/>
                <w:szCs w:val="21"/>
                <w:lang w:val="en-US" w:eastAsia="zh-CN"/>
              </w:rPr>
              <w:t>a</w:t>
            </w:r>
            <w:r>
              <w:rPr>
                <w:spacing w:val="-17"/>
                <w:sz w:val="21"/>
                <w:szCs w:val="21"/>
              </w:rPr>
              <w:t>）</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7"/>
                <w:sz w:val="21"/>
                <w:szCs w:val="21"/>
                <w:lang w:eastAsia="zh-CN"/>
              </w:rPr>
            </w:pPr>
            <w:r>
              <w:rPr>
                <w:spacing w:val="-17"/>
                <w:sz w:val="21"/>
                <w:szCs w:val="21"/>
              </w:rPr>
              <w:t>预测排放量</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w:t>
            </w:r>
            <w:r>
              <w:rPr>
                <w:rFonts w:hint="eastAsia" w:ascii="Times New Roman" w:hAnsi="Times New Roman" w:cs="Times New Roman"/>
                <w:spacing w:val="-17"/>
                <w:sz w:val="21"/>
                <w:szCs w:val="21"/>
                <w:lang w:val="en-US" w:eastAsia="zh-CN"/>
              </w:rPr>
              <w:t>t</w:t>
            </w:r>
            <w:r>
              <w:rPr>
                <w:rFonts w:hint="eastAsia"/>
                <w:spacing w:val="-17"/>
                <w:sz w:val="21"/>
                <w:szCs w:val="21"/>
                <w:lang w:val="en-US" w:eastAsia="zh-CN"/>
              </w:rPr>
              <w:t>/</w:t>
            </w:r>
            <w:r>
              <w:rPr>
                <w:rFonts w:hint="eastAsia" w:ascii="Times New Roman" w:hAnsi="Times New Roman" w:cs="Times New Roman"/>
                <w:spacing w:val="-17"/>
                <w:sz w:val="21"/>
                <w:szCs w:val="21"/>
                <w:lang w:val="en-US" w:eastAsia="zh-CN"/>
              </w:rPr>
              <w:t>a</w:t>
            </w:r>
            <w:r>
              <w:rPr>
                <w:spacing w:val="-17"/>
                <w:sz w:val="21"/>
                <w:szCs w:val="21"/>
              </w:rPr>
              <w:t>）</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“以新带老”</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削减量（</w:t>
            </w:r>
            <w:r>
              <w:rPr>
                <w:rFonts w:hint="eastAsia" w:ascii="Times New Roman" w:hAnsi="Times New Roman" w:cs="Times New Roman"/>
                <w:spacing w:val="-17"/>
                <w:sz w:val="21"/>
                <w:szCs w:val="21"/>
                <w:lang w:val="en-US" w:eastAsia="zh-CN"/>
              </w:rPr>
              <w:t>t</w:t>
            </w:r>
            <w:r>
              <w:rPr>
                <w:rFonts w:hint="eastAsia"/>
                <w:spacing w:val="-17"/>
                <w:sz w:val="21"/>
                <w:szCs w:val="21"/>
                <w:lang w:val="en-US" w:eastAsia="zh-CN"/>
              </w:rPr>
              <w:t>/</w:t>
            </w:r>
            <w:r>
              <w:rPr>
                <w:rFonts w:hint="eastAsia" w:ascii="Times New Roman" w:hAnsi="Times New Roman" w:cs="Times New Roman"/>
                <w:spacing w:val="-17"/>
                <w:sz w:val="21"/>
                <w:szCs w:val="21"/>
                <w:lang w:val="en-US" w:eastAsia="zh-CN"/>
              </w:rPr>
              <w:t>a</w:t>
            </w:r>
            <w:r>
              <w:rPr>
                <w:spacing w:val="-17"/>
                <w:sz w:val="21"/>
                <w:szCs w:val="21"/>
              </w:rPr>
              <w:t>）</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7"/>
                <w:sz w:val="21"/>
                <w:szCs w:val="21"/>
                <w:lang w:eastAsia="zh-CN"/>
              </w:rPr>
            </w:pPr>
            <w:r>
              <w:rPr>
                <w:spacing w:val="-17"/>
                <w:sz w:val="21"/>
                <w:szCs w:val="21"/>
              </w:rPr>
              <w:t>预测排放总量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pacing w:val="-17"/>
                <w:sz w:val="21"/>
                <w:szCs w:val="21"/>
              </w:rPr>
            </w:pPr>
            <w:r>
              <w:rPr>
                <w:spacing w:val="-17"/>
                <w:sz w:val="21"/>
                <w:szCs w:val="21"/>
              </w:rPr>
              <w:t>（</w:t>
            </w:r>
            <w:r>
              <w:rPr>
                <w:rFonts w:hint="eastAsia" w:ascii="Times New Roman" w:hAnsi="Times New Roman" w:cs="Times New Roman"/>
                <w:spacing w:val="-17"/>
                <w:sz w:val="21"/>
                <w:szCs w:val="21"/>
                <w:lang w:val="en-US" w:eastAsia="zh-CN"/>
              </w:rPr>
              <w:t>t</w:t>
            </w:r>
            <w:r>
              <w:rPr>
                <w:rFonts w:hint="eastAsia"/>
                <w:spacing w:val="-17"/>
                <w:sz w:val="21"/>
                <w:szCs w:val="21"/>
                <w:lang w:val="en-US" w:eastAsia="zh-CN"/>
              </w:rPr>
              <w:t>/</w:t>
            </w:r>
            <w:r>
              <w:rPr>
                <w:rFonts w:hint="eastAsia" w:ascii="Times New Roman" w:hAnsi="Times New Roman" w:cs="Times New Roman"/>
                <w:spacing w:val="-17"/>
                <w:sz w:val="21"/>
                <w:szCs w:val="21"/>
                <w:lang w:val="en-US" w:eastAsia="zh-CN"/>
              </w:rPr>
              <w:t>a</w:t>
            </w:r>
            <w:r>
              <w:rPr>
                <w:spacing w:val="-17"/>
                <w:sz w:val="21"/>
                <w:szCs w:val="21"/>
              </w:rPr>
              <w:t>）</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7"/>
                <w:sz w:val="21"/>
                <w:szCs w:val="21"/>
                <w:lang w:eastAsia="zh-CN"/>
              </w:rPr>
            </w:pPr>
            <w:r>
              <w:rPr>
                <w:spacing w:val="-17"/>
                <w:sz w:val="21"/>
                <w:szCs w:val="21"/>
              </w:rPr>
              <w:t>排放增减量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pacing w:val="-17"/>
                <w:sz w:val="21"/>
                <w:szCs w:val="21"/>
              </w:rPr>
            </w:pPr>
            <w:r>
              <w:rPr>
                <w:spacing w:val="-17"/>
                <w:sz w:val="21"/>
                <w:szCs w:val="21"/>
              </w:rPr>
              <w:t>（</w:t>
            </w:r>
            <w:r>
              <w:rPr>
                <w:rFonts w:hint="eastAsia" w:ascii="Times New Roman" w:hAnsi="Times New Roman" w:cs="Times New Roman"/>
                <w:spacing w:val="-17"/>
                <w:sz w:val="21"/>
                <w:szCs w:val="21"/>
                <w:lang w:val="en-US" w:eastAsia="zh-CN"/>
              </w:rPr>
              <w:t>t</w:t>
            </w:r>
            <w:r>
              <w:rPr>
                <w:rFonts w:hint="eastAsia"/>
                <w:spacing w:val="-17"/>
                <w:sz w:val="21"/>
                <w:szCs w:val="21"/>
                <w:lang w:val="en-US" w:eastAsia="zh-CN"/>
              </w:rPr>
              <w:t>/</w:t>
            </w:r>
            <w:r>
              <w:rPr>
                <w:rFonts w:hint="eastAsia" w:ascii="Times New Roman" w:hAnsi="Times New Roman" w:cs="Times New Roman"/>
                <w:spacing w:val="-17"/>
                <w:sz w:val="21"/>
                <w:szCs w:val="21"/>
                <w:lang w:val="en-US" w:eastAsia="zh-CN"/>
              </w:rPr>
              <w:t>a</w:t>
            </w:r>
            <w:r>
              <w:rPr>
                <w:spacing w:val="-17"/>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r>
              <w:rPr>
                <w:spacing w:val="-17"/>
                <w:sz w:val="21"/>
                <w:szCs w:val="21"/>
              </w:rPr>
              <w:t>废气</w:t>
            </w: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spacing w:val="-17"/>
                <w:sz w:val="21"/>
                <w:szCs w:val="21"/>
                <w:lang w:val="en-US" w:eastAsia="zh-CN"/>
              </w:rPr>
              <w:t>SO</w:t>
            </w:r>
            <w:r>
              <w:rPr>
                <w:rFonts w:hint="eastAsia" w:ascii="Times New Roman" w:hAnsi="Times New Roman"/>
                <w:spacing w:val="-17"/>
                <w:sz w:val="21"/>
                <w:szCs w:val="21"/>
                <w:vertAlign w:val="subscript"/>
                <w:lang w:val="en-US" w:eastAsia="zh-CN"/>
              </w:rPr>
              <w:t>2</w:t>
            </w:r>
            <w:r>
              <w:rPr>
                <w:rFonts w:hint="eastAsia" w:ascii="Times New Roman" w:hAnsi="Times New Roman"/>
                <w:spacing w:val="-17"/>
                <w:sz w:val="21"/>
                <w:szCs w:val="21"/>
                <w:lang w:val="en-US" w:eastAsia="zh-CN"/>
              </w:rPr>
              <w:t>*</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5</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96</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132</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235</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5</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96</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sz w:val="21"/>
                <w:szCs w:val="21"/>
                <w:lang w:val="en-US" w:eastAsia="zh-CN"/>
              </w:rPr>
            </w:pPr>
            <w:r>
              <w:rPr>
                <w:rFonts w:hint="eastAsia" w:ascii="Times New Roman" w:hAnsi="Times New Roman"/>
                <w:spacing w:val="-17"/>
                <w:sz w:val="21"/>
                <w:szCs w:val="21"/>
                <w:lang w:val="en-US" w:eastAsia="zh-CN"/>
              </w:rPr>
              <w:t>NOx*</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31</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72</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330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5875</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31</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72</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sz w:val="21"/>
                <w:szCs w:val="21"/>
                <w:lang w:val="en-US" w:eastAsia="zh-CN"/>
              </w:rPr>
            </w:pPr>
            <w:r>
              <w:rPr>
                <w:rFonts w:hint="eastAsia"/>
                <w:spacing w:val="-17"/>
                <w:sz w:val="21"/>
                <w:szCs w:val="21"/>
                <w:lang w:val="en-US" w:eastAsia="zh-CN"/>
              </w:rPr>
              <w:t>颗粒物*</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6</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3</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66</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11756</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6</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3</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sz w:val="21"/>
                <w:szCs w:val="21"/>
                <w:lang w:val="en-US" w:eastAsia="zh-CN"/>
              </w:rPr>
            </w:pPr>
            <w:r>
              <w:rPr>
                <w:rFonts w:hint="eastAsia" w:ascii="Times New Roman" w:hAnsi="Times New Roman"/>
                <w:spacing w:val="-17"/>
                <w:sz w:val="21"/>
                <w:szCs w:val="21"/>
                <w:lang w:val="en-US" w:eastAsia="zh-CN"/>
              </w:rPr>
              <w:t>VOCs*</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0011</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0011</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rPr>
            </w:pPr>
            <w:r>
              <w:rPr>
                <w:rFonts w:hint="eastAsia" w:ascii="Times New Roman" w:hAnsi="Times New Roman" w:cs="Times New Roman"/>
                <w:spacing w:val="-17"/>
                <w:sz w:val="21"/>
                <w:szCs w:val="21"/>
                <w:lang w:val="en-US" w:eastAsia="zh-CN"/>
              </w:rPr>
              <w:t>0</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7"/>
                <w:sz w:val="21"/>
                <w:szCs w:val="21"/>
                <w:lang w:eastAsia="zh-CN"/>
              </w:rPr>
            </w:pPr>
            <w:r>
              <w:rPr>
                <w:rFonts w:hint="eastAsia"/>
                <w:spacing w:val="-17"/>
                <w:sz w:val="21"/>
                <w:szCs w:val="21"/>
                <w:lang w:eastAsia="zh-CN"/>
              </w:rPr>
              <w:t>废水</w:t>
            </w: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sz w:val="21"/>
                <w:szCs w:val="21"/>
                <w:lang w:val="en-US" w:eastAsia="zh-CN"/>
              </w:rPr>
            </w:pPr>
            <w:r>
              <w:rPr>
                <w:rFonts w:hint="eastAsia" w:ascii="Times New Roman" w:hAnsi="Times New Roman"/>
                <w:spacing w:val="-17"/>
                <w:sz w:val="21"/>
                <w:szCs w:val="21"/>
                <w:lang w:val="en-US" w:eastAsia="zh-CN"/>
              </w:rPr>
              <w:t>COD*</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160.03</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165.91</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003</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rPr>
            </w:pPr>
            <w:r>
              <w:rPr>
                <w:rFonts w:hint="eastAsia" w:ascii="Times New Roman" w:hAnsi="Times New Roman" w:cs="Times New Roman"/>
                <w:spacing w:val="-17"/>
                <w:sz w:val="21"/>
                <w:szCs w:val="21"/>
                <w:lang w:val="en-US" w:eastAsia="zh-CN"/>
              </w:rPr>
              <w:t>160.033</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7"/>
                <w:sz w:val="21"/>
                <w:szCs w:val="21"/>
                <w:lang w:val="en-US" w:eastAsia="zh-CN"/>
              </w:rPr>
            </w:pPr>
            <w:r>
              <w:rPr>
                <w:rFonts w:hint="eastAsia" w:ascii="Times New Roman" w:hAnsi="Times New Roman"/>
                <w:spacing w:val="-17"/>
                <w:sz w:val="21"/>
                <w:szCs w:val="21"/>
                <w:lang w:val="en-US" w:eastAsia="zh-CN"/>
              </w:rPr>
              <w:t>NH</w:t>
            </w:r>
            <w:r>
              <w:rPr>
                <w:rFonts w:hint="eastAsia" w:ascii="Times New Roman" w:hAnsi="Times New Roman"/>
                <w:spacing w:val="-17"/>
                <w:sz w:val="21"/>
                <w:szCs w:val="21"/>
                <w:vertAlign w:val="subscript"/>
                <w:lang w:val="en-US" w:eastAsia="zh-CN"/>
              </w:rPr>
              <w:t>3</w:t>
            </w:r>
            <w:r>
              <w:rPr>
                <w:rFonts w:hint="eastAsia"/>
                <w:spacing w:val="-17"/>
                <w:sz w:val="21"/>
                <w:szCs w:val="21"/>
                <w:lang w:val="en-US" w:eastAsia="zh-CN"/>
              </w:rPr>
              <w:t>-</w:t>
            </w:r>
            <w:r>
              <w:rPr>
                <w:rFonts w:hint="eastAsia" w:ascii="Times New Roman" w:hAnsi="Times New Roman"/>
                <w:spacing w:val="-17"/>
                <w:sz w:val="21"/>
                <w:szCs w:val="21"/>
                <w:lang w:val="en-US" w:eastAsia="zh-CN"/>
              </w:rPr>
              <w:t>N*</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3.98</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 xml:space="preserve">18 </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0001</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rPr>
            </w:pPr>
            <w:r>
              <w:rPr>
                <w:rFonts w:hint="eastAsia" w:ascii="Times New Roman" w:hAnsi="Times New Roman" w:cs="Times New Roman"/>
                <w:spacing w:val="-17"/>
                <w:sz w:val="21"/>
                <w:szCs w:val="21"/>
                <w:lang w:val="en-US" w:eastAsia="zh-CN"/>
              </w:rPr>
              <w:t>3.9801</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7"/>
                <w:sz w:val="21"/>
                <w:szCs w:val="21"/>
                <w:lang w:eastAsia="zh-CN"/>
              </w:rPr>
            </w:pPr>
            <w:r>
              <w:rPr>
                <w:rFonts w:hint="eastAsia"/>
                <w:spacing w:val="-17"/>
                <w:sz w:val="21"/>
                <w:szCs w:val="21"/>
                <w:lang w:eastAsia="zh-CN"/>
              </w:rPr>
              <w:t>固废</w:t>
            </w: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7"/>
                <w:sz w:val="21"/>
                <w:szCs w:val="21"/>
                <w:lang w:val="en-US" w:eastAsia="zh-CN"/>
              </w:rPr>
            </w:pPr>
            <w:r>
              <w:rPr>
                <w:rFonts w:hint="eastAsia"/>
                <w:spacing w:val="-17"/>
                <w:sz w:val="21"/>
                <w:szCs w:val="21"/>
                <w:lang w:val="en-US" w:eastAsia="zh-CN"/>
              </w:rPr>
              <w:t>炉灰</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12779</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12779</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sz w:val="21"/>
                <w:szCs w:val="21"/>
                <w:lang w:val="en-US" w:eastAsia="zh-CN"/>
              </w:rPr>
            </w:pPr>
            <w:r>
              <w:rPr>
                <w:rFonts w:hint="eastAsia"/>
                <w:spacing w:val="-17"/>
                <w:sz w:val="21"/>
                <w:szCs w:val="21"/>
                <w:lang w:val="en-US" w:eastAsia="zh-CN"/>
              </w:rPr>
              <w:t>炉渣</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39302</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39302</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2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17"/>
                <w:sz w:val="21"/>
                <w:szCs w:val="21"/>
              </w:rPr>
            </w:pPr>
          </w:p>
        </w:tc>
        <w:tc>
          <w:tcPr>
            <w:tcW w:w="6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7"/>
                <w:sz w:val="21"/>
                <w:szCs w:val="21"/>
                <w:lang w:val="en-US" w:eastAsia="zh-CN"/>
              </w:rPr>
            </w:pPr>
            <w:r>
              <w:rPr>
                <w:rFonts w:hint="eastAsia"/>
                <w:spacing w:val="-17"/>
                <w:sz w:val="21"/>
                <w:szCs w:val="21"/>
                <w:lang w:val="en-US" w:eastAsia="zh-CN"/>
              </w:rPr>
              <w:t>污水站污泥</w:t>
            </w:r>
          </w:p>
        </w:tc>
        <w:tc>
          <w:tcPr>
            <w:tcW w:w="5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29740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66</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0023</w:t>
            </w:r>
          </w:p>
        </w:tc>
        <w:tc>
          <w:tcPr>
            <w:tcW w:w="7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0</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7"/>
                <w:sz w:val="21"/>
                <w:szCs w:val="21"/>
                <w:lang w:val="en-US" w:eastAsia="zh-CN" w:bidi="ar-SA"/>
              </w:rPr>
            </w:pPr>
            <w:r>
              <w:rPr>
                <w:rFonts w:hint="eastAsia" w:ascii="Times New Roman" w:hAnsi="Times New Roman" w:cs="Times New Roman"/>
                <w:spacing w:val="-17"/>
                <w:sz w:val="21"/>
                <w:szCs w:val="21"/>
                <w:lang w:val="en-US" w:eastAsia="zh-CN" w:bidi="ar-SA"/>
              </w:rPr>
              <w:t>29740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6623</w:t>
            </w:r>
          </w:p>
        </w:tc>
        <w:tc>
          <w:tcPr>
            <w:tcW w:w="630"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pacing w:val="-17"/>
                <w:sz w:val="21"/>
                <w:szCs w:val="21"/>
                <w:lang w:val="en-US" w:eastAsia="zh-CN" w:bidi="ar-SA"/>
              </w:rPr>
            </w:pP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w:t>
            </w:r>
            <w:r>
              <w:rPr>
                <w:rFonts w:hint="eastAsia" w:cs="Times New Roman"/>
                <w:spacing w:val="-17"/>
                <w:sz w:val="21"/>
                <w:szCs w:val="21"/>
                <w:lang w:val="en-US" w:eastAsia="zh-CN" w:bidi="ar-SA"/>
              </w:rPr>
              <w:t>.</w:t>
            </w:r>
            <w:r>
              <w:rPr>
                <w:rFonts w:hint="eastAsia" w:ascii="Times New Roman" w:hAnsi="Times New Roman" w:cs="Times New Roman"/>
                <w:spacing w:val="-17"/>
                <w:sz w:val="21"/>
                <w:szCs w:val="21"/>
                <w:lang w:val="en-US" w:eastAsia="zh-CN" w:bidi="ar-SA"/>
              </w:rPr>
              <w:t>0023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000" w:type="pct"/>
            <w:gridSpan w:val="9"/>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宋体" w:cs="Times New Roman"/>
                <w:spacing w:val="-17"/>
                <w:sz w:val="21"/>
                <w:szCs w:val="21"/>
                <w:lang w:val="en-US" w:eastAsia="zh-CN" w:bidi="ar-SA"/>
              </w:rPr>
            </w:pPr>
            <w:bookmarkStart w:id="146" w:name="_Toc15793"/>
            <w:r>
              <w:rPr>
                <w:rFonts w:hint="eastAsia" w:cs="Times New Roman"/>
                <w:spacing w:val="-17"/>
                <w:sz w:val="21"/>
                <w:szCs w:val="21"/>
                <w:lang w:val="en-US" w:eastAsia="zh-CN" w:bidi="ar-SA"/>
              </w:rPr>
              <w:t>*实际排放量、许可排放量数据来自2022年执行报告</w:t>
            </w:r>
          </w:p>
        </w:tc>
      </w:tr>
    </w:tbl>
    <w:p>
      <w:pPr>
        <w:pStyle w:val="4"/>
        <w:bidi w:val="0"/>
        <w:rPr>
          <w:rFonts w:hint="eastAsia"/>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11</w:t>
      </w:r>
      <w:r>
        <w:rPr>
          <w:rFonts w:hint="eastAsia"/>
          <w:lang w:val="en-US" w:eastAsia="zh-CN"/>
        </w:rPr>
        <w:t>总量控制</w:t>
      </w:r>
      <w:bookmarkEnd w:id="146"/>
    </w:p>
    <w:p>
      <w:pPr>
        <w:pStyle w:val="5"/>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11</w:t>
      </w:r>
      <w:r>
        <w:rPr>
          <w:rFonts w:hint="eastAsia"/>
          <w:lang w:val="en-US" w:eastAsia="zh-CN"/>
        </w:rPr>
        <w:t>.</w:t>
      </w:r>
      <w:r>
        <w:rPr>
          <w:rFonts w:hint="eastAsia" w:ascii="Times New Roman" w:hAnsi="Times New Roman"/>
          <w:lang w:val="en-US" w:eastAsia="zh-CN"/>
        </w:rPr>
        <w:t>1</w:t>
      </w:r>
      <w:r>
        <w:rPr>
          <w:rFonts w:hint="eastAsia"/>
          <w:lang w:val="en-US" w:eastAsia="zh-CN"/>
        </w:rPr>
        <w:t>总量控制建议指标</w:t>
      </w:r>
    </w:p>
    <w:p>
      <w:pPr>
        <w:bidi w:val="0"/>
        <w:rPr>
          <w:rFonts w:hint="eastAsia"/>
          <w:lang w:val="en-US" w:eastAsia="zh-CN"/>
        </w:rPr>
      </w:pPr>
      <w:r>
        <w:rPr>
          <w:rFonts w:hint="eastAsia"/>
          <w:lang w:val="en-US" w:eastAsia="zh-CN"/>
        </w:rPr>
        <w:t>经核算，本项目主要污染物排放量为：</w:t>
      </w:r>
      <w:r>
        <w:rPr>
          <w:rFonts w:hint="eastAsia" w:ascii="Times New Roman" w:hAnsi="Times New Roman"/>
          <w:lang w:val="en-US" w:eastAsia="zh-CN"/>
        </w:rPr>
        <w:t>VOCs</w:t>
      </w:r>
      <w:r>
        <w:rPr>
          <w:rFonts w:hint="eastAsia"/>
          <w:lang w:val="en-US" w:eastAsia="zh-CN"/>
        </w:rPr>
        <w:t>（以</w:t>
      </w:r>
      <w:r>
        <w:rPr>
          <w:rFonts w:hint="eastAsia" w:ascii="Times New Roman" w:hAnsi="Times New Roman"/>
          <w:lang w:val="en-US" w:eastAsia="zh-CN"/>
        </w:rPr>
        <w:t>NMHC</w:t>
      </w:r>
      <w:r>
        <w:rPr>
          <w:rFonts w:hint="eastAsia"/>
          <w:lang w:val="en-US" w:eastAsia="zh-CN"/>
        </w:rPr>
        <w:t>计）：</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3855t</w:t>
      </w:r>
      <w:r>
        <w:rPr>
          <w:rFonts w:hint="eastAsia"/>
          <w:lang w:val="en-US" w:eastAsia="zh-CN"/>
        </w:rPr>
        <w:t>/</w:t>
      </w:r>
      <w:r>
        <w:rPr>
          <w:rFonts w:hint="eastAsia" w:ascii="Times New Roman" w:hAnsi="Times New Roman"/>
          <w:lang w:val="en-US" w:eastAsia="zh-CN"/>
        </w:rPr>
        <w:t>a</w:t>
      </w:r>
      <w:r>
        <w:rPr>
          <w:rFonts w:hint="eastAsia"/>
          <w:lang w:val="en-US" w:eastAsia="zh-CN"/>
        </w:rPr>
        <w:t>（其中有组织排放</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0011t</w:t>
      </w:r>
      <w:r>
        <w:rPr>
          <w:rFonts w:hint="eastAsia"/>
          <w:lang w:val="en-US" w:eastAsia="zh-CN"/>
        </w:rPr>
        <w:t>/</w:t>
      </w:r>
      <w:r>
        <w:rPr>
          <w:rFonts w:hint="eastAsia" w:ascii="Times New Roman" w:hAnsi="Times New Roman"/>
          <w:lang w:val="en-US" w:eastAsia="zh-CN"/>
        </w:rPr>
        <w:t>a</w:t>
      </w:r>
      <w:r>
        <w:rPr>
          <w:rFonts w:hint="eastAsia"/>
          <w:lang w:val="en-US" w:eastAsia="zh-CN"/>
        </w:rPr>
        <w:t>）。</w:t>
      </w:r>
    </w:p>
    <w:p>
      <w:pPr>
        <w:bidi w:val="0"/>
        <w:rPr>
          <w:rFonts w:hint="eastAsia" w:hAnsi="Calibri"/>
          <w:lang w:eastAsia="zh-CN"/>
        </w:rPr>
      </w:pPr>
      <w:r>
        <w:rPr>
          <w:rFonts w:hint="eastAsia" w:hAnsi="Calibri"/>
          <w:lang w:eastAsia="zh-CN"/>
        </w:rPr>
        <w:t>本项目废水经处理后排入园区污水处理厂，因此不设置水污染物总量控制指标。</w:t>
      </w:r>
    </w:p>
    <w:p>
      <w:r>
        <w:rPr>
          <w:rFonts w:hint="eastAsia" w:hAnsi="Calibri"/>
          <w:lang w:eastAsia="zh-CN"/>
        </w:rPr>
        <w:t>本项目</w:t>
      </w:r>
      <w:r>
        <w:rPr>
          <w:rFonts w:hint="eastAsia" w:hAnsi="Calibri"/>
        </w:rPr>
        <w:t>污染物总量控制建议指标见表</w:t>
      </w:r>
      <w:r>
        <w:rPr>
          <w:rFonts w:hint="eastAsia" w:ascii="Times New Roman" w:hAnsi="Times New Roman"/>
          <w:lang w:val="en-US" w:eastAsia="zh-CN"/>
        </w:rPr>
        <w:t>4</w:t>
      </w:r>
      <w:r>
        <w:rPr>
          <w:rFonts w:hint="eastAsia" w:hAnsi="Calibri"/>
        </w:rPr>
        <w:t>.</w:t>
      </w:r>
      <w:r>
        <w:rPr>
          <w:rFonts w:hint="eastAsia" w:ascii="Times New Roman" w:hAnsi="Times New Roman"/>
          <w:lang w:val="en-US" w:eastAsia="zh-CN"/>
        </w:rPr>
        <w:t>11</w:t>
      </w:r>
      <w:r>
        <w:rPr>
          <w:rFonts w:hint="eastAsia" w:hAnsi="Calibri"/>
          <w:lang w:val="en-US" w:eastAsia="zh-CN"/>
        </w:rPr>
        <w:t>-</w:t>
      </w:r>
      <w:r>
        <w:rPr>
          <w:rFonts w:hint="eastAsia" w:ascii="Times New Roman" w:hAnsi="Times New Roman"/>
          <w:lang w:val="en-US" w:eastAsia="zh-CN"/>
        </w:rPr>
        <w:t>1</w:t>
      </w:r>
      <w:r>
        <w:rPr>
          <w:rFonts w:hint="eastAsia" w:hAnsi="Calibri"/>
        </w:rPr>
        <w:t>。</w:t>
      </w:r>
    </w:p>
    <w:p>
      <w:pPr>
        <w:pStyle w:val="20"/>
        <w:spacing w:before="156"/>
      </w:pPr>
      <w:r>
        <w:t>表</w:t>
      </w:r>
      <w:r>
        <w:rPr>
          <w:rFonts w:hint="eastAsia" w:ascii="Times New Roman" w:hAnsi="Times New Roman"/>
          <w:lang w:val="en-US" w:eastAsia="zh-CN"/>
        </w:rPr>
        <w:t>4</w:t>
      </w:r>
      <w:r>
        <w:rPr>
          <w:rFonts w:hint="eastAsia"/>
        </w:rPr>
        <w:t>.</w:t>
      </w:r>
      <w:r>
        <w:rPr>
          <w:rFonts w:hint="eastAsia" w:ascii="Times New Roman" w:hAnsi="Times New Roman"/>
          <w:lang w:val="en-US" w:eastAsia="zh-CN"/>
        </w:rPr>
        <w:t>11</w:t>
      </w:r>
      <w:r>
        <w:rPr>
          <w:rFonts w:hint="eastAsia"/>
        </w:rPr>
        <w:t>-</w:t>
      </w:r>
      <w:r>
        <w:rPr>
          <w:rFonts w:hint="eastAsia" w:ascii="Times New Roman" w:hAnsi="Times New Roman"/>
          <w:lang w:val="en-US" w:eastAsia="zh-CN"/>
        </w:rPr>
        <w:t>1</w:t>
      </w:r>
      <w:r>
        <w:rPr>
          <w:rFonts w:hint="eastAsia"/>
        </w:rPr>
        <w:t xml:space="preserve">  </w:t>
      </w:r>
      <w:r>
        <w:t>本项目总量控制指标建议</w:t>
      </w:r>
    </w:p>
    <w:tbl>
      <w:tblPr>
        <w:tblStyle w:val="80"/>
        <w:tblW w:w="9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532"/>
        <w:gridCol w:w="2813"/>
        <w:gridCol w:w="2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648" w:type="dxa"/>
            <w:gridSpan w:val="2"/>
            <w:noWrap w:val="0"/>
            <w:vAlign w:val="center"/>
          </w:tcPr>
          <w:p>
            <w:pPr>
              <w:spacing w:line="240" w:lineRule="auto"/>
              <w:ind w:firstLine="0"/>
              <w:jc w:val="center"/>
              <w:rPr>
                <w:rFonts w:hAnsi="Calibri"/>
                <w:sz w:val="21"/>
                <w:szCs w:val="21"/>
              </w:rPr>
            </w:pPr>
            <w:r>
              <w:rPr>
                <w:rFonts w:hint="eastAsia" w:hAnsi="Calibri"/>
                <w:sz w:val="21"/>
                <w:szCs w:val="21"/>
              </w:rPr>
              <w:t>污染物</w:t>
            </w:r>
          </w:p>
        </w:tc>
        <w:tc>
          <w:tcPr>
            <w:tcW w:w="2813" w:type="dxa"/>
            <w:noWrap w:val="0"/>
            <w:vAlign w:val="center"/>
          </w:tcPr>
          <w:p>
            <w:pPr>
              <w:spacing w:line="240" w:lineRule="auto"/>
              <w:ind w:firstLine="0"/>
              <w:jc w:val="center"/>
              <w:rPr>
                <w:rFonts w:hAnsi="Calibri"/>
                <w:sz w:val="21"/>
                <w:szCs w:val="21"/>
              </w:rPr>
            </w:pPr>
            <w:r>
              <w:rPr>
                <w:rFonts w:hint="eastAsia" w:hAnsi="Calibri"/>
                <w:sz w:val="21"/>
                <w:szCs w:val="21"/>
              </w:rPr>
              <w:t>本项目</w:t>
            </w:r>
            <w:r>
              <w:rPr>
                <w:rFonts w:hint="eastAsia" w:hAnsi="Calibri" w:eastAsia="宋体"/>
                <w:sz w:val="21"/>
                <w:szCs w:val="21"/>
                <w:lang w:eastAsia="zh-CN"/>
              </w:rPr>
              <w:t>建议指标</w:t>
            </w:r>
            <w:r>
              <w:rPr>
                <w:rFonts w:hint="eastAsia" w:ascii="Times New Roman" w:hAnsi="Times New Roman"/>
                <w:sz w:val="21"/>
                <w:szCs w:val="21"/>
              </w:rPr>
              <w:t>t</w:t>
            </w:r>
            <w:r>
              <w:rPr>
                <w:rFonts w:hint="eastAsia" w:hAnsi="Calibri"/>
                <w:sz w:val="21"/>
                <w:szCs w:val="21"/>
              </w:rPr>
              <w:t>/</w:t>
            </w:r>
            <w:r>
              <w:rPr>
                <w:rFonts w:hint="eastAsia" w:ascii="Times New Roman" w:hAnsi="Times New Roman"/>
                <w:sz w:val="21"/>
                <w:szCs w:val="21"/>
              </w:rPr>
              <w:t>a</w:t>
            </w:r>
          </w:p>
        </w:tc>
        <w:tc>
          <w:tcPr>
            <w:tcW w:w="2757" w:type="dxa"/>
            <w:noWrap w:val="0"/>
            <w:vAlign w:val="center"/>
          </w:tcPr>
          <w:p>
            <w:pPr>
              <w:spacing w:line="240" w:lineRule="auto"/>
              <w:ind w:firstLine="0"/>
              <w:jc w:val="center"/>
              <w:rPr>
                <w:rFonts w:hAnsi="Calibri"/>
                <w:sz w:val="21"/>
                <w:szCs w:val="21"/>
              </w:rPr>
            </w:pPr>
            <w:r>
              <w:rPr>
                <w:rFonts w:hint="eastAsia" w:hAnsi="Calibri"/>
                <w:sz w:val="21"/>
                <w:szCs w:val="21"/>
                <w:lang w:eastAsia="zh-CN"/>
              </w:rPr>
              <w:t>倍量</w:t>
            </w:r>
            <w:r>
              <w:rPr>
                <w:rFonts w:hint="eastAsia" w:hAnsi="Calibri" w:eastAsia="宋体"/>
                <w:sz w:val="21"/>
                <w:szCs w:val="21"/>
                <w:lang w:eastAsia="zh-CN"/>
              </w:rPr>
              <w:t>替代削减</w:t>
            </w:r>
            <w:r>
              <w:rPr>
                <w:rFonts w:hAnsi="Calibri"/>
                <w:sz w:val="21"/>
                <w:szCs w:val="21"/>
              </w:rPr>
              <w:t>指标</w:t>
            </w:r>
            <w:r>
              <w:rPr>
                <w:rFonts w:ascii="Times New Roman" w:hAnsi="Times New Roman"/>
                <w:sz w:val="21"/>
                <w:szCs w:val="21"/>
              </w:rPr>
              <w:t>t</w:t>
            </w:r>
            <w:r>
              <w:rPr>
                <w:rFonts w:hAnsi="Calibri"/>
                <w:sz w:val="21"/>
                <w:szCs w:val="21"/>
              </w:rPr>
              <w:t>/</w:t>
            </w:r>
            <w:r>
              <w:rPr>
                <w:rFonts w:ascii="Times New Roman" w:hAnsi="Times New Roman"/>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16" w:type="dxa"/>
            <w:noWrap w:val="0"/>
            <w:vAlign w:val="center"/>
          </w:tcPr>
          <w:p>
            <w:pPr>
              <w:spacing w:line="240" w:lineRule="auto"/>
              <w:ind w:firstLine="0"/>
              <w:jc w:val="center"/>
              <w:rPr>
                <w:rFonts w:hAnsi="Calibri"/>
                <w:sz w:val="21"/>
                <w:szCs w:val="21"/>
              </w:rPr>
            </w:pPr>
            <w:r>
              <w:rPr>
                <w:rFonts w:hint="eastAsia" w:hAnsi="Calibri"/>
                <w:sz w:val="21"/>
                <w:szCs w:val="21"/>
              </w:rPr>
              <w:t>废气</w:t>
            </w:r>
          </w:p>
        </w:tc>
        <w:tc>
          <w:tcPr>
            <w:tcW w:w="2532"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bidi="ar-SA"/>
              </w:rPr>
            </w:pPr>
            <w:r>
              <w:rPr>
                <w:rFonts w:hint="eastAsia" w:ascii="Times New Roman" w:hAnsi="Times New Roman"/>
                <w:sz w:val="21"/>
                <w:szCs w:val="21"/>
                <w:lang w:val="en-US" w:eastAsia="zh-CN"/>
              </w:rPr>
              <w:t>VOCs</w:t>
            </w:r>
          </w:p>
        </w:tc>
        <w:tc>
          <w:tcPr>
            <w:tcW w:w="2813"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bidi="ar-SA"/>
              </w:rPr>
            </w:pPr>
            <w:r>
              <w:rPr>
                <w:rFonts w:hint="eastAsia" w:ascii="Times New Roman" w:hAnsi="Times New Roman"/>
                <w:sz w:val="21"/>
                <w:szCs w:val="21"/>
                <w:lang w:val="en-US" w:eastAsia="zh-CN"/>
              </w:rPr>
              <w:t>0</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0011</w:t>
            </w:r>
          </w:p>
        </w:tc>
        <w:tc>
          <w:tcPr>
            <w:tcW w:w="275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bidi="ar-SA"/>
              </w:rPr>
            </w:pPr>
            <w:r>
              <w:rPr>
                <w:rFonts w:hint="eastAsia" w:ascii="Times New Roman" w:hAnsi="Times New Roman"/>
                <w:sz w:val="21"/>
                <w:szCs w:val="21"/>
                <w:lang w:val="en-US" w:eastAsia="zh-CN" w:bidi="ar-SA"/>
              </w:rPr>
              <w:t>0</w:t>
            </w:r>
            <w:r>
              <w:rPr>
                <w:rFonts w:hint="eastAsia" w:ascii="Times New Roman" w:hAnsi="Times New Roman"/>
                <w:sz w:val="21"/>
                <w:szCs w:val="21"/>
                <w:lang w:val="en-US" w:eastAsia="zh-CN" w:bidi="ar-SA"/>
              </w:rPr>
              <w:t>.</w:t>
            </w:r>
            <w:r>
              <w:rPr>
                <w:rFonts w:hint="eastAsia" w:ascii="Times New Roman" w:hAnsi="Times New Roman"/>
                <w:sz w:val="21"/>
                <w:szCs w:val="21"/>
                <w:lang w:val="en-US" w:eastAsia="zh-CN" w:bidi="ar-SA"/>
              </w:rPr>
              <w:t>0022</w:t>
            </w:r>
          </w:p>
        </w:tc>
      </w:tr>
    </w:tbl>
    <w:p>
      <w:pPr>
        <w:pStyle w:val="5"/>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11</w:t>
      </w:r>
      <w:r>
        <w:rPr>
          <w:rFonts w:hint="eastAsia"/>
          <w:lang w:val="en-US" w:eastAsia="zh-CN"/>
        </w:rPr>
        <w:t>.</w:t>
      </w:r>
      <w:r>
        <w:rPr>
          <w:rFonts w:hint="eastAsia" w:ascii="Times New Roman" w:hAnsi="Times New Roman"/>
          <w:lang w:val="en-US" w:eastAsia="zh-CN"/>
        </w:rPr>
        <w:t>2</w:t>
      </w:r>
      <w:r>
        <w:rPr>
          <w:rFonts w:hint="eastAsia"/>
          <w:lang w:val="en-US" w:eastAsia="zh-CN"/>
        </w:rPr>
        <w:t>总量控制指标来源</w:t>
      </w:r>
    </w:p>
    <w:p>
      <w:pPr>
        <w:bidi w:val="0"/>
        <w:rPr>
          <w:rFonts w:hint="default"/>
          <w:lang w:val="en-US" w:eastAsia="zh-CN"/>
        </w:rPr>
      </w:pPr>
      <w:r>
        <w:rPr>
          <w:rFonts w:hint="eastAsia"/>
          <w:lang w:eastAsia="zh-CN"/>
        </w:rPr>
        <w:t>根据</w:t>
      </w:r>
      <w:r>
        <w:rPr>
          <w:rFonts w:hint="eastAsia" w:ascii="Times New Roman" w:hAnsi="Times New Roman"/>
          <w:lang w:val="en-US" w:eastAsia="zh-CN"/>
        </w:rPr>
        <w:t>2023</w:t>
      </w:r>
      <w:r>
        <w:rPr>
          <w:rFonts w:hint="eastAsia"/>
          <w:lang w:val="en-US" w:eastAsia="zh-CN"/>
        </w:rPr>
        <w:t>年企业对本项目下游聚合工艺排气筒（</w:t>
      </w:r>
      <w:r>
        <w:rPr>
          <w:rFonts w:hint="eastAsia" w:ascii="Times New Roman" w:hAnsi="Times New Roman"/>
          <w:lang w:val="en-US" w:eastAsia="zh-CN"/>
        </w:rPr>
        <w:t>PA</w:t>
      </w:r>
      <w:r>
        <w:rPr>
          <w:rFonts w:hint="eastAsia"/>
          <w:lang w:val="en-US" w:eastAsia="zh-CN"/>
        </w:rPr>
        <w:t>车间废气排放口）例行监测，在工况</w:t>
      </w:r>
      <w:r>
        <w:rPr>
          <w:rFonts w:hint="eastAsia" w:ascii="Times New Roman" w:hAnsi="Times New Roman"/>
          <w:lang w:val="en-US" w:eastAsia="zh-CN"/>
        </w:rPr>
        <w:t>100</w:t>
      </w:r>
      <w:r>
        <w:rPr>
          <w:rFonts w:hint="eastAsia"/>
          <w:lang w:val="en-US" w:eastAsia="zh-CN"/>
        </w:rPr>
        <w:t>%情况下，</w:t>
      </w:r>
      <w:r>
        <w:rPr>
          <w:rFonts w:hint="eastAsia" w:ascii="Times New Roman" w:hAnsi="Times New Roman"/>
          <w:lang w:val="en-US" w:eastAsia="zh-CN"/>
        </w:rPr>
        <w:t>NMHC</w:t>
      </w:r>
      <w:r>
        <w:rPr>
          <w:rFonts w:hint="eastAsia"/>
          <w:lang w:val="en-US" w:eastAsia="zh-CN"/>
        </w:rPr>
        <w:t>排放速率范围为：</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31</w:t>
      </w:r>
      <w:r>
        <w:rPr>
          <w:rFonts w:hint="eastAsia"/>
          <w:lang w:val="en-US" w:eastAsia="zh-CN"/>
        </w:rPr>
        <w:t>×</w:t>
      </w:r>
      <w:r>
        <w:rPr>
          <w:rFonts w:hint="eastAsia" w:ascii="Times New Roman" w:hAnsi="Times New Roman"/>
          <w:lang w:val="en-US" w:eastAsia="zh-CN"/>
        </w:rPr>
        <w:t>10</w:t>
      </w:r>
      <w:r>
        <w:rPr>
          <w:rFonts w:hint="eastAsia"/>
          <w:vertAlign w:val="superscript"/>
          <w:lang w:val="en-US" w:eastAsia="zh-CN"/>
        </w:rPr>
        <w:t>-</w:t>
      </w:r>
      <w:r>
        <w:rPr>
          <w:rFonts w:hint="eastAsia" w:ascii="Times New Roman" w:hAnsi="Times New Roman"/>
          <w:vertAlign w:val="superscript"/>
          <w:lang w:val="en-US" w:eastAsia="zh-CN"/>
        </w:rPr>
        <w:t>3</w:t>
      </w:r>
      <w:r>
        <w:rPr>
          <w:rFonts w:hint="eastAsia" w:ascii="Times New Roman" w:hAnsi="Times New Roman"/>
          <w:lang w:val="en-US" w:eastAsia="zh-CN"/>
        </w:rPr>
        <w:t>kg</w:t>
      </w:r>
      <w:r>
        <w:rPr>
          <w:rFonts w:hint="eastAsia"/>
          <w:lang w:val="en-US" w:eastAsia="zh-CN"/>
        </w:rPr>
        <w:t>/</w:t>
      </w:r>
      <w:r>
        <w:rPr>
          <w:rFonts w:hint="eastAsia" w:ascii="Times New Roman" w:hAnsi="Times New Roman"/>
          <w:lang w:val="en-US" w:eastAsia="zh-CN"/>
        </w:rPr>
        <w:t>h</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33</w:t>
      </w:r>
      <w:r>
        <w:rPr>
          <w:rFonts w:hint="eastAsia"/>
          <w:lang w:val="en-US" w:eastAsia="zh-CN"/>
        </w:rPr>
        <w:t>×</w:t>
      </w:r>
      <w:r>
        <w:rPr>
          <w:rFonts w:hint="eastAsia" w:ascii="Times New Roman" w:hAnsi="Times New Roman"/>
          <w:lang w:val="en-US" w:eastAsia="zh-CN"/>
        </w:rPr>
        <w:t>10</w:t>
      </w:r>
      <w:r>
        <w:rPr>
          <w:rFonts w:hint="eastAsia"/>
          <w:vertAlign w:val="superscript"/>
          <w:lang w:val="en-US" w:eastAsia="zh-CN"/>
        </w:rPr>
        <w:t>-</w:t>
      </w:r>
      <w:r>
        <w:rPr>
          <w:rFonts w:hint="eastAsia" w:ascii="Times New Roman" w:hAnsi="Times New Roman"/>
          <w:vertAlign w:val="superscript"/>
          <w:lang w:val="en-US" w:eastAsia="zh-CN"/>
        </w:rPr>
        <w:t>3</w:t>
      </w:r>
      <w:r>
        <w:rPr>
          <w:rFonts w:hint="eastAsia" w:ascii="Times New Roman" w:hAnsi="Times New Roman"/>
          <w:lang w:val="en-US" w:eastAsia="zh-CN"/>
        </w:rPr>
        <w:t>kg</w:t>
      </w:r>
      <w:r>
        <w:rPr>
          <w:rFonts w:hint="eastAsia"/>
          <w:lang w:val="en-US" w:eastAsia="zh-CN"/>
        </w:rPr>
        <w:t>/</w:t>
      </w:r>
      <w:r>
        <w:rPr>
          <w:rFonts w:hint="eastAsia" w:ascii="Times New Roman" w:hAnsi="Times New Roman"/>
          <w:lang w:val="en-US" w:eastAsia="zh-CN"/>
        </w:rPr>
        <w:t>h</w:t>
      </w:r>
      <w:r>
        <w:rPr>
          <w:rFonts w:hint="eastAsia"/>
          <w:lang w:val="en-US" w:eastAsia="zh-CN"/>
        </w:rPr>
        <w:t>，全年排放量约合</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04248t</w:t>
      </w:r>
      <w:r>
        <w:rPr>
          <w:rFonts w:hint="eastAsia"/>
          <w:lang w:val="en-US" w:eastAsia="zh-CN"/>
        </w:rPr>
        <w:t>/</w:t>
      </w:r>
      <w:r>
        <w:rPr>
          <w:rFonts w:hint="eastAsia" w:ascii="Times New Roman" w:hAnsi="Times New Roman"/>
          <w:lang w:val="en-US" w:eastAsia="zh-CN"/>
        </w:rPr>
        <w:t>a</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05064t</w:t>
      </w:r>
      <w:r>
        <w:rPr>
          <w:rFonts w:hint="eastAsia"/>
          <w:lang w:val="en-US" w:eastAsia="zh-CN"/>
        </w:rPr>
        <w:t>/</w:t>
      </w:r>
      <w:r>
        <w:rPr>
          <w:rFonts w:hint="eastAsia" w:ascii="Times New Roman" w:hAnsi="Times New Roman"/>
          <w:lang w:val="en-US" w:eastAsia="zh-CN"/>
        </w:rPr>
        <w:t>a</w:t>
      </w:r>
      <w:r>
        <w:rPr>
          <w:rFonts w:hint="eastAsia"/>
          <w:lang w:val="en-US" w:eastAsia="zh-CN"/>
        </w:rPr>
        <w:t>，本项目实施后，现有工程生物基聚酰胺生产负荷降低至</w:t>
      </w:r>
      <w:r>
        <w:rPr>
          <w:rFonts w:hint="eastAsia" w:ascii="Times New Roman" w:hAnsi="Times New Roman"/>
          <w:lang w:val="en-US" w:eastAsia="zh-CN"/>
        </w:rPr>
        <w:t>75</w:t>
      </w:r>
      <w:r>
        <w:rPr>
          <w:rFonts w:hint="eastAsia"/>
          <w:lang w:val="en-US" w:eastAsia="zh-CN"/>
        </w:rPr>
        <w:t>%计算，则减排</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01062t</w:t>
      </w:r>
      <w:r>
        <w:rPr>
          <w:rFonts w:hint="eastAsia"/>
          <w:lang w:val="en-US" w:eastAsia="zh-CN"/>
        </w:rPr>
        <w:t>/</w:t>
      </w:r>
      <w:r>
        <w:rPr>
          <w:rFonts w:hint="eastAsia" w:ascii="Times New Roman" w:hAnsi="Times New Roman"/>
          <w:lang w:val="en-US" w:eastAsia="zh-CN"/>
        </w:rPr>
        <w:t>a</w:t>
      </w:r>
      <w:r>
        <w:rPr>
          <w:rFonts w:hint="eastAsia"/>
          <w:lang w:val="en-US" w:eastAsia="zh-CN"/>
        </w:rPr>
        <w:t>～</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01266t</w:t>
      </w:r>
      <w:r>
        <w:rPr>
          <w:rFonts w:hint="eastAsia"/>
          <w:lang w:val="en-US" w:eastAsia="zh-CN"/>
        </w:rPr>
        <w:t>/</w:t>
      </w:r>
      <w:r>
        <w:rPr>
          <w:rFonts w:hint="eastAsia" w:ascii="Times New Roman" w:hAnsi="Times New Roman"/>
          <w:lang w:val="en-US" w:eastAsia="zh-CN"/>
        </w:rPr>
        <w:t>a</w:t>
      </w:r>
      <w:r>
        <w:rPr>
          <w:rFonts w:hint="eastAsia"/>
          <w:lang w:val="en-US" w:eastAsia="zh-CN"/>
        </w:rPr>
        <w:t>，减排量大于本项目替代削减量</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0022t</w:t>
      </w:r>
      <w:r>
        <w:rPr>
          <w:rFonts w:hint="eastAsia"/>
          <w:lang w:val="en-US" w:eastAsia="zh-CN"/>
        </w:rPr>
        <w:t>/</w:t>
      </w:r>
      <w:r>
        <w:rPr>
          <w:rFonts w:hint="eastAsia" w:ascii="Times New Roman" w:hAnsi="Times New Roman"/>
          <w:lang w:val="en-US" w:eastAsia="zh-CN"/>
        </w:rPr>
        <w:t>a</w:t>
      </w:r>
      <w:r>
        <w:rPr>
          <w:rFonts w:hint="eastAsia"/>
          <w:lang w:val="en-US" w:eastAsia="zh-CN"/>
        </w:rPr>
        <w:t>，因此本项目总量指标来自现有工程</w:t>
      </w:r>
      <w:r>
        <w:rPr>
          <w:rFonts w:hint="eastAsia" w:ascii="Times New Roman" w:hAnsi="Times New Roman"/>
          <w:lang w:val="en-US" w:eastAsia="zh-CN"/>
        </w:rPr>
        <w:t>PA</w:t>
      </w:r>
      <w:r>
        <w:rPr>
          <w:rFonts w:hint="eastAsia"/>
          <w:lang w:val="en-US" w:eastAsia="zh-CN"/>
        </w:rPr>
        <w:t>车间由于负荷降低的减排量。</w:t>
      </w:r>
    </w:p>
    <w:p>
      <w:pPr>
        <w:bidi w:val="0"/>
        <w:rPr>
          <w:rFonts w:hint="eastAsia" w:ascii="Times New Roman" w:hAnsi="Times New Roman"/>
          <w:lang w:val="en-US" w:eastAsia="zh-CN"/>
        </w:rPr>
      </w:pPr>
      <w:r>
        <w:rPr>
          <w:rFonts w:hint="eastAsia"/>
          <w:lang w:eastAsia="zh-CN"/>
        </w:rPr>
        <w:t>综上所述，本项目新增主要污染物</w:t>
      </w:r>
      <w:r>
        <w:rPr>
          <w:rFonts w:hint="eastAsia" w:ascii="Times New Roman" w:hAnsi="Times New Roman"/>
          <w:lang w:val="en-US" w:eastAsia="zh-CN"/>
        </w:rPr>
        <w:t>VOCs</w:t>
      </w:r>
      <w:r>
        <w:rPr>
          <w:rFonts w:hint="eastAsia"/>
          <w:lang w:eastAsia="zh-CN"/>
        </w:rPr>
        <w:t>总量指标来自现有工程</w:t>
      </w:r>
      <w:r>
        <w:rPr>
          <w:rFonts w:hint="eastAsia" w:ascii="Times New Roman" w:hAnsi="Times New Roman"/>
          <w:lang w:val="en-US" w:eastAsia="zh-CN"/>
        </w:rPr>
        <w:t>PA</w:t>
      </w:r>
      <w:r>
        <w:rPr>
          <w:rFonts w:hint="eastAsia"/>
          <w:lang w:val="en-US" w:eastAsia="zh-CN"/>
        </w:rPr>
        <w:t>车间的减排量，</w:t>
      </w:r>
      <w:r>
        <w:rPr>
          <w:rFonts w:hint="eastAsia"/>
          <w:lang w:eastAsia="zh-CN"/>
        </w:rPr>
        <w:t>不再另申请主要污染物总量指标。</w:t>
      </w:r>
    </w:p>
    <w:p>
      <w:pPr>
        <w:pStyle w:val="4"/>
        <w:spacing w:before="156" w:after="156"/>
        <w:rPr>
          <w:rFonts w:hint="eastAsia"/>
        </w:rPr>
      </w:pPr>
      <w:bookmarkStart w:id="147" w:name="_Toc29646"/>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12</w:t>
      </w:r>
      <w:r>
        <w:rPr>
          <w:rFonts w:hint="eastAsia"/>
        </w:rPr>
        <w:t>清洁生产分析</w:t>
      </w:r>
      <w:bookmarkEnd w:id="144"/>
      <w:bookmarkEnd w:id="147"/>
    </w:p>
    <w:p>
      <w:pPr>
        <w:rPr>
          <w:rFonts w:hint="eastAsia"/>
        </w:rPr>
      </w:pPr>
      <w:r>
        <w:rPr>
          <w:rFonts w:hint="eastAsia"/>
        </w:rPr>
        <w:t>根据《中华人民共和国清洁生产促进法》，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企业通过推行清洁生产，不仅可以减少污染、保护环境，而且可提高企业的管理水平和对资源的利用率，从而降低企业的生产成本，无形中增加了企业的竞争力。</w:t>
      </w:r>
    </w:p>
    <w:p>
      <w:pPr>
        <w:bidi w:val="0"/>
        <w:rPr>
          <w:rFonts w:hint="eastAsia"/>
          <w:lang w:eastAsia="zh-CN"/>
        </w:rPr>
      </w:pPr>
      <w:r>
        <w:rPr>
          <w:rFonts w:hint="eastAsia"/>
          <w:lang w:eastAsia="zh-CN"/>
        </w:rPr>
        <w:t>本项目采用现有工程中间产物</w:t>
      </w:r>
      <w:r>
        <w:rPr>
          <w:rFonts w:hint="eastAsia" w:ascii="Times New Roman" w:hAnsi="Times New Roman"/>
          <w:lang w:eastAsia="zh-CN"/>
        </w:rPr>
        <w:t>DN</w:t>
      </w:r>
      <w:r>
        <w:rPr>
          <w:rFonts w:hint="eastAsia"/>
          <w:lang w:eastAsia="zh-CN"/>
        </w:rPr>
        <w:t>溶液进行生产，在国内几乎不存同类生产工艺，因此本次评价从</w:t>
      </w:r>
      <w:r>
        <w:rPr>
          <w:rFonts w:hint="eastAsia" w:hAnsi="Times New Roman"/>
          <w:color w:val="auto"/>
          <w:lang w:val="en-US" w:eastAsia="zh-CN"/>
        </w:rPr>
        <w:t>原材料和能源消耗、生产工艺与装备、污染物的产生和治理、环境管理要求等方面分析本项目清洁生产水平。</w:t>
      </w:r>
    </w:p>
    <w:p>
      <w:pPr>
        <w:pStyle w:val="5"/>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12</w:t>
      </w:r>
      <w:r>
        <w:rPr>
          <w:rFonts w:hint="eastAsia"/>
          <w:lang w:val="en-US" w:eastAsia="zh-CN"/>
        </w:rPr>
        <w:t>.</w:t>
      </w:r>
      <w:r>
        <w:rPr>
          <w:rFonts w:hint="eastAsia" w:ascii="Times New Roman" w:hAnsi="Times New Roman"/>
          <w:lang w:val="en-US" w:eastAsia="zh-CN"/>
        </w:rPr>
        <w:t>1</w:t>
      </w:r>
      <w:r>
        <w:rPr>
          <w:rFonts w:hint="eastAsia"/>
          <w:lang w:val="en-US" w:eastAsia="zh-CN"/>
        </w:rPr>
        <w:t>原材料和能源消耗水平</w:t>
      </w:r>
    </w:p>
    <w:p>
      <w:pPr>
        <w:bidi w:val="0"/>
        <w:rPr>
          <w:rFonts w:hint="eastAsia"/>
          <w:lang w:eastAsia="zh-CN"/>
        </w:rPr>
      </w:pPr>
      <w:r>
        <w:rPr>
          <w:rFonts w:hint="eastAsia"/>
          <w:lang w:eastAsia="zh-CN"/>
        </w:rPr>
        <w:t>（</w:t>
      </w:r>
      <w:r>
        <w:rPr>
          <w:rFonts w:hint="eastAsia" w:ascii="Times New Roman" w:hAnsi="Times New Roman"/>
          <w:lang w:val="en-US" w:eastAsia="zh-CN"/>
        </w:rPr>
        <w:t>1</w:t>
      </w:r>
      <w:r>
        <w:rPr>
          <w:rFonts w:hint="eastAsia"/>
          <w:lang w:eastAsia="zh-CN"/>
        </w:rPr>
        <w:t>）原材料</w:t>
      </w:r>
    </w:p>
    <w:p>
      <w:pPr>
        <w:bidi w:val="0"/>
        <w:rPr>
          <w:rFonts w:hint="eastAsia"/>
          <w:lang w:val="en-US" w:eastAsia="zh-CN"/>
        </w:rPr>
      </w:pPr>
      <w:r>
        <w:rPr>
          <w:rFonts w:hint="eastAsia"/>
          <w:lang w:eastAsia="zh-CN"/>
        </w:rPr>
        <w:t>现有工程以玉米为原料，通过发酵法得到</w:t>
      </w:r>
      <w:r>
        <w:rPr>
          <w:rFonts w:hint="eastAsia" w:ascii="Times New Roman" w:hAnsi="Times New Roman"/>
          <w:lang w:val="en-US" w:eastAsia="zh-CN"/>
        </w:rPr>
        <w:t>DN</w:t>
      </w:r>
      <w:r>
        <w:rPr>
          <w:rFonts w:hint="eastAsia"/>
          <w:lang w:val="en-US" w:eastAsia="zh-CN"/>
        </w:rPr>
        <w:t>溶液，本项目以该中间产品为原料进行生产，因此本项目所用的原料属于清洁原料，符合清洁生产的要求。</w:t>
      </w:r>
    </w:p>
    <w:p>
      <w:pPr>
        <w:bidi w:val="0"/>
        <w:rPr>
          <w:rFonts w:hint="default"/>
          <w:lang w:val="en-US" w:eastAsia="zh-CN"/>
        </w:rPr>
      </w:pPr>
      <w:r>
        <w:rPr>
          <w:rFonts w:hint="eastAsia"/>
          <w:lang w:eastAsia="zh-CN"/>
        </w:rPr>
        <w:t>本项目生产装置整体密闭，采用催化反应和精馏的生产工艺，</w:t>
      </w:r>
      <w:r>
        <w:rPr>
          <w:rFonts w:hint="eastAsia"/>
          <w:lang w:val="en-US" w:eastAsia="zh-CN"/>
        </w:rPr>
        <w:t>工艺转化率较高，属于国内先进水平。</w:t>
      </w:r>
    </w:p>
    <w:p>
      <w:pPr>
        <w:bidi w:val="0"/>
        <w:rPr>
          <w:rFonts w:hint="eastAsia"/>
          <w:lang w:eastAsia="zh-CN"/>
        </w:rPr>
      </w:pPr>
      <w:r>
        <w:rPr>
          <w:rFonts w:hint="eastAsia"/>
          <w:lang w:eastAsia="zh-CN"/>
        </w:rPr>
        <w:t>（</w:t>
      </w:r>
      <w:r>
        <w:rPr>
          <w:rFonts w:hint="eastAsia" w:ascii="Times New Roman" w:hAnsi="Times New Roman"/>
          <w:lang w:val="en-US" w:eastAsia="zh-CN"/>
        </w:rPr>
        <w:t>2</w:t>
      </w:r>
      <w:r>
        <w:rPr>
          <w:rFonts w:hint="eastAsia"/>
          <w:lang w:eastAsia="zh-CN"/>
        </w:rPr>
        <w:t>）能源消耗水平</w:t>
      </w:r>
    </w:p>
    <w:p>
      <w:pPr>
        <w:bidi w:val="0"/>
        <w:rPr>
          <w:rFonts w:hint="eastAsia"/>
          <w:lang w:eastAsia="zh-CN"/>
        </w:rPr>
      </w:pPr>
      <w:r>
        <w:rPr>
          <w:rFonts w:hint="eastAsia"/>
          <w:lang w:eastAsia="zh-CN"/>
        </w:rPr>
        <w:t>①本项目位于乌苏工业园区西区，园区已实现“六通一平”，建设单位本身为园区集中供热企业，可直接为本项目提供生产供热和生活采暖。</w:t>
      </w:r>
    </w:p>
    <w:p>
      <w:pPr>
        <w:bidi w:val="0"/>
        <w:rPr>
          <w:rFonts w:hint="eastAsia"/>
          <w:lang w:eastAsia="zh-CN"/>
        </w:rPr>
      </w:pPr>
      <w:r>
        <w:rPr>
          <w:rFonts w:hint="eastAsia"/>
          <w:lang w:eastAsia="zh-CN"/>
        </w:rPr>
        <w:t>②</w:t>
      </w:r>
      <w:r>
        <w:rPr>
          <w:rFonts w:hint="eastAsia"/>
          <w:lang w:val="en-US" w:eastAsia="zh-CN"/>
        </w:rPr>
        <w:t>本项目原料通过管道输送，输送短捷便利，成本较低，大大减少了物流转运过程的跑、冒、滴、漏风险。</w:t>
      </w:r>
    </w:p>
    <w:p>
      <w:pPr>
        <w:bidi w:val="0"/>
        <w:rPr>
          <w:rFonts w:hint="eastAsia"/>
          <w:lang w:eastAsia="zh-CN"/>
        </w:rPr>
      </w:pPr>
      <w:r>
        <w:rPr>
          <w:rFonts w:hint="eastAsia"/>
          <w:lang w:eastAsia="zh-CN"/>
        </w:rPr>
        <w:t>③本项目利用厂内现有工程动力站产生的蒸汽并通过管网输送，大大减少了供热成本。</w:t>
      </w:r>
    </w:p>
    <w:p>
      <w:pPr>
        <w:bidi w:val="0"/>
        <w:rPr>
          <w:rFonts w:hint="eastAsia"/>
          <w:lang w:eastAsia="zh-CN"/>
        </w:rPr>
      </w:pPr>
      <w:r>
        <w:rPr>
          <w:rFonts w:hint="eastAsia"/>
          <w:lang w:eastAsia="zh-CN"/>
        </w:rPr>
        <w:t>④</w:t>
      </w:r>
      <w:r>
        <w:rPr>
          <w:rFonts w:hint="eastAsia"/>
        </w:rPr>
        <w:t>项目在照明上选用节能型</w:t>
      </w:r>
      <w:r>
        <w:rPr>
          <w:rFonts w:hint="eastAsia"/>
          <w:lang w:eastAsia="zh-CN"/>
        </w:rPr>
        <w:t>光源，室外照明用光电控制器代替开关，以利于节电。</w:t>
      </w:r>
    </w:p>
    <w:p>
      <w:pPr>
        <w:bidi w:val="0"/>
        <w:rPr>
          <w:rFonts w:hint="eastAsia"/>
        </w:rPr>
      </w:pPr>
      <w:r>
        <w:rPr>
          <w:rFonts w:hint="eastAsia"/>
          <w:lang w:eastAsia="zh-CN"/>
        </w:rPr>
        <w:t>⑤在</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4kV</w:t>
      </w:r>
      <w:r>
        <w:rPr>
          <w:rFonts w:hint="eastAsia"/>
          <w:lang w:val="en-US" w:eastAsia="zh-CN"/>
        </w:rPr>
        <w:t>配电系统设置电容器补偿装置，使得全厂的功率因数始终保持在</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93</w:t>
      </w:r>
      <w:r>
        <w:rPr>
          <w:rFonts w:hint="eastAsia"/>
          <w:lang w:val="en-US" w:eastAsia="zh-CN"/>
        </w:rPr>
        <w:t>以上。通过使用高功率因数镇流器及</w:t>
      </w:r>
      <w:r>
        <w:rPr>
          <w:rFonts w:hint="eastAsia" w:ascii="Times New Roman" w:hAnsi="Times New Roman"/>
          <w:lang w:val="en-US" w:eastAsia="zh-CN"/>
        </w:rPr>
        <w:t>LED</w:t>
      </w:r>
      <w:r>
        <w:rPr>
          <w:rFonts w:hint="eastAsia"/>
          <w:lang w:val="en-US" w:eastAsia="zh-CN"/>
        </w:rPr>
        <w:t>等，采用补偿电容等方法减少供电线路损失。</w:t>
      </w:r>
    </w:p>
    <w:p>
      <w:pPr>
        <w:rPr>
          <w:rFonts w:hint="eastAsia"/>
        </w:rPr>
      </w:pPr>
      <w:r>
        <w:rPr>
          <w:rFonts w:hint="eastAsia"/>
          <w:lang w:eastAsia="zh-CN"/>
        </w:rPr>
        <w:t>⑥</w:t>
      </w:r>
      <w:r>
        <w:rPr>
          <w:rFonts w:hint="eastAsia"/>
        </w:rPr>
        <w:t>项目总平面布局和生产装置的工艺流程本着流程简单、管线短、阻力低、能耗低的设计原则，降低生产过程中的能量消耗。</w:t>
      </w:r>
    </w:p>
    <w:p>
      <w:pPr>
        <w:rPr>
          <w:rFonts w:hint="eastAsia"/>
          <w:lang w:eastAsia="zh-CN"/>
        </w:rPr>
      </w:pPr>
      <w:r>
        <w:rPr>
          <w:rFonts w:hint="eastAsia"/>
          <w:lang w:eastAsia="zh-CN"/>
        </w:rPr>
        <w:t>⑦蒸汽供热系统的凝结水设置回收设施，采用闭式回收方式提高凝结水回收率，回收的凝结水返回蒸汽系统使用。</w:t>
      </w:r>
    </w:p>
    <w:p>
      <w:pPr>
        <w:rPr>
          <w:rFonts w:hint="eastAsia"/>
          <w:lang w:eastAsia="zh-CN"/>
        </w:rPr>
      </w:pPr>
      <w:r>
        <w:rPr>
          <w:rFonts w:hint="eastAsia"/>
          <w:lang w:eastAsia="zh-CN"/>
        </w:rPr>
        <w:t>⑧设备、物料输送管道、热力蒸汽管道等设置保温措施，有利于节能。</w:t>
      </w:r>
    </w:p>
    <w:p>
      <w:pPr>
        <w:rPr>
          <w:rFonts w:hint="eastAsia" w:eastAsia="宋体"/>
          <w:lang w:eastAsia="zh-CN"/>
        </w:rPr>
      </w:pPr>
      <w:r>
        <w:rPr>
          <w:rFonts w:hint="eastAsia"/>
          <w:lang w:eastAsia="zh-CN"/>
        </w:rPr>
        <w:t>综上所述，本项目原料可以得到充分利用，跑冒滴漏风险很小，电量、蒸汽用量相对较低，原材料和能源消耗水平可达到国内先进水平。</w:t>
      </w:r>
    </w:p>
    <w:p>
      <w:pPr>
        <w:pStyle w:val="5"/>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12</w:t>
      </w:r>
      <w:r>
        <w:rPr>
          <w:rFonts w:hint="eastAsia"/>
          <w:lang w:val="en-US" w:eastAsia="zh-CN"/>
        </w:rPr>
        <w:t>.</w:t>
      </w:r>
      <w:r>
        <w:rPr>
          <w:rFonts w:hint="eastAsia" w:ascii="Times New Roman" w:hAnsi="Times New Roman"/>
          <w:lang w:val="en-US" w:eastAsia="zh-CN"/>
        </w:rPr>
        <w:t>2</w:t>
      </w:r>
      <w:r>
        <w:rPr>
          <w:rFonts w:hint="eastAsia"/>
          <w:lang w:val="en-US" w:eastAsia="zh-CN"/>
        </w:rPr>
        <w:t>生产工艺与装备要求</w:t>
      </w:r>
    </w:p>
    <w:p>
      <w:pPr>
        <w:bidi w:val="0"/>
        <w:rPr>
          <w:rFonts w:hint="eastAsia"/>
          <w:lang w:eastAsia="zh-CN"/>
        </w:rPr>
      </w:pPr>
      <w:r>
        <w:rPr>
          <w:rFonts w:hint="eastAsia"/>
          <w:lang w:eastAsia="zh-CN"/>
        </w:rPr>
        <w:t>（</w:t>
      </w:r>
      <w:r>
        <w:rPr>
          <w:rFonts w:hint="eastAsia" w:ascii="Times New Roman" w:hAnsi="Times New Roman"/>
          <w:lang w:val="en-US" w:eastAsia="zh-CN"/>
        </w:rPr>
        <w:t>1</w:t>
      </w:r>
      <w:r>
        <w:rPr>
          <w:rFonts w:hint="eastAsia"/>
          <w:lang w:eastAsia="zh-CN"/>
        </w:rPr>
        <w:t>）生产工艺</w:t>
      </w:r>
    </w:p>
    <w:p>
      <w:pPr>
        <w:bidi w:val="0"/>
        <w:rPr>
          <w:rFonts w:hint="default" w:eastAsia="宋体"/>
          <w:lang w:val="en-US" w:eastAsia="zh-CN"/>
        </w:rPr>
      </w:pPr>
      <w:r>
        <w:rPr>
          <w:rFonts w:hint="eastAsia"/>
          <w:lang w:eastAsia="zh-CN"/>
        </w:rPr>
        <w:t>国内</w:t>
      </w:r>
      <w:r>
        <w:rPr>
          <w:rFonts w:hint="eastAsia" w:ascii="Times New Roman" w:hAnsi="Times New Roman"/>
          <w:lang w:eastAsia="zh-CN"/>
        </w:rPr>
        <w:t>PD</w:t>
      </w:r>
      <w:r>
        <w:rPr>
          <w:rFonts w:hint="eastAsia"/>
          <w:lang w:eastAsia="zh-CN"/>
        </w:rPr>
        <w:t>的工业制备方法通常有两种，一种是呋喃胺或四氢呋喃在高温高压和催化剂作用下转化为</w:t>
      </w:r>
      <w:r>
        <w:rPr>
          <w:rFonts w:hint="eastAsia" w:ascii="Times New Roman" w:hAnsi="Times New Roman"/>
          <w:lang w:eastAsia="zh-CN"/>
        </w:rPr>
        <w:t>PD</w:t>
      </w:r>
      <w:r>
        <w:rPr>
          <w:rFonts w:hint="eastAsia"/>
          <w:lang w:eastAsia="zh-CN"/>
        </w:rPr>
        <w:t>；另一种是</w:t>
      </w:r>
      <w:r>
        <w:rPr>
          <w:rFonts w:hint="eastAsia" w:ascii="Times New Roman" w:hAnsi="Times New Roman"/>
          <w:lang w:eastAsia="zh-CN"/>
        </w:rPr>
        <w:t>BD</w:t>
      </w:r>
      <w:r>
        <w:rPr>
          <w:rFonts w:hint="eastAsia"/>
          <w:lang w:eastAsia="zh-CN"/>
        </w:rPr>
        <w:t>加氢转化为</w:t>
      </w:r>
      <w:r>
        <w:rPr>
          <w:rFonts w:hint="eastAsia" w:ascii="Times New Roman" w:hAnsi="Times New Roman"/>
          <w:lang w:eastAsia="zh-CN"/>
        </w:rPr>
        <w:t>PD</w:t>
      </w:r>
      <w:r>
        <w:rPr>
          <w:rFonts w:hint="eastAsia"/>
          <w:lang w:eastAsia="zh-CN"/>
        </w:rPr>
        <w:t>。</w:t>
      </w:r>
      <w:r>
        <w:rPr>
          <w:rFonts w:hint="eastAsia"/>
          <w:kern w:val="24"/>
          <w:sz w:val="24"/>
          <w:lang w:eastAsia="zh-CN"/>
        </w:rPr>
        <w:t>前者生产工艺中涉及有毒有害物质四氢呋喃，而后者又具有成本高，反应时间长，生产效率低，工艺要求较高等缺点。</w:t>
      </w:r>
    </w:p>
    <w:p>
      <w:pPr>
        <w:bidi w:val="0"/>
        <w:rPr>
          <w:rFonts w:hint="eastAsia"/>
          <w:lang w:eastAsia="zh-CN"/>
        </w:rPr>
      </w:pPr>
      <w:r>
        <w:rPr>
          <w:rFonts w:hint="eastAsia"/>
          <w:lang w:eastAsia="zh-CN"/>
        </w:rPr>
        <w:t>本项目采用现有工程中间产品</w:t>
      </w:r>
      <w:r>
        <w:rPr>
          <w:rFonts w:hint="eastAsia" w:ascii="Times New Roman" w:hAnsi="Times New Roman"/>
          <w:lang w:val="en-US" w:eastAsia="zh-CN"/>
        </w:rPr>
        <w:t>DN</w:t>
      </w:r>
      <w:r>
        <w:rPr>
          <w:rFonts w:hint="eastAsia"/>
          <w:lang w:val="en-US" w:eastAsia="zh-CN"/>
        </w:rPr>
        <w:t>溶液在催化剂的作用下</w:t>
      </w:r>
      <w:r>
        <w:rPr>
          <w:rFonts w:hint="eastAsia"/>
          <w:lang w:eastAsia="zh-CN"/>
        </w:rPr>
        <w:t>进行催化环合反应生产</w:t>
      </w:r>
      <w:r>
        <w:rPr>
          <w:rFonts w:hint="eastAsia" w:ascii="Times New Roman" w:hAnsi="Times New Roman"/>
          <w:lang w:eastAsia="zh-CN"/>
        </w:rPr>
        <w:t>PD</w:t>
      </w:r>
      <w:r>
        <w:rPr>
          <w:rFonts w:hint="eastAsia"/>
          <w:lang w:eastAsia="zh-CN"/>
        </w:rPr>
        <w:t>，具有反应温和，设备要求低，能耗低，环境风险小的特点，该法主要污染物为反应生成的氨和少量挥发性有机物，污染物排放可得到有效控制。该工艺装置较为成熟，总体认为项目工艺技术水平居国内领先水平。</w:t>
      </w:r>
    </w:p>
    <w:p>
      <w:pPr>
        <w:bidi w:val="0"/>
        <w:rPr>
          <w:rFonts w:hint="eastAsia"/>
          <w:lang w:eastAsia="zh-CN"/>
        </w:rPr>
      </w:pPr>
      <w:r>
        <w:rPr>
          <w:rFonts w:hint="eastAsia"/>
          <w:lang w:eastAsia="zh-CN"/>
        </w:rPr>
        <w:t>（</w:t>
      </w:r>
      <w:r>
        <w:rPr>
          <w:rFonts w:hint="eastAsia" w:ascii="Times New Roman" w:hAnsi="Times New Roman"/>
          <w:lang w:val="en-US" w:eastAsia="zh-CN"/>
        </w:rPr>
        <w:t>2</w:t>
      </w:r>
      <w:r>
        <w:rPr>
          <w:rFonts w:hint="eastAsia"/>
          <w:lang w:eastAsia="zh-CN"/>
        </w:rPr>
        <w:t>）生产装备及自动化水平</w:t>
      </w:r>
    </w:p>
    <w:p>
      <w:pPr>
        <w:bidi w:val="0"/>
        <w:rPr>
          <w:rFonts w:hint="eastAsia"/>
          <w:lang w:eastAsia="zh-CN"/>
        </w:rPr>
      </w:pPr>
      <w:r>
        <w:rPr>
          <w:rFonts w:hint="eastAsia"/>
          <w:lang w:eastAsia="zh-CN"/>
        </w:rPr>
        <w:t>①本项目大部分设备采用国内先进设备和仪表，具有较高的自控水平，通过成品塔回流，再沸器调整相关工艺参数，可有效提高反应收率，减少能耗。</w:t>
      </w:r>
    </w:p>
    <w:p>
      <w:pPr>
        <w:bidi w:val="0"/>
        <w:rPr>
          <w:rFonts w:hint="eastAsia"/>
          <w:lang w:eastAsia="zh-CN"/>
        </w:rPr>
      </w:pPr>
      <w:r>
        <w:rPr>
          <w:rFonts w:hint="eastAsia"/>
          <w:lang w:eastAsia="zh-CN"/>
        </w:rPr>
        <w:t>②生产设备的设计、制造、检验均严格执行国家化工企业机械设备制造、检验相关标准及规范要求。</w:t>
      </w:r>
    </w:p>
    <w:p>
      <w:pPr>
        <w:bidi w:val="0"/>
        <w:rPr>
          <w:rFonts w:hint="default"/>
          <w:lang w:val="en-US" w:eastAsia="zh-CN"/>
        </w:rPr>
      </w:pPr>
      <w:r>
        <w:rPr>
          <w:rFonts w:hint="eastAsia"/>
          <w:lang w:eastAsia="zh-CN"/>
        </w:rPr>
        <w:t>③生产过程中，各装置实现密闭操作、连续生产，最大限度地减少了生产装置的泄漏和无组织排放。工艺中采用真空精馏，既可以降低精馏温度和能耗，又能提高产品收率。反应过程中产生的废气经冷凝回收有机物后，不凝气进入废气处理系统，防止了工艺过程中的废气外排，保障了操作人员的健康。</w:t>
      </w:r>
    </w:p>
    <w:p>
      <w:pPr>
        <w:bidi w:val="0"/>
        <w:rPr>
          <w:rFonts w:hint="eastAsia"/>
        </w:rPr>
      </w:pPr>
      <w:r>
        <w:rPr>
          <w:rFonts w:hint="eastAsia"/>
          <w:lang w:eastAsia="zh-CN"/>
        </w:rPr>
        <w:t>④</w:t>
      </w:r>
      <w:r>
        <w:rPr>
          <w:rFonts w:hint="eastAsia"/>
          <w:color w:val="auto"/>
          <w:lang w:val="en-US" w:eastAsia="zh-CN"/>
        </w:rPr>
        <w:t>生产程控采用了集散型控制系统（</w:t>
      </w:r>
      <w:r>
        <w:rPr>
          <w:rFonts w:hint="eastAsia" w:ascii="Times New Roman" w:hAnsi="Times New Roman"/>
          <w:color w:val="auto"/>
          <w:lang w:val="en-US" w:eastAsia="zh-CN"/>
        </w:rPr>
        <w:t>DCS</w:t>
      </w:r>
      <w:r>
        <w:rPr>
          <w:rFonts w:hint="eastAsia"/>
          <w:color w:val="auto"/>
          <w:lang w:val="en-US" w:eastAsia="zh-CN"/>
        </w:rPr>
        <w:t>系统），对整个生产装置进行监控，操作高度集中；对生产实施数据采集、逻辑运算、程控、超限报警等功能；设有周密的安全联锁控制系统，安全泄压设施完备。</w:t>
      </w:r>
      <w:r>
        <w:rPr>
          <w:rFonts w:hint="eastAsia" w:ascii="Times New Roman" w:hAnsi="Times New Roman"/>
          <w:color w:val="auto"/>
          <w:lang w:val="en-US" w:eastAsia="zh-CN"/>
        </w:rPr>
        <w:t>DCS</w:t>
      </w:r>
      <w:r>
        <w:rPr>
          <w:rFonts w:hint="eastAsia"/>
          <w:color w:val="auto"/>
          <w:lang w:val="en-US" w:eastAsia="zh-CN"/>
        </w:rPr>
        <w:t>控制系统主要控制节点、控制参数包括：反应温度、压力、流量、液位、可燃气体测量仪和报警器、自动监视等。在易燃区域及危险品贮罐区设置可燃有毒气体监测仪等。控制系统自动化水平较高，达到国内同类生产装置先进水平</w:t>
      </w:r>
      <w:r>
        <w:rPr>
          <w:rFonts w:hint="eastAsia"/>
          <w:color w:val="auto"/>
        </w:rPr>
        <w:t>。</w:t>
      </w:r>
      <w:r>
        <w:rPr>
          <w:rFonts w:hint="eastAsia"/>
        </w:rPr>
        <w:t>。</w:t>
      </w:r>
    </w:p>
    <w:p>
      <w:pPr>
        <w:pStyle w:val="5"/>
        <w:bidi w:val="0"/>
        <w:rPr>
          <w:rFonts w:hint="eastAsia"/>
          <w:lang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12</w:t>
      </w:r>
      <w:r>
        <w:rPr>
          <w:rFonts w:hint="eastAsia"/>
          <w:lang w:val="en-US" w:eastAsia="zh-CN"/>
        </w:rPr>
        <w:t>.</w:t>
      </w:r>
      <w:r>
        <w:rPr>
          <w:rFonts w:hint="eastAsia" w:ascii="Times New Roman" w:hAnsi="Times New Roman"/>
          <w:lang w:val="en-US" w:eastAsia="zh-CN"/>
        </w:rPr>
        <w:t>3</w:t>
      </w:r>
      <w:r>
        <w:rPr>
          <w:rFonts w:hint="eastAsia"/>
        </w:rPr>
        <w:t>污染物产生</w:t>
      </w:r>
      <w:r>
        <w:rPr>
          <w:rFonts w:hint="eastAsia"/>
          <w:lang w:eastAsia="zh-CN"/>
        </w:rPr>
        <w:t>和治理</w:t>
      </w:r>
    </w:p>
    <w:p>
      <w:pPr>
        <w:rPr>
          <w:rFonts w:hint="default"/>
          <w:lang w:val="en-US" w:eastAsia="zh-CN"/>
        </w:rPr>
      </w:pPr>
      <w:r>
        <w:rPr>
          <w:rFonts w:hint="eastAsia"/>
          <w:lang w:eastAsia="zh-CN"/>
        </w:rPr>
        <w:t>本项目主要废气污染物中，</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eastAsia="zh-CN"/>
        </w:rPr>
        <w:t>、</w:t>
      </w:r>
      <w:r>
        <w:rPr>
          <w:rFonts w:hint="eastAsia" w:ascii="Times New Roman" w:hAnsi="Times New Roman"/>
          <w:lang w:eastAsia="zh-CN"/>
        </w:rPr>
        <w:t>PD</w:t>
      </w:r>
      <w:r>
        <w:rPr>
          <w:rFonts w:hint="eastAsia"/>
          <w:lang w:val="en-US" w:eastAsia="zh-CN"/>
        </w:rPr>
        <w:t>均易溶于水，采用成熟可靠的吸收法对大气污染物进行控制，减少外排大气污染物的同时，吸收液可以用于厂内现有工程。本项目采用吸收塔处理符合《大气污染治理工程技术导则》（</w:t>
      </w:r>
      <w:r>
        <w:rPr>
          <w:rFonts w:hint="eastAsia" w:ascii="Times New Roman" w:hAnsi="Times New Roman"/>
          <w:lang w:val="en-US" w:eastAsia="zh-CN"/>
        </w:rPr>
        <w:t>HJ2000</w:t>
      </w:r>
      <w:r>
        <w:rPr>
          <w:rFonts w:hint="eastAsia"/>
          <w:lang w:val="en-US" w:eastAsia="zh-CN"/>
        </w:rPr>
        <w:t>-</w:t>
      </w:r>
      <w:r>
        <w:rPr>
          <w:rFonts w:hint="eastAsia" w:ascii="Times New Roman" w:hAnsi="Times New Roman"/>
          <w:lang w:val="en-US" w:eastAsia="zh-CN"/>
        </w:rPr>
        <w:t>2010</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气态污染物吸收的相关要求。吸收塔属于成熟的废气处理设施，因此本项目废气污染物治理效果可以得到保证。本项目主要有组织大气污染物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排放满足《恶臭污染物排放标准》（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标准，</w:t>
      </w:r>
      <w:r>
        <w:rPr>
          <w:rFonts w:hint="eastAsia" w:ascii="Times New Roman" w:hAnsi="Times New Roman"/>
          <w:lang w:val="en-US" w:eastAsia="zh-CN"/>
        </w:rPr>
        <w:t>NMHC</w:t>
      </w:r>
      <w:r>
        <w:rPr>
          <w:rFonts w:hint="eastAsia"/>
          <w:lang w:val="en-US" w:eastAsia="zh-CN"/>
        </w:rPr>
        <w:t>排放满足《大气污染物综合排放标准》（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限值。项目生产装置整体密闭，储罐区采用高效密封构建，无组织</w:t>
      </w:r>
      <w:r>
        <w:rPr>
          <w:rFonts w:hint="eastAsia" w:ascii="Times New Roman" w:hAnsi="Times New Roman"/>
          <w:lang w:val="en-US" w:eastAsia="zh-CN"/>
        </w:rPr>
        <w:t>NMHC</w:t>
      </w:r>
      <w:r>
        <w:rPr>
          <w:rFonts w:hint="eastAsia"/>
          <w:lang w:val="en-US" w:eastAsia="zh-CN"/>
        </w:rPr>
        <w:t>排放满足《大气污染物综合排放标准》表</w:t>
      </w:r>
      <w:r>
        <w:rPr>
          <w:rFonts w:hint="eastAsia" w:ascii="Times New Roman" w:hAnsi="Times New Roman"/>
          <w:lang w:val="en-US" w:eastAsia="zh-CN"/>
        </w:rPr>
        <w:t>2</w:t>
      </w:r>
      <w:r>
        <w:rPr>
          <w:rFonts w:hint="eastAsia"/>
          <w:lang w:val="en-US" w:eastAsia="zh-CN"/>
        </w:rPr>
        <w:t>限值。</w:t>
      </w:r>
    </w:p>
    <w:p>
      <w:pPr>
        <w:rPr>
          <w:rFonts w:hint="eastAsia"/>
          <w:lang w:eastAsia="zh-CN"/>
        </w:rPr>
      </w:pPr>
      <w:r>
        <w:rPr>
          <w:rFonts w:hint="eastAsia"/>
          <w:lang w:val="en-US" w:eastAsia="zh-CN"/>
        </w:rPr>
        <w:t>本项目外排废水仅为新增装置地面冲洗废水和新增员工生活污水，产生量很小，经收集后通过现有污水站处理，不会对现有污水站造成不良影响。</w:t>
      </w:r>
    </w:p>
    <w:p>
      <w:pPr>
        <w:rPr>
          <w:rFonts w:hint="eastAsia"/>
          <w:lang w:eastAsia="zh-CN"/>
        </w:rPr>
      </w:pPr>
      <w:r>
        <w:rPr>
          <w:rFonts w:hint="eastAsia"/>
          <w:lang w:eastAsia="zh-CN"/>
        </w:rPr>
        <w:t>本项目固体废物主要为废催化剂，按照《危险废物贮存污染控制标准》（</w:t>
      </w:r>
      <w:r>
        <w:rPr>
          <w:rFonts w:hint="eastAsia" w:ascii="Times New Roman" w:hAnsi="Times New Roman"/>
          <w:lang w:val="en-US" w:eastAsia="zh-CN"/>
        </w:rPr>
        <w:t>GB18597</w:t>
      </w:r>
      <w:r>
        <w:rPr>
          <w:rFonts w:hint="eastAsia"/>
          <w:lang w:val="en-US" w:eastAsia="zh-CN"/>
        </w:rPr>
        <w:t>-</w:t>
      </w:r>
      <w:r>
        <w:rPr>
          <w:rFonts w:hint="eastAsia" w:ascii="Times New Roman" w:hAnsi="Times New Roman"/>
          <w:lang w:val="en-US" w:eastAsia="zh-CN"/>
        </w:rPr>
        <w:t>2023</w:t>
      </w:r>
      <w:r>
        <w:rPr>
          <w:rFonts w:hint="eastAsia"/>
          <w:lang w:eastAsia="zh-CN"/>
        </w:rPr>
        <w:t>）要求规范收集，依托现有危险废物贮存库暂存，定期委托处理；污水站新增的少量污泥，纳入厂内固废管理，经压滤后送园区一般工业固体废物填埋场处理。新增员工产生的少量生活垃圾，纳入厂内现有生活垃圾管理，委托园区环卫定期清运。因此本项目固体废物均可规范处理，去向明确。</w:t>
      </w:r>
    </w:p>
    <w:p>
      <w:pPr>
        <w:pStyle w:val="5"/>
        <w:bidi w:val="0"/>
        <w:rPr>
          <w:rFonts w:hint="eastAsia"/>
          <w:lang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12</w:t>
      </w:r>
      <w:r>
        <w:rPr>
          <w:rFonts w:hint="eastAsia"/>
          <w:lang w:val="en-US" w:eastAsia="zh-CN"/>
        </w:rPr>
        <w:t>.</w:t>
      </w:r>
      <w:r>
        <w:rPr>
          <w:rFonts w:hint="eastAsia" w:ascii="Times New Roman" w:hAnsi="Times New Roman"/>
          <w:lang w:val="en-US" w:eastAsia="zh-CN"/>
        </w:rPr>
        <w:t>4</w:t>
      </w:r>
      <w:r>
        <w:rPr>
          <w:rFonts w:hint="eastAsia"/>
        </w:rPr>
        <w:t>环境管理要求</w:t>
      </w:r>
    </w:p>
    <w:p>
      <w:pPr>
        <w:bidi w:val="0"/>
        <w:rPr>
          <w:rFonts w:hint="eastAsia"/>
        </w:rPr>
      </w:pPr>
      <w:r>
        <w:rPr>
          <w:rFonts w:hint="eastAsia"/>
        </w:rPr>
        <w:t>环境管理要求是一类定性指标。主要体现企业生产管理和环境管理水平。本项目采取的主要环境管理措施包括：</w:t>
      </w:r>
    </w:p>
    <w:p>
      <w:pPr>
        <w:rPr>
          <w:rFonts w:hint="eastAsia"/>
        </w:rPr>
      </w:pPr>
      <w:r>
        <w:rPr>
          <w:rFonts w:hint="eastAsia"/>
          <w:lang w:eastAsia="zh-CN"/>
        </w:rPr>
        <w:t>（</w:t>
      </w:r>
      <w:r>
        <w:rPr>
          <w:rFonts w:hint="eastAsia" w:ascii="Times New Roman" w:hAnsi="Times New Roman"/>
          <w:lang w:val="en-US" w:eastAsia="zh-CN"/>
        </w:rPr>
        <w:t>1</w:t>
      </w:r>
      <w:r>
        <w:rPr>
          <w:rFonts w:hint="eastAsia"/>
          <w:lang w:eastAsia="zh-CN"/>
        </w:rPr>
        <w:t>）</w:t>
      </w:r>
      <w:r>
        <w:rPr>
          <w:rFonts w:hint="eastAsia"/>
        </w:rPr>
        <w:t>环境考核指标岗位责任制和管理制度；</w:t>
      </w:r>
    </w:p>
    <w:p>
      <w:pPr>
        <w:rPr>
          <w:rFonts w:hint="eastAsia"/>
        </w:rPr>
      </w:pPr>
      <w:r>
        <w:rPr>
          <w:rFonts w:hint="eastAsia"/>
          <w:lang w:eastAsia="zh-CN"/>
        </w:rPr>
        <w:t>（</w:t>
      </w:r>
      <w:r>
        <w:rPr>
          <w:rFonts w:hint="eastAsia" w:ascii="Times New Roman" w:hAnsi="Times New Roman"/>
          <w:lang w:val="en-US" w:eastAsia="zh-CN"/>
        </w:rPr>
        <w:t>2</w:t>
      </w:r>
      <w:r>
        <w:rPr>
          <w:rFonts w:hint="eastAsia"/>
          <w:lang w:eastAsia="zh-CN"/>
        </w:rPr>
        <w:t>）</w:t>
      </w:r>
      <w:r>
        <w:rPr>
          <w:rFonts w:hint="eastAsia"/>
        </w:rPr>
        <w:t>产品质量控制制度；</w:t>
      </w:r>
    </w:p>
    <w:p>
      <w:pPr>
        <w:rPr>
          <w:rFonts w:hint="eastAsia"/>
        </w:rPr>
      </w:pPr>
      <w:r>
        <w:rPr>
          <w:rFonts w:hint="eastAsia"/>
          <w:lang w:eastAsia="zh-CN"/>
        </w:rPr>
        <w:t>（</w:t>
      </w:r>
      <w:r>
        <w:rPr>
          <w:rFonts w:hint="eastAsia" w:ascii="Times New Roman" w:hAnsi="Times New Roman"/>
          <w:lang w:val="en-US" w:eastAsia="zh-CN"/>
        </w:rPr>
        <w:t>3</w:t>
      </w:r>
      <w:r>
        <w:rPr>
          <w:rFonts w:hint="eastAsia"/>
          <w:lang w:eastAsia="zh-CN"/>
        </w:rPr>
        <w:t>）</w:t>
      </w:r>
      <w:r>
        <w:rPr>
          <w:rFonts w:hint="eastAsia"/>
        </w:rPr>
        <w:t>安全生产管理制度；</w:t>
      </w:r>
    </w:p>
    <w:p>
      <w:pPr>
        <w:rPr>
          <w:rFonts w:hint="eastAsia"/>
        </w:rPr>
      </w:pPr>
      <w:r>
        <w:rPr>
          <w:rFonts w:hint="eastAsia"/>
          <w:lang w:eastAsia="zh-CN"/>
        </w:rPr>
        <w:t>（</w:t>
      </w:r>
      <w:r>
        <w:rPr>
          <w:rFonts w:hint="eastAsia" w:ascii="Times New Roman" w:hAnsi="Times New Roman"/>
          <w:lang w:val="en-US" w:eastAsia="zh-CN"/>
        </w:rPr>
        <w:t>4</w:t>
      </w:r>
      <w:r>
        <w:rPr>
          <w:rFonts w:hint="eastAsia"/>
          <w:lang w:eastAsia="zh-CN"/>
        </w:rPr>
        <w:t>）</w:t>
      </w:r>
      <w:r>
        <w:rPr>
          <w:rFonts w:hint="eastAsia"/>
        </w:rPr>
        <w:t>原材料保管、质检、定额使用管理制度；</w:t>
      </w:r>
    </w:p>
    <w:p>
      <w:pPr>
        <w:rPr>
          <w:rFonts w:hint="eastAsia"/>
        </w:rPr>
      </w:pPr>
      <w:r>
        <w:rPr>
          <w:rFonts w:hint="eastAsia"/>
          <w:lang w:eastAsia="zh-CN"/>
        </w:rPr>
        <w:t>（</w:t>
      </w:r>
      <w:r>
        <w:rPr>
          <w:rFonts w:hint="eastAsia" w:ascii="Times New Roman" w:hAnsi="Times New Roman"/>
          <w:lang w:val="en-US" w:eastAsia="zh-CN"/>
        </w:rPr>
        <w:t>5</w:t>
      </w:r>
      <w:r>
        <w:rPr>
          <w:rFonts w:hint="eastAsia"/>
          <w:lang w:eastAsia="zh-CN"/>
        </w:rPr>
        <w:t>）</w:t>
      </w:r>
      <w:r>
        <w:rPr>
          <w:rFonts w:hint="eastAsia"/>
        </w:rPr>
        <w:t>水、电、气消耗管理制度；</w:t>
      </w:r>
    </w:p>
    <w:p>
      <w:pPr>
        <w:rPr>
          <w:rFonts w:hint="eastAsia"/>
        </w:rPr>
      </w:pPr>
      <w:r>
        <w:rPr>
          <w:rFonts w:hint="eastAsia"/>
          <w:lang w:eastAsia="zh-CN"/>
        </w:rPr>
        <w:t>（</w:t>
      </w:r>
      <w:r>
        <w:rPr>
          <w:rFonts w:hint="eastAsia" w:ascii="Times New Roman" w:hAnsi="Times New Roman"/>
          <w:lang w:val="en-US" w:eastAsia="zh-CN"/>
        </w:rPr>
        <w:t>6</w:t>
      </w:r>
      <w:r>
        <w:rPr>
          <w:rFonts w:hint="eastAsia"/>
          <w:lang w:eastAsia="zh-CN"/>
        </w:rPr>
        <w:t>）</w:t>
      </w:r>
      <w:r>
        <w:rPr>
          <w:rFonts w:hint="eastAsia"/>
        </w:rPr>
        <w:t>设备维护保养制度；</w:t>
      </w:r>
    </w:p>
    <w:p>
      <w:pPr>
        <w:rPr>
          <w:rFonts w:hint="eastAsia"/>
        </w:rPr>
      </w:pPr>
      <w:r>
        <w:rPr>
          <w:rFonts w:hint="eastAsia"/>
          <w:lang w:eastAsia="zh-CN"/>
        </w:rPr>
        <w:t>（</w:t>
      </w:r>
      <w:r>
        <w:rPr>
          <w:rFonts w:hint="eastAsia" w:ascii="Times New Roman" w:hAnsi="Times New Roman"/>
          <w:lang w:val="en-US" w:eastAsia="zh-CN"/>
        </w:rPr>
        <w:t>7</w:t>
      </w:r>
      <w:r>
        <w:rPr>
          <w:rFonts w:hint="eastAsia"/>
          <w:lang w:eastAsia="zh-CN"/>
        </w:rPr>
        <w:t>）</w:t>
      </w:r>
      <w:r>
        <w:rPr>
          <w:rFonts w:hint="eastAsia"/>
        </w:rPr>
        <w:t>员工环境管理培训制度；</w:t>
      </w:r>
    </w:p>
    <w:p>
      <w:pPr>
        <w:rPr>
          <w:rFonts w:hint="eastAsia"/>
        </w:rPr>
      </w:pPr>
      <w:r>
        <w:rPr>
          <w:rFonts w:hint="eastAsia"/>
          <w:lang w:eastAsia="zh-CN"/>
        </w:rPr>
        <w:t>（</w:t>
      </w:r>
      <w:r>
        <w:rPr>
          <w:rFonts w:hint="eastAsia" w:ascii="Times New Roman" w:hAnsi="Times New Roman"/>
          <w:lang w:val="en-US" w:eastAsia="zh-CN"/>
        </w:rPr>
        <w:t>8</w:t>
      </w:r>
      <w:r>
        <w:rPr>
          <w:rFonts w:hint="eastAsia"/>
          <w:lang w:eastAsia="zh-CN"/>
        </w:rPr>
        <w:t>）</w:t>
      </w:r>
      <w:r>
        <w:rPr>
          <w:rFonts w:hint="eastAsia"/>
        </w:rPr>
        <w:t>固体废物贮存运输管理制度；</w:t>
      </w:r>
    </w:p>
    <w:p>
      <w:pPr>
        <w:rPr>
          <w:rFonts w:hint="eastAsia"/>
        </w:rPr>
      </w:pPr>
      <w:r>
        <w:rPr>
          <w:rFonts w:hint="eastAsia"/>
          <w:lang w:eastAsia="zh-CN"/>
        </w:rPr>
        <w:t>（</w:t>
      </w:r>
      <w:r>
        <w:rPr>
          <w:rFonts w:hint="eastAsia" w:ascii="Times New Roman" w:hAnsi="Times New Roman"/>
          <w:lang w:val="en-US" w:eastAsia="zh-CN"/>
        </w:rPr>
        <w:t>9</w:t>
      </w:r>
      <w:r>
        <w:rPr>
          <w:rFonts w:hint="eastAsia"/>
          <w:lang w:eastAsia="zh-CN"/>
        </w:rPr>
        <w:t>）</w:t>
      </w:r>
      <w:r>
        <w:rPr>
          <w:rFonts w:hint="eastAsia"/>
        </w:rPr>
        <w:t>生产现场管理制度。</w:t>
      </w:r>
    </w:p>
    <w:p>
      <w:pPr>
        <w:pStyle w:val="5"/>
        <w:bidi w:val="0"/>
        <w:rPr>
          <w:rFonts w:hint="default"/>
          <w:lang w:val="en-US" w:eastAsia="zh-CN"/>
        </w:rPr>
      </w:pP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12</w:t>
      </w:r>
      <w:r>
        <w:rPr>
          <w:rFonts w:hint="eastAsia"/>
          <w:lang w:val="en-US" w:eastAsia="zh-CN"/>
        </w:rPr>
        <w:t>.</w:t>
      </w:r>
      <w:r>
        <w:rPr>
          <w:rFonts w:hint="eastAsia" w:ascii="Times New Roman" w:hAnsi="Times New Roman"/>
          <w:lang w:val="en-US" w:eastAsia="zh-CN"/>
        </w:rPr>
        <w:t>5</w:t>
      </w:r>
      <w:r>
        <w:rPr>
          <w:rFonts w:hint="eastAsia"/>
          <w:lang w:val="en-US" w:eastAsia="zh-CN"/>
        </w:rPr>
        <w:t>清洁生产分析结论</w:t>
      </w:r>
    </w:p>
    <w:p>
      <w:pPr>
        <w:rPr>
          <w:rFonts w:hint="eastAsia"/>
        </w:rPr>
      </w:pPr>
      <w:r>
        <w:rPr>
          <w:rFonts w:hint="eastAsia"/>
        </w:rPr>
        <w:t>根据以上分析，本项目采用的生产工艺技术成熟、稳定，原辅材料等资源利用率高、能耗较低，生产设备性能较好，设备选型及配备合理，污染物产生水平较低，对生产过程产生的废物进行</w:t>
      </w:r>
      <w:r>
        <w:rPr>
          <w:rFonts w:hint="eastAsia"/>
          <w:lang w:eastAsia="zh-CN"/>
        </w:rPr>
        <w:t>了</w:t>
      </w:r>
      <w:r>
        <w:rPr>
          <w:rFonts w:hint="eastAsia"/>
        </w:rPr>
        <w:t>回收利用，环境管理方面符合相关要求，</w:t>
      </w:r>
      <w:r>
        <w:rPr>
          <w:rFonts w:hint="eastAsia"/>
          <w:lang w:eastAsia="zh-CN"/>
        </w:rPr>
        <w:t>项目</w:t>
      </w:r>
      <w:r>
        <w:rPr>
          <w:rFonts w:hint="eastAsia"/>
        </w:rPr>
        <w:t>清洁生产水平属于国内先进水平。</w:t>
      </w:r>
    </w:p>
    <w:p>
      <w:pPr>
        <w:rPr>
          <w:rFonts w:hint="eastAsia"/>
        </w:rPr>
      </w:pPr>
    </w:p>
    <w:p>
      <w:pPr>
        <w:pStyle w:val="3"/>
        <w:numPr>
          <w:ilvl w:val="0"/>
          <w:numId w:val="0"/>
        </w:numPr>
        <w:rPr>
          <w:rFonts w:hint="eastAsia"/>
        </w:rPr>
      </w:pPr>
      <w:r>
        <w:rPr>
          <w:rFonts w:hint="eastAsia"/>
        </w:rPr>
        <w:br w:type="page"/>
      </w:r>
      <w:bookmarkStart w:id="148" w:name="_Toc26768"/>
      <w:bookmarkStart w:id="149" w:name="_Toc32251"/>
      <w:r>
        <w:rPr>
          <w:rFonts w:hint="eastAsia" w:ascii="Times New Roman" w:hAnsi="Times New Roman"/>
          <w:lang w:val="en-US" w:eastAsia="zh-CN"/>
        </w:rPr>
        <w:t>5</w:t>
      </w:r>
      <w:r>
        <w:rPr>
          <w:rFonts w:hint="eastAsia"/>
        </w:rPr>
        <w:t>环境</w:t>
      </w:r>
      <w:r>
        <w:rPr>
          <w:rFonts w:hint="eastAsia"/>
          <w:lang w:eastAsia="zh-CN"/>
        </w:rPr>
        <w:t>现状调查与评价</w:t>
      </w:r>
      <w:bookmarkEnd w:id="148"/>
      <w:bookmarkEnd w:id="149"/>
    </w:p>
    <w:bookmarkEnd w:id="49"/>
    <w:p>
      <w:pPr>
        <w:pStyle w:val="4"/>
        <w:spacing w:before="156" w:after="156"/>
        <w:rPr>
          <w:rFonts w:ascii="Times New Roman" w:hAnsi="Times New Roman"/>
        </w:rPr>
      </w:pPr>
      <w:bookmarkStart w:id="150" w:name="_Toc13894"/>
      <w:bookmarkStart w:id="151" w:name="_Toc353358328"/>
      <w:bookmarkStart w:id="152" w:name="_Toc330205284"/>
      <w:bookmarkStart w:id="153" w:name="_Toc335315146"/>
      <w:bookmarkStart w:id="154" w:name="_Toc16408"/>
      <w:bookmarkStart w:id="155" w:name="_Toc330205285"/>
      <w:r>
        <w:rPr>
          <w:rFonts w:hint="eastAsia" w:ascii="Times New Roman" w:hAnsi="Times New Roman"/>
          <w:lang w:val="en-US" w:eastAsia="zh-CN"/>
        </w:rPr>
        <w:t>5</w:t>
      </w:r>
      <w:r>
        <w:rPr>
          <w:rFonts w:ascii="Times New Roman" w:hAnsi="Times New Roman"/>
        </w:rPr>
        <w:t>.</w:t>
      </w:r>
      <w:r>
        <w:rPr>
          <w:rFonts w:ascii="Times New Roman" w:hAnsi="Times New Roman"/>
        </w:rPr>
        <w:t>1</w:t>
      </w:r>
      <w:r>
        <w:rPr>
          <w:rFonts w:ascii="Times New Roman" w:hAnsi="Times New Roman"/>
        </w:rPr>
        <w:t>自然环境现状调查与评价</w:t>
      </w:r>
      <w:bookmarkEnd w:id="150"/>
      <w:bookmarkEnd w:id="151"/>
      <w:bookmarkEnd w:id="152"/>
      <w:bookmarkEnd w:id="153"/>
      <w:bookmarkEnd w:id="154"/>
    </w:p>
    <w:bookmarkEnd w:id="155"/>
    <w:p>
      <w:pPr>
        <w:pStyle w:val="5"/>
        <w:spacing w:before="156"/>
      </w:pPr>
      <w:r>
        <w:rPr>
          <w:rFonts w:hint="eastAsia" w:ascii="Times New Roman" w:hAnsi="Times New Roman"/>
          <w:lang w:val="en-US" w:eastAsia="zh-CN"/>
        </w:rPr>
        <w:t>5</w:t>
      </w:r>
      <w:r>
        <w:t>.</w:t>
      </w:r>
      <w:r>
        <w:rPr>
          <w:rFonts w:ascii="Times New Roman" w:hAnsi="Times New Roman"/>
        </w:rPr>
        <w:t>1</w:t>
      </w:r>
      <w:r>
        <w:t>.</w:t>
      </w:r>
      <w:r>
        <w:rPr>
          <w:rFonts w:ascii="Times New Roman" w:hAnsi="Times New Roman"/>
        </w:rPr>
        <w:t>1</w:t>
      </w:r>
      <w:r>
        <w:t>地理位置</w:t>
      </w:r>
    </w:p>
    <w:p>
      <w:pPr>
        <w:spacing w:line="440" w:lineRule="exact"/>
        <w:rPr>
          <w:rFonts w:hint="eastAsia" w:hAnsi="宋体" w:cs="宋体"/>
          <w:color w:val="auto"/>
          <w:highlight w:val="none"/>
        </w:rPr>
      </w:pPr>
      <w:r>
        <w:rPr>
          <w:rFonts w:hint="eastAsia" w:hAnsi="宋体" w:cs="宋体"/>
          <w:color w:val="auto"/>
          <w:highlight w:val="none"/>
        </w:rPr>
        <w:t>乌苏市位于新疆维吾尔自治区西部，准噶尔盆地西南缘。东</w:t>
      </w:r>
      <w:r>
        <w:rPr>
          <w:rFonts w:hint="eastAsia" w:cs="宋体"/>
          <w:color w:val="auto"/>
          <w:highlight w:val="none"/>
          <w:lang w:eastAsia="zh-CN"/>
        </w:rPr>
        <w:t>距</w:t>
      </w:r>
      <w:r>
        <w:rPr>
          <w:rFonts w:hint="eastAsia" w:hAnsi="宋体" w:cs="宋体"/>
          <w:color w:val="auto"/>
          <w:highlight w:val="none"/>
        </w:rPr>
        <w:t>乌鲁木齐</w:t>
      </w:r>
      <w:r>
        <w:rPr>
          <w:rFonts w:hint="eastAsia" w:ascii="Times New Roman" w:hAnsi="Times New Roman" w:cs="宋体"/>
          <w:color w:val="auto"/>
          <w:highlight w:val="none"/>
        </w:rPr>
        <w:t>267km</w:t>
      </w:r>
      <w:r>
        <w:rPr>
          <w:rFonts w:hint="eastAsia" w:hAnsi="宋体" w:cs="宋体"/>
          <w:color w:val="auto"/>
          <w:highlight w:val="none"/>
        </w:rPr>
        <w:t>、西距伊宁市</w:t>
      </w:r>
      <w:r>
        <w:rPr>
          <w:rFonts w:hint="eastAsia" w:ascii="Times New Roman" w:hAnsi="Times New Roman" w:cs="宋体"/>
          <w:color w:val="auto"/>
          <w:highlight w:val="none"/>
        </w:rPr>
        <w:t>432km</w:t>
      </w:r>
      <w:r>
        <w:rPr>
          <w:rFonts w:hint="eastAsia" w:hAnsi="宋体" w:cs="宋体"/>
          <w:color w:val="auto"/>
          <w:highlight w:val="none"/>
        </w:rPr>
        <w:t>、西北距塔城</w:t>
      </w:r>
      <w:r>
        <w:rPr>
          <w:rFonts w:hint="eastAsia" w:ascii="Times New Roman" w:hAnsi="Times New Roman" w:cs="宋体"/>
          <w:color w:val="auto"/>
          <w:highlight w:val="none"/>
        </w:rPr>
        <w:t>397km</w:t>
      </w:r>
      <w:r>
        <w:rPr>
          <w:rFonts w:hint="eastAsia" w:hAnsi="宋体" w:cs="宋体"/>
          <w:color w:val="auto"/>
          <w:highlight w:val="none"/>
        </w:rPr>
        <w:t>。其东南西北四界依次与克拉玛依、奎屯、沙湾、和静、尼勒克、精河、托里</w:t>
      </w:r>
      <w:r>
        <w:rPr>
          <w:rFonts w:hint="eastAsia" w:ascii="Times New Roman" w:hAnsi="Times New Roman" w:cs="宋体"/>
          <w:color w:val="auto"/>
          <w:highlight w:val="none"/>
        </w:rPr>
        <w:t>7</w:t>
      </w:r>
      <w:r>
        <w:rPr>
          <w:rFonts w:hint="eastAsia" w:hAnsi="宋体" w:cs="宋体"/>
          <w:color w:val="auto"/>
          <w:highlight w:val="none"/>
        </w:rPr>
        <w:t>个县市为邻。地处东经</w:t>
      </w:r>
      <w:r>
        <w:rPr>
          <w:rFonts w:hint="eastAsia" w:ascii="Times New Roman" w:hAnsi="Times New Roman" w:cs="宋体"/>
          <w:color w:val="auto"/>
          <w:highlight w:val="none"/>
        </w:rPr>
        <w:t>82</w:t>
      </w:r>
      <w:r>
        <w:rPr>
          <w:rFonts w:hint="eastAsia" w:hAnsi="宋体" w:cs="宋体"/>
          <w:color w:val="auto"/>
          <w:highlight w:val="none"/>
        </w:rPr>
        <w:t>°</w:t>
      </w:r>
      <w:r>
        <w:rPr>
          <w:rFonts w:hint="eastAsia" w:ascii="Times New Roman" w:hAnsi="Times New Roman" w:cs="宋体"/>
          <w:color w:val="auto"/>
          <w:highlight w:val="none"/>
        </w:rPr>
        <w:t>58</w:t>
      </w:r>
      <w:r>
        <w:rPr>
          <w:rFonts w:hint="eastAsia" w:hAnsi="宋体" w:cs="宋体"/>
          <w:color w:val="auto"/>
          <w:highlight w:val="none"/>
        </w:rPr>
        <w:t>′～</w:t>
      </w:r>
      <w:r>
        <w:rPr>
          <w:rFonts w:hint="eastAsia" w:ascii="Times New Roman" w:hAnsi="Times New Roman" w:cs="宋体"/>
          <w:color w:val="auto"/>
          <w:highlight w:val="none"/>
        </w:rPr>
        <w:t>85</w:t>
      </w:r>
      <w:r>
        <w:rPr>
          <w:rFonts w:hint="eastAsia" w:hAnsi="宋体" w:cs="宋体"/>
          <w:color w:val="auto"/>
          <w:highlight w:val="none"/>
        </w:rPr>
        <w:t>°</w:t>
      </w:r>
      <w:r>
        <w:rPr>
          <w:rFonts w:hint="eastAsia" w:ascii="Times New Roman" w:hAnsi="Times New Roman" w:cs="宋体"/>
          <w:color w:val="auto"/>
          <w:highlight w:val="none"/>
        </w:rPr>
        <w:t>16</w:t>
      </w:r>
      <w:r>
        <w:rPr>
          <w:rFonts w:hint="eastAsia" w:hAnsi="宋体" w:cs="宋体"/>
          <w:color w:val="auto"/>
          <w:highlight w:val="none"/>
        </w:rPr>
        <w:t>′，北纬</w:t>
      </w:r>
      <w:r>
        <w:rPr>
          <w:rFonts w:hint="eastAsia" w:ascii="Times New Roman" w:hAnsi="Times New Roman" w:cs="宋体"/>
          <w:color w:val="auto"/>
          <w:highlight w:val="none"/>
        </w:rPr>
        <w:t>43</w:t>
      </w:r>
      <w:r>
        <w:rPr>
          <w:rFonts w:hint="eastAsia" w:hAnsi="宋体" w:cs="宋体"/>
          <w:color w:val="auto"/>
          <w:highlight w:val="none"/>
        </w:rPr>
        <w:t>°</w:t>
      </w:r>
      <w:r>
        <w:rPr>
          <w:rFonts w:hint="eastAsia" w:ascii="Times New Roman" w:hAnsi="Times New Roman" w:cs="宋体"/>
          <w:color w:val="auto"/>
          <w:highlight w:val="none"/>
        </w:rPr>
        <w:t>29</w:t>
      </w:r>
      <w:r>
        <w:rPr>
          <w:rFonts w:hint="eastAsia" w:hAnsi="宋体" w:cs="宋体"/>
          <w:color w:val="auto"/>
          <w:highlight w:val="none"/>
        </w:rPr>
        <w:t>′～</w:t>
      </w:r>
      <w:r>
        <w:rPr>
          <w:rFonts w:hint="eastAsia" w:ascii="Times New Roman" w:hAnsi="Times New Roman" w:cs="宋体"/>
          <w:color w:val="auto"/>
          <w:highlight w:val="none"/>
        </w:rPr>
        <w:t>45</w:t>
      </w:r>
      <w:r>
        <w:rPr>
          <w:rFonts w:hint="eastAsia" w:hAnsi="宋体" w:cs="宋体"/>
          <w:color w:val="auto"/>
          <w:highlight w:val="none"/>
        </w:rPr>
        <w:t>°</w:t>
      </w:r>
      <w:r>
        <w:rPr>
          <w:rFonts w:hint="eastAsia" w:ascii="Times New Roman" w:hAnsi="Times New Roman" w:cs="宋体"/>
          <w:color w:val="auto"/>
          <w:highlight w:val="none"/>
        </w:rPr>
        <w:t>27</w:t>
      </w:r>
      <w:r>
        <w:rPr>
          <w:rFonts w:hint="eastAsia" w:hAnsi="宋体" w:cs="宋体"/>
          <w:color w:val="auto"/>
          <w:highlight w:val="none"/>
        </w:rPr>
        <w:t>′，东西最宽</w:t>
      </w:r>
      <w:r>
        <w:rPr>
          <w:rFonts w:hint="eastAsia" w:ascii="Times New Roman" w:hAnsi="Times New Roman" w:cs="宋体"/>
          <w:color w:val="auto"/>
          <w:highlight w:val="none"/>
        </w:rPr>
        <w:t>180km</w:t>
      </w:r>
      <w:r>
        <w:rPr>
          <w:rFonts w:hint="eastAsia" w:hAnsi="宋体" w:cs="宋体"/>
          <w:color w:val="auto"/>
          <w:highlight w:val="none"/>
        </w:rPr>
        <w:t>，南北最长</w:t>
      </w:r>
      <w:r>
        <w:rPr>
          <w:rFonts w:hint="eastAsia" w:ascii="Times New Roman" w:hAnsi="Times New Roman" w:cs="宋体"/>
          <w:color w:val="auto"/>
          <w:highlight w:val="none"/>
        </w:rPr>
        <w:t>220km</w:t>
      </w:r>
      <w:r>
        <w:rPr>
          <w:rFonts w:hint="eastAsia" w:hAnsi="宋体" w:cs="宋体"/>
          <w:color w:val="auto"/>
          <w:highlight w:val="none"/>
        </w:rPr>
        <w:t>，总面积</w:t>
      </w:r>
      <w:r>
        <w:rPr>
          <w:rFonts w:hint="eastAsia" w:ascii="Times New Roman" w:hAnsi="Times New Roman" w:cs="宋体"/>
          <w:color w:val="auto"/>
          <w:highlight w:val="none"/>
        </w:rPr>
        <w:t>16443</w:t>
      </w:r>
      <w:r>
        <w:rPr>
          <w:rFonts w:hint="eastAsia" w:hAnsi="宋体" w:cs="宋体"/>
          <w:color w:val="auto"/>
          <w:highlight w:val="none"/>
        </w:rPr>
        <w:t>.</w:t>
      </w:r>
      <w:r>
        <w:rPr>
          <w:rFonts w:hint="eastAsia" w:ascii="Times New Roman" w:hAnsi="Times New Roman" w:cs="宋体"/>
          <w:color w:val="auto"/>
          <w:highlight w:val="none"/>
        </w:rPr>
        <w:t>13</w:t>
      </w:r>
      <w:r>
        <w:rPr>
          <w:rFonts w:hint="eastAsia" w:hAnsi="宋体" w:cs="宋体"/>
          <w:color w:val="auto"/>
          <w:highlight w:val="none"/>
        </w:rPr>
        <w:t>平方公里。</w:t>
      </w:r>
    </w:p>
    <w:p>
      <w:pPr>
        <w:spacing w:line="440" w:lineRule="exact"/>
        <w:rPr>
          <w:rFonts w:hint="eastAsia" w:hAnsi="宋体" w:cs="宋体"/>
          <w:color w:val="auto"/>
          <w:highlight w:val="none"/>
        </w:rPr>
      </w:pPr>
      <w:r>
        <w:rPr>
          <w:rFonts w:hint="eastAsia" w:hAnsi="宋体" w:cs="宋体"/>
          <w:color w:val="auto"/>
          <w:highlight w:val="none"/>
        </w:rPr>
        <w:t>乌苏工业园区位于乌苏市西部，地处北纬</w:t>
      </w:r>
      <w:r>
        <w:rPr>
          <w:rFonts w:hint="eastAsia" w:ascii="Times New Roman" w:hAnsi="Times New Roman" w:cs="宋体"/>
          <w:color w:val="auto"/>
          <w:highlight w:val="none"/>
        </w:rPr>
        <w:t>44</w:t>
      </w:r>
      <w:r>
        <w:rPr>
          <w:rFonts w:hint="eastAsia" w:hAnsi="宋体" w:cs="宋体"/>
          <w:color w:val="auto"/>
          <w:highlight w:val="none"/>
        </w:rPr>
        <w:t>°</w:t>
      </w:r>
      <w:r>
        <w:rPr>
          <w:rFonts w:hint="eastAsia" w:ascii="Times New Roman" w:hAnsi="Times New Roman" w:cs="宋体"/>
          <w:color w:val="auto"/>
          <w:highlight w:val="none"/>
        </w:rPr>
        <w:t>20</w:t>
      </w:r>
      <w:r>
        <w:rPr>
          <w:rFonts w:hint="eastAsia" w:hAnsi="宋体" w:cs="宋体"/>
          <w:color w:val="auto"/>
          <w:highlight w:val="none"/>
        </w:rPr>
        <w:t>.</w:t>
      </w:r>
      <w:r>
        <w:rPr>
          <w:rFonts w:hint="eastAsia" w:ascii="Times New Roman" w:hAnsi="Times New Roman" w:cs="宋体"/>
          <w:color w:val="auto"/>
          <w:highlight w:val="none"/>
        </w:rPr>
        <w:t>15</w:t>
      </w:r>
      <w:r>
        <w:rPr>
          <w:rFonts w:hint="eastAsia" w:hAnsi="宋体" w:cs="宋体"/>
          <w:color w:val="auto"/>
          <w:highlight w:val="none"/>
        </w:rPr>
        <w:t>′，东经</w:t>
      </w:r>
      <w:r>
        <w:rPr>
          <w:rFonts w:hint="eastAsia" w:ascii="Times New Roman" w:hAnsi="Times New Roman" w:cs="宋体"/>
          <w:color w:val="auto"/>
          <w:highlight w:val="none"/>
        </w:rPr>
        <w:t>84</w:t>
      </w:r>
      <w:r>
        <w:rPr>
          <w:rFonts w:hint="eastAsia" w:hAnsi="宋体" w:cs="宋体"/>
          <w:color w:val="auto"/>
          <w:highlight w:val="none"/>
        </w:rPr>
        <w:t>°</w:t>
      </w:r>
      <w:r>
        <w:rPr>
          <w:rFonts w:hint="eastAsia" w:ascii="Times New Roman" w:hAnsi="Times New Roman" w:cs="宋体"/>
          <w:color w:val="auto"/>
          <w:highlight w:val="none"/>
        </w:rPr>
        <w:t>16</w:t>
      </w:r>
      <w:r>
        <w:rPr>
          <w:rFonts w:hint="eastAsia" w:hAnsi="宋体" w:cs="宋体"/>
          <w:color w:val="auto"/>
          <w:highlight w:val="none"/>
        </w:rPr>
        <w:t>.</w:t>
      </w:r>
      <w:r>
        <w:rPr>
          <w:rFonts w:hint="eastAsia" w:ascii="Times New Roman" w:hAnsi="Times New Roman" w:cs="宋体"/>
          <w:color w:val="auto"/>
          <w:highlight w:val="none"/>
        </w:rPr>
        <w:t>51</w:t>
      </w:r>
      <w:r>
        <w:rPr>
          <w:rFonts w:hint="eastAsia" w:hAnsi="宋体" w:cs="宋体"/>
          <w:color w:val="auto"/>
          <w:highlight w:val="none"/>
        </w:rPr>
        <w:t>′，</w:t>
      </w:r>
      <w:r>
        <w:rPr>
          <w:rFonts w:hint="eastAsia" w:ascii="Times New Roman" w:hAnsi="Times New Roman" w:cs="宋体"/>
          <w:color w:val="auto"/>
          <w:highlight w:val="none"/>
        </w:rPr>
        <w:t>312</w:t>
      </w:r>
      <w:r>
        <w:rPr>
          <w:rFonts w:hint="eastAsia" w:hAnsi="宋体" w:cs="宋体"/>
          <w:color w:val="auto"/>
          <w:highlight w:val="none"/>
        </w:rPr>
        <w:t>国道从园区北侧经过，交通条件便利。规划区域绝大部分用地属于塔布勒合特蒙古乡管辖。规划范围为西起库鲁木村，东至四棵树河，北起北部灌渠，南至牧民新村，占地面积约为</w:t>
      </w:r>
      <w:r>
        <w:rPr>
          <w:rFonts w:hint="eastAsia" w:ascii="Times New Roman" w:hAnsi="Times New Roman" w:cs="宋体"/>
          <w:color w:val="auto"/>
          <w:highlight w:val="none"/>
        </w:rPr>
        <w:t>29</w:t>
      </w:r>
      <w:r>
        <w:rPr>
          <w:rFonts w:hint="eastAsia" w:hAnsi="宋体" w:cs="宋体"/>
          <w:color w:val="auto"/>
          <w:highlight w:val="none"/>
        </w:rPr>
        <w:t>.</w:t>
      </w:r>
      <w:r>
        <w:rPr>
          <w:rFonts w:hint="eastAsia" w:ascii="Times New Roman" w:hAnsi="Times New Roman" w:cs="宋体"/>
          <w:color w:val="auto"/>
          <w:highlight w:val="none"/>
        </w:rPr>
        <w:t>81</w:t>
      </w:r>
      <w:r>
        <w:rPr>
          <w:rFonts w:hint="eastAsia" w:ascii="Times New Roman" w:hAnsi="Times New Roman" w:cs="宋体"/>
          <w:color w:val="auto"/>
          <w:highlight w:val="none"/>
          <w:lang w:val="en-US" w:eastAsia="zh-CN"/>
        </w:rPr>
        <w:t>k</w:t>
      </w:r>
      <w:r>
        <w:rPr>
          <w:rFonts w:hint="eastAsia" w:cs="宋体"/>
          <w:color w:val="auto"/>
          <w:highlight w:val="none"/>
          <w:lang w:val="en-US" w:eastAsia="zh-CN"/>
        </w:rPr>
        <w:t>㎡</w:t>
      </w:r>
      <w:r>
        <w:rPr>
          <w:rFonts w:hint="eastAsia" w:hAnsi="宋体" w:cs="宋体"/>
          <w:color w:val="auto"/>
          <w:highlight w:val="none"/>
        </w:rPr>
        <w:t>。</w:t>
      </w:r>
    </w:p>
    <w:p>
      <w:pPr>
        <w:spacing w:line="440" w:lineRule="exact"/>
        <w:rPr>
          <w:rFonts w:hint="eastAsia" w:ascii="Times New Roman" w:eastAsia="宋体"/>
          <w:lang w:val="en-US" w:eastAsia="zh-CN"/>
        </w:rPr>
      </w:pPr>
      <w:r>
        <w:rPr>
          <w:rFonts w:hint="eastAsia" w:hAnsi="宋体" w:cs="宋体"/>
          <w:color w:val="auto"/>
          <w:highlight w:val="none"/>
        </w:rPr>
        <w:t>项目位于乌苏工业园区内，</w:t>
      </w:r>
      <w:r>
        <w:rPr>
          <w:rFonts w:hint="eastAsia" w:cs="宋体"/>
          <w:color w:val="auto"/>
          <w:highlight w:val="none"/>
          <w:lang w:eastAsia="zh-CN"/>
        </w:rPr>
        <w:t>凯赛（乌苏）生物材料有限公司厂区预留地，中心</w:t>
      </w:r>
      <w:r>
        <w:rPr>
          <w:rFonts w:hint="eastAsia" w:hAnsi="宋体" w:cs="宋体"/>
          <w:color w:val="auto"/>
          <w:highlight w:val="none"/>
        </w:rPr>
        <w:t xml:space="preserve">地理坐标为北纬 </w:t>
      </w:r>
      <w:r>
        <w:rPr>
          <w:rFonts w:hint="eastAsia" w:ascii="Times New Roman" w:hAnsi="Times New Roman" w:cs="宋体"/>
          <w:color w:val="auto"/>
          <w:highlight w:val="none"/>
        </w:rPr>
        <w:t>44</w:t>
      </w:r>
      <w:r>
        <w:rPr>
          <w:rFonts w:hint="eastAsia" w:hAnsi="宋体" w:cs="宋体"/>
          <w:color w:val="auto"/>
          <w:highlight w:val="none"/>
        </w:rPr>
        <w:t>°</w:t>
      </w:r>
      <w:r>
        <w:rPr>
          <w:rFonts w:hint="eastAsia" w:ascii="Times New Roman" w:hAnsi="Times New Roman" w:cs="宋体"/>
          <w:color w:val="auto"/>
          <w:highlight w:val="none"/>
        </w:rPr>
        <w:t>20</w:t>
      </w:r>
      <w:r>
        <w:rPr>
          <w:rFonts w:hint="eastAsia" w:hAnsi="宋体" w:cs="宋体"/>
          <w:color w:val="auto"/>
          <w:highlight w:val="none"/>
        </w:rPr>
        <w:t>′</w:t>
      </w:r>
      <w:r>
        <w:rPr>
          <w:rFonts w:hint="eastAsia" w:ascii="Times New Roman" w:hAnsi="Times New Roman" w:cs="宋体"/>
          <w:color w:val="auto"/>
          <w:highlight w:val="none"/>
          <w:lang w:val="en-US" w:eastAsia="zh-CN"/>
        </w:rPr>
        <w:t>16</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551</w:t>
      </w:r>
      <w:r>
        <w:rPr>
          <w:rFonts w:hint="eastAsia" w:cs="宋体"/>
          <w:color w:val="auto"/>
          <w:highlight w:val="none"/>
          <w:lang w:val="en-US" w:eastAsia="zh-CN"/>
        </w:rPr>
        <w:t>″</w:t>
      </w:r>
      <w:r>
        <w:rPr>
          <w:rFonts w:hint="eastAsia" w:hAnsi="宋体" w:cs="宋体"/>
          <w:color w:val="auto"/>
          <w:highlight w:val="none"/>
        </w:rPr>
        <w:t xml:space="preserve">，东经 </w:t>
      </w:r>
      <w:r>
        <w:rPr>
          <w:rFonts w:hint="eastAsia" w:ascii="Times New Roman" w:hAnsi="Times New Roman" w:cs="宋体"/>
          <w:color w:val="auto"/>
          <w:highlight w:val="none"/>
        </w:rPr>
        <w:t>84</w:t>
      </w:r>
      <w:r>
        <w:rPr>
          <w:rFonts w:hint="eastAsia" w:hAnsi="宋体" w:cs="宋体"/>
          <w:color w:val="auto"/>
          <w:highlight w:val="none"/>
        </w:rPr>
        <w:t>°</w:t>
      </w:r>
      <w:r>
        <w:rPr>
          <w:rFonts w:hint="eastAsia" w:ascii="Times New Roman" w:hAnsi="Times New Roman" w:cs="宋体"/>
          <w:color w:val="auto"/>
          <w:highlight w:val="none"/>
        </w:rPr>
        <w:t>16</w:t>
      </w:r>
      <w:r>
        <w:rPr>
          <w:rFonts w:hint="eastAsia" w:hAnsi="宋体" w:cs="宋体"/>
          <w:color w:val="auto"/>
          <w:highlight w:val="none"/>
        </w:rPr>
        <w:t>′</w:t>
      </w:r>
      <w:r>
        <w:rPr>
          <w:rFonts w:hint="eastAsia" w:ascii="Times New Roman" w:hAnsi="Times New Roman" w:cs="宋体"/>
          <w:color w:val="auto"/>
          <w:highlight w:val="none"/>
          <w:lang w:val="en-US" w:eastAsia="zh-CN"/>
        </w:rPr>
        <w:t>27</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149</w:t>
      </w:r>
      <w:r>
        <w:rPr>
          <w:rFonts w:hint="eastAsia" w:cs="宋体"/>
          <w:color w:val="auto"/>
          <w:highlight w:val="none"/>
          <w:lang w:val="en-US" w:eastAsia="zh-CN"/>
        </w:rPr>
        <w:t>″</w:t>
      </w:r>
      <w:r>
        <w:rPr>
          <w:rFonts w:hint="eastAsia" w:hAnsi="宋体" w:cs="宋体"/>
          <w:color w:val="auto"/>
          <w:highlight w:val="none"/>
        </w:rPr>
        <w:t>。</w:t>
      </w:r>
      <w:r>
        <w:rPr>
          <w:rFonts w:hint="eastAsia" w:cs="宋体"/>
          <w:color w:val="auto"/>
          <w:highlight w:val="none"/>
          <w:lang w:eastAsia="zh-CN"/>
        </w:rPr>
        <w:t>本</w:t>
      </w:r>
      <w:r>
        <w:rPr>
          <w:rFonts w:ascii="Times New Roman"/>
        </w:rPr>
        <w:t>项目</w:t>
      </w:r>
      <w:r>
        <w:rPr>
          <w:rFonts w:hint="eastAsia" w:ascii="Times New Roman"/>
          <w:lang w:eastAsia="zh-CN"/>
        </w:rPr>
        <w:t>所在</w:t>
      </w:r>
      <w:r>
        <w:rPr>
          <w:rFonts w:ascii="Times New Roman"/>
        </w:rPr>
        <w:t>地理位置</w:t>
      </w:r>
      <w:r>
        <w:rPr>
          <w:rFonts w:hint="eastAsia" w:ascii="Times New Roman"/>
        </w:rPr>
        <w:t>见</w:t>
      </w:r>
      <w:r>
        <w:rPr>
          <w:rFonts w:hint="eastAsia" w:ascii="Times New Roman"/>
          <w:color w:val="FF0000"/>
        </w:rPr>
        <w:t>图</w:t>
      </w:r>
      <w:r>
        <w:rPr>
          <w:rFonts w:hint="eastAsia" w:ascii="Times New Roman" w:hAnsi="Times New Roman"/>
          <w:color w:val="FF0000"/>
          <w:lang w:val="en-US" w:eastAsia="zh-CN"/>
        </w:rPr>
        <w:t>5</w:t>
      </w:r>
      <w:r>
        <w:rPr>
          <w:rFonts w:hint="eastAsia" w:ascii="Times New Roman"/>
          <w:color w:val="FF0000"/>
        </w:rPr>
        <w:t>.</w:t>
      </w:r>
      <w:r>
        <w:rPr>
          <w:rFonts w:hint="eastAsia" w:ascii="Times New Roman" w:hAnsi="Times New Roman"/>
          <w:color w:val="FF0000"/>
        </w:rPr>
        <w:t>1</w:t>
      </w:r>
      <w:r>
        <w:rPr>
          <w:rFonts w:hint="eastAsia" w:ascii="Times New Roman"/>
          <w:color w:val="FF0000"/>
        </w:rPr>
        <w:t>-</w:t>
      </w:r>
      <w:r>
        <w:rPr>
          <w:rFonts w:hint="eastAsia" w:ascii="Times New Roman" w:hAnsi="Times New Roman"/>
          <w:color w:val="FF0000"/>
        </w:rPr>
        <w:t>1</w:t>
      </w:r>
      <w:r>
        <w:rPr>
          <w:rFonts w:ascii="Times New Roman"/>
        </w:rPr>
        <w:t>。</w:t>
      </w:r>
      <w:r>
        <w:rPr>
          <w:rFonts w:hint="eastAsia" w:ascii="Times New Roman"/>
          <w:lang w:val="en-US" w:eastAsia="zh-CN"/>
        </w:rPr>
        <w:t xml:space="preserve"> </w:t>
      </w:r>
    </w:p>
    <w:p>
      <w:pPr>
        <w:pStyle w:val="5"/>
        <w:spacing w:before="156"/>
      </w:pPr>
      <w:r>
        <w:rPr>
          <w:rFonts w:hint="eastAsia" w:ascii="Times New Roman" w:hAnsi="Times New Roman"/>
          <w:lang w:val="en-US" w:eastAsia="zh-CN"/>
        </w:rPr>
        <w:t>5</w:t>
      </w:r>
      <w:r>
        <w:t>.</w:t>
      </w:r>
      <w:r>
        <w:rPr>
          <w:rFonts w:ascii="Times New Roman" w:hAnsi="Times New Roman"/>
        </w:rPr>
        <w:t>1</w:t>
      </w:r>
      <w:r>
        <w:t>.</w:t>
      </w:r>
      <w:r>
        <w:rPr>
          <w:rFonts w:ascii="Times New Roman" w:hAnsi="Times New Roman"/>
        </w:rPr>
        <w:t>2</w:t>
      </w:r>
      <w:r>
        <w:t>地形地貌</w:t>
      </w:r>
    </w:p>
    <w:p>
      <w:pPr>
        <w:bidi w:val="0"/>
        <w:rPr>
          <w:rFonts w:hint="eastAsia"/>
        </w:rPr>
      </w:pPr>
      <w:bookmarkStart w:id="156" w:name="_Toc344107011"/>
      <w:r>
        <w:rPr>
          <w:rFonts w:hint="eastAsia"/>
        </w:rPr>
        <w:t>乌苏</w:t>
      </w:r>
      <w:r>
        <w:rPr>
          <w:rFonts w:hint="eastAsia"/>
          <w:lang w:eastAsia="zh-CN"/>
        </w:rPr>
        <w:t>市</w:t>
      </w:r>
      <w:r>
        <w:rPr>
          <w:rFonts w:hint="eastAsia"/>
        </w:rPr>
        <w:t>地处准噶尔盆地西南缘、天山支脉婆罗科努山和依连哈比尔尕山北麓，大地构造属于天山-兴安地槽区-天山褶皱系的一部分。地质构造分属艾比湖－乌苏凹陷带、依连哈比尔尕复向斜、婆罗科努复背斜及乌鲁木齐山前凹陷，跨准噶尔盆地和北天山山地两大地貌单元，干燥地貌特别发育，盆地内部出现半沙漠。乌苏北部的准噶尔盆地主要由冲积平原构成，中部为盆地到山地的过渡带由冲积洪积倾斜平原和干燥剥蚀低山构成，南部为北天山山地。近期构造运动造成境内南高北低，东部略高于西部的大趋势，依次分为高山、中低山、丘陵、平原和沙漠</w:t>
      </w:r>
      <w:r>
        <w:rPr>
          <w:rFonts w:hint="eastAsia" w:ascii="Times New Roman" w:hAnsi="Times New Roman"/>
        </w:rPr>
        <w:t>5</w:t>
      </w:r>
      <w:r>
        <w:rPr>
          <w:rFonts w:hint="eastAsia"/>
        </w:rPr>
        <w:t>个地带。地貌构造复杂，自然条件差异显著。</w:t>
      </w:r>
    </w:p>
    <w:p>
      <w:pPr>
        <w:bidi w:val="0"/>
        <w:rPr>
          <w:rFonts w:hint="eastAsia"/>
        </w:rPr>
      </w:pPr>
      <w:r>
        <w:rPr>
          <w:rFonts w:hint="eastAsia"/>
        </w:rPr>
        <w:t>乌苏市辖区范围南北长约</w:t>
      </w:r>
      <w:r>
        <w:rPr>
          <w:rFonts w:hint="eastAsia" w:ascii="Times New Roman" w:hAnsi="Times New Roman"/>
        </w:rPr>
        <w:t>218km</w:t>
      </w:r>
      <w:r>
        <w:rPr>
          <w:rFonts w:hint="eastAsia"/>
        </w:rPr>
        <w:t>，东西宽约</w:t>
      </w:r>
      <w:r>
        <w:rPr>
          <w:rFonts w:hint="eastAsia" w:ascii="Times New Roman" w:hAnsi="Times New Roman"/>
        </w:rPr>
        <w:t>183km</w:t>
      </w:r>
      <w:r>
        <w:rPr>
          <w:rFonts w:hint="eastAsia"/>
        </w:rPr>
        <w:t>，面积为</w:t>
      </w:r>
      <w:r>
        <w:rPr>
          <w:rFonts w:hint="eastAsia" w:ascii="Times New Roman" w:hAnsi="Times New Roman"/>
        </w:rPr>
        <w:t>20752</w:t>
      </w:r>
      <w:r>
        <w:rPr>
          <w:rFonts w:hint="eastAsia"/>
        </w:rPr>
        <w:t>.</w:t>
      </w:r>
      <w:r>
        <w:rPr>
          <w:rFonts w:hint="eastAsia" w:ascii="Times New Roman" w:hAnsi="Times New Roman"/>
        </w:rPr>
        <w:t>46k</w:t>
      </w:r>
      <w:r>
        <w:rPr>
          <w:rFonts w:hint="eastAsia"/>
          <w:lang w:eastAsia="zh-CN"/>
        </w:rPr>
        <w:t>㎡</w:t>
      </w:r>
      <w:r>
        <w:rPr>
          <w:rFonts w:hint="eastAsia"/>
        </w:rPr>
        <w:t>。区域内最高峰为东南缘的婆罗科努山，海拔高度约</w:t>
      </w:r>
      <w:r>
        <w:rPr>
          <w:rFonts w:hint="eastAsia" w:ascii="Times New Roman" w:hAnsi="Times New Roman"/>
        </w:rPr>
        <w:t>5041</w:t>
      </w:r>
      <w:r>
        <w:rPr>
          <w:rFonts w:hint="eastAsia"/>
        </w:rPr>
        <w:t>米，最低处为西北缘四棵树河与奎屯河的交汇处，海拔高度约</w:t>
      </w:r>
      <w:r>
        <w:rPr>
          <w:rFonts w:hint="eastAsia" w:ascii="Times New Roman" w:hAnsi="Times New Roman"/>
        </w:rPr>
        <w:t>226</w:t>
      </w:r>
      <w:r>
        <w:rPr>
          <w:rFonts w:hint="eastAsia"/>
        </w:rPr>
        <w:t>米；区域地势为南高北低，自南向北呈扇形坡面，南部为山区，中部、北部为平原。区域地形地貌受大地地质构造环境控制，规律性比较明显，由南向北大致可分为两大地貌单元，即北天山北坡山区与准噶尔盆地平原，局部发育有小片沙丘地形。</w:t>
      </w:r>
    </w:p>
    <w:p>
      <w:pPr>
        <w:bidi w:val="0"/>
        <w:rPr>
          <w:rFonts w:hint="eastAsia"/>
        </w:rPr>
      </w:pPr>
      <w:r>
        <w:rPr>
          <w:rFonts w:hint="eastAsia"/>
        </w:rPr>
        <w:t>①山区</w:t>
      </w:r>
    </w:p>
    <w:p>
      <w:pPr>
        <w:bidi w:val="0"/>
        <w:rPr>
          <w:rFonts w:hint="eastAsia"/>
        </w:rPr>
      </w:pPr>
      <w:r>
        <w:rPr>
          <w:rFonts w:hint="eastAsia"/>
        </w:rPr>
        <w:t>南部山区东西横亘着依连哈比尔尕山北坡和婆罗科努山北坡及它的支脉。境内山体宽</w:t>
      </w:r>
      <w:r>
        <w:rPr>
          <w:rFonts w:hint="eastAsia" w:ascii="Times New Roman" w:hAnsi="Times New Roman"/>
        </w:rPr>
        <w:t>40</w:t>
      </w:r>
      <w:r>
        <w:rPr>
          <w:rFonts w:hint="eastAsia"/>
        </w:rPr>
        <w:t>～</w:t>
      </w:r>
      <w:r>
        <w:rPr>
          <w:rFonts w:hint="eastAsia" w:ascii="Times New Roman" w:hAnsi="Times New Roman"/>
        </w:rPr>
        <w:t>60km</w:t>
      </w:r>
      <w:r>
        <w:rPr>
          <w:rFonts w:hint="eastAsia"/>
        </w:rPr>
        <w:t>，长</w:t>
      </w:r>
      <w:r>
        <w:rPr>
          <w:rFonts w:hint="eastAsia" w:ascii="Times New Roman" w:hAnsi="Times New Roman"/>
        </w:rPr>
        <w:t>140km</w:t>
      </w:r>
      <w:r>
        <w:rPr>
          <w:rFonts w:hint="eastAsia"/>
        </w:rPr>
        <w:t>，海拔</w:t>
      </w:r>
      <w:r>
        <w:rPr>
          <w:rFonts w:hint="eastAsia" w:ascii="Times New Roman" w:hAnsi="Times New Roman"/>
        </w:rPr>
        <w:t>1000</w:t>
      </w:r>
      <w:r>
        <w:rPr>
          <w:rFonts w:hint="eastAsia"/>
        </w:rPr>
        <w:t>～</w:t>
      </w:r>
      <w:r>
        <w:rPr>
          <w:rFonts w:hint="eastAsia" w:ascii="Times New Roman" w:hAnsi="Times New Roman"/>
        </w:rPr>
        <w:t>4200</w:t>
      </w:r>
      <w:r>
        <w:rPr>
          <w:rFonts w:hint="eastAsia"/>
        </w:rPr>
        <w:t>米，山区总面积占全市总面积的</w:t>
      </w:r>
      <w:r>
        <w:rPr>
          <w:rFonts w:hint="eastAsia" w:ascii="Times New Roman" w:hAnsi="Times New Roman"/>
        </w:rPr>
        <w:t>43</w:t>
      </w:r>
      <w:r>
        <w:rPr>
          <w:rFonts w:hint="eastAsia"/>
        </w:rPr>
        <w:t>.</w:t>
      </w:r>
      <w:r>
        <w:rPr>
          <w:rFonts w:hint="eastAsia" w:ascii="Times New Roman" w:hAnsi="Times New Roman"/>
        </w:rPr>
        <w:t>57</w:t>
      </w:r>
      <w:r>
        <w:rPr>
          <w:rFonts w:hint="eastAsia"/>
        </w:rPr>
        <w:t>%，是</w:t>
      </w:r>
      <w:r>
        <w:rPr>
          <w:rFonts w:hint="eastAsia"/>
          <w:lang w:eastAsia="zh-CN"/>
        </w:rPr>
        <w:t>乌苏</w:t>
      </w:r>
      <w:r>
        <w:rPr>
          <w:rFonts w:hint="eastAsia"/>
        </w:rPr>
        <w:t>市的主要牧业区。</w:t>
      </w:r>
    </w:p>
    <w:p>
      <w:pPr>
        <w:bidi w:val="0"/>
        <w:rPr>
          <w:rFonts w:hint="eastAsia"/>
        </w:rPr>
      </w:pPr>
      <w:r>
        <w:rPr>
          <w:rFonts w:hint="eastAsia"/>
        </w:rPr>
        <w:t>②盆地</w:t>
      </w:r>
    </w:p>
    <w:p>
      <w:pPr>
        <w:bidi w:val="0"/>
        <w:rPr>
          <w:rFonts w:hint="eastAsia"/>
        </w:rPr>
      </w:pPr>
      <w:r>
        <w:rPr>
          <w:rFonts w:hint="eastAsia"/>
        </w:rPr>
        <w:t>境内中部，北天山山麓地带以北至国道</w:t>
      </w:r>
      <w:r>
        <w:rPr>
          <w:rFonts w:hint="eastAsia" w:ascii="Times New Roman" w:hAnsi="Times New Roman"/>
        </w:rPr>
        <w:t>312</w:t>
      </w:r>
      <w:r>
        <w:rPr>
          <w:rFonts w:hint="eastAsia"/>
        </w:rPr>
        <w:t>线以南的</w:t>
      </w:r>
      <w:r>
        <w:rPr>
          <w:rFonts w:hint="eastAsia" w:ascii="Times New Roman" w:hAnsi="Times New Roman"/>
        </w:rPr>
        <w:t>15</w:t>
      </w:r>
      <w:r>
        <w:rPr>
          <w:rFonts w:hint="eastAsia"/>
        </w:rPr>
        <w:t>～</w:t>
      </w:r>
      <w:r>
        <w:rPr>
          <w:rFonts w:hint="eastAsia" w:ascii="Times New Roman" w:hAnsi="Times New Roman"/>
        </w:rPr>
        <w:t>20km</w:t>
      </w:r>
      <w:r>
        <w:rPr>
          <w:rFonts w:hint="eastAsia"/>
        </w:rPr>
        <w:t>宽的地带为山前冲、洪积倾斜平原，海拔</w:t>
      </w:r>
      <w:r>
        <w:rPr>
          <w:rFonts w:hint="eastAsia" w:ascii="Times New Roman" w:hAnsi="Times New Roman"/>
        </w:rPr>
        <w:t>450</w:t>
      </w:r>
      <w:r>
        <w:rPr>
          <w:rFonts w:hint="eastAsia"/>
        </w:rPr>
        <w:t>～</w:t>
      </w:r>
      <w:r>
        <w:rPr>
          <w:rFonts w:hint="eastAsia" w:ascii="Times New Roman" w:hAnsi="Times New Roman"/>
        </w:rPr>
        <w:t>1000</w:t>
      </w:r>
      <w:r>
        <w:rPr>
          <w:rFonts w:hint="eastAsia"/>
        </w:rPr>
        <w:t>米，地形由南向北倾斜，平坦开阔，多为荒漠戈壁景观。</w:t>
      </w:r>
    </w:p>
    <w:p>
      <w:pPr>
        <w:bidi w:val="0"/>
        <w:rPr>
          <w:rFonts w:hint="eastAsia"/>
        </w:rPr>
      </w:pPr>
      <w:r>
        <w:rPr>
          <w:rFonts w:hint="eastAsia"/>
        </w:rPr>
        <w:t>以国道</w:t>
      </w:r>
      <w:r>
        <w:rPr>
          <w:rFonts w:hint="eastAsia" w:ascii="Times New Roman" w:hAnsi="Times New Roman"/>
        </w:rPr>
        <w:t>312</w:t>
      </w:r>
      <w:r>
        <w:rPr>
          <w:rFonts w:hint="eastAsia"/>
        </w:rPr>
        <w:t>线为界的北部地区，多为冲、淤积平原，海拔</w:t>
      </w:r>
      <w:r>
        <w:rPr>
          <w:rFonts w:hint="eastAsia" w:ascii="Times New Roman" w:hAnsi="Times New Roman"/>
        </w:rPr>
        <w:t>250</w:t>
      </w:r>
      <w:r>
        <w:rPr>
          <w:rFonts w:hint="eastAsia"/>
        </w:rPr>
        <w:t>～</w:t>
      </w:r>
      <w:r>
        <w:rPr>
          <w:rFonts w:hint="eastAsia" w:ascii="Times New Roman" w:hAnsi="Times New Roman"/>
        </w:rPr>
        <w:t>500m</w:t>
      </w:r>
      <w:r>
        <w:rPr>
          <w:rFonts w:hint="eastAsia"/>
        </w:rPr>
        <w:t>，地形平坦开阔，地下水埋藏浅，多为盐碱沼泽地带，芦苇草木从生，局部有沙丘发育，是</w:t>
      </w:r>
      <w:r>
        <w:rPr>
          <w:rFonts w:hint="eastAsia"/>
          <w:lang w:eastAsia="zh-CN"/>
        </w:rPr>
        <w:t>乌苏市</w:t>
      </w:r>
      <w:r>
        <w:rPr>
          <w:rFonts w:hint="eastAsia"/>
        </w:rPr>
        <w:t>的主要农业区。</w:t>
      </w:r>
    </w:p>
    <w:p>
      <w:pPr>
        <w:bidi w:val="0"/>
        <w:rPr>
          <w:rFonts w:hint="eastAsia"/>
          <w:color w:val="0000FF"/>
        </w:rPr>
      </w:pPr>
      <w:r>
        <w:rPr>
          <w:rFonts w:hint="eastAsia"/>
          <w:lang w:eastAsia="zh-CN"/>
        </w:rPr>
        <w:t>本项目位于北天山北坡山区的</w:t>
      </w:r>
      <w:r>
        <w:rPr>
          <w:rFonts w:hint="eastAsia"/>
        </w:rPr>
        <w:t>冲洪积倾斜平原上，呈</w:t>
      </w:r>
      <w:r>
        <w:rPr>
          <w:rFonts w:hint="eastAsia" w:ascii="Times New Roman" w:hAnsi="Times New Roman"/>
        </w:rPr>
        <w:t>2</w:t>
      </w:r>
      <w:r>
        <w:rPr>
          <w:rFonts w:hint="eastAsia"/>
        </w:rPr>
        <w:t>°～</w:t>
      </w:r>
      <w:r>
        <w:rPr>
          <w:rFonts w:hint="eastAsia" w:ascii="Times New Roman" w:hAnsi="Times New Roman"/>
        </w:rPr>
        <w:t>5</w:t>
      </w:r>
      <w:r>
        <w:rPr>
          <w:rFonts w:hint="eastAsia"/>
        </w:rPr>
        <w:t>°的坡度向北倾斜，主要由古洪积扇和现代洪积扇叠加而成，因气候干旱，地表植物稀疏，覆盖率约</w:t>
      </w:r>
      <w:r>
        <w:rPr>
          <w:rFonts w:hint="eastAsia" w:ascii="Times New Roman" w:hAnsi="Times New Roman"/>
        </w:rPr>
        <w:t>20</w:t>
      </w:r>
      <w:r>
        <w:rPr>
          <w:rFonts w:hint="eastAsia"/>
        </w:rPr>
        <w:t>％，呈现戈</w:t>
      </w:r>
      <w:r>
        <w:rPr>
          <w:rFonts w:hint="eastAsia"/>
          <w:color w:val="auto"/>
        </w:rPr>
        <w:t>壁荒滩景观。工业区占地为戈壁荒漠草场，地势平坦开阔，由南向北渐低，东部高于西部，地面高程为</w:t>
      </w:r>
      <w:r>
        <w:rPr>
          <w:rFonts w:hint="eastAsia" w:ascii="Times New Roman" w:hAnsi="Times New Roman"/>
          <w:color w:val="auto"/>
        </w:rPr>
        <w:t>520</w:t>
      </w:r>
      <w:r>
        <w:rPr>
          <w:rFonts w:hint="eastAsia" w:ascii="Times New Roman" w:hAnsi="Times New Roman"/>
          <w:color w:val="auto"/>
          <w:lang w:val="en-US" w:eastAsia="zh-CN"/>
        </w:rPr>
        <w:t>m</w:t>
      </w:r>
      <w:r>
        <w:rPr>
          <w:rFonts w:hint="eastAsia"/>
          <w:color w:val="auto"/>
        </w:rPr>
        <w:t>（</w:t>
      </w:r>
      <w:r>
        <w:rPr>
          <w:rFonts w:hint="eastAsia" w:ascii="Times New Roman" w:hAnsi="Times New Roman"/>
          <w:color w:val="auto"/>
        </w:rPr>
        <w:t>1956</w:t>
      </w:r>
      <w:r>
        <w:rPr>
          <w:rFonts w:hint="eastAsia"/>
          <w:color w:val="auto"/>
        </w:rPr>
        <w:t>年黄海高程系），地形坡度平均为</w:t>
      </w:r>
      <w:r>
        <w:rPr>
          <w:rFonts w:hint="eastAsia" w:ascii="Times New Roman" w:hAnsi="Times New Roman"/>
          <w:color w:val="auto"/>
        </w:rPr>
        <w:t>0</w:t>
      </w:r>
      <w:r>
        <w:rPr>
          <w:rFonts w:hint="eastAsia"/>
          <w:color w:val="auto"/>
        </w:rPr>
        <w:t>.</w:t>
      </w:r>
      <w:r>
        <w:rPr>
          <w:rFonts w:hint="eastAsia" w:ascii="Times New Roman" w:hAnsi="Times New Roman"/>
          <w:color w:val="auto"/>
        </w:rPr>
        <w:t>6</w:t>
      </w:r>
      <w:r>
        <w:rPr>
          <w:rFonts w:hint="eastAsia"/>
          <w:color w:val="auto"/>
        </w:rPr>
        <w:t>%～</w:t>
      </w:r>
      <w:r>
        <w:rPr>
          <w:rFonts w:hint="eastAsia" w:ascii="Times New Roman" w:hAnsi="Times New Roman"/>
          <w:color w:val="auto"/>
        </w:rPr>
        <w:t>0</w:t>
      </w:r>
      <w:r>
        <w:rPr>
          <w:rFonts w:hint="eastAsia"/>
          <w:color w:val="auto"/>
        </w:rPr>
        <w:t>.</w:t>
      </w:r>
      <w:r>
        <w:rPr>
          <w:rFonts w:hint="eastAsia" w:ascii="Times New Roman" w:hAnsi="Times New Roman"/>
          <w:color w:val="auto"/>
        </w:rPr>
        <w:t>8</w:t>
      </w:r>
      <w:r>
        <w:rPr>
          <w:rFonts w:hint="eastAsia"/>
          <w:color w:val="auto"/>
        </w:rPr>
        <w:t>%。</w:t>
      </w:r>
    </w:p>
    <w:p>
      <w:pPr>
        <w:pStyle w:val="5"/>
        <w:bidi w:val="0"/>
        <w:rPr>
          <w:rFonts w:hint="eastAsia"/>
          <w:lang w:eastAsia="zh-CN"/>
        </w:rPr>
      </w:pPr>
      <w:r>
        <w:rPr>
          <w:rFonts w:hint="eastAsia" w:ascii="Times New Roman" w:hAnsi="Times New Roman"/>
          <w:lang w:val="en-US" w:eastAsia="zh-CN"/>
        </w:rPr>
        <w:t>5</w:t>
      </w:r>
      <w:r>
        <w:t>.</w:t>
      </w:r>
      <w:r>
        <w:rPr>
          <w:rFonts w:ascii="Times New Roman" w:hAnsi="Times New Roman"/>
        </w:rPr>
        <w:t>1</w:t>
      </w:r>
      <w:r>
        <w:t>.</w:t>
      </w:r>
      <w:r>
        <w:rPr>
          <w:rFonts w:ascii="Times New Roman" w:hAnsi="Times New Roman"/>
        </w:rPr>
        <w:t>3</w:t>
      </w:r>
      <w:bookmarkEnd w:id="156"/>
      <w:r>
        <w:rPr>
          <w:rFonts w:hint="eastAsia"/>
          <w:lang w:eastAsia="zh-CN"/>
        </w:rPr>
        <w:t>地质条件</w:t>
      </w:r>
    </w:p>
    <w:p>
      <w:pPr>
        <w:rPr>
          <w:rFonts w:hint="eastAsia"/>
        </w:rPr>
      </w:pPr>
      <w:r>
        <w:rPr>
          <w:rFonts w:hint="eastAsia"/>
          <w:lang w:eastAsia="zh-CN"/>
        </w:rPr>
        <w:t>（</w:t>
      </w:r>
      <w:r>
        <w:rPr>
          <w:rFonts w:hint="eastAsia" w:ascii="Times New Roman" w:hAnsi="Times New Roman"/>
          <w:lang w:val="en-US" w:eastAsia="zh-CN"/>
        </w:rPr>
        <w:t>1</w:t>
      </w:r>
      <w:r>
        <w:rPr>
          <w:rFonts w:hint="eastAsia"/>
          <w:lang w:eastAsia="zh-CN"/>
        </w:rPr>
        <w:t>）</w:t>
      </w:r>
      <w:r>
        <w:rPr>
          <w:rFonts w:hint="eastAsia"/>
        </w:rPr>
        <w:t>区域地层</w:t>
      </w:r>
    </w:p>
    <w:p>
      <w:pPr>
        <w:rPr>
          <w:rFonts w:hint="eastAsia"/>
        </w:rPr>
      </w:pPr>
      <w:r>
        <w:rPr>
          <w:rFonts w:hint="eastAsia"/>
        </w:rPr>
        <w:t>乌苏市境内地层发育的特点是：新生代及其以前的地层主要分布在国道</w:t>
      </w:r>
      <w:r>
        <w:rPr>
          <w:rFonts w:hint="eastAsia" w:ascii="Times New Roman" w:hAnsi="Times New Roman"/>
        </w:rPr>
        <w:t>312</w:t>
      </w:r>
      <w:r>
        <w:rPr>
          <w:rFonts w:hint="eastAsia"/>
        </w:rPr>
        <w:t>线以南的高山和丘陵地带。主要有古生界（</w:t>
      </w:r>
      <w:r>
        <w:rPr>
          <w:rFonts w:hint="eastAsia" w:ascii="Times New Roman" w:hAnsi="Times New Roman"/>
        </w:rPr>
        <w:t>Pz</w:t>
      </w:r>
      <w:r>
        <w:rPr>
          <w:rFonts w:hint="eastAsia"/>
        </w:rPr>
        <w:t>）的志留系、泥盆系、石炭系、二叠系及中生界的三叠系、侏罗系、白垩系和新生界的第三系的基岩出露，从山前至国道</w:t>
      </w:r>
      <w:r>
        <w:rPr>
          <w:rFonts w:hint="eastAsia" w:ascii="Times New Roman" w:hAnsi="Times New Roman"/>
        </w:rPr>
        <w:t>312</w:t>
      </w:r>
      <w:r>
        <w:rPr>
          <w:rFonts w:hint="eastAsia"/>
        </w:rPr>
        <w:t>线以北的广大地区为第四系覆盖，无基岩出露。南部山区为古生代地层，中生代和新生代第三纪地层沿山前陆续分布，第四纪广泛分布于平原地区。在地层分区上，乌苏市境内所出露的地层属于北天山地层区依连哈比尔尕小区和玛纳斯小区。占全市面积三分之二的平原地区均为第四纪覆盖，无基岩出露。</w:t>
      </w:r>
    </w:p>
    <w:p>
      <w:pPr>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）区域地质构造及地震</w:t>
      </w:r>
    </w:p>
    <w:p>
      <w:pPr>
        <w:rPr>
          <w:rFonts w:hint="eastAsia"/>
        </w:rPr>
      </w:pPr>
      <w:r>
        <w:rPr>
          <w:rFonts w:hint="eastAsia"/>
        </w:rPr>
        <w:t>乌苏位于准噶尔盆地西南缘、天山支脉婆罗科努山和依连哈比尔尕山北麓大地构造属于天山—兴安地槽区准噶尔—天山褶皱系的一部分，包括两个二级构造单元：平原区北部属于准噶尔坳陷中的车排子隆起，平原区的南部及北天山地区属北天山地槽褶皱带中的乌鲁木齐山前坳陷、依连哈比尔尕复向斜和婆罗克努复背斜。</w:t>
      </w:r>
    </w:p>
    <w:p>
      <w:pPr>
        <w:rPr>
          <w:rFonts w:hint="eastAsia"/>
        </w:rPr>
      </w:pPr>
      <w:r>
        <w:rPr>
          <w:rFonts w:hint="eastAsia"/>
        </w:rPr>
        <w:t>从大地构造运动上看，乌苏区域及其外围，包括天山北坡、西准噶尔界山东南坡以及它们之间的准噶尔盆地，自古生代以来的漫长历史时期，经受了多次构造运动，形成了天山东西向构造体系、北山多字型构造体系和北西向构造体系。在三大构造体系的控制下，发育而成为现代的地貌景观，它在一定程度上又反应了挽近期构造运动的性质、强度及其景观，中生代时，南、西、北三面断续相对上升为山地，其间相对下降为盆地，同时，在天山山前形成明显的坳陷带，并接受来自山地的巨厚陆相沉积。第三纪时，在强烈的喜马拉雅运动的影响下，山地与盆地间块断式的升降运动强烈，使中生代地层产生断裂和褶皱，山前坳陷也随着北迁西移，到新第三纪时形成以乌苏—奎屯为中心沉积区，再次接受新的堆积。进入第四纪，本区构造运动仍很强烈，地壳的变化以垂直升降运动为主，水平运动次之。</w:t>
      </w:r>
    </w:p>
    <w:p>
      <w:r>
        <w:rPr>
          <w:rFonts w:hint="eastAsia"/>
        </w:rPr>
        <w:t>从地震活动历史上看，乌苏地区位于北天山地震带西段的中部，历史上曾遭受多次大地震的劫难，据不完全统计，</w:t>
      </w:r>
      <w:r>
        <w:rPr>
          <w:rFonts w:hint="eastAsia" w:ascii="Times New Roman" w:hAnsi="Times New Roman"/>
        </w:rPr>
        <w:t>20</w:t>
      </w:r>
      <w:r>
        <w:rPr>
          <w:rFonts w:hint="eastAsia"/>
        </w:rPr>
        <w:t>世纪以来，乌苏及邻区共发生</w:t>
      </w:r>
      <w:r>
        <w:rPr>
          <w:rFonts w:hint="eastAsia" w:ascii="Times New Roman" w:hAnsi="Times New Roman"/>
        </w:rPr>
        <w:t>4</w:t>
      </w:r>
      <w:r>
        <w:rPr>
          <w:rFonts w:hint="eastAsia"/>
        </w:rPr>
        <w:t>.</w:t>
      </w:r>
      <w:r>
        <w:rPr>
          <w:rFonts w:hint="eastAsia" w:ascii="Times New Roman" w:hAnsi="Times New Roman"/>
        </w:rPr>
        <w:t>7</w:t>
      </w:r>
      <w:r>
        <w:rPr>
          <w:rFonts w:hint="eastAsia"/>
        </w:rPr>
        <w:t xml:space="preserve">级以上地震 </w:t>
      </w:r>
      <w:r>
        <w:rPr>
          <w:rFonts w:hint="eastAsia" w:ascii="Times New Roman" w:hAnsi="Times New Roman"/>
        </w:rPr>
        <w:t>30</w:t>
      </w:r>
      <w:r>
        <w:rPr>
          <w:rFonts w:hint="eastAsia"/>
        </w:rPr>
        <w:t xml:space="preserve"> 余次，其中</w:t>
      </w:r>
      <w:r>
        <w:rPr>
          <w:rFonts w:hint="eastAsia" w:ascii="Times New Roman" w:hAnsi="Times New Roman"/>
        </w:rPr>
        <w:t>6</w:t>
      </w:r>
      <w:r>
        <w:rPr>
          <w:rFonts w:hint="eastAsia"/>
        </w:rPr>
        <w:t>级以上地震</w:t>
      </w:r>
      <w:r>
        <w:rPr>
          <w:rFonts w:hint="eastAsia" w:ascii="Times New Roman" w:hAnsi="Times New Roman"/>
        </w:rPr>
        <w:t>5</w:t>
      </w:r>
      <w:r>
        <w:rPr>
          <w:rFonts w:hint="eastAsia"/>
        </w:rPr>
        <w:t>次。影响乌苏区域的地震烈度在</w:t>
      </w:r>
      <w:r>
        <w:rPr>
          <w:rFonts w:hint="eastAsia" w:ascii="Times New Roman" w:hAnsi="Times New Roman"/>
        </w:rPr>
        <w:t>7</w:t>
      </w:r>
      <w:r>
        <w:rPr>
          <w:rFonts w:hint="eastAsia"/>
        </w:rPr>
        <w:t>～</w:t>
      </w:r>
      <w:r>
        <w:rPr>
          <w:rFonts w:hint="eastAsia" w:ascii="Times New Roman" w:hAnsi="Times New Roman"/>
        </w:rPr>
        <w:t>8</w:t>
      </w:r>
      <w:r>
        <w:rPr>
          <w:rFonts w:hint="eastAsia"/>
        </w:rPr>
        <w:t>度，个别区域（如南部山区）达</w:t>
      </w:r>
      <w:r>
        <w:rPr>
          <w:rFonts w:hint="eastAsia" w:ascii="Times New Roman" w:hAnsi="Times New Roman"/>
        </w:rPr>
        <w:t>9</w:t>
      </w:r>
      <w:r>
        <w:rPr>
          <w:rFonts w:hint="eastAsia"/>
        </w:rPr>
        <w:t>度以上。</w:t>
      </w:r>
    </w:p>
    <w:p>
      <w:pPr>
        <w:rPr>
          <w:rFonts w:hint="eastAsia" w:eastAsia="宋体"/>
          <w:lang w:eastAsia="zh-CN"/>
        </w:rPr>
      </w:pPr>
      <w:r>
        <w:rPr>
          <w:rFonts w:hint="eastAsia"/>
          <w:lang w:eastAsia="zh-CN"/>
        </w:rPr>
        <w:t>（</w:t>
      </w:r>
      <w:r>
        <w:rPr>
          <w:rFonts w:hint="eastAsia" w:ascii="Times New Roman" w:hAnsi="Times New Roman"/>
          <w:lang w:val="en-US" w:eastAsia="zh-CN"/>
        </w:rPr>
        <w:t>3</w:t>
      </w:r>
      <w:r>
        <w:rPr>
          <w:rFonts w:hint="eastAsia"/>
          <w:lang w:eastAsia="zh-CN"/>
        </w:rPr>
        <w:t>）岩性</w:t>
      </w:r>
    </w:p>
    <w:p>
      <w:pPr>
        <w:rPr>
          <w:rFonts w:hint="eastAsia"/>
        </w:rPr>
      </w:pPr>
      <w:r>
        <w:rPr>
          <w:rFonts w:hint="eastAsia"/>
        </w:rPr>
        <w:t>境内岩石除各纪地层中大量沉积岩夹火山碎屑岩和少量浅变质岩外，其余为岩浆岩。岩浆岩在空间上严格受不同性质结构面控制，随深度不同，粒度亦不同。散见于山区各处的岩脉有：石英闪长岩脉、角闪辉长岩脉、辉绿岩脉、长英岩脉等。</w:t>
      </w:r>
    </w:p>
    <w:p>
      <w:pPr>
        <w:rPr>
          <w:rFonts w:hint="eastAsia" w:eastAsia="宋体"/>
          <w:lang w:eastAsia="zh-CN"/>
        </w:rPr>
      </w:pPr>
      <w:r>
        <w:rPr>
          <w:rFonts w:hint="eastAsia"/>
        </w:rPr>
        <w:t>厂区地层主要为卵砾石层，上覆第四系沉积，厂址工程地质条件较好。根据《中国地震动参数区划图》（</w:t>
      </w:r>
      <w:r>
        <w:rPr>
          <w:rFonts w:hint="eastAsia" w:ascii="Times New Roman" w:hAnsi="Times New Roman"/>
        </w:rPr>
        <w:t>GB18306</w:t>
      </w:r>
      <w:r>
        <w:rPr>
          <w:rFonts w:hint="eastAsia"/>
        </w:rPr>
        <w:t>-</w:t>
      </w:r>
      <w:r>
        <w:rPr>
          <w:rFonts w:hint="eastAsia" w:ascii="Times New Roman" w:hAnsi="Times New Roman"/>
        </w:rPr>
        <w:t>2001</w:t>
      </w:r>
      <w:r>
        <w:rPr>
          <w:rFonts w:hint="eastAsia"/>
        </w:rPr>
        <w:t>）划分，厂址所在区域地震基本烈度Ⅷ度。</w:t>
      </w:r>
    </w:p>
    <w:p>
      <w:pPr>
        <w:bidi w:val="0"/>
        <w:rPr>
          <w:rFonts w:hint="eastAsia"/>
          <w:lang w:eastAsia="zh-CN"/>
        </w:rPr>
      </w:pPr>
      <w:r>
        <w:rPr>
          <w:rFonts w:hint="eastAsia"/>
          <w:lang w:val="en-US" w:eastAsia="zh-CN"/>
        </w:rPr>
        <w:t>（</w:t>
      </w:r>
      <w:r>
        <w:rPr>
          <w:rFonts w:hint="eastAsia" w:ascii="Times New Roman" w:hAnsi="Times New Roman"/>
          <w:lang w:val="en-US" w:eastAsia="zh-CN"/>
        </w:rPr>
        <w:t>4</w:t>
      </w:r>
      <w:r>
        <w:rPr>
          <w:rFonts w:hint="eastAsia"/>
          <w:lang w:val="en-US" w:eastAsia="zh-CN"/>
        </w:rPr>
        <w:t>）厂区工程地质</w:t>
      </w:r>
    </w:p>
    <w:p>
      <w:pPr>
        <w:bidi w:val="0"/>
        <w:rPr>
          <w:rFonts w:hint="eastAsia"/>
        </w:rPr>
      </w:pPr>
      <w:r>
        <w:rPr>
          <w:rFonts w:hint="eastAsia"/>
        </w:rPr>
        <w:t>乌苏工业园区选址位于山前地带附近，处于奎屯河和四棵树河冲洪积倾斜平原的中上部，受构造和地形因素的共同控制，奎屯河和四棵树河的洪水携带着大量的碎屑颗粒物形成厚度达数百米的第四系松散沉积层。园区主要地层为卵砾石，灰褐色，稍密—中密，无明显层理，地层结构简单，性质均匀。为中粗砂充填，混有漂石，粘粒含量少，颗粒主要成份为砂岩和花岗岩。分选性一般，磨园度较好，级配较好，是典型的河相冲洪积物。园区场地相对稳定；受干旱气候的影响，地表普遍发育有中～弱盐渍土现象；地下水埋深大于</w:t>
      </w:r>
      <w:r>
        <w:rPr>
          <w:rFonts w:hint="eastAsia" w:ascii="Times New Roman" w:hAnsi="Times New Roman"/>
        </w:rPr>
        <w:t>80m</w:t>
      </w:r>
      <w:r>
        <w:rPr>
          <w:rFonts w:hint="eastAsia"/>
        </w:rPr>
        <w:t>。</w:t>
      </w:r>
    </w:p>
    <w:p>
      <w:pPr>
        <w:pStyle w:val="5"/>
        <w:spacing w:before="156"/>
      </w:pP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w:t>
      </w:r>
      <w:r>
        <w:rPr>
          <w:rFonts w:hint="eastAsia" w:ascii="Times New Roman" w:hAnsi="Times New Roman"/>
        </w:rPr>
        <w:t>4</w:t>
      </w:r>
      <w:r>
        <w:rPr>
          <w:rFonts w:hint="eastAsia"/>
        </w:rPr>
        <w:t>水文</w:t>
      </w:r>
      <w:r>
        <w:rPr>
          <w:rFonts w:hint="eastAsia"/>
          <w:lang w:eastAsia="zh-CN"/>
        </w:rPr>
        <w:t>及水文</w:t>
      </w:r>
      <w:r>
        <w:rPr>
          <w:rFonts w:hint="eastAsia"/>
        </w:rPr>
        <w:t>地质</w:t>
      </w:r>
    </w:p>
    <w:p>
      <w:pPr>
        <w:rPr>
          <w:rFonts w:hint="eastAsia" w:eastAsia="宋体"/>
          <w:lang w:eastAsia="zh-CN"/>
        </w:rPr>
      </w:pPr>
      <w:r>
        <w:rPr>
          <w:rFonts w:hint="eastAsia"/>
        </w:rPr>
        <w:t>（</w:t>
      </w:r>
      <w:r>
        <w:rPr>
          <w:rFonts w:hint="eastAsia" w:ascii="Times New Roman" w:hAnsi="Times New Roman"/>
        </w:rPr>
        <w:t>1</w:t>
      </w:r>
      <w:r>
        <w:rPr>
          <w:rFonts w:hint="eastAsia"/>
        </w:rPr>
        <w:t>）</w:t>
      </w:r>
      <w:r>
        <w:rPr>
          <w:rFonts w:hint="eastAsia"/>
          <w:lang w:eastAsia="zh-CN"/>
        </w:rPr>
        <w:t>地表水</w:t>
      </w:r>
    </w:p>
    <w:p>
      <w:r>
        <w:rPr>
          <w:rFonts w:hint="eastAsia"/>
        </w:rPr>
        <w:t>乌苏范围内发育有大小河流</w:t>
      </w:r>
      <w:r>
        <w:rPr>
          <w:rFonts w:hint="eastAsia" w:ascii="Times New Roman" w:hAnsi="Times New Roman"/>
        </w:rPr>
        <w:t>14</w:t>
      </w:r>
      <w:r>
        <w:rPr>
          <w:rFonts w:hint="eastAsia"/>
        </w:rPr>
        <w:t>条，均发源于天山北坡的高山及中低山区，河流流向由南向北，地表水资源的地区分布很不均匀，地表径流量主要集中于四大河流即奎屯河、四棵树河、古尔图河和八音沟河。四条河流实测多年平均径流量</w:t>
      </w:r>
      <w:r>
        <w:rPr>
          <w:rFonts w:hint="eastAsia" w:ascii="Times New Roman" w:hAnsi="Times New Roman"/>
        </w:rPr>
        <w:t>15</w:t>
      </w:r>
      <w:r>
        <w:rPr>
          <w:rFonts w:hint="eastAsia"/>
        </w:rPr>
        <w:t>.</w:t>
      </w:r>
      <w:r>
        <w:rPr>
          <w:rFonts w:hint="eastAsia" w:ascii="Times New Roman" w:hAnsi="Times New Roman"/>
        </w:rPr>
        <w:t>23</w:t>
      </w:r>
      <w:r>
        <w:rPr>
          <w:rFonts w:hint="eastAsia"/>
        </w:rPr>
        <w:t>×</w:t>
      </w:r>
      <w:r>
        <w:rPr>
          <w:rFonts w:hint="eastAsia" w:ascii="Times New Roman" w:hAnsi="Times New Roman"/>
        </w:rPr>
        <w:t>10</w:t>
      </w:r>
      <w:r>
        <w:rPr>
          <w:rFonts w:hint="eastAsia" w:ascii="Times New Roman" w:hAnsi="Times New Roman"/>
          <w:vertAlign w:val="superscript"/>
        </w:rPr>
        <w:t>8</w:t>
      </w:r>
      <w:r>
        <w:rPr>
          <w:rFonts w:hint="eastAsia" w:ascii="Times New Roman" w:hAnsi="Times New Roman"/>
          <w:lang w:val="en-US" w:eastAsia="zh-CN"/>
        </w:rPr>
        <w:t>m</w:t>
      </w:r>
      <w:r>
        <w:rPr>
          <w:rFonts w:hint="eastAsia"/>
          <w:lang w:val="en-US" w:eastAsia="zh-CN"/>
        </w:rPr>
        <w:t>³</w:t>
      </w:r>
      <w:r>
        <w:rPr>
          <w:rFonts w:hint="eastAsia"/>
        </w:rPr>
        <w:t>。</w:t>
      </w:r>
    </w:p>
    <w:p>
      <w:r>
        <w:rPr>
          <w:rFonts w:hint="eastAsia"/>
        </w:rPr>
        <w:t>①</w:t>
      </w:r>
      <w:r>
        <w:t>奎屯河</w:t>
      </w:r>
    </w:p>
    <w:p>
      <w:r>
        <w:t>奎屯河位于天山以北，准噶尔盆地西南边缘，发源于天山支脉的依连哈比尔尕山，流经独山子、乌苏、奎屯、精河入艾比湖，河流全长</w:t>
      </w:r>
      <w:r>
        <w:rPr>
          <w:rFonts w:ascii="Times New Roman" w:hAnsi="Times New Roman"/>
        </w:rPr>
        <w:t>220km</w:t>
      </w:r>
      <w:r>
        <w:t>，流域面积</w:t>
      </w:r>
      <w:r>
        <w:rPr>
          <w:rFonts w:ascii="Times New Roman" w:hAnsi="Times New Roman"/>
        </w:rPr>
        <w:t>1945k</w:t>
      </w:r>
      <w:r>
        <w:rPr>
          <w:rFonts w:hint="eastAsia"/>
        </w:rPr>
        <w:t>㎡</w:t>
      </w:r>
      <w:r>
        <w:t>。</w:t>
      </w:r>
      <w:r>
        <w:rPr>
          <w:rFonts w:hint="eastAsia"/>
        </w:rPr>
        <w:t>七十年代后期因兵团农七师在该河上建成多个水库，下游水量剧减，现已无水注入艾比河，形成独立水系。</w:t>
      </w:r>
      <w:r>
        <w:t>上游主要有</w:t>
      </w:r>
      <w:r>
        <w:rPr>
          <w:rFonts w:ascii="Times New Roman" w:hAnsi="Times New Roman"/>
        </w:rPr>
        <w:t>18</w:t>
      </w:r>
      <w:r>
        <w:t>条支流汇合而成，根据加勒果拉测站资料，年径流量为</w:t>
      </w:r>
      <w:r>
        <w:rPr>
          <w:rFonts w:ascii="Times New Roman" w:hAnsi="Times New Roman"/>
        </w:rPr>
        <w:t>6</w:t>
      </w:r>
      <w:r>
        <w:t>.</w:t>
      </w:r>
      <w:r>
        <w:rPr>
          <w:rFonts w:ascii="Times New Roman" w:hAnsi="Times New Roman"/>
        </w:rPr>
        <w:t>4</w:t>
      </w:r>
      <w:r>
        <w:t>亿</w:t>
      </w:r>
      <w:r>
        <w:rPr>
          <w:rFonts w:hint="eastAsia" w:ascii="Times New Roman" w:hAnsi="Times New Roman"/>
        </w:rPr>
        <w:t>m</w:t>
      </w:r>
      <w:r>
        <w:rPr>
          <w:rFonts w:hint="eastAsia"/>
        </w:rPr>
        <w:t>³</w:t>
      </w:r>
      <w:r>
        <w:t>，历年平均流量</w:t>
      </w:r>
      <w:r>
        <w:rPr>
          <w:rFonts w:ascii="Times New Roman" w:hAnsi="Times New Roman"/>
        </w:rPr>
        <w:t>20</w:t>
      </w:r>
      <w:r>
        <w:t>.</w:t>
      </w:r>
      <w:r>
        <w:rPr>
          <w:rFonts w:ascii="Times New Roman" w:hAnsi="Times New Roman"/>
        </w:rPr>
        <w:t>l</w:t>
      </w:r>
      <w:r>
        <w:rPr>
          <w:rFonts w:hint="eastAsia" w:ascii="Times New Roman" w:hAnsi="Times New Roman"/>
        </w:rPr>
        <w:t>m</w:t>
      </w:r>
      <w:r>
        <w:rPr>
          <w:rFonts w:hint="eastAsia"/>
        </w:rPr>
        <w:t>³</w:t>
      </w:r>
      <w:r>
        <w:t>/</w:t>
      </w:r>
      <w:r>
        <w:rPr>
          <w:rFonts w:ascii="Times New Roman" w:hAnsi="Times New Roman"/>
        </w:rPr>
        <w:t>s</w:t>
      </w:r>
      <w:r>
        <w:t>。每年</w:t>
      </w:r>
      <w:r>
        <w:rPr>
          <w:rFonts w:ascii="Times New Roman" w:hAnsi="Times New Roman"/>
        </w:rPr>
        <w:t>6</w:t>
      </w:r>
      <w:r>
        <w:t>月初至</w:t>
      </w:r>
      <w:r>
        <w:rPr>
          <w:rFonts w:ascii="Times New Roman" w:hAnsi="Times New Roman"/>
        </w:rPr>
        <w:t>9</w:t>
      </w:r>
      <w:r>
        <w:t>月底为洪水期，</w:t>
      </w:r>
      <w:r>
        <w:rPr>
          <w:rFonts w:ascii="Times New Roman" w:hAnsi="Times New Roman"/>
        </w:rPr>
        <w:t>10</w:t>
      </w:r>
      <w:r>
        <w:t>月至次年</w:t>
      </w:r>
      <w:r>
        <w:rPr>
          <w:rFonts w:ascii="Times New Roman" w:hAnsi="Times New Roman"/>
        </w:rPr>
        <w:t>5</w:t>
      </w:r>
      <w:r>
        <w:t>月为枯水期，冬夏河水流量悬殊较大，是典型的干旱区内流河，主要供给奎屯市、乌苏市和农七师城市用水和农业灌溉。</w:t>
      </w:r>
    </w:p>
    <w:p>
      <w:pPr>
        <w:rPr>
          <w:rFonts w:hint="eastAsia" w:eastAsia="宋体"/>
          <w:lang w:eastAsia="zh-CN"/>
        </w:rPr>
      </w:pPr>
      <w:r>
        <w:rPr>
          <w:rFonts w:hint="eastAsia"/>
        </w:rPr>
        <w:t>②</w:t>
      </w:r>
      <w:r>
        <w:rPr>
          <w:rFonts w:hint="eastAsia"/>
          <w:lang w:eastAsia="zh-CN"/>
        </w:rPr>
        <w:t>四棵树河</w:t>
      </w:r>
    </w:p>
    <w:p>
      <w:pPr>
        <w:rPr>
          <w:rFonts w:hint="eastAsia"/>
        </w:rPr>
      </w:pPr>
      <w:r>
        <w:rPr>
          <w:rFonts w:hint="eastAsia"/>
        </w:rPr>
        <w:t>四棵树河为乌苏市水量较丰富的河流，河流发源于婆罗科努山，受地质构造影响，河流走向自西东向折成南北向。呈羽状水系，集水面积</w:t>
      </w:r>
      <w:r>
        <w:rPr>
          <w:rFonts w:hint="eastAsia" w:ascii="Times New Roman" w:hAnsi="Times New Roman"/>
        </w:rPr>
        <w:t>921km</w:t>
      </w:r>
      <w:r>
        <w:rPr>
          <w:rFonts w:hint="eastAsia" w:ascii="Times New Roman" w:hAnsi="Times New Roman"/>
          <w:vertAlign w:val="superscript"/>
          <w:lang w:val="en-US" w:eastAsia="zh-CN"/>
        </w:rPr>
        <w:t>2</w:t>
      </w:r>
      <w:r>
        <w:rPr>
          <w:rFonts w:hint="eastAsia"/>
        </w:rPr>
        <w:t>，河长</w:t>
      </w:r>
      <w:r>
        <w:rPr>
          <w:rFonts w:hint="eastAsia" w:ascii="Times New Roman" w:hAnsi="Times New Roman"/>
        </w:rPr>
        <w:t>61km</w:t>
      </w:r>
      <w:r>
        <w:rPr>
          <w:rFonts w:hint="eastAsia"/>
        </w:rPr>
        <w:t>。山区流域平均高程较高，为</w:t>
      </w:r>
      <w:r>
        <w:rPr>
          <w:rFonts w:hint="eastAsia" w:ascii="Times New Roman" w:hAnsi="Times New Roman"/>
        </w:rPr>
        <w:t>2976m</w:t>
      </w:r>
      <w:r>
        <w:rPr>
          <w:rFonts w:hint="eastAsia"/>
        </w:rPr>
        <w:t>，河源主干哈夏造廷果勒冰川面积分布广大，最大一条冰川面积达</w:t>
      </w:r>
      <w:r>
        <w:rPr>
          <w:rFonts w:hint="eastAsia" w:ascii="Times New Roman" w:hAnsi="Times New Roman"/>
        </w:rPr>
        <w:t>22</w:t>
      </w:r>
      <w:r>
        <w:rPr>
          <w:rFonts w:hint="eastAsia"/>
        </w:rPr>
        <w:t>.</w:t>
      </w:r>
      <w:r>
        <w:rPr>
          <w:rFonts w:hint="eastAsia" w:ascii="Times New Roman" w:hAnsi="Times New Roman"/>
        </w:rPr>
        <w:t>96km</w:t>
      </w:r>
      <w:r>
        <w:rPr>
          <w:rFonts w:hint="eastAsia" w:ascii="Times New Roman" w:hAnsi="Times New Roman"/>
          <w:vertAlign w:val="superscript"/>
        </w:rPr>
        <w:t>2</w:t>
      </w:r>
      <w:r>
        <w:rPr>
          <w:rFonts w:hint="eastAsia"/>
        </w:rPr>
        <w:t>，冰储量</w:t>
      </w:r>
      <w:r>
        <w:rPr>
          <w:rFonts w:hint="eastAsia" w:ascii="Times New Roman" w:hAnsi="Times New Roman"/>
        </w:rPr>
        <w:t>2</w:t>
      </w:r>
      <w:r>
        <w:rPr>
          <w:rFonts w:hint="eastAsia"/>
        </w:rPr>
        <w:t>.</w:t>
      </w:r>
      <w:r>
        <w:rPr>
          <w:rFonts w:hint="eastAsia" w:ascii="Times New Roman" w:hAnsi="Times New Roman"/>
        </w:rPr>
        <w:t>87km</w:t>
      </w:r>
      <w:r>
        <w:rPr>
          <w:rFonts w:hint="eastAsia" w:ascii="Times New Roman" w:hAnsi="Times New Roman"/>
          <w:vertAlign w:val="superscript"/>
        </w:rPr>
        <w:t>3</w:t>
      </w:r>
      <w:r>
        <w:rPr>
          <w:rFonts w:hint="eastAsia"/>
        </w:rPr>
        <w:t>，河流干流两侧河网不对称，右岸较左岸发育，有较大支流东都果勒以及木呼尔吉尔嘎特勒，冰川资源十分丰富。该河因受地质构造作用，河谷狭长并多次弯折，河流比降变化十分突出，河流弯曲，具有良好的封闭性，该河多年平均径流量</w:t>
      </w:r>
      <w:r>
        <w:rPr>
          <w:rFonts w:hint="eastAsia" w:ascii="Times New Roman" w:hAnsi="Times New Roman"/>
        </w:rPr>
        <w:t>2</w:t>
      </w:r>
      <w:r>
        <w:rPr>
          <w:rFonts w:hint="eastAsia"/>
        </w:rPr>
        <w:t>.</w:t>
      </w:r>
      <w:r>
        <w:rPr>
          <w:rFonts w:hint="eastAsia" w:ascii="Times New Roman" w:hAnsi="Times New Roman"/>
        </w:rPr>
        <w:t>908</w:t>
      </w:r>
      <w:r>
        <w:rPr>
          <w:rFonts w:hint="eastAsia"/>
        </w:rPr>
        <w:t>×</w:t>
      </w:r>
      <w:r>
        <w:rPr>
          <w:rFonts w:hint="eastAsia" w:ascii="Times New Roman" w:hAnsi="Times New Roman"/>
        </w:rPr>
        <w:t>10</w:t>
      </w:r>
      <w:r>
        <w:rPr>
          <w:rFonts w:hint="eastAsia" w:ascii="Times New Roman" w:hAnsi="Times New Roman"/>
          <w:vertAlign w:val="superscript"/>
        </w:rPr>
        <w:t>8</w:t>
      </w:r>
      <w:r>
        <w:rPr>
          <w:rFonts w:hint="eastAsia" w:ascii="Times New Roman" w:hAnsi="Times New Roman"/>
        </w:rPr>
        <w:t>m</w:t>
      </w:r>
      <w:r>
        <w:rPr>
          <w:rFonts w:hint="eastAsia" w:ascii="Times New Roman" w:hAnsi="Times New Roman"/>
          <w:vertAlign w:val="superscript"/>
        </w:rPr>
        <w:t>3</w:t>
      </w:r>
      <w:r>
        <w:rPr>
          <w:rFonts w:hint="eastAsia"/>
        </w:rPr>
        <w:t>，高山区以冰雪融水补给河流为主，中低山区河流以降雨补给为主，此河是乌苏市农业开发重要的地表水资源。</w:t>
      </w:r>
    </w:p>
    <w:p>
      <w:r>
        <w:rPr>
          <w:rFonts w:hint="eastAsia"/>
        </w:rPr>
        <w:t xml:space="preserve">项目所在区域地表水为四棵树河，厂址位于四棵树河西侧约 </w:t>
      </w:r>
      <w:r>
        <w:rPr>
          <w:rFonts w:hint="eastAsia" w:ascii="Times New Roman" w:hAnsi="Times New Roman"/>
        </w:rPr>
        <w:t>2450m</w:t>
      </w:r>
      <w:r>
        <w:rPr>
          <w:rFonts w:hint="eastAsia"/>
        </w:rPr>
        <w:t>。</w:t>
      </w:r>
    </w:p>
    <w:p>
      <w:pPr>
        <w:rPr>
          <w:rFonts w:hint="eastAsia" w:eastAsia="宋体"/>
          <w:lang w:eastAsia="zh-CN"/>
        </w:rPr>
      </w:pPr>
      <w:r>
        <w:rPr>
          <w:rFonts w:hint="eastAsia"/>
        </w:rPr>
        <w:t>③</w:t>
      </w:r>
      <w:r>
        <w:rPr>
          <w:rFonts w:hint="eastAsia"/>
          <w:lang w:eastAsia="zh-CN"/>
        </w:rPr>
        <w:t>古尔图河</w:t>
      </w:r>
    </w:p>
    <w:p>
      <w:pPr>
        <w:rPr>
          <w:rFonts w:hint="eastAsia"/>
        </w:rPr>
      </w:pPr>
      <w:r>
        <w:rPr>
          <w:rFonts w:hint="eastAsia"/>
        </w:rPr>
        <w:t>古尔图河是</w:t>
      </w:r>
      <w:r>
        <w:rPr>
          <w:rFonts w:hint="eastAsia"/>
          <w:lang w:eastAsia="zh-CN"/>
        </w:rPr>
        <w:t>乌苏</w:t>
      </w:r>
      <w:r>
        <w:rPr>
          <w:rFonts w:hint="eastAsia"/>
        </w:rPr>
        <w:t>市</w:t>
      </w:r>
      <w:r>
        <w:rPr>
          <w:rFonts w:hint="eastAsia"/>
          <w:lang w:eastAsia="zh-CN"/>
        </w:rPr>
        <w:t>域</w:t>
      </w:r>
      <w:r>
        <w:rPr>
          <w:rFonts w:hint="eastAsia"/>
        </w:rPr>
        <w:t>较大的一条河流。河流发源于婆罗科努山主要山脉，河网呈多分支树叉状，水网发育，有充足的冰川融水补给。古尔图河有两大支流汇入，一只为阿秀果勒，另一支为东都果勒。阿秀果勒又由阿苏河和西伯担两大支流组成，高山区冰川面积达</w:t>
      </w:r>
      <w:r>
        <w:rPr>
          <w:rFonts w:hint="eastAsia" w:ascii="Times New Roman" w:hAnsi="Times New Roman"/>
        </w:rPr>
        <w:t>176</w:t>
      </w:r>
      <w:r>
        <w:rPr>
          <w:rFonts w:hint="eastAsia"/>
        </w:rPr>
        <w:t>.</w:t>
      </w:r>
      <w:r>
        <w:rPr>
          <w:rFonts w:hint="eastAsia" w:ascii="Times New Roman" w:hAnsi="Times New Roman"/>
        </w:rPr>
        <w:t>8km</w:t>
      </w:r>
      <w:r>
        <w:rPr>
          <w:rFonts w:hint="eastAsia" w:ascii="Times New Roman" w:hAnsi="Times New Roman"/>
          <w:vertAlign w:val="superscript"/>
        </w:rPr>
        <w:t>2</w:t>
      </w:r>
      <w:r>
        <w:rPr>
          <w:rFonts w:hint="eastAsia"/>
        </w:rPr>
        <w:t>，冰储量</w:t>
      </w:r>
      <w:r>
        <w:rPr>
          <w:rFonts w:hint="eastAsia" w:ascii="Times New Roman" w:hAnsi="Times New Roman"/>
        </w:rPr>
        <w:t>12</w:t>
      </w:r>
      <w:r>
        <w:rPr>
          <w:rFonts w:hint="eastAsia"/>
        </w:rPr>
        <w:t>.</w:t>
      </w:r>
      <w:r>
        <w:rPr>
          <w:rFonts w:hint="eastAsia" w:ascii="Times New Roman" w:hAnsi="Times New Roman"/>
        </w:rPr>
        <w:t>0258km</w:t>
      </w:r>
      <w:r>
        <w:rPr>
          <w:rFonts w:hint="eastAsia" w:ascii="Times New Roman" w:hAnsi="Times New Roman"/>
          <w:vertAlign w:val="superscript"/>
        </w:rPr>
        <w:t>3</w:t>
      </w:r>
      <w:r>
        <w:rPr>
          <w:rFonts w:hint="eastAsia"/>
        </w:rPr>
        <w:t>，虽然山区流域面积并非乌苏市最大，但冰储量是该市最丰富的。其突出特点因强劲的西来水汽沿伊犁河谷上行所导致的朔源侵蚀以及地质构造作用，山区最高点</w:t>
      </w:r>
      <w:r>
        <w:rPr>
          <w:rFonts w:hint="eastAsia" w:ascii="Times New Roman" w:hAnsi="Times New Roman"/>
        </w:rPr>
        <w:t>4691m</w:t>
      </w:r>
      <w:r>
        <w:rPr>
          <w:rFonts w:hint="eastAsia"/>
        </w:rPr>
        <w:t xml:space="preserve"> 位于古尔图河流域东侧，为古尔图河河源丰富的降水提供了有利的地形条件。该河集水面积</w:t>
      </w:r>
      <w:r>
        <w:rPr>
          <w:rFonts w:hint="eastAsia" w:ascii="Times New Roman" w:hAnsi="Times New Roman"/>
        </w:rPr>
        <w:t>1034km</w:t>
      </w:r>
      <w:r>
        <w:rPr>
          <w:rFonts w:hint="eastAsia" w:ascii="Times New Roman" w:hAnsi="Times New Roman"/>
          <w:vertAlign w:val="superscript"/>
        </w:rPr>
        <w:t>2</w:t>
      </w:r>
      <w:r>
        <w:rPr>
          <w:rFonts w:hint="eastAsia"/>
        </w:rPr>
        <w:t>，河长约</w:t>
      </w:r>
      <w:r>
        <w:rPr>
          <w:rFonts w:hint="eastAsia" w:ascii="Times New Roman" w:hAnsi="Times New Roman"/>
        </w:rPr>
        <w:t>50km</w:t>
      </w:r>
      <w:r>
        <w:rPr>
          <w:rFonts w:hint="eastAsia"/>
        </w:rPr>
        <w:t>，年径流量</w:t>
      </w:r>
      <w:r>
        <w:rPr>
          <w:rFonts w:hint="eastAsia" w:ascii="Times New Roman" w:hAnsi="Times New Roman"/>
        </w:rPr>
        <w:t>3</w:t>
      </w:r>
      <w:r>
        <w:rPr>
          <w:rFonts w:hint="eastAsia"/>
        </w:rPr>
        <w:t>.</w:t>
      </w:r>
      <w:r>
        <w:rPr>
          <w:rFonts w:hint="eastAsia" w:ascii="Times New Roman" w:hAnsi="Times New Roman"/>
        </w:rPr>
        <w:t>375</w:t>
      </w:r>
      <w:r>
        <w:rPr>
          <w:rFonts w:hint="eastAsia"/>
        </w:rPr>
        <w:t>×</w:t>
      </w:r>
      <w:r>
        <w:rPr>
          <w:rFonts w:hint="eastAsia" w:ascii="Times New Roman" w:hAnsi="Times New Roman"/>
        </w:rPr>
        <w:t>10</w:t>
      </w:r>
      <w:r>
        <w:rPr>
          <w:rFonts w:hint="eastAsia" w:ascii="Times New Roman" w:hAnsi="Times New Roman"/>
          <w:vertAlign w:val="superscript"/>
        </w:rPr>
        <w:t>8</w:t>
      </w:r>
      <w:r>
        <w:rPr>
          <w:rFonts w:hint="eastAsia" w:ascii="Times New Roman" w:hAnsi="Times New Roman"/>
        </w:rPr>
        <w:t>m</w:t>
      </w:r>
      <w:r>
        <w:rPr>
          <w:rFonts w:hint="eastAsia" w:ascii="Times New Roman" w:hAnsi="Times New Roman"/>
          <w:vertAlign w:val="superscript"/>
        </w:rPr>
        <w:t>3</w:t>
      </w:r>
      <w:r>
        <w:rPr>
          <w:rFonts w:hint="eastAsia"/>
        </w:rPr>
        <w:t>。</w:t>
      </w:r>
    </w:p>
    <w:p>
      <w:pPr>
        <w:rPr>
          <w:rFonts w:hint="eastAsia" w:eastAsia="宋体"/>
          <w:lang w:eastAsia="zh-CN"/>
        </w:rPr>
      </w:pPr>
      <w:r>
        <w:rPr>
          <w:rFonts w:hint="eastAsia"/>
          <w:lang w:eastAsia="zh-CN"/>
        </w:rPr>
        <w:t>④八音沟河</w:t>
      </w:r>
    </w:p>
    <w:p>
      <w:pPr>
        <w:rPr>
          <w:rFonts w:hint="eastAsia"/>
        </w:rPr>
      </w:pPr>
      <w:r>
        <w:rPr>
          <w:rFonts w:hint="eastAsia"/>
        </w:rPr>
        <w:t>八音沟河是乌苏市与沙湾县的界河。河流呈南北走向，以干流哈尔阿特分界，源头海拔较高，降水量丰沛，冰川比较发育，冰储量达</w:t>
      </w:r>
      <w:r>
        <w:rPr>
          <w:rFonts w:hint="eastAsia" w:ascii="Times New Roman" w:hAnsi="Times New Roman"/>
        </w:rPr>
        <w:t>11</w:t>
      </w:r>
      <w:r>
        <w:rPr>
          <w:rFonts w:hint="eastAsia"/>
        </w:rPr>
        <w:t>.</w:t>
      </w:r>
      <w:r>
        <w:rPr>
          <w:rFonts w:hint="eastAsia" w:ascii="Times New Roman" w:hAnsi="Times New Roman"/>
        </w:rPr>
        <w:t>206km</w:t>
      </w:r>
      <w:r>
        <w:rPr>
          <w:rFonts w:hint="eastAsia" w:ascii="Times New Roman" w:hAnsi="Times New Roman"/>
          <w:vertAlign w:val="superscript"/>
        </w:rPr>
        <w:t>3</w:t>
      </w:r>
      <w:r>
        <w:rPr>
          <w:rFonts w:hint="eastAsia"/>
        </w:rPr>
        <w:t>，左侧支流阿冬萨拉因背风坡缘故降水较少，小支流呈羽状水系排列，流程短小。该河出山口以上流域面积</w:t>
      </w:r>
      <w:r>
        <w:rPr>
          <w:rFonts w:hint="eastAsia" w:ascii="Times New Roman" w:hAnsi="Times New Roman"/>
        </w:rPr>
        <w:t>1092km</w:t>
      </w:r>
      <w:r>
        <w:rPr>
          <w:rFonts w:hint="eastAsia" w:ascii="Times New Roman" w:hAnsi="Times New Roman"/>
          <w:vertAlign w:val="superscript"/>
        </w:rPr>
        <w:t>2</w:t>
      </w:r>
      <w:r>
        <w:rPr>
          <w:rFonts w:hint="eastAsia"/>
        </w:rPr>
        <w:t>，在乌苏境内流域面积</w:t>
      </w:r>
      <w:r>
        <w:rPr>
          <w:rFonts w:hint="eastAsia" w:ascii="Times New Roman" w:hAnsi="Times New Roman"/>
        </w:rPr>
        <w:t>855km</w:t>
      </w:r>
      <w:r>
        <w:rPr>
          <w:rFonts w:hint="eastAsia" w:ascii="Times New Roman" w:hAnsi="Times New Roman"/>
          <w:vertAlign w:val="superscript"/>
        </w:rPr>
        <w:t>2</w:t>
      </w:r>
      <w:r>
        <w:rPr>
          <w:rFonts w:hint="eastAsia"/>
        </w:rPr>
        <w:t>。河流在巴音沟牧场一带折向东北，流入沙湾县境内。八音沟河水量归沙湾县使用，乌苏市不参加分水。</w:t>
      </w:r>
    </w:p>
    <w:p>
      <w:pPr>
        <w:rPr>
          <w:rFonts w:hint="eastAsia"/>
        </w:rPr>
      </w:pPr>
      <w:r>
        <w:t>项目区地表水系</w:t>
      </w:r>
      <w:r>
        <w:rPr>
          <w:rFonts w:hint="eastAsia"/>
          <w:lang w:eastAsia="zh-CN"/>
        </w:rPr>
        <w:t>图</w:t>
      </w:r>
      <w:r>
        <w:t>见</w:t>
      </w:r>
      <w:r>
        <w:rPr>
          <w:color w:val="FF0000"/>
        </w:rPr>
        <w:t>图</w:t>
      </w:r>
      <w:r>
        <w:rPr>
          <w:rFonts w:hint="eastAsia" w:ascii="Times New Roman" w:hAnsi="Times New Roman"/>
          <w:color w:val="FF0000"/>
          <w:lang w:val="en-US" w:eastAsia="zh-CN"/>
        </w:rPr>
        <w:t>5</w:t>
      </w:r>
      <w:r>
        <w:rPr>
          <w:rFonts w:hint="eastAsia"/>
          <w:color w:val="FF0000"/>
        </w:rPr>
        <w:t>.</w:t>
      </w:r>
      <w:r>
        <w:rPr>
          <w:rFonts w:ascii="Times New Roman" w:hAnsi="Times New Roman"/>
          <w:color w:val="FF0000"/>
        </w:rPr>
        <w:t>1</w:t>
      </w:r>
      <w:r>
        <w:rPr>
          <w:color w:val="FF0000"/>
        </w:rPr>
        <w:t>-</w:t>
      </w:r>
      <w:r>
        <w:rPr>
          <w:rFonts w:hint="eastAsia" w:ascii="Times New Roman" w:hAnsi="Times New Roman"/>
          <w:color w:val="FF0000"/>
          <w:lang w:val="en-US" w:eastAsia="zh-CN"/>
        </w:rPr>
        <w:t>2</w:t>
      </w:r>
      <w:r>
        <w:rPr>
          <w:color w:val="FF0000"/>
        </w:rPr>
        <w:t>。</w:t>
      </w:r>
    </w:p>
    <w:p>
      <w:pPr>
        <w:rPr>
          <w:rFonts w:hint="eastAsia" w:eastAsia="宋体"/>
          <w:lang w:eastAsia="zh-CN"/>
        </w:rPr>
      </w:pPr>
      <w:r>
        <w:rPr>
          <w:rFonts w:hint="eastAsia"/>
        </w:rPr>
        <w:t>（</w:t>
      </w:r>
      <w:r>
        <w:rPr>
          <w:rFonts w:hint="eastAsia" w:ascii="Times New Roman" w:hAnsi="Times New Roman"/>
        </w:rPr>
        <w:t>2</w:t>
      </w:r>
      <w:r>
        <w:rPr>
          <w:rFonts w:hint="eastAsia"/>
        </w:rPr>
        <w:t>）</w:t>
      </w:r>
      <w:r>
        <w:rPr>
          <w:rFonts w:hint="eastAsia"/>
          <w:lang w:eastAsia="zh-CN"/>
        </w:rPr>
        <w:t>地下水</w:t>
      </w:r>
    </w:p>
    <w:p>
      <w:pPr>
        <w:rPr>
          <w:rFonts w:hint="eastAsia" w:eastAsia="宋体"/>
          <w:lang w:eastAsia="zh-CN"/>
        </w:rPr>
      </w:pPr>
      <w:r>
        <w:rPr>
          <w:rFonts w:hint="eastAsia"/>
          <w:lang w:eastAsia="zh-CN"/>
        </w:rPr>
        <w:t>①地下水贮存条件和分布</w:t>
      </w:r>
    </w:p>
    <w:p>
      <w:pPr>
        <w:rPr>
          <w:rFonts w:hint="eastAsia"/>
        </w:rPr>
      </w:pPr>
      <w:r>
        <w:rPr>
          <w:rFonts w:hint="eastAsia"/>
        </w:rPr>
        <w:t>依据《奎屯河流域规划报告》，乌苏市属于奎屯河流域平原区中的冲洪积、冲积细土平原区</w:t>
      </w:r>
      <w:r>
        <w:rPr>
          <w:rFonts w:hint="eastAsia"/>
          <w:lang w:eastAsia="zh-CN"/>
        </w:rPr>
        <w:t>，</w:t>
      </w:r>
      <w:r>
        <w:rPr>
          <w:rFonts w:hint="eastAsia"/>
        </w:rPr>
        <w:t>第四纪松散岩类孔隙水赋存广泛，且以承压（自流）水广泛分布为特征，地下水埋藏深一般小于</w:t>
      </w:r>
      <w:r>
        <w:rPr>
          <w:rFonts w:hint="eastAsia" w:ascii="Times New Roman" w:hAnsi="Times New Roman"/>
          <w:lang w:val="en-US" w:eastAsia="zh-CN"/>
        </w:rPr>
        <w:t>1</w:t>
      </w:r>
      <w:r>
        <w:rPr>
          <w:rFonts w:hint="eastAsia" w:ascii="Times New Roman" w:hAnsi="Times New Roman"/>
        </w:rPr>
        <w:t>0m</w:t>
      </w:r>
      <w:r>
        <w:rPr>
          <w:rFonts w:hint="eastAsia"/>
        </w:rPr>
        <w:t>。</w:t>
      </w:r>
    </w:p>
    <w:p>
      <w:pPr>
        <w:bidi w:val="0"/>
        <w:rPr>
          <w:rFonts w:hint="eastAsia"/>
        </w:rPr>
      </w:pPr>
      <w:r>
        <w:rPr>
          <w:rFonts w:hint="eastAsia"/>
        </w:rPr>
        <w:t>潜水除溢出带以上地区含水层厚度较大、含水介质为富水砂砾石外，溢出带以下的广阔地区含水层厚度一般较薄、含水介质为砂及粉土且含水层富水较弱。</w:t>
      </w:r>
    </w:p>
    <w:p>
      <w:pPr>
        <w:bidi w:val="0"/>
        <w:rPr>
          <w:rFonts w:hint="eastAsia"/>
        </w:rPr>
      </w:pPr>
      <w:r>
        <w:rPr>
          <w:rFonts w:hint="eastAsia"/>
        </w:rPr>
        <w:t>承压（自流）水的分布范围南部大致以</w:t>
      </w:r>
      <w:r>
        <w:rPr>
          <w:rFonts w:hint="eastAsia" w:ascii="Times New Roman" w:hAnsi="Times New Roman"/>
        </w:rPr>
        <w:t>312</w:t>
      </w:r>
      <w:r>
        <w:rPr>
          <w:rFonts w:hint="eastAsia"/>
        </w:rPr>
        <w:t>国道北为界，北部以奎屯河道北为界。</w:t>
      </w:r>
    </w:p>
    <w:p>
      <w:pPr>
        <w:bidi w:val="0"/>
        <w:rPr>
          <w:rFonts w:hint="eastAsia"/>
        </w:rPr>
      </w:pPr>
      <w:r>
        <w:rPr>
          <w:rFonts w:hint="eastAsia"/>
        </w:rPr>
        <w:t>奎屯河至四棵树河的河间地块，柳树灌区以南的承压含水层（组）埋藏深度一般在</w:t>
      </w:r>
      <w:r>
        <w:rPr>
          <w:rFonts w:hint="eastAsia" w:ascii="Times New Roman" w:hAnsi="Times New Roman"/>
        </w:rPr>
        <w:t>20</w:t>
      </w:r>
      <w:r>
        <w:rPr>
          <w:rFonts w:hint="eastAsia"/>
        </w:rPr>
        <w:t>～</w:t>
      </w:r>
      <w:r>
        <w:rPr>
          <w:rFonts w:hint="eastAsia" w:ascii="Times New Roman" w:hAnsi="Times New Roman"/>
        </w:rPr>
        <w:t>30m</w:t>
      </w:r>
      <w:r>
        <w:rPr>
          <w:rFonts w:hint="eastAsia"/>
        </w:rPr>
        <w:t>，但含水层较薄，自流含水层在</w:t>
      </w:r>
      <w:r>
        <w:rPr>
          <w:rFonts w:hint="eastAsia" w:ascii="Times New Roman" w:hAnsi="Times New Roman"/>
        </w:rPr>
        <w:t>30</w:t>
      </w:r>
      <w:r>
        <w:rPr>
          <w:rFonts w:hint="eastAsia"/>
        </w:rPr>
        <w:t>～</w:t>
      </w:r>
      <w:r>
        <w:rPr>
          <w:rFonts w:hint="eastAsia" w:ascii="Times New Roman" w:hAnsi="Times New Roman"/>
        </w:rPr>
        <w:t>60m</w:t>
      </w:r>
      <w:r>
        <w:rPr>
          <w:rFonts w:hint="eastAsia"/>
        </w:rPr>
        <w:t xml:space="preserve">深度以下，水头一般高出地面 </w:t>
      </w:r>
      <w:r>
        <w:rPr>
          <w:rFonts w:hint="eastAsia" w:ascii="Times New Roman" w:hAnsi="Times New Roman"/>
        </w:rPr>
        <w:t>10</w:t>
      </w:r>
      <w:r>
        <w:rPr>
          <w:rFonts w:hint="eastAsia"/>
        </w:rPr>
        <w:t>～</w:t>
      </w:r>
      <w:r>
        <w:rPr>
          <w:rFonts w:hint="eastAsia" w:ascii="Times New Roman" w:hAnsi="Times New Roman"/>
        </w:rPr>
        <w:t>20m</w:t>
      </w:r>
      <w:r>
        <w:rPr>
          <w:rFonts w:hint="eastAsia"/>
        </w:rPr>
        <w:t>；车排子灌区承压含水层埋藏在</w:t>
      </w:r>
      <w:r>
        <w:rPr>
          <w:rFonts w:hint="eastAsia" w:ascii="Times New Roman" w:hAnsi="Times New Roman"/>
        </w:rPr>
        <w:t>30</w:t>
      </w:r>
      <w:r>
        <w:rPr>
          <w:rFonts w:hint="eastAsia"/>
        </w:rPr>
        <w:t>～</w:t>
      </w:r>
      <w:r>
        <w:rPr>
          <w:rFonts w:hint="eastAsia" w:ascii="Times New Roman" w:hAnsi="Times New Roman"/>
        </w:rPr>
        <w:t>150m</w:t>
      </w:r>
      <w:r>
        <w:rPr>
          <w:rFonts w:hint="eastAsia"/>
        </w:rPr>
        <w:t>，自流含水层埋藏在</w:t>
      </w:r>
      <w:r>
        <w:rPr>
          <w:rFonts w:hint="eastAsia" w:ascii="Times New Roman" w:hAnsi="Times New Roman"/>
        </w:rPr>
        <w:t>200m</w:t>
      </w:r>
      <w:r>
        <w:rPr>
          <w:rFonts w:hint="eastAsia"/>
        </w:rPr>
        <w:t>深度以下。</w:t>
      </w:r>
    </w:p>
    <w:p>
      <w:pPr>
        <w:rPr>
          <w:rFonts w:hint="eastAsia"/>
          <w:lang w:val="en-US" w:eastAsia="zh-CN"/>
        </w:rPr>
      </w:pPr>
      <w:r>
        <w:rPr>
          <w:rFonts w:hint="eastAsia"/>
          <w:lang w:eastAsia="zh-CN"/>
        </w:rPr>
        <w:t>区域水文地质剖面图见</w:t>
      </w:r>
      <w:r>
        <w:rPr>
          <w:rFonts w:hint="eastAsia"/>
          <w:color w:val="FF0000"/>
          <w:lang w:eastAsia="zh-CN"/>
        </w:rPr>
        <w:t>图</w:t>
      </w:r>
      <w:r>
        <w:rPr>
          <w:rFonts w:hint="eastAsia" w:ascii="Times New Roman" w:hAnsi="Times New Roman"/>
          <w:color w:val="FF0000"/>
          <w:lang w:val="en-US" w:eastAsia="zh-CN"/>
        </w:rPr>
        <w:t>5</w:t>
      </w:r>
      <w:r>
        <w:rPr>
          <w:rFonts w:hint="eastAsia"/>
          <w:color w:val="FF0000"/>
          <w:lang w:val="en-US" w:eastAsia="zh-CN"/>
        </w:rPr>
        <w:t>.</w:t>
      </w:r>
      <w:r>
        <w:rPr>
          <w:rFonts w:hint="eastAsia" w:ascii="Times New Roman" w:hAnsi="Times New Roman"/>
          <w:color w:val="FF0000"/>
          <w:lang w:val="en-US" w:eastAsia="zh-CN"/>
        </w:rPr>
        <w:t>1</w:t>
      </w:r>
      <w:r>
        <w:rPr>
          <w:rFonts w:hint="eastAsia"/>
          <w:color w:val="FF0000"/>
          <w:lang w:val="en-US" w:eastAsia="zh-CN"/>
        </w:rPr>
        <w:t>-</w:t>
      </w:r>
      <w:r>
        <w:rPr>
          <w:rFonts w:hint="eastAsia" w:ascii="Times New Roman" w:hAnsi="Times New Roman"/>
          <w:color w:val="FF0000"/>
          <w:lang w:val="en-US" w:eastAsia="zh-CN"/>
        </w:rPr>
        <w:t>3</w:t>
      </w:r>
      <w:r>
        <w:rPr>
          <w:rFonts w:hint="eastAsia"/>
          <w:lang w:val="en-US" w:eastAsia="zh-CN"/>
        </w:rPr>
        <w:t>。</w:t>
      </w:r>
    </w:p>
    <w:p>
      <w:pPr>
        <w:pStyle w:val="20"/>
        <w:bidi w:val="0"/>
        <w:rPr>
          <w:rFonts w:hint="default"/>
          <w:lang w:val="en-US" w:eastAsia="zh-CN"/>
        </w:rPr>
      </w:pPr>
      <w:r>
        <w:rPr>
          <w:rFonts w:ascii="宋体" w:hAnsi="宋体" w:eastAsia="宋体" w:cs="宋体"/>
          <w:kern w:val="0"/>
          <w:sz w:val="24"/>
          <w:szCs w:val="24"/>
          <w:lang w:val="en-US" w:eastAsia="zh-CN" w:bidi="ar"/>
        </w:rPr>
        <w:drawing>
          <wp:anchor distT="0" distB="0" distL="114300" distR="114300" simplePos="0" relativeHeight="251675648" behindDoc="0" locked="0" layoutInCell="1" allowOverlap="1">
            <wp:simplePos x="0" y="0"/>
            <wp:positionH relativeFrom="column">
              <wp:posOffset>-133985</wp:posOffset>
            </wp:positionH>
            <wp:positionV relativeFrom="paragraph">
              <wp:posOffset>172085</wp:posOffset>
            </wp:positionV>
            <wp:extent cx="5852160" cy="2676525"/>
            <wp:effectExtent l="9525" t="9525" r="24765" b="19050"/>
            <wp:wrapTopAndBottom/>
            <wp:docPr id="6"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IMG_256"/>
                    <pic:cNvPicPr>
                      <a:picLocks noChangeAspect="1"/>
                    </pic:cNvPicPr>
                  </pic:nvPicPr>
                  <pic:blipFill>
                    <a:blip r:embed="rId58"/>
                    <a:stretch>
                      <a:fillRect/>
                    </a:stretch>
                  </pic:blipFill>
                  <pic:spPr>
                    <a:xfrm>
                      <a:off x="0" y="0"/>
                      <a:ext cx="5852160" cy="2676525"/>
                    </a:xfrm>
                    <a:prstGeom prst="rect">
                      <a:avLst/>
                    </a:prstGeom>
                    <a:noFill/>
                    <a:ln w="9525">
                      <a:solidFill>
                        <a:schemeClr val="tx1"/>
                      </a:solidFill>
                    </a:ln>
                  </pic:spPr>
                </pic:pic>
              </a:graphicData>
            </a:graphic>
          </wp:anchor>
        </w:drawing>
      </w:r>
      <w:r>
        <w:rPr>
          <w:rFonts w:hint="eastAsia"/>
          <w:lang w:val="en-US" w:eastAsia="zh-CN"/>
        </w:rPr>
        <w:t>图</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 xml:space="preserve">  区域水文地质剖面图</w:t>
      </w:r>
    </w:p>
    <w:p>
      <w:pPr>
        <w:keepNext w:val="0"/>
        <w:keepLines w:val="0"/>
        <w:widowControl/>
        <w:suppressLineNumbers w:val="0"/>
        <w:jc w:val="left"/>
        <w:rPr>
          <w:rFonts w:hint="eastAsia" w:eastAsia="宋体"/>
          <w:lang w:eastAsia="zh-CN"/>
        </w:rPr>
      </w:pPr>
      <w:r>
        <w:rPr>
          <w:rFonts w:hint="eastAsia"/>
          <w:lang w:eastAsia="zh-CN"/>
        </w:rPr>
        <w:t>②地下水的补给、径流、排泄</w:t>
      </w:r>
    </w:p>
    <w:p>
      <w:pPr>
        <w:bidi w:val="0"/>
        <w:rPr>
          <w:rFonts w:hint="eastAsia"/>
          <w:lang w:val="en-US" w:eastAsia="zh-CN"/>
        </w:rPr>
      </w:pPr>
      <w:bookmarkStart w:id="157" w:name="_Toc14274"/>
      <w:r>
        <w:rPr>
          <w:rFonts w:hint="eastAsia"/>
          <w:lang w:val="en-US" w:eastAsia="zh-CN"/>
        </w:rPr>
        <w:t>依据《奎屯河流域规划报告》，冲洪积、冲积细土平原的地下水一方面受山前洪积砾质倾斜平原地下水的侧向径流补给，另一方面灌区内渠道水、水库水、田灌水也大量渗漏补给地下水。山前洪积砾质倾斜平原地下水的径流补给是细土平原区中深部承压水的最主要补给源（特别是南部山前洪积砾质平原地下水的侧向径流补给），灌区内渠道水、水库水、田间灌溉水的渗漏主要补给潜水。深层承压水有向上越流、顶托补给潜水的现象。细土平原地形比较平缓，地层颗粒细，地下水径流缓慢，潜水位埋藏浅，潜水的蒸发蒸腾作用强烈，潜水蒸发蒸腾与人工开采是地下水排泄主要形式。</w:t>
      </w:r>
    </w:p>
    <w:p>
      <w:pPr>
        <w:bidi w:val="0"/>
        <w:rPr>
          <w:rFonts w:hint="eastAsia"/>
          <w:lang w:val="en-US" w:eastAsia="zh-CN"/>
        </w:rPr>
      </w:pPr>
      <w:r>
        <w:rPr>
          <w:rFonts w:hint="eastAsia"/>
          <w:lang w:val="en-US" w:eastAsia="zh-CN"/>
        </w:rPr>
        <w:t>③地下水类型及分布规律</w:t>
      </w:r>
    </w:p>
    <w:p>
      <w:pPr>
        <w:bidi w:val="0"/>
        <w:rPr>
          <w:rFonts w:hint="eastAsia"/>
          <w:lang w:val="en-US" w:eastAsia="zh-CN"/>
        </w:rPr>
      </w:pPr>
      <w:r>
        <w:rPr>
          <w:rFonts w:hint="eastAsia"/>
          <w:lang w:val="en-US" w:eastAsia="zh-CN"/>
        </w:rPr>
        <w:t>依据《奎屯河流域规划报告》，冲洪积、冲积平原地势平缓，地层颗粒细，潜水径流条件较差，潜水埋藏浅以垂向交替循环为主，蒸发浓缩作用强，以脱碳酸作用为主，使水中的</w:t>
      </w:r>
      <w:r>
        <w:rPr>
          <w:rFonts w:hint="eastAsia" w:ascii="Times New Roman" w:hAnsi="Times New Roman"/>
          <w:lang w:val="en-US" w:eastAsia="zh-CN"/>
        </w:rPr>
        <w:t>SO</w:t>
      </w:r>
      <w:r>
        <w:rPr>
          <w:rFonts w:hint="eastAsia" w:ascii="Times New Roman" w:hAnsi="Times New Roman"/>
          <w:vertAlign w:val="subscript"/>
          <w:lang w:val="en-US" w:eastAsia="zh-CN"/>
        </w:rPr>
        <w:t>4</w:t>
      </w:r>
      <w:r>
        <w:rPr>
          <w:rFonts w:hint="eastAsia" w:ascii="Times New Roman" w:hAnsi="Times New Roman"/>
          <w:vertAlign w:val="superscript"/>
          <w:lang w:val="en-US" w:eastAsia="zh-CN"/>
        </w:rPr>
        <w:t>2</w:t>
      </w:r>
      <w:r>
        <w:rPr>
          <w:rFonts w:hint="eastAsia"/>
          <w:vertAlign w:val="superscript"/>
          <w:lang w:val="en-US" w:eastAsia="zh-CN"/>
        </w:rPr>
        <w:t>-</w:t>
      </w:r>
      <w:r>
        <w:rPr>
          <w:rFonts w:hint="eastAsia"/>
          <w:lang w:val="en-US" w:eastAsia="zh-CN"/>
        </w:rPr>
        <w:t>相应增加，主要为</w:t>
      </w:r>
      <w:r>
        <w:rPr>
          <w:rFonts w:hint="eastAsia" w:ascii="Times New Roman" w:hAnsi="Times New Roman"/>
          <w:lang w:val="en-US" w:eastAsia="zh-CN"/>
        </w:rPr>
        <w:t>SO</w:t>
      </w:r>
      <w:r>
        <w:rPr>
          <w:rFonts w:hint="eastAsia" w:ascii="Times New Roman" w:hAnsi="Times New Roman"/>
          <w:vertAlign w:val="subscript"/>
          <w:lang w:val="en-US" w:eastAsia="zh-CN"/>
        </w:rPr>
        <w:t>4</w:t>
      </w:r>
      <w:r>
        <w:rPr>
          <w:rFonts w:hint="eastAsia"/>
          <w:lang w:val="en-US" w:eastAsia="zh-CN"/>
        </w:rPr>
        <w:t>·</w:t>
      </w:r>
      <w:r>
        <w:rPr>
          <w:rFonts w:hint="eastAsia" w:ascii="Times New Roman" w:hAnsi="Times New Roman"/>
          <w:lang w:val="en-US" w:eastAsia="zh-CN"/>
        </w:rPr>
        <w:t>Cl</w:t>
      </w:r>
      <w:r>
        <w:rPr>
          <w:rFonts w:hint="eastAsia"/>
          <w:lang w:val="en-US" w:eastAsia="zh-CN"/>
        </w:rPr>
        <w:t>－</w:t>
      </w:r>
      <w:r>
        <w:rPr>
          <w:rFonts w:hint="eastAsia" w:ascii="Times New Roman" w:hAnsi="Times New Roman"/>
          <w:lang w:val="en-US" w:eastAsia="zh-CN"/>
        </w:rPr>
        <w:t>Na</w:t>
      </w:r>
      <w:r>
        <w:rPr>
          <w:rFonts w:hint="eastAsia"/>
          <w:lang w:val="en-US" w:eastAsia="zh-CN"/>
        </w:rPr>
        <w:t>·</w:t>
      </w:r>
      <w:r>
        <w:rPr>
          <w:rFonts w:hint="eastAsia" w:ascii="Times New Roman" w:hAnsi="Times New Roman"/>
          <w:lang w:val="en-US" w:eastAsia="zh-CN"/>
        </w:rPr>
        <w:t>Ca</w:t>
      </w:r>
      <w:r>
        <w:rPr>
          <w:rFonts w:hint="eastAsia"/>
          <w:lang w:val="en-US" w:eastAsia="zh-CN"/>
        </w:rPr>
        <w:t>型，最终向</w:t>
      </w:r>
      <w:r>
        <w:rPr>
          <w:rFonts w:hint="eastAsia" w:ascii="Times New Roman" w:hAnsi="Times New Roman"/>
          <w:lang w:val="en-US" w:eastAsia="zh-CN"/>
        </w:rPr>
        <w:t>Cl</w:t>
      </w:r>
      <w:r>
        <w:rPr>
          <w:rFonts w:hint="eastAsia"/>
          <w:lang w:val="en-US" w:eastAsia="zh-CN"/>
        </w:rPr>
        <w:t>·</w:t>
      </w:r>
      <w:r>
        <w:rPr>
          <w:rFonts w:hint="eastAsia" w:ascii="Times New Roman" w:hAnsi="Times New Roman"/>
          <w:lang w:val="en-US" w:eastAsia="zh-CN"/>
        </w:rPr>
        <w:t>SO</w:t>
      </w:r>
      <w:r>
        <w:rPr>
          <w:rFonts w:hint="eastAsia" w:ascii="Times New Roman" w:hAnsi="Times New Roman"/>
          <w:vertAlign w:val="subscript"/>
          <w:lang w:val="en-US" w:eastAsia="zh-CN"/>
        </w:rPr>
        <w:t>4</w:t>
      </w:r>
      <w:r>
        <w:rPr>
          <w:rFonts w:hint="eastAsia"/>
          <w:lang w:val="en-US" w:eastAsia="zh-CN"/>
        </w:rPr>
        <w:t>－</w:t>
      </w:r>
      <w:r>
        <w:rPr>
          <w:rFonts w:hint="eastAsia" w:ascii="Times New Roman" w:hAnsi="Times New Roman"/>
          <w:lang w:val="en-US" w:eastAsia="zh-CN"/>
        </w:rPr>
        <w:t>Na</w:t>
      </w:r>
      <w:r>
        <w:rPr>
          <w:rFonts w:hint="eastAsia"/>
          <w:lang w:val="en-US" w:eastAsia="zh-CN"/>
        </w:rPr>
        <w:t>和</w:t>
      </w:r>
      <w:r>
        <w:rPr>
          <w:rFonts w:hint="eastAsia" w:ascii="Times New Roman" w:hAnsi="Times New Roman"/>
          <w:lang w:val="en-US" w:eastAsia="zh-CN"/>
        </w:rPr>
        <w:t>Cl</w:t>
      </w:r>
      <w:r>
        <w:rPr>
          <w:rFonts w:hint="eastAsia"/>
          <w:lang w:val="en-US" w:eastAsia="zh-CN"/>
        </w:rPr>
        <w:t>－</w:t>
      </w:r>
      <w:r>
        <w:rPr>
          <w:rFonts w:hint="eastAsia" w:ascii="Times New Roman" w:hAnsi="Times New Roman"/>
          <w:lang w:val="en-US" w:eastAsia="zh-CN"/>
        </w:rPr>
        <w:t>Na</w:t>
      </w:r>
      <w:r>
        <w:rPr>
          <w:rFonts w:hint="eastAsia"/>
          <w:lang w:val="en-US" w:eastAsia="zh-CN"/>
        </w:rPr>
        <w:t>型水发展，潜水矿化度在上游地区一般小于</w:t>
      </w:r>
      <w:r>
        <w:rPr>
          <w:rFonts w:hint="eastAsia" w:ascii="Times New Roman" w:hAnsi="Times New Roman"/>
          <w:lang w:val="en-US" w:eastAsia="zh-CN"/>
        </w:rPr>
        <w:t>1g</w:t>
      </w:r>
      <w:r>
        <w:rPr>
          <w:rFonts w:hint="eastAsia"/>
          <w:lang w:val="en-US" w:eastAsia="zh-CN"/>
        </w:rPr>
        <w:t>/</w:t>
      </w:r>
      <w:r>
        <w:rPr>
          <w:rFonts w:hint="eastAsia" w:ascii="Times New Roman" w:hAnsi="Times New Roman"/>
          <w:lang w:val="en-US" w:eastAsia="zh-CN"/>
        </w:rPr>
        <w:t>L</w:t>
      </w:r>
      <w:r>
        <w:rPr>
          <w:rFonts w:hint="eastAsia"/>
          <w:lang w:val="en-US" w:eastAsia="zh-CN"/>
        </w:rPr>
        <w:t>，向下游地区逐渐增高。在灌区由于受渠系、田间灌溉水入渗的影响，使局部地区潜水淡化，出现了</w:t>
      </w:r>
      <w:r>
        <w:rPr>
          <w:rFonts w:hint="eastAsia" w:ascii="Times New Roman" w:hAnsi="Times New Roman"/>
          <w:lang w:val="en-US" w:eastAsia="zh-CN"/>
        </w:rPr>
        <w:t>SO</w:t>
      </w:r>
      <w:r>
        <w:rPr>
          <w:rFonts w:hint="eastAsia" w:ascii="Times New Roman" w:hAnsi="Times New Roman"/>
          <w:vertAlign w:val="subscript"/>
          <w:lang w:val="en-US" w:eastAsia="zh-CN"/>
        </w:rPr>
        <w:t>4</w:t>
      </w:r>
      <w:r>
        <w:rPr>
          <w:rFonts w:hint="eastAsia"/>
          <w:lang w:val="en-US" w:eastAsia="zh-CN"/>
        </w:rPr>
        <w:t>·</w:t>
      </w:r>
      <w:r>
        <w:rPr>
          <w:rFonts w:hint="eastAsia" w:ascii="Times New Roman" w:hAnsi="Times New Roman"/>
          <w:lang w:val="en-US" w:eastAsia="zh-CN"/>
        </w:rPr>
        <w:t>HCO</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Na</w:t>
      </w:r>
      <w:r>
        <w:rPr>
          <w:rFonts w:hint="eastAsia"/>
          <w:lang w:val="en-US" w:eastAsia="zh-CN"/>
        </w:rPr>
        <w:t>·</w:t>
      </w:r>
      <w:r>
        <w:rPr>
          <w:rFonts w:hint="eastAsia" w:ascii="Times New Roman" w:hAnsi="Times New Roman"/>
          <w:lang w:val="en-US" w:eastAsia="zh-CN"/>
        </w:rPr>
        <w:t>Ca</w:t>
      </w:r>
      <w:r>
        <w:rPr>
          <w:rFonts w:hint="eastAsia"/>
          <w:lang w:val="en-US" w:eastAsia="zh-CN"/>
        </w:rPr>
        <w:t>和</w:t>
      </w:r>
      <w:r>
        <w:rPr>
          <w:rFonts w:hint="eastAsia" w:ascii="Times New Roman" w:hAnsi="Times New Roman"/>
          <w:lang w:val="en-US" w:eastAsia="zh-CN"/>
        </w:rPr>
        <w:t>SO</w:t>
      </w:r>
      <w:r>
        <w:rPr>
          <w:rFonts w:hint="eastAsia" w:ascii="Times New Roman" w:hAnsi="Times New Roman"/>
          <w:vertAlign w:val="subscript"/>
          <w:lang w:val="en-US" w:eastAsia="zh-CN"/>
        </w:rPr>
        <w:t>4</w:t>
      </w:r>
      <w:r>
        <w:rPr>
          <w:rFonts w:hint="eastAsia"/>
          <w:lang w:val="en-US" w:eastAsia="zh-CN"/>
        </w:rPr>
        <w:t>－</w:t>
      </w:r>
      <w:r>
        <w:rPr>
          <w:rFonts w:hint="eastAsia" w:ascii="Times New Roman" w:hAnsi="Times New Roman"/>
          <w:lang w:val="en-US" w:eastAsia="zh-CN"/>
        </w:rPr>
        <w:t>Ca</w:t>
      </w:r>
      <w:r>
        <w:rPr>
          <w:rFonts w:hint="eastAsia"/>
          <w:lang w:val="en-US" w:eastAsia="zh-CN"/>
        </w:rPr>
        <w:t>·</w:t>
      </w:r>
      <w:r>
        <w:rPr>
          <w:rFonts w:hint="eastAsia" w:ascii="Times New Roman" w:hAnsi="Times New Roman"/>
          <w:lang w:val="en-US" w:eastAsia="zh-CN"/>
        </w:rPr>
        <w:t>Na</w:t>
      </w:r>
      <w:r>
        <w:rPr>
          <w:rFonts w:hint="eastAsia"/>
          <w:lang w:val="en-US" w:eastAsia="zh-CN"/>
        </w:rPr>
        <w:t>型水。在现代河道两侧的地区，潜水矿化度一般小于</w:t>
      </w:r>
      <w:r>
        <w:rPr>
          <w:rFonts w:hint="eastAsia" w:ascii="Times New Roman" w:hAnsi="Times New Roman"/>
          <w:lang w:val="en-US" w:eastAsia="zh-CN"/>
        </w:rPr>
        <w:t>1g</w:t>
      </w:r>
      <w:r>
        <w:rPr>
          <w:rFonts w:hint="eastAsia"/>
          <w:lang w:val="en-US" w:eastAsia="zh-CN"/>
        </w:rPr>
        <w:t>/</w:t>
      </w:r>
      <w:r>
        <w:rPr>
          <w:rFonts w:hint="eastAsia" w:ascii="Times New Roman" w:hAnsi="Times New Roman"/>
          <w:lang w:val="en-US" w:eastAsia="zh-CN"/>
        </w:rPr>
        <w:t>L</w:t>
      </w:r>
      <w:r>
        <w:rPr>
          <w:rFonts w:hint="eastAsia"/>
          <w:lang w:val="en-US" w:eastAsia="zh-CN"/>
        </w:rPr>
        <w:t>，水化学类型为</w:t>
      </w:r>
      <w:r>
        <w:rPr>
          <w:rFonts w:hint="eastAsia" w:ascii="Times New Roman" w:hAnsi="Times New Roman"/>
          <w:lang w:val="en-US" w:eastAsia="zh-CN"/>
        </w:rPr>
        <w:t>HCO</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SO</w:t>
      </w:r>
      <w:r>
        <w:rPr>
          <w:rFonts w:hint="eastAsia" w:ascii="Times New Roman" w:hAnsi="Times New Roman"/>
          <w:vertAlign w:val="subscript"/>
          <w:lang w:val="en-US" w:eastAsia="zh-CN"/>
        </w:rPr>
        <w:t>4</w:t>
      </w:r>
      <w:r>
        <w:rPr>
          <w:rFonts w:hint="eastAsia"/>
          <w:lang w:val="en-US" w:eastAsia="zh-CN"/>
        </w:rPr>
        <w:t>－</w:t>
      </w:r>
      <w:r>
        <w:rPr>
          <w:rFonts w:hint="eastAsia" w:ascii="Times New Roman" w:hAnsi="Times New Roman"/>
          <w:lang w:val="en-US" w:eastAsia="zh-CN"/>
        </w:rPr>
        <w:t>Ca</w:t>
      </w:r>
      <w:r>
        <w:rPr>
          <w:rFonts w:hint="eastAsia"/>
          <w:lang w:val="en-US" w:eastAsia="zh-CN"/>
        </w:rPr>
        <w:t>或</w:t>
      </w:r>
      <w:r>
        <w:rPr>
          <w:rFonts w:hint="eastAsia" w:ascii="Times New Roman" w:hAnsi="Times New Roman"/>
          <w:lang w:val="en-US" w:eastAsia="zh-CN"/>
        </w:rPr>
        <w:t>HCO</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SO</w:t>
      </w:r>
      <w:r>
        <w:rPr>
          <w:rFonts w:hint="eastAsia" w:ascii="Times New Roman" w:hAnsi="Times New Roman"/>
          <w:vertAlign w:val="subscript"/>
          <w:lang w:val="en-US" w:eastAsia="zh-CN"/>
        </w:rPr>
        <w:t>4</w:t>
      </w:r>
      <w:r>
        <w:rPr>
          <w:rFonts w:hint="eastAsia"/>
          <w:lang w:val="en-US" w:eastAsia="zh-CN"/>
        </w:rPr>
        <w:t>－</w:t>
      </w:r>
      <w:r>
        <w:rPr>
          <w:rFonts w:hint="eastAsia" w:ascii="Times New Roman" w:hAnsi="Times New Roman"/>
          <w:lang w:val="en-US" w:eastAsia="zh-CN"/>
        </w:rPr>
        <w:t>Ca</w:t>
      </w:r>
      <w:r>
        <w:rPr>
          <w:rFonts w:hint="eastAsia"/>
          <w:lang w:val="en-US" w:eastAsia="zh-CN"/>
        </w:rPr>
        <w:t>·</w:t>
      </w:r>
      <w:r>
        <w:rPr>
          <w:rFonts w:hint="eastAsia" w:ascii="Times New Roman" w:hAnsi="Times New Roman"/>
          <w:lang w:val="en-US" w:eastAsia="zh-CN"/>
        </w:rPr>
        <w:t>Na</w:t>
      </w:r>
      <w:r>
        <w:rPr>
          <w:rFonts w:hint="eastAsia"/>
          <w:lang w:val="en-US" w:eastAsia="zh-CN"/>
        </w:rPr>
        <w:t>。</w:t>
      </w:r>
    </w:p>
    <w:p>
      <w:pPr>
        <w:bidi w:val="0"/>
        <w:rPr>
          <w:rFonts w:hint="eastAsia"/>
          <w:lang w:val="en-US" w:eastAsia="zh-CN"/>
        </w:rPr>
      </w:pPr>
      <w:r>
        <w:rPr>
          <w:rFonts w:hint="eastAsia"/>
          <w:lang w:val="en-US" w:eastAsia="zh-CN"/>
        </w:rPr>
        <w:t>④地下水动态</w:t>
      </w:r>
    </w:p>
    <w:p>
      <w:pPr>
        <w:bidi w:val="0"/>
        <w:rPr>
          <w:rFonts w:hint="eastAsia"/>
          <w:lang w:val="en-US" w:eastAsia="zh-CN"/>
        </w:rPr>
      </w:pPr>
      <w:r>
        <w:rPr>
          <w:rFonts w:hint="eastAsia"/>
          <w:lang w:val="en-US" w:eastAsia="zh-CN"/>
        </w:rPr>
        <w:t>依据《奎屯河流域规划报告》，由于奎屯河流域四棵树河水引水率的下降以及外流域地表水的调入，势必引起本流域地下水补给量及资源量的增大，相应地使地下水水位上升。地下水位在外流域调入水之前，本流域水资源利用情况不会有大的变化，地下水资源量不会有太大的变化，地下水水位维持现状。随着外流域地表水的调入、本流域河水引水率的降低等因素的变化，地下水资源量较现状年增加，相应地灌区地下水资源量增大，地下水水位将回升。</w:t>
      </w:r>
    </w:p>
    <w:p>
      <w:pPr>
        <w:bidi w:val="0"/>
        <w:rPr>
          <w:rFonts w:hint="eastAsia"/>
          <w:lang w:val="en-US" w:eastAsia="zh-CN"/>
        </w:rPr>
      </w:pPr>
      <w:r>
        <w:rPr>
          <w:rFonts w:hint="eastAsia"/>
          <w:lang w:val="en-US" w:eastAsia="zh-CN"/>
        </w:rPr>
        <w:t>⑤地下水资源量</w:t>
      </w:r>
    </w:p>
    <w:p>
      <w:pPr>
        <w:bidi w:val="0"/>
        <w:rPr>
          <w:rFonts w:hint="eastAsia"/>
          <w:lang w:val="en-US" w:eastAsia="zh-CN"/>
        </w:rPr>
      </w:pPr>
      <w:r>
        <w:rPr>
          <w:rFonts w:hint="eastAsia"/>
          <w:lang w:val="en-US" w:eastAsia="zh-CN"/>
        </w:rPr>
        <w:t>奎屯河流域现状年地下水资源量</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39</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，转化补给量</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88</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，总补给量</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28</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。现状年地下水总补给量占地表水资源量</w:t>
      </w:r>
      <w:r>
        <w:rPr>
          <w:rFonts w:hint="eastAsia" w:ascii="Times New Roman" w:hAnsi="Times New Roman"/>
          <w:lang w:val="en-US" w:eastAsia="zh-CN"/>
        </w:rPr>
        <w:t>16</w:t>
      </w:r>
      <w:r>
        <w:rPr>
          <w:rFonts w:hint="eastAsia"/>
          <w:lang w:val="en-US" w:eastAsia="zh-CN"/>
        </w:rPr>
        <w:t>.</w:t>
      </w:r>
      <w:r>
        <w:rPr>
          <w:rFonts w:hint="eastAsia" w:ascii="Times New Roman" w:hAnsi="Times New Roman"/>
          <w:lang w:val="en-US" w:eastAsia="zh-CN"/>
        </w:rPr>
        <w:t>32</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的</w:t>
      </w:r>
      <w:r>
        <w:rPr>
          <w:rFonts w:hint="eastAsia" w:ascii="Times New Roman" w:hAnsi="Times New Roman"/>
          <w:lang w:val="en-US" w:eastAsia="zh-CN"/>
        </w:rPr>
        <w:t>56</w:t>
      </w:r>
      <w:r>
        <w:rPr>
          <w:rFonts w:hint="eastAsia"/>
          <w:lang w:val="en-US" w:eastAsia="zh-CN"/>
        </w:rPr>
        <w:t>.</w:t>
      </w:r>
      <w:r>
        <w:rPr>
          <w:rFonts w:hint="eastAsia" w:ascii="Times New Roman" w:hAnsi="Times New Roman"/>
          <w:lang w:val="en-US" w:eastAsia="zh-CN"/>
        </w:rPr>
        <w:t>86</w:t>
      </w:r>
      <w:r>
        <w:rPr>
          <w:rFonts w:hint="eastAsia"/>
          <w:lang w:val="en-US" w:eastAsia="zh-CN"/>
        </w:rPr>
        <w:t>%，转化补给量占地表水资源量的</w:t>
      </w:r>
      <w:r>
        <w:rPr>
          <w:rFonts w:hint="eastAsia" w:ascii="Times New Roman" w:hAnsi="Times New Roman"/>
          <w:lang w:val="en-US" w:eastAsia="zh-CN"/>
        </w:rPr>
        <w:t>48</w:t>
      </w:r>
      <w:r>
        <w:rPr>
          <w:rFonts w:hint="eastAsia"/>
          <w:lang w:val="en-US" w:eastAsia="zh-CN"/>
        </w:rPr>
        <w:t>.</w:t>
      </w:r>
      <w:r>
        <w:rPr>
          <w:rFonts w:hint="eastAsia" w:ascii="Times New Roman" w:hAnsi="Times New Roman"/>
          <w:lang w:val="en-US" w:eastAsia="zh-CN"/>
        </w:rPr>
        <w:t>28</w:t>
      </w:r>
      <w:r>
        <w:rPr>
          <w:rFonts w:hint="eastAsia"/>
          <w:lang w:val="en-US" w:eastAsia="zh-CN"/>
        </w:rPr>
        <w:t>%；占地下水总补给量</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28</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的</w:t>
      </w:r>
      <w:r>
        <w:rPr>
          <w:rFonts w:hint="eastAsia" w:ascii="Times New Roman" w:hAnsi="Times New Roman"/>
          <w:lang w:val="en-US" w:eastAsia="zh-CN"/>
        </w:rPr>
        <w:t>84</w:t>
      </w:r>
      <w:r>
        <w:rPr>
          <w:rFonts w:hint="eastAsia"/>
          <w:lang w:val="en-US" w:eastAsia="zh-CN"/>
        </w:rPr>
        <w:t>.</w:t>
      </w:r>
      <w:r>
        <w:rPr>
          <w:rFonts w:hint="eastAsia" w:ascii="Times New Roman" w:hAnsi="Times New Roman"/>
          <w:lang w:val="en-US" w:eastAsia="zh-CN"/>
        </w:rPr>
        <w:t>91</w:t>
      </w:r>
      <w:r>
        <w:rPr>
          <w:rFonts w:hint="eastAsia"/>
          <w:lang w:val="en-US" w:eastAsia="zh-CN"/>
        </w:rPr>
        <w:t>%，地下水资源量占地表水资源量的</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53</w:t>
      </w:r>
      <w:r>
        <w:rPr>
          <w:rFonts w:hint="eastAsia"/>
          <w:lang w:val="en-US" w:eastAsia="zh-CN"/>
        </w:rPr>
        <w:t>%，占地下水总补给量的</w:t>
      </w:r>
      <w:r>
        <w:rPr>
          <w:rFonts w:hint="eastAsia" w:ascii="Times New Roman" w:hAnsi="Times New Roman"/>
          <w:lang w:val="en-US" w:eastAsia="zh-CN"/>
        </w:rPr>
        <w:t>15</w:t>
      </w:r>
      <w:r>
        <w:rPr>
          <w:rFonts w:hint="eastAsia"/>
          <w:lang w:val="en-US" w:eastAsia="zh-CN"/>
        </w:rPr>
        <w:t>%。排泄量中潜水蒸发量</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71</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，占总排泄量</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28</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的</w:t>
      </w:r>
      <w:r>
        <w:rPr>
          <w:rFonts w:hint="eastAsia" w:ascii="Times New Roman" w:hAnsi="Times New Roman"/>
          <w:lang w:val="en-US" w:eastAsia="zh-CN"/>
        </w:rPr>
        <w:t>29</w:t>
      </w:r>
      <w:r>
        <w:rPr>
          <w:rFonts w:hint="eastAsia"/>
          <w:lang w:val="en-US" w:eastAsia="zh-CN"/>
        </w:rPr>
        <w:t>.</w:t>
      </w:r>
      <w:r>
        <w:rPr>
          <w:rFonts w:hint="eastAsia" w:ascii="Times New Roman" w:hAnsi="Times New Roman"/>
          <w:lang w:val="en-US" w:eastAsia="zh-CN"/>
        </w:rPr>
        <w:t>22</w:t>
      </w:r>
      <w:r>
        <w:rPr>
          <w:rFonts w:hint="eastAsia"/>
          <w:lang w:val="en-US" w:eastAsia="zh-CN"/>
        </w:rPr>
        <w:t>%，这对地下水的利用有一定的空间。奎屯河用水区地下水资源量为</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34</w:t>
      </w:r>
      <w:r>
        <w:rPr>
          <w:rFonts w:hint="eastAsia"/>
          <w:lang w:val="en-US" w:eastAsia="zh-CN"/>
        </w:rPr>
        <w:t>×</w:t>
      </w:r>
      <w:r>
        <w:rPr>
          <w:rFonts w:hint="eastAsia" w:ascii="Times New Roman" w:hAnsi="Times New Roman"/>
          <w:lang w:val="en-US" w:eastAsia="zh-CN"/>
        </w:rPr>
        <w:t>10</w:t>
      </w:r>
      <w:r>
        <w:rPr>
          <w:rFonts w:hint="eastAsia" w:ascii="Times New Roman" w:hAnsi="Times New Roman"/>
          <w:vertAlign w:val="superscript"/>
          <w:lang w:val="en-US" w:eastAsia="zh-CN"/>
        </w:rPr>
        <w:t>8</w:t>
      </w:r>
      <w:r>
        <w:rPr>
          <w:rFonts w:hint="eastAsia" w:ascii="Times New Roman" w:hAnsi="Times New Roman"/>
          <w:lang w:val="en-US" w:eastAsia="zh-CN"/>
        </w:rPr>
        <w:t>m</w:t>
      </w:r>
      <w:r>
        <w:rPr>
          <w:rFonts w:hint="eastAsia" w:ascii="Times New Roman" w:hAnsi="Times New Roman"/>
          <w:vertAlign w:val="superscript"/>
          <w:lang w:val="en-US" w:eastAsia="zh-CN"/>
        </w:rPr>
        <w:t>3</w:t>
      </w:r>
      <w:r>
        <w:rPr>
          <w:rFonts w:hint="eastAsia"/>
          <w:lang w:val="en-US" w:eastAsia="zh-CN"/>
        </w:rPr>
        <w:t>/</w:t>
      </w:r>
      <w:r>
        <w:rPr>
          <w:rFonts w:hint="eastAsia" w:ascii="Times New Roman" w:hAnsi="Times New Roman"/>
          <w:lang w:val="en-US" w:eastAsia="zh-CN"/>
        </w:rPr>
        <w:t>a</w:t>
      </w:r>
      <w:r>
        <w:rPr>
          <w:rFonts w:hint="eastAsia"/>
          <w:lang w:val="en-US" w:eastAsia="zh-CN"/>
        </w:rPr>
        <w:t>。</w:t>
      </w:r>
    </w:p>
    <w:p>
      <w:pPr>
        <w:pStyle w:val="5"/>
        <w:bidi w:val="0"/>
        <w:rPr>
          <w:rFonts w:hint="eastAsia" w:eastAsia="楷体_GB2312"/>
          <w:lang w:eastAsia="zh-CN"/>
        </w:rPr>
      </w:pPr>
      <w:r>
        <w:rPr>
          <w:rFonts w:hint="eastAsia" w:ascii="Times New Roman" w:hAnsi="Times New Roman"/>
          <w:lang w:val="en-US" w:eastAsia="zh-CN"/>
        </w:rPr>
        <w:t>5</w:t>
      </w:r>
      <w:r>
        <w:rPr>
          <w:rFonts w:hint="eastAsia"/>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5</w:t>
      </w:r>
      <w:r>
        <w:rPr>
          <w:rFonts w:hint="eastAsia"/>
        </w:rPr>
        <w:t>气候</w:t>
      </w:r>
      <w:bookmarkEnd w:id="157"/>
      <w:r>
        <w:rPr>
          <w:rFonts w:hint="eastAsia"/>
          <w:lang w:eastAsia="zh-CN"/>
        </w:rPr>
        <w:t>特征</w:t>
      </w:r>
    </w:p>
    <w:p>
      <w:pPr>
        <w:bidi w:val="0"/>
        <w:rPr>
          <w:rFonts w:hint="eastAsia" w:cs="Times New Roman"/>
        </w:rPr>
      </w:pPr>
      <w:bookmarkStart w:id="158" w:name="_Toc11580"/>
      <w:r>
        <w:rPr>
          <w:rFonts w:hint="eastAsia" w:cs="Times New Roman"/>
        </w:rPr>
        <w:t>乌苏市地处天山北麓平原地区，准噶尔盆地的南缘，为典型的温带大陆性干旱气候。其主要特点是：冬冷夏热，气温年较差、日较差大，春、秋温度变化剧烈。降水较少，年际变化不大。春、夏多大风，冬季多阴雾，低碎云天气，冻土深厚。乌苏气象站距离本项目</w:t>
      </w:r>
      <w:r>
        <w:rPr>
          <w:rFonts w:hint="eastAsia" w:ascii="Times New Roman" w:hAnsi="Times New Roman" w:cs="Times New Roman"/>
        </w:rPr>
        <w:t>33km</w:t>
      </w:r>
      <w:r>
        <w:rPr>
          <w:rFonts w:hint="eastAsia" w:cs="Times New Roman"/>
        </w:rPr>
        <w:t>，是本项目周围最近的气象站，等级为基准站，地理位置</w:t>
      </w:r>
      <w:r>
        <w:rPr>
          <w:rFonts w:hint="eastAsia" w:cs="Times New Roman"/>
          <w:lang w:eastAsia="zh-CN"/>
        </w:rPr>
        <w:t>坐标</w:t>
      </w:r>
      <w:r>
        <w:rPr>
          <w:rFonts w:hint="eastAsia" w:cs="Times New Roman"/>
        </w:rPr>
        <w:t xml:space="preserve">为 </w:t>
      </w:r>
      <w:r>
        <w:rPr>
          <w:rFonts w:hint="eastAsia" w:ascii="Times New Roman" w:hAnsi="Times New Roman" w:cs="Times New Roman"/>
        </w:rPr>
        <w:t>84</w:t>
      </w:r>
      <w:r>
        <w:rPr>
          <w:rFonts w:hint="eastAsia" w:cs="Times New Roman"/>
        </w:rPr>
        <w:t>°</w:t>
      </w:r>
      <w:r>
        <w:rPr>
          <w:rFonts w:hint="eastAsia" w:ascii="Times New Roman" w:hAnsi="Times New Roman" w:cs="Times New Roman"/>
        </w:rPr>
        <w:t>40</w:t>
      </w:r>
      <w:r>
        <w:rPr>
          <w:rFonts w:hint="eastAsia" w:cs="Times New Roman"/>
        </w:rPr>
        <w:t xml:space="preserve">' </w:t>
      </w:r>
      <w:r>
        <w:rPr>
          <w:rFonts w:hint="eastAsia" w:ascii="Times New Roman" w:hAnsi="Times New Roman" w:cs="Times New Roman"/>
        </w:rPr>
        <w:t>E</w:t>
      </w:r>
      <w:r>
        <w:rPr>
          <w:rFonts w:hint="eastAsia" w:cs="Times New Roman"/>
        </w:rPr>
        <w:t>，</w:t>
      </w:r>
      <w:r>
        <w:rPr>
          <w:rFonts w:hint="eastAsia" w:ascii="Times New Roman" w:hAnsi="Times New Roman" w:cs="Times New Roman"/>
        </w:rPr>
        <w:t>44</w:t>
      </w:r>
      <w:r>
        <w:rPr>
          <w:rFonts w:hint="eastAsia" w:cs="Times New Roman"/>
        </w:rPr>
        <w:t>°</w:t>
      </w:r>
      <w:r>
        <w:rPr>
          <w:rFonts w:hint="eastAsia" w:ascii="Times New Roman" w:hAnsi="Times New Roman" w:cs="Times New Roman"/>
        </w:rPr>
        <w:t>26</w:t>
      </w:r>
      <w:r>
        <w:rPr>
          <w:rFonts w:hint="eastAsia" w:cs="Times New Roman"/>
        </w:rPr>
        <w:t xml:space="preserve">' </w:t>
      </w:r>
      <w:r>
        <w:rPr>
          <w:rFonts w:hint="eastAsia" w:ascii="Times New Roman" w:hAnsi="Times New Roman" w:cs="Times New Roman"/>
        </w:rPr>
        <w:t>N</w:t>
      </w:r>
      <w:r>
        <w:rPr>
          <w:rFonts w:hint="eastAsia" w:cs="Times New Roman"/>
        </w:rPr>
        <w:t xml:space="preserve">，海拔高度 </w:t>
      </w:r>
      <w:r>
        <w:rPr>
          <w:rFonts w:hint="eastAsia" w:ascii="Times New Roman" w:hAnsi="Times New Roman" w:cs="Times New Roman"/>
        </w:rPr>
        <w:t>478</w:t>
      </w:r>
      <w:r>
        <w:rPr>
          <w:rFonts w:hint="eastAsia" w:cs="Times New Roman"/>
        </w:rPr>
        <w:t>.</w:t>
      </w:r>
      <w:r>
        <w:rPr>
          <w:rFonts w:hint="eastAsia" w:ascii="Times New Roman" w:hAnsi="Times New Roman" w:cs="Times New Roman"/>
        </w:rPr>
        <w:t>7m</w:t>
      </w:r>
      <w:r>
        <w:rPr>
          <w:rFonts w:hint="eastAsia" w:cs="Times New Roman"/>
        </w:rPr>
        <w:t>，观测项目包括气温、气压、相对湿度、风速和风向、降水、日照、蒸发量等，符合导则关于地面气象观测资料调查的要求。</w:t>
      </w:r>
    </w:p>
    <w:p>
      <w:pPr>
        <w:bidi w:val="0"/>
        <w:rPr>
          <w:rFonts w:hint="eastAsia" w:cs="Times New Roman"/>
        </w:rPr>
      </w:pPr>
      <w:r>
        <w:rPr>
          <w:rFonts w:hint="eastAsia" w:cs="Times New Roman"/>
        </w:rPr>
        <w:t>乌苏气象站</w:t>
      </w:r>
      <w:r>
        <w:rPr>
          <w:rFonts w:hint="eastAsia" w:ascii="Times New Roman" w:hAnsi="Times New Roman" w:cs="Times New Roman"/>
          <w:lang w:val="en-US" w:eastAsia="zh-CN"/>
        </w:rPr>
        <w:t>2</w:t>
      </w:r>
      <w:r>
        <w:rPr>
          <w:rFonts w:hint="eastAsia" w:ascii="Times New Roman" w:hAnsi="Times New Roman" w:cs="Times New Roman"/>
        </w:rPr>
        <w:t>0</w:t>
      </w:r>
      <w:r>
        <w:rPr>
          <w:rFonts w:hint="eastAsia" w:cs="Times New Roman"/>
        </w:rPr>
        <w:t>年（</w:t>
      </w:r>
      <w:r>
        <w:rPr>
          <w:rFonts w:hint="eastAsia" w:ascii="Times New Roman" w:hAnsi="Times New Roman" w:cs="Times New Roman"/>
          <w:lang w:val="en-US" w:eastAsia="zh-CN"/>
        </w:rPr>
        <w:t>1996</w:t>
      </w:r>
      <w:r>
        <w:rPr>
          <w:rFonts w:hint="eastAsia" w:cs="Times New Roman"/>
          <w:lang w:val="en-US" w:eastAsia="zh-CN"/>
        </w:rPr>
        <w:t>-</w:t>
      </w:r>
      <w:r>
        <w:rPr>
          <w:rFonts w:hint="eastAsia" w:ascii="Times New Roman" w:hAnsi="Times New Roman" w:cs="Times New Roman"/>
          <w:lang w:val="en-US" w:eastAsia="zh-CN"/>
        </w:rPr>
        <w:t>2015</w:t>
      </w:r>
      <w:r>
        <w:rPr>
          <w:rFonts w:hint="eastAsia" w:cs="Times New Roman"/>
          <w:lang w:val="en-US" w:eastAsia="zh-CN"/>
        </w:rPr>
        <w:t>年</w:t>
      </w:r>
      <w:r>
        <w:rPr>
          <w:rFonts w:hint="eastAsia" w:cs="Times New Roman"/>
        </w:rPr>
        <w:t>）主要气象参数</w:t>
      </w:r>
      <w:r>
        <w:rPr>
          <w:rFonts w:hint="eastAsia" w:cs="Times New Roman"/>
          <w:lang w:eastAsia="zh-CN"/>
        </w:rPr>
        <w:t>见表</w:t>
      </w:r>
      <w:r>
        <w:rPr>
          <w:rFonts w:hint="eastAsia" w:ascii="Times New Roman" w:hAnsi="Times New Roman" w:cs="Times New Roman"/>
          <w:lang w:val="en-US" w:eastAsia="zh-CN"/>
        </w:rPr>
        <w:t>5</w:t>
      </w:r>
      <w:r>
        <w:rPr>
          <w:rFonts w:hint="eastAsia" w:cs="Times New Roman"/>
          <w:lang w:val="en-US" w:eastAsia="zh-CN"/>
        </w:rPr>
        <w:t>.</w:t>
      </w:r>
      <w:r>
        <w:rPr>
          <w:rFonts w:hint="eastAsia" w:ascii="Times New Roman" w:hAnsi="Times New Roman" w:cs="Times New Roman"/>
          <w:lang w:val="en-US" w:eastAsia="zh-CN"/>
        </w:rPr>
        <w:t>1</w:t>
      </w:r>
      <w:r>
        <w:rPr>
          <w:rFonts w:hint="eastAsia" w:cs="Times New Roman"/>
          <w:lang w:val="en-US" w:eastAsia="zh-CN"/>
        </w:rPr>
        <w:t>-</w:t>
      </w:r>
      <w:r>
        <w:rPr>
          <w:rFonts w:hint="eastAsia" w:ascii="Times New Roman" w:hAnsi="Times New Roman" w:cs="Times New Roman"/>
          <w:lang w:val="en-US" w:eastAsia="zh-CN"/>
        </w:rPr>
        <w:t>2</w:t>
      </w:r>
      <w:r>
        <w:rPr>
          <w:rFonts w:hint="eastAsia" w:cs="Times New Roman"/>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 xml:space="preserve">  乌苏</w:t>
      </w:r>
      <w:r>
        <w:rPr>
          <w:rFonts w:hint="eastAsia" w:ascii="Times New Roman" w:hAnsi="Times New Roman"/>
          <w:lang w:val="en-US" w:eastAsia="zh-CN"/>
        </w:rPr>
        <w:t>20</w:t>
      </w:r>
      <w:r>
        <w:rPr>
          <w:rFonts w:hint="eastAsia"/>
          <w:lang w:val="en-US" w:eastAsia="zh-CN"/>
        </w:rPr>
        <w:t>年主要气候特征统计表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668"/>
        <w:gridCol w:w="2153"/>
        <w:gridCol w:w="754"/>
        <w:gridCol w:w="1818"/>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序号</w:t>
            </w:r>
          </w:p>
        </w:tc>
        <w:tc>
          <w:tcPr>
            <w:tcW w:w="1668"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项目</w:t>
            </w:r>
          </w:p>
        </w:tc>
        <w:tc>
          <w:tcPr>
            <w:tcW w:w="2153"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统计结果</w:t>
            </w:r>
          </w:p>
        </w:tc>
        <w:tc>
          <w:tcPr>
            <w:tcW w:w="754"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序号</w:t>
            </w:r>
          </w:p>
        </w:tc>
        <w:tc>
          <w:tcPr>
            <w:tcW w:w="1818"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项目</w:t>
            </w:r>
          </w:p>
        </w:tc>
        <w:tc>
          <w:tcPr>
            <w:tcW w:w="2065" w:type="dxa"/>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年平均风速</w:t>
            </w:r>
          </w:p>
        </w:tc>
        <w:tc>
          <w:tcPr>
            <w:tcW w:w="21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5m</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s</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9</w:t>
            </w:r>
          </w:p>
        </w:tc>
        <w:tc>
          <w:tcPr>
            <w:tcW w:w="1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年平均降水量</w:t>
            </w:r>
          </w:p>
        </w:tc>
        <w:tc>
          <w:tcPr>
            <w:tcW w:w="206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234</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2</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年平均气温</w:t>
            </w:r>
          </w:p>
        </w:tc>
        <w:tc>
          <w:tcPr>
            <w:tcW w:w="21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spacing w:val="-11"/>
                <w:sz w:val="21"/>
                <w:szCs w:val="16"/>
                <w:vertAlign w:val="baseline"/>
              </w:rPr>
            </w:pPr>
            <w:r>
              <w:rPr>
                <w:rFonts w:hint="eastAsia" w:ascii="Times New Roman" w:hAnsi="Times New Roman" w:cs="Times New Roman"/>
                <w:spacing w:val="-11"/>
                <w:sz w:val="21"/>
                <w:szCs w:val="16"/>
                <w:vertAlign w:val="baseline"/>
                <w:lang w:val="en-US" w:eastAsia="zh-CN"/>
              </w:rPr>
              <w:t>7</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8</w:t>
            </w:r>
            <w:r>
              <w:rPr>
                <w:rFonts w:hint="eastAsia" w:cs="Times New Roman"/>
                <w:spacing w:val="-11"/>
                <w:sz w:val="21"/>
                <w:szCs w:val="16"/>
                <w:vertAlign w:val="baseline"/>
                <w:lang w:val="en-US" w:eastAsia="zh-CN"/>
              </w:rPr>
              <w:t>℃</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10</w:t>
            </w:r>
          </w:p>
        </w:tc>
        <w:tc>
          <w:tcPr>
            <w:tcW w:w="1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年最大降水量</w:t>
            </w:r>
          </w:p>
        </w:tc>
        <w:tc>
          <w:tcPr>
            <w:tcW w:w="206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351</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3</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极端最高气温</w:t>
            </w:r>
          </w:p>
        </w:tc>
        <w:tc>
          <w:tcPr>
            <w:tcW w:w="21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39</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5</w:t>
            </w:r>
            <w:r>
              <w:rPr>
                <w:rFonts w:hint="eastAsia" w:cs="Times New Roman"/>
                <w:spacing w:val="-11"/>
                <w:sz w:val="21"/>
                <w:szCs w:val="16"/>
                <w:vertAlign w:val="baseline"/>
                <w:lang w:val="en-US" w:eastAsia="zh-CN"/>
              </w:rPr>
              <w:t>℃</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11</w:t>
            </w:r>
          </w:p>
        </w:tc>
        <w:tc>
          <w:tcPr>
            <w:tcW w:w="1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val="en-US" w:eastAsia="zh-CN" w:bidi="ar-SA"/>
              </w:rPr>
              <w:t>年最小降水量</w:t>
            </w:r>
          </w:p>
        </w:tc>
        <w:tc>
          <w:tcPr>
            <w:tcW w:w="206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16"/>
                <w:vertAlign w:val="baseline"/>
                <w:lang w:val="en-US" w:eastAsia="zh-CN" w:bidi="ar-SA"/>
              </w:rPr>
            </w:pPr>
            <w:r>
              <w:rPr>
                <w:rFonts w:hint="eastAsia" w:ascii="Times New Roman" w:hAnsi="Times New Roman" w:cs="Times New Roman"/>
                <w:spacing w:val="-11"/>
                <w:sz w:val="21"/>
                <w:szCs w:val="16"/>
                <w:vertAlign w:val="baseline"/>
                <w:lang w:val="en-US" w:eastAsia="zh-CN" w:bidi="ar-SA"/>
              </w:rPr>
              <w:t>141</w:t>
            </w:r>
            <w:r>
              <w:rPr>
                <w:rFonts w:hint="eastAsia" w:cs="Times New Roman"/>
                <w:spacing w:val="-11"/>
                <w:sz w:val="21"/>
                <w:szCs w:val="16"/>
                <w:vertAlign w:val="baseline"/>
                <w:lang w:val="en-US" w:eastAsia="zh-CN" w:bidi="ar-SA"/>
              </w:rPr>
              <w:t>.</w:t>
            </w:r>
            <w:r>
              <w:rPr>
                <w:rFonts w:hint="eastAsia" w:ascii="Times New Roman" w:hAnsi="Times New Roman" w:cs="Times New Roman"/>
                <w:spacing w:val="-11"/>
                <w:sz w:val="21"/>
                <w:szCs w:val="16"/>
                <w:vertAlign w:val="baseline"/>
                <w:lang w:val="en-US" w:eastAsia="zh-CN" w:bidi="ar-SA"/>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4</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极端最低气温</w:t>
            </w:r>
          </w:p>
        </w:tc>
        <w:tc>
          <w:tcPr>
            <w:tcW w:w="21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34</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8</w:t>
            </w:r>
            <w:r>
              <w:rPr>
                <w:rFonts w:hint="eastAsia" w:cs="Times New Roman"/>
                <w:spacing w:val="-11"/>
                <w:sz w:val="21"/>
                <w:szCs w:val="16"/>
                <w:vertAlign w:val="baseline"/>
                <w:lang w:val="en-US" w:eastAsia="zh-CN"/>
              </w:rPr>
              <w:t>℃</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12</w:t>
            </w:r>
          </w:p>
        </w:tc>
        <w:tc>
          <w:tcPr>
            <w:tcW w:w="1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年日照时数</w:t>
            </w:r>
          </w:p>
        </w:tc>
        <w:tc>
          <w:tcPr>
            <w:tcW w:w="206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16"/>
                <w:vertAlign w:val="baseline"/>
                <w:lang w:val="en-US" w:eastAsia="zh-CN" w:bidi="ar-SA"/>
              </w:rPr>
            </w:pPr>
            <w:r>
              <w:rPr>
                <w:rFonts w:hint="eastAsia" w:ascii="Times New Roman" w:hAnsi="Times New Roman" w:cs="Times New Roman"/>
                <w:spacing w:val="-11"/>
                <w:sz w:val="21"/>
                <w:szCs w:val="16"/>
                <w:vertAlign w:val="baseline"/>
                <w:lang w:val="en-US" w:eastAsia="zh-CN"/>
              </w:rPr>
              <w:t>2909</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5</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年平均气压</w:t>
            </w:r>
          </w:p>
        </w:tc>
        <w:tc>
          <w:tcPr>
            <w:tcW w:w="21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16"/>
                <w:vertAlign w:val="baseline"/>
                <w:lang w:val="en-US" w:eastAsia="zh-CN" w:bidi="ar-SA"/>
              </w:rPr>
            </w:pPr>
            <w:r>
              <w:rPr>
                <w:rFonts w:hint="eastAsia" w:ascii="Times New Roman" w:hAnsi="Times New Roman" w:cs="Times New Roman"/>
                <w:spacing w:val="-11"/>
                <w:sz w:val="21"/>
                <w:szCs w:val="16"/>
                <w:vertAlign w:val="baseline"/>
                <w:lang w:val="en-US" w:eastAsia="zh-CN"/>
              </w:rPr>
              <w:t>965</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3hPa</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13</w:t>
            </w:r>
          </w:p>
        </w:tc>
        <w:tc>
          <w:tcPr>
            <w:tcW w:w="1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年主导风向</w:t>
            </w:r>
          </w:p>
        </w:tc>
        <w:tc>
          <w:tcPr>
            <w:tcW w:w="206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cs="Times New Roman"/>
                <w:spacing w:val="-11"/>
                <w:sz w:val="21"/>
                <w:szCs w:val="16"/>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6</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年平均相对湿度</w:t>
            </w:r>
          </w:p>
        </w:tc>
        <w:tc>
          <w:tcPr>
            <w:tcW w:w="21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16"/>
                <w:vertAlign w:val="baseline"/>
                <w:lang w:val="en-US" w:eastAsia="zh-CN" w:bidi="ar-SA"/>
              </w:rPr>
            </w:pPr>
            <w:r>
              <w:rPr>
                <w:rFonts w:hint="eastAsia" w:ascii="Times New Roman" w:hAnsi="Times New Roman" w:cs="Times New Roman"/>
                <w:spacing w:val="-11"/>
                <w:sz w:val="21"/>
                <w:szCs w:val="16"/>
                <w:vertAlign w:val="baseline"/>
                <w:lang w:val="en-US" w:eastAsia="zh-CN"/>
              </w:rPr>
              <w:t>64</w:t>
            </w:r>
            <w:r>
              <w:rPr>
                <w:rFonts w:hint="eastAsia" w:cs="Times New Roman"/>
                <w:spacing w:val="-11"/>
                <w:sz w:val="21"/>
                <w:szCs w:val="16"/>
                <w:vertAlign w:val="baseline"/>
                <w:lang w:val="en-US" w:eastAsia="zh-CN"/>
              </w:rPr>
              <w:t>%</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14</w:t>
            </w:r>
          </w:p>
        </w:tc>
        <w:tc>
          <w:tcPr>
            <w:tcW w:w="1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年最多风向</w:t>
            </w:r>
          </w:p>
        </w:tc>
        <w:tc>
          <w:tcPr>
            <w:tcW w:w="206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SW</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10</w:t>
            </w:r>
            <w:r>
              <w:rPr>
                <w:rFonts w:hint="eastAsia" w:cs="Times New Roman"/>
                <w:spacing w:val="-11"/>
                <w:sz w:val="21"/>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7</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vertAlign w:val="baseline"/>
                <w:lang w:val="en-US" w:eastAsia="zh-CN" w:bidi="ar-SA"/>
              </w:rPr>
            </w:pPr>
            <w:r>
              <w:rPr>
                <w:rFonts w:hint="eastAsia" w:cs="Times New Roman"/>
                <w:spacing w:val="-11"/>
                <w:sz w:val="21"/>
                <w:szCs w:val="16"/>
                <w:vertAlign w:val="baseline"/>
                <w:lang w:eastAsia="zh-CN"/>
              </w:rPr>
              <w:t>年平均蒸发量</w:t>
            </w:r>
          </w:p>
        </w:tc>
        <w:tc>
          <w:tcPr>
            <w:tcW w:w="215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16"/>
                <w:vertAlign w:val="baseline"/>
                <w:lang w:val="en-US" w:eastAsia="zh-CN" w:bidi="ar-SA"/>
              </w:rPr>
            </w:pPr>
            <w:r>
              <w:rPr>
                <w:rFonts w:hint="eastAsia" w:ascii="Times New Roman" w:hAnsi="Times New Roman" w:cs="Times New Roman"/>
                <w:spacing w:val="-11"/>
                <w:sz w:val="21"/>
                <w:szCs w:val="16"/>
                <w:vertAlign w:val="baseline"/>
                <w:lang w:val="en-US" w:eastAsia="zh-CN"/>
              </w:rPr>
              <w:t>1475</w:t>
            </w:r>
            <w:r>
              <w:rPr>
                <w:rFonts w:hint="eastAsia" w:cs="Times New Roman"/>
                <w:spacing w:val="-11"/>
                <w:sz w:val="21"/>
                <w:szCs w:val="16"/>
                <w:vertAlign w:val="baseline"/>
                <w:lang w:val="en-US" w:eastAsia="zh-CN"/>
              </w:rPr>
              <w:t>.</w:t>
            </w:r>
            <w:r>
              <w:rPr>
                <w:rFonts w:hint="eastAsia" w:ascii="Times New Roman" w:hAnsi="Times New Roman" w:cs="Times New Roman"/>
                <w:spacing w:val="-11"/>
                <w:sz w:val="21"/>
                <w:szCs w:val="16"/>
                <w:vertAlign w:val="baseline"/>
                <w:lang w:val="en-US" w:eastAsia="zh-CN"/>
              </w:rPr>
              <w:t>0mm</w:t>
            </w:r>
          </w:p>
        </w:tc>
        <w:tc>
          <w:tcPr>
            <w:tcW w:w="75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15</w:t>
            </w:r>
          </w:p>
        </w:tc>
        <w:tc>
          <w:tcPr>
            <w:tcW w:w="18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cs="Times New Roman"/>
                <w:spacing w:val="-11"/>
                <w:sz w:val="21"/>
                <w:szCs w:val="16"/>
                <w:vertAlign w:val="baseline"/>
                <w:lang w:eastAsia="zh-CN"/>
              </w:rPr>
            </w:pPr>
            <w:r>
              <w:rPr>
                <w:rFonts w:hint="eastAsia" w:cs="Times New Roman"/>
                <w:spacing w:val="-11"/>
                <w:sz w:val="21"/>
                <w:szCs w:val="16"/>
                <w:vertAlign w:val="baseline"/>
                <w:lang w:eastAsia="zh-CN"/>
              </w:rPr>
              <w:t>年静风频率</w:t>
            </w:r>
          </w:p>
        </w:tc>
        <w:tc>
          <w:tcPr>
            <w:tcW w:w="2065"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cs="Times New Roman"/>
                <w:spacing w:val="-11"/>
                <w:sz w:val="21"/>
                <w:szCs w:val="16"/>
                <w:vertAlign w:val="baseline"/>
                <w:lang w:val="en-US" w:eastAsia="zh-CN"/>
              </w:rPr>
            </w:pPr>
            <w:r>
              <w:rPr>
                <w:rFonts w:hint="eastAsia" w:ascii="Times New Roman" w:hAnsi="Times New Roman" w:cs="Times New Roman"/>
                <w:spacing w:val="-11"/>
                <w:sz w:val="21"/>
                <w:szCs w:val="16"/>
                <w:vertAlign w:val="baseline"/>
                <w:lang w:val="en-US" w:eastAsia="zh-CN"/>
              </w:rPr>
              <w:t>22</w:t>
            </w:r>
            <w:r>
              <w:rPr>
                <w:rFonts w:hint="eastAsia" w:cs="Times New Roman"/>
                <w:spacing w:val="-11"/>
                <w:sz w:val="21"/>
                <w:szCs w:val="16"/>
                <w:vertAlign w:val="baseline"/>
                <w:lang w:val="en-US" w:eastAsia="zh-CN"/>
              </w:rPr>
              <w:t>%</w:t>
            </w:r>
          </w:p>
        </w:tc>
      </w:tr>
    </w:tbl>
    <w:p>
      <w:pPr>
        <w:pStyle w:val="5"/>
        <w:bidi w:val="0"/>
        <w:rPr>
          <w:rFonts w:hint="eastAsia" w:eastAsia="楷体_GB2312"/>
          <w:lang w:eastAsia="zh-CN"/>
        </w:rPr>
      </w:pPr>
      <w:r>
        <w:rPr>
          <w:rFonts w:hint="eastAsia" w:ascii="Times New Roman" w:hAnsi="Times New Roman"/>
          <w:lang w:val="en-US" w:eastAsia="zh-CN"/>
        </w:rPr>
        <w:t>5</w:t>
      </w:r>
      <w:r>
        <w:rPr>
          <w:rFonts w:hint="eastAsia" w:ascii="Times New Roman" w:hAnsi="Times New Roman"/>
          <w:lang w:val="en-US" w:eastAsia="zh-CN"/>
        </w:rPr>
        <w:t>.</w:t>
      </w:r>
      <w:r>
        <w:rPr>
          <w:rFonts w:hint="eastAsia" w:ascii="Times New Roman" w:hAnsi="Times New Roman"/>
          <w:lang w:val="en-US" w:eastAsia="zh-CN"/>
        </w:rPr>
        <w:t>1</w:t>
      </w:r>
      <w:r>
        <w:rPr>
          <w:rFonts w:hint="eastAsia" w:ascii="Times New Roman" w:hAnsi="Times New Roman"/>
          <w:lang w:val="en-US" w:eastAsia="zh-CN"/>
        </w:rPr>
        <w:t>.</w:t>
      </w:r>
      <w:r>
        <w:rPr>
          <w:rFonts w:hint="eastAsia" w:ascii="Times New Roman" w:hAnsi="Times New Roman"/>
          <w:lang w:val="en-US" w:eastAsia="zh-CN"/>
        </w:rPr>
        <w:t>6</w:t>
      </w:r>
      <w:r>
        <w:rPr>
          <w:rFonts w:hint="eastAsia"/>
        </w:rPr>
        <w:t>生态环境</w:t>
      </w:r>
      <w:bookmarkEnd w:id="158"/>
      <w:r>
        <w:rPr>
          <w:rFonts w:hint="eastAsia"/>
          <w:lang w:eastAsia="zh-CN"/>
        </w:rPr>
        <w:t>现状</w:t>
      </w:r>
    </w:p>
    <w:p>
      <w:pPr>
        <w:rPr>
          <w:rFonts w:hint="eastAsia" w:eastAsia="宋体"/>
          <w:lang w:eastAsia="zh-CN"/>
        </w:rPr>
      </w:pPr>
      <w:bookmarkStart w:id="159" w:name="_Toc3328"/>
      <w:r>
        <w:rPr>
          <w:rFonts w:hint="eastAsia"/>
          <w:lang w:eastAsia="zh-CN"/>
        </w:rPr>
        <w:t>（</w:t>
      </w:r>
      <w:r>
        <w:rPr>
          <w:rFonts w:hint="eastAsia" w:ascii="Times New Roman" w:hAnsi="Times New Roman"/>
          <w:lang w:val="en-US" w:eastAsia="zh-CN"/>
        </w:rPr>
        <w:t>1</w:t>
      </w:r>
      <w:r>
        <w:rPr>
          <w:rFonts w:hint="eastAsia"/>
          <w:lang w:eastAsia="zh-CN"/>
        </w:rPr>
        <w:t>）土壤</w:t>
      </w:r>
    </w:p>
    <w:p>
      <w:pPr>
        <w:rPr>
          <w:rFonts w:hint="default" w:eastAsia="宋体"/>
          <w:lang w:val="en-US" w:eastAsia="zh-CN"/>
        </w:rPr>
      </w:pPr>
      <w:r>
        <w:rPr>
          <w:rFonts w:hint="eastAsia"/>
          <w:color w:val="000000"/>
          <w:sz w:val="24"/>
        </w:rPr>
        <w:t>乌苏市</w:t>
      </w:r>
      <w:r>
        <w:rPr>
          <w:color w:val="000000"/>
          <w:sz w:val="24"/>
        </w:rPr>
        <w:t>主要是第四纪沉积物形成的荒漠灰钙土和砾炙灰棕色荒漠土</w:t>
      </w:r>
      <w:r>
        <w:rPr>
          <w:rFonts w:hint="eastAsia"/>
          <w:color w:val="000000"/>
          <w:sz w:val="24"/>
          <w:lang w:eastAsia="zh-CN"/>
        </w:rPr>
        <w:t>，地表为灰黑色砾幕，表层发育良好的灰色或浅灰色多孔状结皮，其下为褐棕色或浅紧实层，多呈块状或团块状结构，再下为石膏与盐分聚集层。腐殖质积累不明显，土壤呈碱性或强碱性反应，</w:t>
      </w:r>
      <w:r>
        <w:rPr>
          <w:rFonts w:hint="eastAsia" w:ascii="Times New Roman" w:hAnsi="Times New Roman"/>
          <w:color w:val="000000"/>
          <w:sz w:val="24"/>
          <w:lang w:val="en-US" w:eastAsia="zh-CN"/>
        </w:rPr>
        <w:t>pH8</w:t>
      </w:r>
      <w:r>
        <w:rPr>
          <w:rFonts w:hint="eastAsia"/>
          <w:color w:val="000000"/>
          <w:sz w:val="24"/>
          <w:lang w:val="en-US" w:eastAsia="zh-CN"/>
        </w:rPr>
        <w:t>.</w:t>
      </w:r>
      <w:r>
        <w:rPr>
          <w:rFonts w:hint="eastAsia" w:ascii="Times New Roman" w:hAnsi="Times New Roman"/>
          <w:color w:val="000000"/>
          <w:sz w:val="24"/>
          <w:lang w:val="en-US" w:eastAsia="zh-CN"/>
        </w:rPr>
        <w:t>0</w:t>
      </w:r>
      <w:r>
        <w:rPr>
          <w:rFonts w:hint="eastAsia"/>
          <w:color w:val="000000"/>
          <w:sz w:val="24"/>
          <w:lang w:val="en-US" w:eastAsia="zh-CN"/>
        </w:rPr>
        <w:t>～</w:t>
      </w:r>
      <w:r>
        <w:rPr>
          <w:rFonts w:hint="eastAsia" w:ascii="Times New Roman" w:hAnsi="Times New Roman"/>
          <w:color w:val="000000"/>
          <w:sz w:val="24"/>
          <w:lang w:val="en-US" w:eastAsia="zh-CN"/>
        </w:rPr>
        <w:t>9</w:t>
      </w:r>
      <w:r>
        <w:rPr>
          <w:rFonts w:hint="eastAsia"/>
          <w:color w:val="000000"/>
          <w:sz w:val="24"/>
          <w:lang w:val="en-US" w:eastAsia="zh-CN"/>
        </w:rPr>
        <w:t>.</w:t>
      </w:r>
      <w:r>
        <w:rPr>
          <w:rFonts w:hint="eastAsia" w:ascii="Times New Roman" w:hAnsi="Times New Roman"/>
          <w:color w:val="000000"/>
          <w:sz w:val="24"/>
          <w:lang w:val="en-US" w:eastAsia="zh-CN"/>
        </w:rPr>
        <w:t>5</w:t>
      </w:r>
      <w:r>
        <w:rPr>
          <w:rFonts w:hint="eastAsia"/>
          <w:color w:val="000000"/>
          <w:sz w:val="24"/>
          <w:lang w:val="en-US" w:eastAsia="zh-CN"/>
        </w:rPr>
        <w:t>。</w:t>
      </w:r>
      <w:r>
        <w:rPr>
          <w:rFonts w:hint="eastAsia"/>
          <w:color w:val="000000"/>
          <w:sz w:val="24"/>
          <w:lang w:eastAsia="zh-CN"/>
        </w:rPr>
        <w:t>区域土壤类型见</w:t>
      </w:r>
      <w:r>
        <w:rPr>
          <w:rFonts w:hint="eastAsia"/>
          <w:color w:val="FF0000"/>
          <w:sz w:val="24"/>
          <w:lang w:eastAsia="zh-CN"/>
        </w:rPr>
        <w:t>图</w:t>
      </w:r>
      <w:r>
        <w:rPr>
          <w:rFonts w:hint="eastAsia" w:ascii="Times New Roman" w:hAnsi="Times New Roman"/>
          <w:color w:val="FF0000"/>
          <w:sz w:val="24"/>
          <w:lang w:val="en-US" w:eastAsia="zh-CN"/>
        </w:rPr>
        <w:t>5</w:t>
      </w:r>
      <w:r>
        <w:rPr>
          <w:rFonts w:hint="eastAsia"/>
          <w:color w:val="FF0000"/>
          <w:sz w:val="24"/>
          <w:lang w:val="en-US" w:eastAsia="zh-CN"/>
        </w:rPr>
        <w:t>.</w:t>
      </w:r>
      <w:r>
        <w:rPr>
          <w:rFonts w:hint="eastAsia" w:ascii="Times New Roman" w:hAnsi="Times New Roman"/>
          <w:color w:val="FF0000"/>
          <w:sz w:val="24"/>
          <w:lang w:val="en-US" w:eastAsia="zh-CN"/>
        </w:rPr>
        <w:t>1</w:t>
      </w:r>
      <w:r>
        <w:rPr>
          <w:rFonts w:hint="eastAsia"/>
          <w:color w:val="FF0000"/>
          <w:sz w:val="24"/>
          <w:lang w:val="en-US" w:eastAsia="zh-CN"/>
        </w:rPr>
        <w:t>-</w:t>
      </w:r>
      <w:r>
        <w:rPr>
          <w:rFonts w:hint="eastAsia" w:ascii="Times New Roman" w:hAnsi="Times New Roman"/>
          <w:color w:val="FF0000"/>
          <w:sz w:val="24"/>
          <w:lang w:val="en-US" w:eastAsia="zh-CN"/>
        </w:rPr>
        <w:t>4</w:t>
      </w:r>
      <w:r>
        <w:rPr>
          <w:rFonts w:hint="eastAsia"/>
          <w:color w:val="000000"/>
          <w:sz w:val="24"/>
          <w:lang w:val="en-US" w:eastAsia="zh-CN"/>
        </w:rPr>
        <w:t>。</w:t>
      </w:r>
    </w:p>
    <w:p>
      <w:pPr>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）动物、植被</w:t>
      </w:r>
    </w:p>
    <w:p>
      <w:pPr>
        <w:spacing w:line="360" w:lineRule="auto"/>
        <w:ind w:firstLine="480" w:firstLineChars="200"/>
        <w:rPr>
          <w:rFonts w:hint="eastAsia"/>
        </w:rPr>
      </w:pPr>
      <w:r>
        <w:rPr>
          <w:color w:val="000000"/>
          <w:sz w:val="24"/>
        </w:rPr>
        <w:t>乌苏市的林地覆盖率为</w:t>
      </w:r>
      <w:r>
        <w:rPr>
          <w:rFonts w:ascii="Times New Roman" w:hAnsi="Times New Roman"/>
          <w:color w:val="000000"/>
          <w:sz w:val="24"/>
        </w:rPr>
        <w:t>9</w:t>
      </w:r>
      <w:r>
        <w:rPr>
          <w:color w:val="000000"/>
          <w:sz w:val="24"/>
        </w:rPr>
        <w:t>.</w:t>
      </w:r>
      <w:r>
        <w:rPr>
          <w:rFonts w:ascii="Times New Roman" w:hAnsi="Times New Roman"/>
          <w:color w:val="000000"/>
          <w:sz w:val="24"/>
        </w:rPr>
        <w:t>1</w:t>
      </w:r>
      <w:r>
        <w:rPr>
          <w:color w:val="000000"/>
          <w:sz w:val="24"/>
        </w:rPr>
        <w:t>%，林地面积按全市人口平均为</w:t>
      </w:r>
      <w:r>
        <w:rPr>
          <w:rFonts w:ascii="Times New Roman" w:hAnsi="Times New Roman"/>
          <w:color w:val="000000"/>
          <w:sz w:val="24"/>
        </w:rPr>
        <w:t>0</w:t>
      </w:r>
      <w:r>
        <w:rPr>
          <w:color w:val="000000"/>
          <w:sz w:val="24"/>
        </w:rPr>
        <w:t>.</w:t>
      </w:r>
      <w:r>
        <w:rPr>
          <w:rFonts w:ascii="Times New Roman" w:hAnsi="Times New Roman"/>
          <w:color w:val="000000"/>
          <w:sz w:val="24"/>
        </w:rPr>
        <w:t>73hm</w:t>
      </w:r>
      <w:r>
        <w:rPr>
          <w:rFonts w:ascii="Times New Roman" w:hAnsi="Times New Roman"/>
          <w:color w:val="000000"/>
          <w:sz w:val="24"/>
          <w:vertAlign w:val="superscript"/>
        </w:rPr>
        <w:t>2</w:t>
      </w:r>
      <w:r>
        <w:rPr>
          <w:color w:val="000000"/>
          <w:sz w:val="24"/>
        </w:rPr>
        <w:t>。乌苏市的牧草地占全市面积的</w:t>
      </w:r>
      <w:r>
        <w:rPr>
          <w:rFonts w:ascii="Times New Roman" w:hAnsi="Times New Roman"/>
          <w:color w:val="000000"/>
          <w:sz w:val="24"/>
        </w:rPr>
        <w:t>47</w:t>
      </w:r>
      <w:r>
        <w:rPr>
          <w:color w:val="000000"/>
          <w:sz w:val="24"/>
        </w:rPr>
        <w:t>.</w:t>
      </w:r>
      <w:r>
        <w:rPr>
          <w:rFonts w:ascii="Times New Roman" w:hAnsi="Times New Roman"/>
          <w:color w:val="000000"/>
          <w:sz w:val="24"/>
        </w:rPr>
        <w:t>24</w:t>
      </w:r>
      <w:r>
        <w:rPr>
          <w:color w:val="000000"/>
          <w:sz w:val="24"/>
        </w:rPr>
        <w:t>%，其中山区草地占全市面积的</w:t>
      </w:r>
      <w:r>
        <w:rPr>
          <w:rFonts w:ascii="Times New Roman" w:hAnsi="Times New Roman"/>
          <w:color w:val="000000"/>
          <w:sz w:val="24"/>
        </w:rPr>
        <w:t>20</w:t>
      </w:r>
      <w:r>
        <w:rPr>
          <w:color w:val="000000"/>
          <w:sz w:val="24"/>
        </w:rPr>
        <w:t>%，低山丘陵草地占</w:t>
      </w:r>
      <w:r>
        <w:rPr>
          <w:rFonts w:ascii="Times New Roman" w:hAnsi="Times New Roman"/>
          <w:color w:val="000000"/>
          <w:sz w:val="24"/>
        </w:rPr>
        <w:t>29</w:t>
      </w:r>
      <w:r>
        <w:rPr>
          <w:color w:val="000000"/>
          <w:sz w:val="24"/>
        </w:rPr>
        <w:t>.</w:t>
      </w:r>
      <w:r>
        <w:rPr>
          <w:rFonts w:ascii="Times New Roman" w:hAnsi="Times New Roman"/>
          <w:color w:val="000000"/>
          <w:sz w:val="24"/>
        </w:rPr>
        <w:t>2</w:t>
      </w:r>
      <w:r>
        <w:rPr>
          <w:color w:val="000000"/>
          <w:sz w:val="24"/>
        </w:rPr>
        <w:t>%，沙丘草占</w:t>
      </w:r>
      <w:r>
        <w:rPr>
          <w:rFonts w:ascii="Times New Roman" w:hAnsi="Times New Roman"/>
          <w:color w:val="000000"/>
          <w:sz w:val="24"/>
        </w:rPr>
        <w:t>9</w:t>
      </w:r>
      <w:r>
        <w:rPr>
          <w:color w:val="000000"/>
          <w:sz w:val="24"/>
        </w:rPr>
        <w:t>.</w:t>
      </w:r>
      <w:r>
        <w:rPr>
          <w:rFonts w:ascii="Times New Roman" w:hAnsi="Times New Roman"/>
          <w:color w:val="000000"/>
          <w:sz w:val="24"/>
        </w:rPr>
        <w:t>5</w:t>
      </w:r>
      <w:r>
        <w:rPr>
          <w:color w:val="000000"/>
          <w:sz w:val="24"/>
        </w:rPr>
        <w:t>%。</w:t>
      </w:r>
      <w:r>
        <w:rPr>
          <w:rFonts w:hint="eastAsia"/>
          <w:color w:val="000000"/>
          <w:sz w:val="24"/>
        </w:rPr>
        <w:t>乌苏市</w:t>
      </w:r>
      <w:r>
        <w:rPr>
          <w:color w:val="000000"/>
          <w:sz w:val="24"/>
        </w:rPr>
        <w:t>所在区域平原区天然林有杨树、榆树、沙枣树和其它灌木，人工林主要树种以杨树、柳树、榆树、沙枣树等乡土树种为主。山区森林主要以雪岭云杉为主，约占</w:t>
      </w:r>
      <w:r>
        <w:rPr>
          <w:rFonts w:ascii="Times New Roman" w:hAnsi="Times New Roman"/>
          <w:color w:val="000000"/>
          <w:sz w:val="24"/>
        </w:rPr>
        <w:t>80</w:t>
      </w:r>
      <w:r>
        <w:rPr>
          <w:color w:val="000000"/>
          <w:sz w:val="24"/>
        </w:rPr>
        <w:t>%以上。</w:t>
      </w:r>
      <w:r>
        <w:rPr>
          <w:rFonts w:hint="eastAsia"/>
        </w:rPr>
        <w:t>山前倾斜平原的上部为蒿类荒漠，北部的冲积平原地带为盐柴类灌木和半灌木荒漠，局部地区为沙生植被，在牧业生产上被作为春秋场放牧利用。四棵树以北还保留有大面积的低地草甸植被。</w:t>
      </w:r>
    </w:p>
    <w:p>
      <w:pPr>
        <w:spacing w:line="360" w:lineRule="auto"/>
        <w:ind w:firstLine="480" w:firstLineChars="200"/>
        <w:rPr>
          <w:color w:val="000000"/>
          <w:sz w:val="24"/>
        </w:rPr>
      </w:pPr>
      <w:r>
        <w:rPr>
          <w:rFonts w:hint="eastAsia"/>
          <w:color w:val="000000"/>
          <w:sz w:val="24"/>
          <w:lang w:eastAsia="zh-CN"/>
        </w:rPr>
        <w:t>乌苏工业园区</w:t>
      </w:r>
      <w:r>
        <w:rPr>
          <w:color w:val="000000"/>
          <w:sz w:val="24"/>
        </w:rPr>
        <w:t>区域林草覆盖率约为</w:t>
      </w:r>
      <w:r>
        <w:rPr>
          <w:rFonts w:hint="eastAsia" w:ascii="Times New Roman" w:hAnsi="Times New Roman"/>
          <w:color w:val="000000"/>
          <w:sz w:val="24"/>
        </w:rPr>
        <w:t>5</w:t>
      </w:r>
      <w:r>
        <w:rPr>
          <w:color w:val="000000"/>
          <w:sz w:val="24"/>
        </w:rPr>
        <w:t>%左右</w:t>
      </w:r>
      <w:r>
        <w:rPr>
          <w:rFonts w:hint="eastAsia"/>
          <w:color w:val="000000"/>
          <w:sz w:val="24"/>
          <w:lang w:eastAsia="zh-CN"/>
        </w:rPr>
        <w:t>，</w:t>
      </w:r>
      <w:r>
        <w:rPr>
          <w:color w:val="000000"/>
          <w:sz w:val="24"/>
        </w:rPr>
        <w:t>主要为荒漠草原植被，以藜科植物为主，有角果藜、</w:t>
      </w:r>
      <w:r>
        <w:rPr>
          <w:rFonts w:hint="eastAsia"/>
          <w:color w:val="000000"/>
          <w:sz w:val="24"/>
        </w:rPr>
        <w:t>蒿</w:t>
      </w:r>
      <w:r>
        <w:rPr>
          <w:color w:val="000000"/>
          <w:sz w:val="24"/>
        </w:rPr>
        <w:t>类、丛生禾草类，夹杂着梭梭、琵琶柴</w:t>
      </w:r>
      <w:r>
        <w:rPr>
          <w:rFonts w:hint="eastAsia"/>
          <w:color w:val="000000"/>
          <w:sz w:val="24"/>
          <w:lang w:eastAsia="zh-CN"/>
        </w:rPr>
        <w:t>等</w:t>
      </w:r>
      <w:r>
        <w:rPr>
          <w:color w:val="000000"/>
          <w:sz w:val="24"/>
        </w:rPr>
        <w:t>。</w:t>
      </w:r>
      <w:r>
        <w:rPr>
          <w:rFonts w:hint="eastAsia"/>
        </w:rPr>
        <w:t>区域植被类型分布图见</w:t>
      </w:r>
      <w:r>
        <w:rPr>
          <w:rFonts w:hint="eastAsia"/>
          <w:color w:val="FF0000"/>
        </w:rPr>
        <w:t>图</w:t>
      </w:r>
      <w:r>
        <w:rPr>
          <w:rFonts w:hint="eastAsia" w:ascii="Times New Roman" w:hAnsi="Times New Roman"/>
          <w:color w:val="FF0000"/>
          <w:lang w:val="en-US" w:eastAsia="zh-CN"/>
        </w:rPr>
        <w:t>5</w:t>
      </w:r>
      <w:r>
        <w:rPr>
          <w:rFonts w:hint="eastAsia" w:ascii="Times New Roman"/>
          <w:color w:val="FF0000"/>
          <w:lang w:val="en-US" w:eastAsia="zh-CN"/>
        </w:rPr>
        <w:t>.</w:t>
      </w:r>
      <w:r>
        <w:rPr>
          <w:rFonts w:hint="eastAsia" w:ascii="Times New Roman" w:hAnsi="Times New Roman"/>
          <w:color w:val="FF0000"/>
          <w:lang w:val="en-US" w:eastAsia="zh-CN"/>
        </w:rPr>
        <w:t>1</w:t>
      </w:r>
      <w:r>
        <w:rPr>
          <w:rFonts w:hint="eastAsia" w:ascii="Times New Roman"/>
          <w:color w:val="FF0000"/>
          <w:lang w:val="en-US" w:eastAsia="zh-CN"/>
        </w:rPr>
        <w:t>-</w:t>
      </w:r>
      <w:r>
        <w:rPr>
          <w:rFonts w:hint="eastAsia" w:ascii="Times New Roman" w:hAnsi="Times New Roman"/>
          <w:color w:val="FF0000"/>
          <w:lang w:val="en-US" w:eastAsia="zh-CN"/>
        </w:rPr>
        <w:t>5</w:t>
      </w:r>
      <w:r>
        <w:rPr>
          <w:rFonts w:hint="eastAsia"/>
        </w:rPr>
        <w:t>。</w:t>
      </w:r>
    </w:p>
    <w:p>
      <w:pPr>
        <w:rPr>
          <w:rFonts w:hint="eastAsia" w:eastAsia="宋体"/>
          <w:lang w:eastAsia="zh-CN"/>
        </w:rPr>
      </w:pPr>
      <w:r>
        <w:rPr>
          <w:rFonts w:hint="eastAsia"/>
          <w:color w:val="000000"/>
          <w:sz w:val="24"/>
        </w:rPr>
        <w:t>乌苏市区域有草原动物、绿洲动物、荒漠动物活动，常见鸟类有云雀、凤头百灵、麻雀、小嘴乌鸦等；兽类中以跳鼠、沙鼠较常见。</w:t>
      </w:r>
      <w:r>
        <w:rPr>
          <w:rFonts w:hint="eastAsia"/>
          <w:color w:val="000000"/>
          <w:sz w:val="24"/>
          <w:lang w:eastAsia="zh-CN"/>
        </w:rPr>
        <w:t>园区周围由于</w:t>
      </w:r>
      <w:r>
        <w:rPr>
          <w:rFonts w:hAnsi="宋体"/>
          <w:color w:val="000000"/>
          <w:sz w:val="24"/>
        </w:rPr>
        <w:t>受人为活动影响，区内野生动物很少，只有一些常见的小型野生种类，如乌鸦、麻雀、燕子、沙鼠、野兔等活动。</w:t>
      </w:r>
    </w:p>
    <w:p>
      <w:pPr>
        <w:rPr>
          <w:rFonts w:hint="eastAsia" w:eastAsia="宋体"/>
          <w:lang w:eastAsia="zh-CN"/>
        </w:rPr>
      </w:pPr>
      <w:r>
        <w:rPr>
          <w:rFonts w:hint="eastAsia"/>
          <w:lang w:eastAsia="zh-CN"/>
        </w:rPr>
        <w:t>（</w:t>
      </w:r>
      <w:r>
        <w:rPr>
          <w:rFonts w:hint="eastAsia" w:ascii="Times New Roman" w:hAnsi="Times New Roman"/>
          <w:lang w:val="en-US" w:eastAsia="zh-CN"/>
        </w:rPr>
        <w:t>3</w:t>
      </w:r>
      <w:r>
        <w:rPr>
          <w:rFonts w:hint="eastAsia"/>
          <w:lang w:eastAsia="zh-CN"/>
        </w:rPr>
        <w:t>）主要生态问题</w:t>
      </w:r>
    </w:p>
    <w:p>
      <w:pPr>
        <w:rPr>
          <w:rFonts w:hint="eastAsia"/>
        </w:rPr>
      </w:pPr>
      <w:r>
        <w:rPr>
          <w:rFonts w:hint="eastAsia"/>
        </w:rPr>
        <w:t>该区存在的主要生态问题</w:t>
      </w:r>
      <w:r>
        <w:rPr>
          <w:rFonts w:hint="eastAsia"/>
          <w:lang w:eastAsia="zh-CN"/>
        </w:rPr>
        <w:t>：</w:t>
      </w:r>
      <w:r>
        <w:rPr>
          <w:rFonts w:hint="eastAsia"/>
        </w:rPr>
        <w:t>一是城镇绿化面积不大；二是由于长期超载过牧，草地退化严重，不少地段的植被组成，已由占优势的蒿属半灌木被一年生的角果藜、叉毛蓬等植物所代替，产草量也明显下降。另外，部分草场还</w:t>
      </w:r>
      <w:r>
        <w:rPr>
          <w:rFonts w:hint="eastAsia"/>
          <w:lang w:eastAsia="zh-CN"/>
        </w:rPr>
        <w:t>严重</w:t>
      </w:r>
      <w:r>
        <w:rPr>
          <w:rFonts w:hint="eastAsia"/>
        </w:rPr>
        <w:t>受虫鼠害的威胁。</w:t>
      </w:r>
      <w:r>
        <w:rPr>
          <w:rFonts w:hint="eastAsia"/>
          <w:lang w:eastAsia="zh-CN"/>
        </w:rPr>
        <w:t>乌苏工业园区</w:t>
      </w:r>
      <w:r>
        <w:rPr>
          <w:rFonts w:hint="eastAsia"/>
        </w:rPr>
        <w:t>北部为风沙前缘，对绿洲的生态安全存在着巨大的潜在威胁。三是地下水超采河流萎缩断流,土地荒漠化与盐渍化</w:t>
      </w:r>
      <w:r>
        <w:rPr>
          <w:rFonts w:hint="eastAsia"/>
          <w:lang w:eastAsia="zh-CN"/>
        </w:rPr>
        <w:t>加剧</w:t>
      </w:r>
      <w:r>
        <w:rPr>
          <w:rFonts w:hint="eastAsia"/>
        </w:rPr>
        <w:t>。</w:t>
      </w:r>
    </w:p>
    <w:p>
      <w:pPr>
        <w:rPr>
          <w:rFonts w:hint="eastAsia"/>
        </w:rPr>
      </w:pPr>
      <w:r>
        <w:rPr>
          <w:rFonts w:hint="eastAsia"/>
          <w:lang w:eastAsia="zh-CN"/>
        </w:rPr>
        <w:t>本项目位于规划工业园区的现有厂区内，不新占用园区用地，也不取用地下水，项目占地范围及周边没有国家及自治区保护动植物分布</w:t>
      </w:r>
      <w:r>
        <w:rPr>
          <w:rFonts w:hint="eastAsia"/>
        </w:rPr>
        <w:t>。</w:t>
      </w:r>
    </w:p>
    <w:p>
      <w:pPr>
        <w:pStyle w:val="4"/>
        <w:bidi w:val="0"/>
        <w:rPr>
          <w:rFonts w:hint="eastAsia"/>
        </w:rPr>
      </w:pPr>
      <w:bookmarkStart w:id="160" w:name="_Toc9202"/>
      <w:bookmarkStart w:id="161" w:name="_Toc25924"/>
      <w:r>
        <w:rPr>
          <w:rFonts w:hint="eastAsia" w:ascii="Times New Roman" w:hAnsi="Times New Roman"/>
          <w:lang w:val="en-US" w:eastAsia="zh-CN"/>
        </w:rPr>
        <w:t>5</w:t>
      </w:r>
      <w:r>
        <w:rPr>
          <w:rFonts w:hint="eastAsia"/>
        </w:rPr>
        <w:t>.</w:t>
      </w:r>
      <w:r>
        <w:rPr>
          <w:rFonts w:hint="eastAsia" w:ascii="Times New Roman" w:hAnsi="Times New Roman"/>
          <w:lang w:val="en-US" w:eastAsia="zh-CN"/>
        </w:rPr>
        <w:t>2</w:t>
      </w:r>
      <w:r>
        <w:rPr>
          <w:rFonts w:hint="eastAsia" w:ascii="Times New Roman" w:hAnsi="Times New Roman"/>
          <w:lang w:val="en-US" w:eastAsia="zh-CN"/>
        </w:rPr>
        <w:t>乌苏工业园区</w:t>
      </w:r>
      <w:r>
        <w:rPr>
          <w:rFonts w:hint="eastAsia"/>
        </w:rPr>
        <w:t>概况</w:t>
      </w:r>
      <w:bookmarkEnd w:id="160"/>
      <w:bookmarkEnd w:id="161"/>
    </w:p>
    <w:p>
      <w:pPr>
        <w:rPr>
          <w:rFonts w:hint="eastAsia" w:hAnsi="宋体" w:cs="宋体"/>
          <w:color w:val="auto"/>
          <w:highlight w:val="none"/>
          <w:lang w:val="en-US" w:eastAsia="zh-CN"/>
        </w:rPr>
      </w:pPr>
      <w:bookmarkStart w:id="162" w:name="_Toc418425525"/>
      <w:r>
        <w:rPr>
          <w:rFonts w:hint="eastAsia" w:hAnsi="宋体" w:cs="宋体"/>
          <w:color w:val="auto"/>
          <w:highlight w:val="none"/>
          <w:lang w:val="en-US" w:eastAsia="zh-CN"/>
        </w:rPr>
        <w:t>依据《乌苏工业园区</w:t>
      </w:r>
      <w:r>
        <w:rPr>
          <w:rFonts w:hint="eastAsia" w:cs="宋体"/>
          <w:color w:val="auto"/>
          <w:highlight w:val="none"/>
          <w:lang w:val="en-US" w:eastAsia="zh-CN"/>
        </w:rPr>
        <w:t>总体</w:t>
      </w:r>
      <w:r>
        <w:rPr>
          <w:rFonts w:hint="eastAsia" w:hAnsi="宋体" w:cs="宋体"/>
          <w:color w:val="auto"/>
          <w:highlight w:val="none"/>
          <w:lang w:val="en-US" w:eastAsia="zh-CN"/>
        </w:rPr>
        <w:t>规划</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2018</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2035</w:t>
      </w:r>
      <w:r>
        <w:rPr>
          <w:rFonts w:hint="eastAsia" w:cs="宋体"/>
          <w:color w:val="auto"/>
          <w:highlight w:val="none"/>
          <w:lang w:val="en-US" w:eastAsia="zh-CN"/>
        </w:rPr>
        <w:t>）</w:t>
      </w:r>
      <w:r>
        <w:rPr>
          <w:rFonts w:hint="eastAsia" w:hAnsi="宋体" w:cs="宋体"/>
          <w:color w:val="auto"/>
          <w:highlight w:val="none"/>
          <w:lang w:val="en-US" w:eastAsia="zh-CN"/>
        </w:rPr>
        <w:t>》，在承接原</w:t>
      </w:r>
      <w:r>
        <w:rPr>
          <w:rFonts w:hint="eastAsia" w:cs="宋体"/>
          <w:color w:val="auto"/>
          <w:highlight w:val="none"/>
          <w:lang w:val="en-US" w:eastAsia="zh-CN"/>
        </w:rPr>
        <w:t>乌苏工业园区东区</w:t>
      </w:r>
      <w:r>
        <w:rPr>
          <w:rFonts w:hint="eastAsia" w:hAnsi="宋体" w:cs="宋体"/>
          <w:color w:val="auto"/>
          <w:highlight w:val="none"/>
          <w:lang w:val="en-US" w:eastAsia="zh-CN"/>
        </w:rPr>
        <w:t>部分产业转移的同时，以“高端引领、差异化发展，关键一流、整体中上”作为发展战略，最终确定在承接园区原址已有的石油化工、冶金建材等基础工业</w:t>
      </w:r>
      <w:r>
        <w:rPr>
          <w:rFonts w:hint="eastAsia" w:cs="宋体"/>
          <w:color w:val="auto"/>
          <w:highlight w:val="none"/>
          <w:lang w:val="en-US" w:eastAsia="zh-CN"/>
        </w:rPr>
        <w:t>上</w:t>
      </w:r>
      <w:r>
        <w:rPr>
          <w:rFonts w:hint="eastAsia" w:hAnsi="宋体" w:cs="宋体"/>
          <w:color w:val="auto"/>
          <w:highlight w:val="none"/>
          <w:lang w:val="en-US" w:eastAsia="zh-CN"/>
        </w:rPr>
        <w:t>，</w:t>
      </w:r>
      <w:r>
        <w:rPr>
          <w:rFonts w:hint="eastAsia" w:cs="宋体"/>
          <w:color w:val="auto"/>
          <w:highlight w:val="none"/>
          <w:lang w:val="en-US" w:eastAsia="zh-CN"/>
        </w:rPr>
        <w:t>创新</w:t>
      </w:r>
      <w:r>
        <w:rPr>
          <w:rFonts w:hint="eastAsia" w:hAnsi="宋体" w:cs="宋体"/>
          <w:color w:val="auto"/>
          <w:highlight w:val="none"/>
          <w:lang w:val="en-US" w:eastAsia="zh-CN"/>
        </w:rPr>
        <w:t>发展生物化工、产业用纺织品和应急产业等新兴产业</w:t>
      </w:r>
      <w:r>
        <w:rPr>
          <w:rFonts w:hint="eastAsia" w:cs="宋体"/>
          <w:color w:val="auto"/>
          <w:highlight w:val="none"/>
          <w:lang w:val="en-US" w:eastAsia="zh-CN"/>
        </w:rPr>
        <w:t>作为园区的主导产业</w:t>
      </w:r>
      <w:r>
        <w:rPr>
          <w:rFonts w:hint="eastAsia" w:hAnsi="宋体" w:cs="宋体"/>
          <w:color w:val="auto"/>
          <w:highlight w:val="none"/>
          <w:lang w:val="en-US" w:eastAsia="zh-CN"/>
        </w:rPr>
        <w:t>，</w:t>
      </w:r>
      <w:r>
        <w:rPr>
          <w:rFonts w:hint="eastAsia" w:cs="宋体"/>
          <w:color w:val="auto"/>
          <w:highlight w:val="none"/>
          <w:lang w:val="en-US" w:eastAsia="zh-CN"/>
        </w:rPr>
        <w:t>同时推动传统产业转型升级、培育壮大战略性新兴产业、加快发展金融服务业、电子商务等生产线服务业</w:t>
      </w:r>
      <w:r>
        <w:rPr>
          <w:rFonts w:hint="eastAsia" w:hAnsi="宋体" w:cs="宋体"/>
          <w:color w:val="auto"/>
          <w:highlight w:val="none"/>
          <w:lang w:val="en-US" w:eastAsia="zh-CN"/>
        </w:rPr>
        <w:t>。</w:t>
      </w:r>
      <w:r>
        <w:rPr>
          <w:rStyle w:val="89"/>
          <w:rFonts w:hint="eastAsia" w:ascii="Times New Roman" w:hAnsi="Times New Roman" w:cs="Times New Roman"/>
          <w:color w:val="auto"/>
          <w:sz w:val="24"/>
          <w:szCs w:val="24"/>
          <w:highlight w:val="none"/>
          <w:lang w:eastAsia="zh-CN"/>
        </w:rPr>
        <w:t>园区</w:t>
      </w:r>
      <w:r>
        <w:rPr>
          <w:rStyle w:val="89"/>
          <w:rFonts w:hint="eastAsia" w:ascii="Times New Roman" w:hAnsi="Times New Roman" w:eastAsia="宋体" w:cs="Times New Roman"/>
          <w:color w:val="auto"/>
          <w:sz w:val="24"/>
          <w:szCs w:val="24"/>
          <w:highlight w:val="none"/>
        </w:rPr>
        <w:t>产业布局见</w:t>
      </w:r>
      <w:r>
        <w:rPr>
          <w:rStyle w:val="89"/>
          <w:rFonts w:hint="eastAsia" w:ascii="Times New Roman" w:hAnsi="Times New Roman" w:eastAsia="宋体" w:cs="Times New Roman"/>
          <w:color w:val="FF0000"/>
          <w:sz w:val="24"/>
          <w:szCs w:val="24"/>
          <w:highlight w:val="none"/>
        </w:rPr>
        <w:t>图</w:t>
      </w:r>
      <w:r>
        <w:rPr>
          <w:rStyle w:val="89"/>
          <w:rFonts w:hint="eastAsia" w:ascii="Times New Roman" w:hAnsi="Times New Roman" w:cs="Times New Roman"/>
          <w:color w:val="FF0000"/>
          <w:sz w:val="24"/>
          <w:szCs w:val="24"/>
          <w:highlight w:val="none"/>
          <w:lang w:val="en-US" w:eastAsia="zh-CN"/>
        </w:rPr>
        <w:t>5</w:t>
      </w:r>
      <w:r>
        <w:rPr>
          <w:rStyle w:val="89"/>
          <w:rFonts w:hint="eastAsia" w:ascii="Times New Roman" w:hAnsi="Times New Roman" w:eastAsia="宋体" w:cs="Times New Roman"/>
          <w:color w:val="FF0000"/>
          <w:sz w:val="24"/>
          <w:szCs w:val="24"/>
          <w:highlight w:val="none"/>
          <w:lang w:eastAsia="zh-CN"/>
        </w:rPr>
        <w:t>.</w:t>
      </w:r>
      <w:r>
        <w:rPr>
          <w:rStyle w:val="89"/>
          <w:rFonts w:hint="eastAsia" w:ascii="Times New Roman" w:hAnsi="Times New Roman" w:eastAsia="宋体" w:cs="Times New Roman"/>
          <w:color w:val="FF0000"/>
          <w:sz w:val="24"/>
          <w:szCs w:val="24"/>
          <w:highlight w:val="none"/>
        </w:rPr>
        <w:t>2</w:t>
      </w:r>
      <w:r>
        <w:rPr>
          <w:rStyle w:val="89"/>
          <w:rFonts w:hint="eastAsia" w:ascii="Times New Roman" w:hAnsi="Times New Roman" w:eastAsia="宋体" w:cs="Times New Roman"/>
          <w:color w:val="FF0000"/>
          <w:sz w:val="24"/>
          <w:szCs w:val="24"/>
          <w:highlight w:val="none"/>
        </w:rPr>
        <w:t>-</w:t>
      </w:r>
      <w:r>
        <w:rPr>
          <w:rStyle w:val="89"/>
          <w:rFonts w:hint="eastAsia" w:ascii="Times New Roman" w:hAnsi="Times New Roman" w:cs="Times New Roman"/>
          <w:color w:val="FF0000"/>
          <w:sz w:val="24"/>
          <w:szCs w:val="24"/>
          <w:highlight w:val="none"/>
          <w:lang w:val="en-US" w:eastAsia="zh-CN"/>
        </w:rPr>
        <w:t>1</w:t>
      </w:r>
      <w:r>
        <w:rPr>
          <w:rStyle w:val="89"/>
          <w:rFonts w:hint="eastAsia" w:ascii="Times New Roman" w:hAnsi="Times New Roman" w:eastAsia="宋体" w:cs="Times New Roman"/>
          <w:color w:val="FF0000"/>
          <w:sz w:val="24"/>
          <w:szCs w:val="24"/>
          <w:highlight w:val="none"/>
          <w:lang w:val="en-US" w:eastAsia="zh-CN"/>
        </w:rPr>
        <w:t>。</w:t>
      </w:r>
    </w:p>
    <w:p>
      <w:pPr>
        <w:rPr>
          <w:rFonts w:hint="eastAsia" w:hAnsi="宋体" w:cs="宋体"/>
          <w:color w:val="auto"/>
          <w:highlight w:val="none"/>
          <w:lang w:val="en-US" w:eastAsia="zh-CN"/>
        </w:rPr>
      </w:pPr>
      <w:r>
        <w:rPr>
          <w:rFonts w:hint="eastAsia" w:cs="宋体"/>
          <w:color w:val="auto"/>
          <w:highlight w:val="none"/>
          <w:lang w:val="en-US" w:eastAsia="zh-CN"/>
        </w:rPr>
        <w:t>规划将乌苏工业园区西区的产业用地划分为七个相对独立的产业组团，引导相应产业的企业入驻各组团。</w:t>
      </w:r>
    </w:p>
    <w:p>
      <w:pPr>
        <w:rPr>
          <w:rFonts w:hint="eastAsia" w:hAnsi="宋体" w:cs="宋体"/>
          <w:color w:val="auto"/>
          <w:highlight w:val="none"/>
          <w:lang w:val="en-US" w:eastAsia="zh-CN"/>
        </w:rPr>
      </w:pP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1</w:t>
      </w:r>
      <w:r>
        <w:rPr>
          <w:rFonts w:hint="eastAsia" w:hAnsi="宋体" w:cs="宋体"/>
          <w:color w:val="auto"/>
          <w:highlight w:val="none"/>
          <w:lang w:val="en-US" w:eastAsia="zh-CN"/>
        </w:rPr>
        <w:t>）转移承接组团</w:t>
      </w:r>
    </w:p>
    <w:p>
      <w:pPr>
        <w:rPr>
          <w:rFonts w:hint="eastAsia" w:hAnsi="宋体" w:cs="宋体"/>
          <w:color w:val="auto"/>
          <w:highlight w:val="none"/>
          <w:lang w:val="en-US" w:eastAsia="zh-CN"/>
        </w:rPr>
      </w:pPr>
      <w:r>
        <w:rPr>
          <w:rFonts w:hint="eastAsia" w:hAnsi="宋体" w:cs="宋体"/>
          <w:color w:val="auto"/>
          <w:highlight w:val="none"/>
          <w:lang w:val="en-US" w:eastAsia="zh-CN"/>
        </w:rPr>
        <w:t>位于园区东南部，规划面积</w:t>
      </w:r>
      <w:r>
        <w:rPr>
          <w:rFonts w:hint="eastAsia" w:ascii="Times New Roman" w:hAnsi="Times New Roman" w:cs="宋体"/>
          <w:color w:val="auto"/>
          <w:highlight w:val="none"/>
          <w:lang w:val="en-US" w:eastAsia="zh-CN"/>
        </w:rPr>
        <w:t>1</w:t>
      </w: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18km</w:t>
      </w:r>
      <w:r>
        <w:rPr>
          <w:rFonts w:hint="eastAsia" w:ascii="Times New Roman" w:hAnsi="Times New Roman" w:cs="宋体"/>
          <w:color w:val="auto"/>
          <w:highlight w:val="none"/>
          <w:vertAlign w:val="superscript"/>
          <w:lang w:val="en-US" w:eastAsia="zh-CN"/>
        </w:rPr>
        <w:t>2</w:t>
      </w:r>
      <w:r>
        <w:rPr>
          <w:rFonts w:hint="eastAsia" w:hAnsi="宋体" w:cs="宋体"/>
          <w:color w:val="auto"/>
          <w:highlight w:val="none"/>
          <w:lang w:val="en-US" w:eastAsia="zh-CN"/>
        </w:rPr>
        <w:t>，承接部分不适合东区的污染类企业的转移。</w:t>
      </w:r>
    </w:p>
    <w:p>
      <w:pPr>
        <w:rPr>
          <w:rFonts w:hint="eastAsia" w:hAnsi="宋体" w:cs="宋体"/>
          <w:color w:val="auto"/>
          <w:highlight w:val="none"/>
          <w:lang w:val="en-US" w:eastAsia="zh-CN"/>
        </w:rPr>
      </w:pP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2</w:t>
      </w:r>
      <w:r>
        <w:rPr>
          <w:rFonts w:hint="eastAsia" w:hAnsi="宋体" w:cs="宋体"/>
          <w:color w:val="auto"/>
          <w:highlight w:val="none"/>
          <w:lang w:val="en-US" w:eastAsia="zh-CN"/>
        </w:rPr>
        <w:t>）生物化工组团</w:t>
      </w:r>
    </w:p>
    <w:p>
      <w:pPr>
        <w:rPr>
          <w:rFonts w:hint="eastAsia" w:hAnsi="宋体" w:cs="宋体"/>
          <w:color w:val="auto"/>
          <w:highlight w:val="none"/>
          <w:lang w:val="en-US" w:eastAsia="zh-CN"/>
        </w:rPr>
      </w:pPr>
      <w:r>
        <w:rPr>
          <w:rFonts w:hint="eastAsia" w:hAnsi="宋体" w:cs="宋体"/>
          <w:color w:val="auto"/>
          <w:highlight w:val="none"/>
          <w:lang w:val="en-US" w:eastAsia="zh-CN"/>
        </w:rPr>
        <w:t>位于园区中部，规划面积</w:t>
      </w:r>
      <w:r>
        <w:rPr>
          <w:rFonts w:hint="eastAsia" w:ascii="Times New Roman" w:hAnsi="Times New Roman" w:cs="宋体"/>
          <w:color w:val="auto"/>
          <w:highlight w:val="none"/>
          <w:lang w:val="en-US" w:eastAsia="zh-CN"/>
        </w:rPr>
        <w:t>2</w:t>
      </w: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14km</w:t>
      </w:r>
      <w:r>
        <w:rPr>
          <w:rFonts w:hint="eastAsia" w:ascii="Times New Roman" w:hAnsi="Times New Roman" w:cs="宋体"/>
          <w:color w:val="auto"/>
          <w:highlight w:val="none"/>
          <w:vertAlign w:val="superscript"/>
          <w:lang w:val="en-US" w:eastAsia="zh-CN"/>
        </w:rPr>
        <w:t>2</w:t>
      </w:r>
      <w:r>
        <w:rPr>
          <w:rFonts w:hint="eastAsia" w:hAnsi="宋体" w:cs="宋体"/>
          <w:color w:val="auto"/>
          <w:highlight w:val="none"/>
          <w:lang w:val="en-US" w:eastAsia="zh-CN"/>
        </w:rPr>
        <w:t>，</w:t>
      </w:r>
      <w:r>
        <w:rPr>
          <w:rFonts w:hint="eastAsia" w:cs="宋体"/>
          <w:color w:val="auto"/>
          <w:highlight w:val="none"/>
          <w:lang w:val="en-US" w:eastAsia="zh-CN"/>
        </w:rPr>
        <w:t>以凯赛为龙头发展生物化工产业</w:t>
      </w:r>
      <w:r>
        <w:rPr>
          <w:rFonts w:hint="eastAsia" w:hAnsi="宋体" w:cs="宋体"/>
          <w:color w:val="auto"/>
          <w:highlight w:val="none"/>
          <w:lang w:val="en-US" w:eastAsia="zh-CN"/>
        </w:rPr>
        <w:t>。</w:t>
      </w:r>
    </w:p>
    <w:p>
      <w:pPr>
        <w:rPr>
          <w:rFonts w:hint="eastAsia" w:hAnsi="宋体" w:cs="宋体"/>
          <w:color w:val="auto"/>
          <w:highlight w:val="none"/>
          <w:lang w:val="en-US" w:eastAsia="zh-CN"/>
        </w:rPr>
      </w:pP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3</w:t>
      </w:r>
      <w:r>
        <w:rPr>
          <w:rFonts w:hint="eastAsia" w:hAnsi="宋体" w:cs="宋体"/>
          <w:color w:val="auto"/>
          <w:highlight w:val="none"/>
          <w:lang w:val="en-US" w:eastAsia="zh-CN"/>
        </w:rPr>
        <w:t>）纺织</w:t>
      </w:r>
      <w:r>
        <w:rPr>
          <w:rFonts w:hint="eastAsia" w:cs="宋体"/>
          <w:color w:val="auto"/>
          <w:highlight w:val="none"/>
          <w:lang w:val="en-US" w:eastAsia="zh-CN"/>
        </w:rPr>
        <w:t>服装</w:t>
      </w:r>
      <w:r>
        <w:rPr>
          <w:rFonts w:hint="eastAsia" w:hAnsi="宋体" w:cs="宋体"/>
          <w:color w:val="auto"/>
          <w:highlight w:val="none"/>
          <w:lang w:val="en-US" w:eastAsia="zh-CN"/>
        </w:rPr>
        <w:t>组团</w:t>
      </w:r>
    </w:p>
    <w:p>
      <w:pPr>
        <w:rPr>
          <w:rFonts w:hint="eastAsia" w:hAnsi="宋体" w:cs="宋体"/>
          <w:color w:val="auto"/>
          <w:highlight w:val="none"/>
          <w:lang w:val="en-US" w:eastAsia="zh-CN"/>
        </w:rPr>
      </w:pPr>
      <w:r>
        <w:rPr>
          <w:rFonts w:hint="eastAsia" w:hAnsi="宋体" w:cs="宋体"/>
          <w:color w:val="auto"/>
          <w:highlight w:val="none"/>
          <w:lang w:val="en-US" w:eastAsia="zh-CN"/>
        </w:rPr>
        <w:t>位于生物化工组团西侧，规划面积</w:t>
      </w:r>
      <w:r>
        <w:rPr>
          <w:rFonts w:hint="eastAsia" w:ascii="Times New Roman" w:hAnsi="Times New Roman" w:cs="宋体"/>
          <w:color w:val="auto"/>
          <w:highlight w:val="none"/>
          <w:lang w:val="en-US" w:eastAsia="zh-CN"/>
        </w:rPr>
        <w:t>1</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66km</w:t>
      </w:r>
      <w:r>
        <w:rPr>
          <w:rFonts w:hint="eastAsia" w:ascii="Times New Roman" w:hAnsi="Times New Roman" w:cs="宋体"/>
          <w:color w:val="auto"/>
          <w:highlight w:val="none"/>
          <w:vertAlign w:val="superscript"/>
          <w:lang w:val="en-US" w:eastAsia="zh-CN"/>
        </w:rPr>
        <w:t>2</w:t>
      </w:r>
      <w:r>
        <w:rPr>
          <w:rFonts w:hint="eastAsia" w:hAnsi="宋体" w:cs="宋体"/>
          <w:color w:val="auto"/>
          <w:highlight w:val="none"/>
          <w:lang w:val="en-US" w:eastAsia="zh-CN"/>
        </w:rPr>
        <w:t>，</w:t>
      </w:r>
      <w:r>
        <w:rPr>
          <w:rFonts w:hint="eastAsia" w:cs="宋体"/>
          <w:color w:val="auto"/>
          <w:highlight w:val="none"/>
          <w:lang w:val="en-US" w:eastAsia="zh-CN"/>
        </w:rPr>
        <w:t>围绕凯赛发展产业用纺织品</w:t>
      </w:r>
      <w:r>
        <w:rPr>
          <w:rFonts w:hint="eastAsia" w:hAnsi="宋体" w:cs="宋体"/>
          <w:color w:val="auto"/>
          <w:highlight w:val="none"/>
          <w:lang w:val="en-US" w:eastAsia="zh-CN"/>
        </w:rPr>
        <w:t>。</w:t>
      </w:r>
    </w:p>
    <w:p>
      <w:pPr>
        <w:rPr>
          <w:rFonts w:hint="eastAsia" w:hAnsi="宋体" w:cs="宋体"/>
          <w:color w:val="auto"/>
          <w:highlight w:val="none"/>
          <w:lang w:val="en-US" w:eastAsia="zh-CN"/>
        </w:rPr>
      </w:pP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4</w:t>
      </w:r>
      <w:r>
        <w:rPr>
          <w:rFonts w:hint="eastAsia" w:hAnsi="宋体" w:cs="宋体"/>
          <w:color w:val="auto"/>
          <w:highlight w:val="none"/>
          <w:lang w:val="en-US" w:eastAsia="zh-CN"/>
        </w:rPr>
        <w:t>）</w:t>
      </w:r>
      <w:r>
        <w:rPr>
          <w:rFonts w:hint="eastAsia" w:cs="宋体"/>
          <w:color w:val="auto"/>
          <w:highlight w:val="none"/>
          <w:lang w:val="en-US" w:eastAsia="zh-CN"/>
        </w:rPr>
        <w:t>装备制造</w:t>
      </w:r>
      <w:r>
        <w:rPr>
          <w:rFonts w:hint="eastAsia" w:hAnsi="宋体" w:cs="宋体"/>
          <w:color w:val="auto"/>
          <w:highlight w:val="none"/>
          <w:lang w:val="en-US" w:eastAsia="zh-CN"/>
        </w:rPr>
        <w:t>组团</w:t>
      </w:r>
    </w:p>
    <w:p>
      <w:pPr>
        <w:rPr>
          <w:rFonts w:hint="eastAsia" w:hAnsi="宋体" w:cs="宋体"/>
          <w:color w:val="auto"/>
          <w:highlight w:val="none"/>
          <w:lang w:val="en-US" w:eastAsia="zh-CN"/>
        </w:rPr>
      </w:pPr>
      <w:r>
        <w:rPr>
          <w:rFonts w:hint="eastAsia" w:hAnsi="宋体" w:cs="宋体"/>
          <w:color w:val="auto"/>
          <w:highlight w:val="none"/>
          <w:lang w:val="en-US" w:eastAsia="zh-CN"/>
        </w:rPr>
        <w:t>位于园区</w:t>
      </w:r>
      <w:r>
        <w:rPr>
          <w:rFonts w:hint="eastAsia" w:cs="宋体"/>
          <w:color w:val="auto"/>
          <w:highlight w:val="none"/>
          <w:lang w:val="en-US" w:eastAsia="zh-CN"/>
        </w:rPr>
        <w:t>中南部，承接转移组团东部，规划面积</w:t>
      </w:r>
      <w:r>
        <w:rPr>
          <w:rFonts w:hint="eastAsia" w:ascii="Times New Roman" w:hAnsi="Times New Roman" w:cs="宋体"/>
          <w:color w:val="auto"/>
          <w:highlight w:val="none"/>
          <w:lang w:val="en-US" w:eastAsia="zh-CN"/>
        </w:rPr>
        <w:t>1</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35km</w:t>
      </w:r>
      <w:r>
        <w:rPr>
          <w:rFonts w:hint="eastAsia" w:ascii="Times New Roman" w:hAnsi="Times New Roman" w:cs="宋体"/>
          <w:color w:val="auto"/>
          <w:highlight w:val="none"/>
          <w:vertAlign w:val="superscript"/>
          <w:lang w:val="en-US" w:eastAsia="zh-CN"/>
        </w:rPr>
        <w:t>2</w:t>
      </w:r>
      <w:r>
        <w:rPr>
          <w:rFonts w:hint="eastAsia" w:cs="宋体"/>
          <w:color w:val="auto"/>
          <w:highlight w:val="none"/>
          <w:lang w:val="en-US" w:eastAsia="zh-CN"/>
        </w:rPr>
        <w:t>，发展装备制造产业</w:t>
      </w:r>
      <w:r>
        <w:rPr>
          <w:rFonts w:hint="eastAsia" w:hAnsi="宋体" w:cs="宋体"/>
          <w:color w:val="auto"/>
          <w:highlight w:val="none"/>
          <w:lang w:val="en-US" w:eastAsia="zh-CN"/>
        </w:rPr>
        <w:t>。</w:t>
      </w:r>
    </w:p>
    <w:p>
      <w:pPr>
        <w:rPr>
          <w:rFonts w:hint="eastAsia" w:hAnsi="宋体" w:cs="宋体"/>
          <w:color w:val="auto"/>
          <w:highlight w:val="none"/>
          <w:lang w:val="en-US" w:eastAsia="zh-CN"/>
        </w:rPr>
      </w:pP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5</w:t>
      </w:r>
      <w:r>
        <w:rPr>
          <w:rFonts w:hint="eastAsia" w:hAnsi="宋体" w:cs="宋体"/>
          <w:color w:val="auto"/>
          <w:highlight w:val="none"/>
          <w:lang w:val="en-US" w:eastAsia="zh-CN"/>
        </w:rPr>
        <w:t>）</w:t>
      </w:r>
      <w:r>
        <w:rPr>
          <w:rFonts w:hint="eastAsia" w:cs="宋体"/>
          <w:color w:val="auto"/>
          <w:highlight w:val="none"/>
          <w:lang w:val="en-US" w:eastAsia="zh-CN"/>
        </w:rPr>
        <w:t>战略性新兴产业</w:t>
      </w:r>
      <w:r>
        <w:rPr>
          <w:rFonts w:hint="eastAsia" w:hAnsi="宋体" w:cs="宋体"/>
          <w:color w:val="auto"/>
          <w:highlight w:val="none"/>
          <w:lang w:val="en-US" w:eastAsia="zh-CN"/>
        </w:rPr>
        <w:t>组团</w:t>
      </w:r>
    </w:p>
    <w:p>
      <w:pPr>
        <w:rPr>
          <w:rFonts w:hint="eastAsia" w:hAnsi="宋体" w:cs="宋体"/>
          <w:color w:val="auto"/>
          <w:highlight w:val="none"/>
          <w:lang w:val="en-US" w:eastAsia="zh-CN"/>
        </w:rPr>
      </w:pPr>
      <w:r>
        <w:rPr>
          <w:rFonts w:hint="eastAsia" w:hAnsi="宋体" w:cs="宋体"/>
          <w:color w:val="auto"/>
          <w:highlight w:val="none"/>
          <w:lang w:val="en-US" w:eastAsia="zh-CN"/>
        </w:rPr>
        <w:t>位于服务产业组团北侧，规划面积</w:t>
      </w:r>
      <w:r>
        <w:rPr>
          <w:rFonts w:hint="eastAsia" w:ascii="Times New Roman" w:hAnsi="Times New Roman" w:cs="宋体"/>
          <w:color w:val="auto"/>
          <w:highlight w:val="none"/>
          <w:lang w:val="en-US" w:eastAsia="zh-CN"/>
        </w:rPr>
        <w:t>0</w:t>
      </w:r>
      <w:r>
        <w:rPr>
          <w:rFonts w:hint="eastAsia" w:hAnsi="宋体" w:cs="宋体"/>
          <w:color w:val="auto"/>
          <w:highlight w:val="none"/>
          <w:lang w:val="en-US" w:eastAsia="zh-CN"/>
        </w:rPr>
        <w:t>.</w:t>
      </w:r>
      <w:r>
        <w:rPr>
          <w:rFonts w:hint="eastAsia" w:ascii="Times New Roman" w:hAnsi="Times New Roman" w:cs="宋体"/>
          <w:color w:val="auto"/>
          <w:highlight w:val="none"/>
          <w:lang w:val="en-US" w:eastAsia="zh-CN"/>
        </w:rPr>
        <w:t>96km</w:t>
      </w:r>
      <w:r>
        <w:rPr>
          <w:rFonts w:hint="eastAsia" w:ascii="Times New Roman" w:hAnsi="Times New Roman" w:cs="宋体"/>
          <w:color w:val="auto"/>
          <w:highlight w:val="none"/>
          <w:vertAlign w:val="superscript"/>
          <w:lang w:val="en-US" w:eastAsia="zh-CN"/>
        </w:rPr>
        <w:t>2</w:t>
      </w:r>
      <w:r>
        <w:rPr>
          <w:rFonts w:hint="eastAsia" w:hAnsi="宋体" w:cs="宋体"/>
          <w:color w:val="auto"/>
          <w:highlight w:val="none"/>
          <w:lang w:val="en-US" w:eastAsia="zh-CN"/>
        </w:rPr>
        <w:t>，依据《国务院关于大力推进大众创业万众创新若干政策措施的意见》，该组团结合已建成的中小企业创业园聚集创新创业资源，培育具有核心技术能力或新颖商业模式的创业团队和企业。</w:t>
      </w:r>
    </w:p>
    <w:p>
      <w:pPr>
        <w:numPr>
          <w:ilvl w:val="0"/>
          <w:numId w:val="0"/>
        </w:numPr>
        <w:ind w:left="482" w:leftChars="0"/>
        <w:rPr>
          <w:rFonts w:hint="default" w:eastAsia="宋体"/>
          <w:lang w:val="en-US" w:eastAsia="zh-CN"/>
        </w:rPr>
      </w:pPr>
      <w:r>
        <w:rPr>
          <w:rFonts w:hint="eastAsia"/>
          <w:lang w:eastAsia="zh-CN"/>
        </w:rPr>
        <w:t>（</w:t>
      </w:r>
      <w:r>
        <w:rPr>
          <w:rFonts w:hint="eastAsia" w:ascii="Times New Roman" w:hAnsi="Times New Roman"/>
          <w:lang w:val="en-US" w:eastAsia="zh-CN"/>
        </w:rPr>
        <w:t>6</w:t>
      </w:r>
      <w:r>
        <w:rPr>
          <w:rFonts w:hint="eastAsia"/>
          <w:lang w:eastAsia="zh-CN"/>
        </w:rPr>
        <w:t>）新兴建材组团</w:t>
      </w:r>
    </w:p>
    <w:p>
      <w:pPr>
        <w:bidi w:val="0"/>
        <w:rPr>
          <w:rFonts w:hint="eastAsia"/>
          <w:lang w:eastAsia="zh-CN"/>
        </w:rPr>
      </w:pPr>
      <w:r>
        <w:rPr>
          <w:rFonts w:hint="eastAsia"/>
          <w:lang w:eastAsia="zh-CN"/>
        </w:rPr>
        <w:t>位于园区南部，规划面积</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25</w:t>
      </w:r>
      <w:r>
        <w:rPr>
          <w:rFonts w:hint="eastAsia" w:ascii="Times New Roman" w:hAnsi="Times New Roman"/>
          <w:lang w:eastAsia="zh-CN"/>
        </w:rPr>
        <w:t>km</w:t>
      </w:r>
      <w:r>
        <w:rPr>
          <w:rFonts w:hint="eastAsia" w:ascii="Times New Roman" w:hAnsi="Times New Roman"/>
          <w:vertAlign w:val="superscript"/>
          <w:lang w:eastAsia="zh-CN"/>
        </w:rPr>
        <w:t>2</w:t>
      </w:r>
      <w:r>
        <w:rPr>
          <w:rFonts w:hint="eastAsia"/>
          <w:lang w:eastAsia="zh-CN"/>
        </w:rPr>
        <w:t>，发展新型建材产业。</w:t>
      </w:r>
    </w:p>
    <w:p>
      <w:pPr>
        <w:bidi w:val="0"/>
        <w:rPr>
          <w:rStyle w:val="89"/>
          <w:rFonts w:hint="eastAsia" w:ascii="Times New Roman" w:hAnsi="Times New Roman" w:eastAsia="宋体" w:cs="Times New Roman"/>
          <w:color w:val="auto"/>
          <w:sz w:val="24"/>
          <w:szCs w:val="24"/>
          <w:highlight w:val="none"/>
          <w:lang w:eastAsia="zh-CN"/>
        </w:rPr>
      </w:pPr>
      <w:r>
        <w:rPr>
          <w:rStyle w:val="89"/>
          <w:rFonts w:hint="eastAsia" w:ascii="Times New Roman" w:hAnsi="Times New Roman" w:cs="Times New Roman"/>
          <w:color w:val="auto"/>
          <w:sz w:val="24"/>
          <w:szCs w:val="24"/>
          <w:highlight w:val="none"/>
          <w:lang w:eastAsia="zh-CN"/>
        </w:rPr>
        <w:t>（</w:t>
      </w:r>
      <w:r>
        <w:rPr>
          <w:rStyle w:val="89"/>
          <w:rFonts w:hint="eastAsia" w:ascii="Times New Roman" w:hAnsi="Times New Roman" w:cs="Times New Roman"/>
          <w:color w:val="auto"/>
          <w:sz w:val="24"/>
          <w:szCs w:val="24"/>
          <w:highlight w:val="none"/>
          <w:lang w:val="en-US" w:eastAsia="zh-CN"/>
        </w:rPr>
        <w:t>7</w:t>
      </w:r>
      <w:r>
        <w:rPr>
          <w:rStyle w:val="89"/>
          <w:rFonts w:hint="eastAsia" w:ascii="Times New Roman" w:hAnsi="Times New Roman" w:cs="Times New Roman"/>
          <w:color w:val="auto"/>
          <w:sz w:val="24"/>
          <w:szCs w:val="24"/>
          <w:highlight w:val="none"/>
          <w:lang w:eastAsia="zh-CN"/>
        </w:rPr>
        <w:t>）服务产业组团</w:t>
      </w:r>
    </w:p>
    <w:p>
      <w:pPr>
        <w:bidi w:val="0"/>
        <w:rPr>
          <w:rStyle w:val="89"/>
          <w:rFonts w:hint="default" w:ascii="Times New Roman" w:hAnsi="Times New Roman" w:eastAsia="宋体" w:cs="Times New Roman"/>
          <w:color w:val="auto"/>
          <w:sz w:val="24"/>
          <w:szCs w:val="24"/>
          <w:highlight w:val="none"/>
          <w:lang w:val="en-US" w:eastAsia="zh-CN"/>
        </w:rPr>
      </w:pPr>
      <w:r>
        <w:rPr>
          <w:rStyle w:val="89"/>
          <w:rFonts w:hint="eastAsia" w:ascii="Times New Roman" w:hAnsi="Times New Roman" w:cs="Times New Roman"/>
          <w:color w:val="auto"/>
          <w:sz w:val="24"/>
          <w:szCs w:val="24"/>
          <w:highlight w:val="none"/>
          <w:lang w:eastAsia="zh-CN"/>
        </w:rPr>
        <w:t>位于园区中部，规划面积</w:t>
      </w:r>
      <w:r>
        <w:rPr>
          <w:rStyle w:val="89"/>
          <w:rFonts w:hint="eastAsia" w:ascii="Times New Roman" w:hAnsi="Times New Roman" w:cs="Times New Roman"/>
          <w:color w:val="auto"/>
          <w:sz w:val="24"/>
          <w:szCs w:val="24"/>
          <w:highlight w:val="none"/>
          <w:lang w:val="en-US" w:eastAsia="zh-CN"/>
        </w:rPr>
        <w:t>0</w:t>
      </w:r>
      <w:r>
        <w:rPr>
          <w:rStyle w:val="89"/>
          <w:rFonts w:hint="eastAsia" w:ascii="Times New Roman" w:hAnsi="Times New Roman" w:cs="Times New Roman"/>
          <w:color w:val="auto"/>
          <w:sz w:val="24"/>
          <w:szCs w:val="24"/>
          <w:highlight w:val="none"/>
          <w:lang w:val="en-US" w:eastAsia="zh-CN"/>
        </w:rPr>
        <w:t>.</w:t>
      </w:r>
      <w:r>
        <w:rPr>
          <w:rStyle w:val="89"/>
          <w:rFonts w:hint="eastAsia" w:ascii="Times New Roman" w:hAnsi="Times New Roman" w:cs="Times New Roman"/>
          <w:color w:val="auto"/>
          <w:sz w:val="24"/>
          <w:szCs w:val="24"/>
          <w:highlight w:val="none"/>
          <w:lang w:val="en-US" w:eastAsia="zh-CN"/>
        </w:rPr>
        <w:t>98k</w:t>
      </w:r>
      <w:r>
        <w:rPr>
          <w:rStyle w:val="89"/>
          <w:rFonts w:hint="eastAsia" w:ascii="Times New Roman" w:hAnsi="Times New Roman" w:cs="Times New Roman"/>
          <w:color w:val="auto"/>
          <w:sz w:val="24"/>
          <w:szCs w:val="24"/>
          <w:highlight w:val="none"/>
          <w:lang w:val="en-US" w:eastAsia="zh-CN"/>
        </w:rPr>
        <w:t>㎡，</w:t>
      </w:r>
      <w:r>
        <w:rPr>
          <w:color w:val="000000" w:themeColor="text1"/>
          <w14:textFill>
            <w14:solidFill>
              <w14:schemeClr w14:val="tx1"/>
            </w14:solidFill>
          </w14:textFill>
        </w:rPr>
        <w:t>重点发展信息技术服务、节能环保服务、检验检测认证、电子商务、商务咨询、服务外包、售后服务、人力资源服务和品牌建设，推动园区产业结构由生产制造型向生产服务型转变。</w:t>
      </w:r>
    </w:p>
    <w:p>
      <w:pPr>
        <w:bidi w:val="0"/>
        <w:rPr>
          <w:rStyle w:val="89"/>
          <w:rFonts w:hint="eastAsia" w:ascii="Times New Roman" w:hAnsi="Times New Roman" w:eastAsia="宋体" w:cs="Times New Roman"/>
          <w:color w:val="auto"/>
          <w:sz w:val="24"/>
          <w:szCs w:val="24"/>
          <w:highlight w:val="none"/>
        </w:rPr>
      </w:pPr>
      <w:r>
        <w:rPr>
          <w:rStyle w:val="89"/>
          <w:rFonts w:hint="eastAsia" w:ascii="Times New Roman" w:hAnsi="Times New Roman" w:eastAsia="宋体" w:cs="Times New Roman"/>
          <w:color w:val="auto"/>
          <w:sz w:val="24"/>
          <w:szCs w:val="24"/>
          <w:highlight w:val="none"/>
        </w:rPr>
        <w:t>本项目选址位于</w:t>
      </w:r>
      <w:r>
        <w:rPr>
          <w:rStyle w:val="89"/>
          <w:rFonts w:hint="eastAsia" w:ascii="Times New Roman" w:hAnsi="Times New Roman" w:cs="Times New Roman"/>
          <w:color w:val="auto"/>
          <w:sz w:val="24"/>
          <w:szCs w:val="24"/>
          <w:highlight w:val="none"/>
          <w:lang w:eastAsia="zh-CN"/>
        </w:rPr>
        <w:t>生物化工组团</w:t>
      </w:r>
      <w:r>
        <w:rPr>
          <w:rStyle w:val="89"/>
          <w:rFonts w:hint="eastAsia" w:ascii="Times New Roman" w:hAnsi="Times New Roman" w:eastAsia="宋体" w:cs="Times New Roman"/>
          <w:color w:val="auto"/>
          <w:sz w:val="24"/>
          <w:szCs w:val="24"/>
          <w:highlight w:val="none"/>
        </w:rPr>
        <w:t>，符合</w:t>
      </w:r>
      <w:r>
        <w:rPr>
          <w:rStyle w:val="89"/>
          <w:rFonts w:hint="eastAsia" w:ascii="Times New Roman" w:hAnsi="Times New Roman" w:cs="Times New Roman"/>
          <w:color w:val="auto"/>
          <w:sz w:val="24"/>
          <w:szCs w:val="24"/>
          <w:highlight w:val="none"/>
          <w:lang w:eastAsia="zh-CN"/>
        </w:rPr>
        <w:t>园区</w:t>
      </w:r>
      <w:r>
        <w:rPr>
          <w:rStyle w:val="89"/>
          <w:rFonts w:hint="eastAsia" w:ascii="Times New Roman" w:hAnsi="Times New Roman" w:eastAsia="宋体" w:cs="Times New Roman"/>
          <w:color w:val="auto"/>
          <w:sz w:val="24"/>
          <w:szCs w:val="24"/>
          <w:highlight w:val="none"/>
        </w:rPr>
        <w:t>产业规划要求。</w:t>
      </w:r>
    </w:p>
    <w:p>
      <w:pPr>
        <w:bidi w:val="0"/>
      </w:pPr>
      <w:r>
        <w:rPr>
          <w:rStyle w:val="89"/>
          <w:rFonts w:hint="eastAsia" w:ascii="Times New Roman" w:hAnsi="Times New Roman" w:cs="Times New Roman"/>
          <w:color w:val="auto"/>
          <w:sz w:val="24"/>
          <w:szCs w:val="24"/>
          <w:highlight w:val="none"/>
          <w:lang w:eastAsia="zh-CN"/>
        </w:rPr>
        <w:t>乌苏工业园区西区土地利用规划图</w:t>
      </w:r>
      <w:r>
        <w:rPr>
          <w:rStyle w:val="89"/>
          <w:rFonts w:hint="eastAsia" w:ascii="Times New Roman" w:hAnsi="Times New Roman" w:cs="Times New Roman"/>
          <w:color w:val="FF0000"/>
          <w:sz w:val="24"/>
          <w:szCs w:val="24"/>
          <w:highlight w:val="none"/>
          <w:lang w:eastAsia="zh-CN"/>
        </w:rPr>
        <w:t>见图</w:t>
      </w:r>
      <w:r>
        <w:rPr>
          <w:rStyle w:val="89"/>
          <w:rFonts w:hint="eastAsia" w:ascii="Times New Roman" w:hAnsi="Times New Roman" w:cs="Times New Roman"/>
          <w:color w:val="FF0000"/>
          <w:sz w:val="24"/>
          <w:szCs w:val="24"/>
          <w:highlight w:val="none"/>
          <w:lang w:val="en-US" w:eastAsia="zh-CN"/>
        </w:rPr>
        <w:t>5</w:t>
      </w:r>
      <w:r>
        <w:rPr>
          <w:rStyle w:val="89"/>
          <w:rFonts w:hint="eastAsia" w:ascii="Times New Roman" w:hAnsi="Times New Roman" w:cs="Times New Roman"/>
          <w:color w:val="FF0000"/>
          <w:sz w:val="24"/>
          <w:szCs w:val="24"/>
          <w:highlight w:val="none"/>
          <w:lang w:val="en-US" w:eastAsia="zh-CN"/>
        </w:rPr>
        <w:t>.</w:t>
      </w:r>
      <w:r>
        <w:rPr>
          <w:rStyle w:val="89"/>
          <w:rFonts w:hint="eastAsia" w:ascii="Times New Roman" w:hAnsi="Times New Roman" w:cs="Times New Roman"/>
          <w:color w:val="FF0000"/>
          <w:sz w:val="24"/>
          <w:szCs w:val="24"/>
          <w:highlight w:val="none"/>
          <w:lang w:val="en-US" w:eastAsia="zh-CN"/>
        </w:rPr>
        <w:t>2</w:t>
      </w:r>
      <w:r>
        <w:rPr>
          <w:rStyle w:val="89"/>
          <w:rFonts w:hint="eastAsia" w:ascii="Times New Roman" w:hAnsi="Times New Roman" w:cs="Times New Roman"/>
          <w:color w:val="FF0000"/>
          <w:sz w:val="24"/>
          <w:szCs w:val="24"/>
          <w:highlight w:val="none"/>
          <w:lang w:val="en-US" w:eastAsia="zh-CN"/>
        </w:rPr>
        <w:t>-</w:t>
      </w:r>
      <w:r>
        <w:rPr>
          <w:rStyle w:val="89"/>
          <w:rFonts w:hint="eastAsia" w:ascii="Times New Roman" w:hAnsi="Times New Roman" w:cs="Times New Roman"/>
          <w:color w:val="FF0000"/>
          <w:sz w:val="24"/>
          <w:szCs w:val="24"/>
          <w:highlight w:val="none"/>
          <w:lang w:val="en-US" w:eastAsia="zh-CN"/>
        </w:rPr>
        <w:t>2</w:t>
      </w:r>
      <w:r>
        <w:rPr>
          <w:rStyle w:val="89"/>
          <w:rFonts w:hint="eastAsia" w:ascii="Times New Roman" w:hAnsi="Times New Roman" w:cs="Times New Roman"/>
          <w:color w:val="auto"/>
          <w:sz w:val="24"/>
          <w:szCs w:val="24"/>
          <w:highlight w:val="none"/>
          <w:lang w:val="en-US" w:eastAsia="zh-CN"/>
        </w:rPr>
        <w:t>。</w:t>
      </w:r>
    </w:p>
    <w:p>
      <w:pPr>
        <w:pStyle w:val="4"/>
        <w:bidi w:val="0"/>
        <w:rPr>
          <w:color w:val="auto"/>
        </w:rPr>
      </w:pPr>
      <w:bookmarkStart w:id="163" w:name="_Toc19178"/>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3</w:t>
      </w:r>
      <w:r>
        <w:rPr>
          <w:rFonts w:hint="eastAsia"/>
          <w:color w:val="auto"/>
        </w:rPr>
        <w:t>基础设施</w:t>
      </w:r>
      <w:r>
        <w:rPr>
          <w:rFonts w:hint="eastAsia"/>
          <w:color w:val="auto"/>
          <w:lang w:eastAsia="zh-CN"/>
        </w:rPr>
        <w:t>建设</w:t>
      </w:r>
      <w:bookmarkEnd w:id="163"/>
    </w:p>
    <w:bookmarkEnd w:id="162"/>
    <w:p>
      <w:pPr>
        <w:pStyle w:val="5"/>
        <w:bidi w:val="0"/>
        <w:rPr>
          <w:color w:val="auto"/>
        </w:rPr>
      </w:pP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1</w:t>
      </w:r>
      <w:r>
        <w:rPr>
          <w:color w:val="auto"/>
        </w:rPr>
        <w:t>供</w:t>
      </w:r>
      <w:r>
        <w:rPr>
          <w:rFonts w:hint="eastAsia"/>
          <w:color w:val="auto"/>
          <w:lang w:eastAsia="zh-CN"/>
        </w:rPr>
        <w:t>排</w:t>
      </w:r>
      <w:r>
        <w:rPr>
          <w:color w:val="auto"/>
        </w:rPr>
        <w:t>水</w:t>
      </w:r>
    </w:p>
    <w:p>
      <w:pPr>
        <w:bidi w:val="0"/>
        <w:rPr>
          <w:rFonts w:hint="eastAsia"/>
          <w:color w:val="auto"/>
          <w:lang w:eastAsia="zh-CN"/>
        </w:rPr>
      </w:pPr>
      <w:r>
        <w:rPr>
          <w:rFonts w:hint="eastAsia"/>
          <w:color w:val="auto"/>
          <w:lang w:eastAsia="zh-CN"/>
        </w:rPr>
        <w:t>（</w:t>
      </w:r>
      <w:r>
        <w:rPr>
          <w:rFonts w:hint="eastAsia" w:ascii="Times New Roman" w:hAnsi="Times New Roman"/>
          <w:color w:val="auto"/>
          <w:lang w:val="en-US" w:eastAsia="zh-CN"/>
        </w:rPr>
        <w:t>1</w:t>
      </w:r>
      <w:r>
        <w:rPr>
          <w:rFonts w:hint="eastAsia"/>
          <w:color w:val="auto"/>
          <w:lang w:eastAsia="zh-CN"/>
        </w:rPr>
        <w:t>）供水</w:t>
      </w:r>
    </w:p>
    <w:p>
      <w:pPr>
        <w:bidi w:val="0"/>
        <w:rPr>
          <w:rFonts w:hint="eastAsia" w:hAnsi="Times New Roman"/>
          <w:color w:val="000000" w:themeColor="text1"/>
          <w:szCs w:val="24"/>
          <w:lang w:val="en-US" w:eastAsia="zh-CN"/>
          <w14:textFill>
            <w14:solidFill>
              <w14:schemeClr w14:val="tx1"/>
            </w14:solidFill>
          </w14:textFill>
        </w:rPr>
      </w:pPr>
      <w:r>
        <w:rPr>
          <w:rFonts w:hint="eastAsia"/>
          <w:color w:val="auto"/>
          <w:lang w:eastAsia="zh-CN"/>
        </w:rPr>
        <w:t>园区最高日用水量约</w:t>
      </w:r>
      <w:r>
        <w:rPr>
          <w:rFonts w:hint="eastAsia" w:ascii="Times New Roman" w:hAnsi="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olor w:val="auto"/>
          <w:lang w:val="en-US" w:eastAsia="zh-CN"/>
        </w:rPr>
        <w:t>46</w:t>
      </w:r>
      <w:r>
        <w:rPr>
          <w:rFonts w:hint="eastAsia"/>
          <w:color w:val="auto"/>
          <w:lang w:val="en-US" w:eastAsia="zh-CN"/>
        </w:rPr>
        <w:t>万</w:t>
      </w:r>
      <w:r>
        <w:rPr>
          <w:rFonts w:hint="eastAsia" w:ascii="Times New Roman" w:hAnsi="Times New Roman"/>
          <w:color w:val="auto"/>
          <w:lang w:val="en-US" w:eastAsia="zh-CN"/>
        </w:rPr>
        <w:t>m</w:t>
      </w:r>
      <w:r>
        <w:rPr>
          <w:rFonts w:hint="eastAsia"/>
          <w:color w:val="auto"/>
          <w:lang w:val="en-US" w:eastAsia="zh-CN"/>
        </w:rPr>
        <w:t>³/</w:t>
      </w:r>
      <w:r>
        <w:rPr>
          <w:rFonts w:hint="eastAsia" w:ascii="Times New Roman" w:hAnsi="Times New Roman"/>
          <w:color w:val="auto"/>
          <w:lang w:val="en-US" w:eastAsia="zh-CN"/>
        </w:rPr>
        <w:t>d</w:t>
      </w:r>
      <w:r>
        <w:rPr>
          <w:rFonts w:hint="eastAsia"/>
          <w:color w:val="auto"/>
          <w:lang w:val="en-US" w:eastAsia="zh-CN"/>
        </w:rPr>
        <w:t>，</w:t>
      </w:r>
      <w:r>
        <w:rPr>
          <w:rFonts w:hint="eastAsia"/>
          <w:color w:val="auto"/>
          <w:lang w:eastAsia="zh-CN"/>
        </w:rPr>
        <w:t>采用特吾勒河水库及吉尔格勒德水库作为西区水源。</w:t>
      </w:r>
      <w:r>
        <w:rPr>
          <w:rFonts w:hAnsi="Times New Roman"/>
          <w:color w:val="000000" w:themeColor="text1"/>
          <w:szCs w:val="24"/>
          <w:lang w:eastAsia="zh-CN"/>
          <w14:textFill>
            <w14:solidFill>
              <w14:schemeClr w14:val="tx1"/>
            </w14:solidFill>
          </w14:textFill>
        </w:rPr>
        <w:t>特吾勒水库是建设在特吾勒河上的山区拦蓄性水库，特吾勒河多年平均径流量</w:t>
      </w:r>
      <w:r>
        <w:rPr>
          <w:rFonts w:ascii="Times New Roman" w:hAnsi="Times New Roman"/>
          <w:color w:val="000000" w:themeColor="text1"/>
          <w:szCs w:val="24"/>
          <w:lang w:eastAsia="zh-CN"/>
          <w14:textFill>
            <w14:solidFill>
              <w14:schemeClr w14:val="tx1"/>
            </w14:solidFill>
          </w14:textFill>
        </w:rPr>
        <w:t>3428</w:t>
      </w:r>
      <w:r>
        <w:rPr>
          <w:rFonts w:hAnsi="Times New Roman"/>
          <w:color w:val="000000" w:themeColor="text1"/>
          <w:szCs w:val="24"/>
          <w:lang w:eastAsia="zh-CN"/>
          <w14:textFill>
            <w14:solidFill>
              <w14:schemeClr w14:val="tx1"/>
            </w14:solidFill>
          </w14:textFill>
        </w:rPr>
        <w:t>万</w:t>
      </w:r>
      <w:r>
        <w:rPr>
          <w:rFonts w:ascii="Times New Roman" w:hAnsi="Times New Roman"/>
          <w:color w:val="000000" w:themeColor="text1"/>
          <w:szCs w:val="24"/>
          <w:lang w:eastAsia="zh-CN"/>
          <w14:textFill>
            <w14:solidFill>
              <w14:schemeClr w14:val="tx1"/>
            </w14:solidFill>
          </w14:textFill>
        </w:rPr>
        <w:t>m</w:t>
      </w:r>
      <w:r>
        <w:rPr>
          <w:rFonts w:hAnsi="Times New Roman"/>
          <w:color w:val="000000" w:themeColor="text1"/>
          <w:szCs w:val="24"/>
          <w:lang w:eastAsia="zh-CN"/>
          <w14:textFill>
            <w14:solidFill>
              <w14:schemeClr w14:val="tx1"/>
            </w14:solidFill>
          </w14:textFill>
        </w:rPr>
        <w:t>³，特吾勒河径流量年内分配不均匀，</w:t>
      </w:r>
      <w:r>
        <w:rPr>
          <w:rFonts w:ascii="Times New Roman" w:hAnsi="Times New Roman"/>
          <w:color w:val="000000" w:themeColor="text1"/>
          <w:szCs w:val="24"/>
          <w:lang w:eastAsia="zh-CN"/>
          <w14:textFill>
            <w14:solidFill>
              <w14:schemeClr w14:val="tx1"/>
            </w14:solidFill>
          </w14:textFill>
        </w:rPr>
        <w:t>6</w:t>
      </w:r>
      <w:r>
        <w:rPr>
          <w:rFonts w:hAnsi="Times New Roman"/>
          <w:color w:val="000000" w:themeColor="text1"/>
          <w:szCs w:val="24"/>
          <w:lang w:eastAsia="zh-CN"/>
          <w14:textFill>
            <w14:solidFill>
              <w14:schemeClr w14:val="tx1"/>
            </w14:solidFill>
          </w14:textFill>
        </w:rPr>
        <w:t>-</w:t>
      </w:r>
      <w:r>
        <w:rPr>
          <w:rFonts w:ascii="Times New Roman" w:hAnsi="Times New Roman"/>
          <w:color w:val="000000" w:themeColor="text1"/>
          <w:szCs w:val="24"/>
          <w:lang w:eastAsia="zh-CN"/>
          <w14:textFill>
            <w14:solidFill>
              <w14:schemeClr w14:val="tx1"/>
            </w14:solidFill>
          </w14:textFill>
        </w:rPr>
        <w:t>9</w:t>
      </w:r>
      <w:r>
        <w:rPr>
          <w:rFonts w:hAnsi="Times New Roman"/>
          <w:color w:val="000000" w:themeColor="text1"/>
          <w:szCs w:val="24"/>
          <w:lang w:eastAsia="zh-CN"/>
          <w14:textFill>
            <w14:solidFill>
              <w14:schemeClr w14:val="tx1"/>
            </w14:solidFill>
          </w14:textFill>
        </w:rPr>
        <w:t>月份径流量占全年总水的</w:t>
      </w:r>
      <w:r>
        <w:rPr>
          <w:rFonts w:ascii="Times New Roman" w:hAnsi="Times New Roman"/>
          <w:color w:val="000000" w:themeColor="text1"/>
          <w:szCs w:val="24"/>
          <w:lang w:eastAsia="zh-CN"/>
          <w14:textFill>
            <w14:solidFill>
              <w14:schemeClr w14:val="tx1"/>
            </w14:solidFill>
          </w14:textFill>
        </w:rPr>
        <w:t>71</w:t>
      </w:r>
      <w:r>
        <w:rPr>
          <w:rFonts w:hAnsi="Times New Roman"/>
          <w:color w:val="000000" w:themeColor="text1"/>
          <w:szCs w:val="24"/>
          <w:lang w:eastAsia="zh-CN"/>
          <w14:textFill>
            <w14:solidFill>
              <w14:schemeClr w14:val="tx1"/>
            </w14:solidFill>
          </w14:textFill>
        </w:rPr>
        <w:t>.</w:t>
      </w:r>
      <w:r>
        <w:rPr>
          <w:rFonts w:ascii="Times New Roman" w:hAnsi="Times New Roman"/>
          <w:color w:val="000000" w:themeColor="text1"/>
          <w:szCs w:val="24"/>
          <w:lang w:eastAsia="zh-CN"/>
          <w14:textFill>
            <w14:solidFill>
              <w14:schemeClr w14:val="tx1"/>
            </w14:solidFill>
          </w14:textFill>
        </w:rPr>
        <w:t>6</w:t>
      </w:r>
      <w:r>
        <w:rPr>
          <w:rFonts w:hAnsi="Times New Roman"/>
          <w:color w:val="000000" w:themeColor="text1"/>
          <w:szCs w:val="24"/>
          <w:lang w:eastAsia="zh-CN"/>
          <w14:textFill>
            <w14:solidFill>
              <w14:schemeClr w14:val="tx1"/>
            </w14:solidFill>
          </w14:textFill>
        </w:rPr>
        <w:t>%，最大月径流量出现于</w:t>
      </w:r>
      <w:r>
        <w:rPr>
          <w:rFonts w:ascii="Times New Roman" w:hAnsi="Times New Roman"/>
          <w:color w:val="000000" w:themeColor="text1"/>
          <w:szCs w:val="24"/>
          <w:lang w:eastAsia="zh-CN"/>
          <w14:textFill>
            <w14:solidFill>
              <w14:schemeClr w14:val="tx1"/>
            </w14:solidFill>
          </w14:textFill>
        </w:rPr>
        <w:t>7</w:t>
      </w:r>
      <w:r>
        <w:rPr>
          <w:rFonts w:hAnsi="Times New Roman"/>
          <w:color w:val="000000" w:themeColor="text1"/>
          <w:szCs w:val="24"/>
          <w:lang w:eastAsia="zh-CN"/>
          <w14:textFill>
            <w14:solidFill>
              <w14:schemeClr w14:val="tx1"/>
            </w14:solidFill>
          </w14:textFill>
        </w:rPr>
        <w:t>月份，最小月径流量出现于</w:t>
      </w:r>
      <w:r>
        <w:rPr>
          <w:rFonts w:ascii="Times New Roman" w:hAnsi="Times New Roman"/>
          <w:color w:val="000000" w:themeColor="text1"/>
          <w:szCs w:val="24"/>
          <w:lang w:eastAsia="zh-CN"/>
          <w14:textFill>
            <w14:solidFill>
              <w14:schemeClr w14:val="tx1"/>
            </w14:solidFill>
          </w14:textFill>
        </w:rPr>
        <w:t>2</w:t>
      </w:r>
      <w:r>
        <w:rPr>
          <w:rFonts w:hAnsi="Times New Roman"/>
          <w:color w:val="000000" w:themeColor="text1"/>
          <w:szCs w:val="24"/>
          <w:lang w:eastAsia="zh-CN"/>
          <w14:textFill>
            <w14:solidFill>
              <w14:schemeClr w14:val="tx1"/>
            </w14:solidFill>
          </w14:textFill>
        </w:rPr>
        <w:t>月份，径流主要集中于夏季。</w:t>
      </w:r>
      <w:r>
        <w:rPr>
          <w:rFonts w:hint="eastAsia" w:hAnsi="Times New Roman"/>
          <w:color w:val="000000" w:themeColor="text1"/>
          <w:szCs w:val="24"/>
          <w:lang w:eastAsia="zh-CN"/>
          <w14:textFill>
            <w14:solidFill>
              <w14:schemeClr w14:val="tx1"/>
            </w14:solidFill>
          </w14:textFill>
        </w:rPr>
        <w:t>主要负责区域灌溉，灌溉面积为</w:t>
      </w:r>
      <w:r>
        <w:rPr>
          <w:rFonts w:hint="eastAsia" w:ascii="Times New Roman" w:hAnsi="Times New Roman"/>
          <w:color w:val="000000" w:themeColor="text1"/>
          <w:szCs w:val="24"/>
          <w:lang w:val="en-US" w:eastAsia="zh-CN"/>
          <w14:textFill>
            <w14:solidFill>
              <w14:schemeClr w14:val="tx1"/>
            </w14:solidFill>
          </w14:textFill>
        </w:rPr>
        <w:t>1</w:t>
      </w:r>
      <w:r>
        <w:rPr>
          <w:rFonts w:hint="eastAsia" w:hAnsi="Times New Roman"/>
          <w:color w:val="000000" w:themeColor="text1"/>
          <w:szCs w:val="24"/>
          <w:lang w:val="en-US" w:eastAsia="zh-CN"/>
          <w14:textFill>
            <w14:solidFill>
              <w14:schemeClr w14:val="tx1"/>
            </w14:solidFill>
          </w14:textFill>
        </w:rPr>
        <w:t>.</w:t>
      </w:r>
      <w:r>
        <w:rPr>
          <w:rFonts w:hint="eastAsia" w:ascii="Times New Roman" w:hAnsi="Times New Roman"/>
          <w:color w:val="000000" w:themeColor="text1"/>
          <w:szCs w:val="24"/>
          <w:lang w:val="en-US" w:eastAsia="zh-CN"/>
          <w14:textFill>
            <w14:solidFill>
              <w14:schemeClr w14:val="tx1"/>
            </w14:solidFill>
          </w14:textFill>
        </w:rPr>
        <w:t>0</w:t>
      </w:r>
      <w:r>
        <w:rPr>
          <w:rFonts w:hint="eastAsia" w:hAnsi="Times New Roman"/>
          <w:color w:val="000000" w:themeColor="text1"/>
          <w:szCs w:val="24"/>
          <w:lang w:val="en-US" w:eastAsia="zh-CN"/>
          <w14:textFill>
            <w14:solidFill>
              <w14:schemeClr w14:val="tx1"/>
            </w14:solidFill>
          </w14:textFill>
        </w:rPr>
        <w:t>万亩。</w:t>
      </w:r>
    </w:p>
    <w:p>
      <w:pPr>
        <w:bidi w:val="0"/>
        <w:rPr>
          <w:rFonts w:hint="default" w:eastAsia="宋体"/>
          <w:color w:val="auto"/>
          <w:lang w:val="en-US" w:eastAsia="zh-CN"/>
        </w:rPr>
      </w:pPr>
      <w:r>
        <w:rPr>
          <w:rFonts w:hAnsi="Times New Roman"/>
          <w:color w:val="000000" w:themeColor="text1"/>
          <w:szCs w:val="24"/>
          <w:lang w:eastAsia="zh-CN"/>
          <w14:textFill>
            <w14:solidFill>
              <w14:schemeClr w14:val="tx1"/>
            </w14:solidFill>
          </w14:textFill>
        </w:rPr>
        <w:t>吉尔格勒</w:t>
      </w:r>
      <w:r>
        <w:rPr>
          <w:rFonts w:hAnsi="Times New Roman"/>
          <w:color w:val="000000" w:themeColor="text1"/>
          <w14:textFill>
            <w14:solidFill>
              <w14:schemeClr w14:val="tx1"/>
            </w14:solidFill>
          </w14:textFill>
        </w:rPr>
        <w:t>特</w:t>
      </w:r>
      <w:r>
        <w:rPr>
          <w:rFonts w:hAnsi="Times New Roman"/>
          <w:color w:val="000000" w:themeColor="text1"/>
          <w:szCs w:val="24"/>
          <w:lang w:eastAsia="zh-CN"/>
          <w14:textFill>
            <w14:solidFill>
              <w14:schemeClr w14:val="tx1"/>
            </w14:solidFill>
          </w14:textFill>
        </w:rPr>
        <w:t>水库位于四棵树河上游出山口，距四棵树河一级水电站约</w:t>
      </w:r>
      <w:r>
        <w:rPr>
          <w:rFonts w:ascii="Times New Roman" w:hAnsi="Times New Roman"/>
          <w:color w:val="000000" w:themeColor="text1"/>
          <w:szCs w:val="24"/>
          <w:lang w:eastAsia="zh-CN"/>
          <w14:textFill>
            <w14:solidFill>
              <w14:schemeClr w14:val="tx1"/>
            </w14:solidFill>
          </w14:textFill>
        </w:rPr>
        <w:t>5km</w:t>
      </w:r>
      <w:r>
        <w:rPr>
          <w:rFonts w:hAnsi="Times New Roman"/>
          <w:color w:val="000000" w:themeColor="text1"/>
          <w:szCs w:val="24"/>
          <w:lang w:eastAsia="zh-CN"/>
          <w14:textFill>
            <w14:solidFill>
              <w14:schemeClr w14:val="tx1"/>
            </w14:solidFill>
          </w14:textFill>
        </w:rPr>
        <w:t>，此水库总库容</w:t>
      </w:r>
      <w:r>
        <w:rPr>
          <w:rFonts w:ascii="Times New Roman" w:hAnsi="Times New Roman"/>
          <w:color w:val="000000" w:themeColor="text1"/>
          <w:szCs w:val="24"/>
          <w:lang w:eastAsia="zh-CN"/>
          <w14:textFill>
            <w14:solidFill>
              <w14:schemeClr w14:val="tx1"/>
            </w14:solidFill>
          </w14:textFill>
        </w:rPr>
        <w:t>6577</w:t>
      </w:r>
      <w:r>
        <w:rPr>
          <w:rFonts w:hAnsi="Times New Roman"/>
          <w:color w:val="000000" w:themeColor="text1"/>
          <w:szCs w:val="24"/>
          <w:lang w:eastAsia="zh-CN"/>
          <w14:textFill>
            <w14:solidFill>
              <w14:schemeClr w14:val="tx1"/>
            </w14:solidFill>
          </w14:textFill>
        </w:rPr>
        <w:t>×</w:t>
      </w:r>
      <w:r>
        <w:rPr>
          <w:rFonts w:ascii="Times New Roman" w:hAnsi="Times New Roman"/>
          <w:color w:val="000000" w:themeColor="text1"/>
          <w:szCs w:val="24"/>
          <w:lang w:eastAsia="zh-CN"/>
          <w14:textFill>
            <w14:solidFill>
              <w14:schemeClr w14:val="tx1"/>
            </w14:solidFill>
          </w14:textFill>
        </w:rPr>
        <w:t>10</w:t>
      </w:r>
      <w:r>
        <w:rPr>
          <w:rFonts w:ascii="Times New Roman" w:hAnsi="Times New Roman"/>
          <w:color w:val="000000" w:themeColor="text1"/>
          <w:szCs w:val="24"/>
          <w:vertAlign w:val="superscript"/>
          <w:lang w:eastAsia="zh-CN"/>
          <w14:textFill>
            <w14:solidFill>
              <w14:schemeClr w14:val="tx1"/>
            </w14:solidFill>
          </w14:textFill>
        </w:rPr>
        <w:t>4</w:t>
      </w:r>
      <w:r>
        <w:rPr>
          <w:rFonts w:ascii="Times New Roman" w:hAnsi="Times New Roman"/>
          <w:color w:val="000000" w:themeColor="text1"/>
          <w:szCs w:val="24"/>
          <w:lang w:eastAsia="zh-CN"/>
          <w14:textFill>
            <w14:solidFill>
              <w14:schemeClr w14:val="tx1"/>
            </w14:solidFill>
          </w14:textFill>
        </w:rPr>
        <w:t>m</w:t>
      </w:r>
      <w:r>
        <w:rPr>
          <w:rFonts w:ascii="Times New Roman" w:hAnsi="Times New Roman"/>
          <w:color w:val="000000" w:themeColor="text1"/>
          <w:szCs w:val="24"/>
          <w:vertAlign w:val="superscript"/>
          <w:lang w:eastAsia="zh-CN"/>
          <w14:textFill>
            <w14:solidFill>
              <w14:schemeClr w14:val="tx1"/>
            </w14:solidFill>
          </w14:textFill>
        </w:rPr>
        <w:t>3</w:t>
      </w:r>
      <w:r>
        <w:rPr>
          <w:rFonts w:hAnsi="Times New Roman"/>
          <w:color w:val="000000" w:themeColor="text1"/>
          <w:szCs w:val="24"/>
          <w:lang w:eastAsia="zh-CN"/>
          <w14:textFill>
            <w14:solidFill>
              <w14:schemeClr w14:val="tx1"/>
            </w14:solidFill>
          </w14:textFill>
        </w:rPr>
        <w:t>，最大坝高</w:t>
      </w:r>
      <w:r>
        <w:rPr>
          <w:rFonts w:ascii="Times New Roman" w:hAnsi="Times New Roman"/>
          <w:color w:val="000000" w:themeColor="text1"/>
          <w:szCs w:val="24"/>
          <w:lang w:eastAsia="zh-CN"/>
          <w14:textFill>
            <w14:solidFill>
              <w14:schemeClr w14:val="tx1"/>
            </w14:solidFill>
          </w14:textFill>
        </w:rPr>
        <w:t>100</w:t>
      </w:r>
      <w:r>
        <w:rPr>
          <w:rFonts w:hAnsi="Times New Roman"/>
          <w:color w:val="000000" w:themeColor="text1"/>
          <w:szCs w:val="24"/>
          <w:lang w:eastAsia="zh-CN"/>
          <w14:textFill>
            <w14:solidFill>
              <w14:schemeClr w14:val="tx1"/>
            </w14:solidFill>
          </w14:textFill>
        </w:rPr>
        <w:t>.</w:t>
      </w:r>
      <w:r>
        <w:rPr>
          <w:rFonts w:ascii="Times New Roman" w:hAnsi="Times New Roman"/>
          <w:color w:val="000000" w:themeColor="text1"/>
          <w:szCs w:val="24"/>
          <w:lang w:eastAsia="zh-CN"/>
          <w14:textFill>
            <w14:solidFill>
              <w14:schemeClr w14:val="tx1"/>
            </w14:solidFill>
          </w14:textFill>
        </w:rPr>
        <w:t>31m</w:t>
      </w:r>
      <w:r>
        <w:rPr>
          <w:rFonts w:hAnsi="Times New Roman"/>
          <w:color w:val="000000" w:themeColor="text1"/>
          <w:szCs w:val="24"/>
          <w:lang w:eastAsia="zh-CN"/>
          <w14:textFill>
            <w14:solidFill>
              <w14:schemeClr w14:val="tx1"/>
            </w14:solidFill>
          </w14:textFill>
        </w:rPr>
        <w:t>，是以灌溉、工业供水为主，兼顾防洪、发电等综合利用功能的枢纽工程</w:t>
      </w:r>
      <w:r>
        <w:rPr>
          <w:rFonts w:hint="eastAsia" w:hAnsi="Times New Roman"/>
          <w:color w:val="000000" w:themeColor="text1"/>
          <w:szCs w:val="24"/>
          <w:lang w:eastAsia="zh-CN"/>
          <w14:textFill>
            <w14:solidFill>
              <w14:schemeClr w14:val="tx1"/>
            </w14:solidFill>
          </w14:textFill>
        </w:rPr>
        <w:t>。</w:t>
      </w:r>
      <w:r>
        <w:rPr>
          <w:rFonts w:hint="eastAsia" w:ascii="Times New Roman" w:hAnsi="Times New Roman"/>
          <w:color w:val="auto"/>
          <w:lang w:val="en-US" w:eastAsia="zh-CN"/>
        </w:rPr>
        <w:t>2015</w:t>
      </w:r>
      <w:r>
        <w:rPr>
          <w:rFonts w:hint="eastAsia"/>
          <w:color w:val="auto"/>
          <w:lang w:val="en-US" w:eastAsia="zh-CN"/>
        </w:rPr>
        <w:t>年</w:t>
      </w:r>
      <w:r>
        <w:rPr>
          <w:rFonts w:hint="eastAsia" w:ascii="Times New Roman" w:hAnsi="Times New Roman"/>
          <w:color w:val="auto"/>
          <w:lang w:val="en-US" w:eastAsia="zh-CN"/>
        </w:rPr>
        <w:t>10</w:t>
      </w:r>
      <w:r>
        <w:rPr>
          <w:rFonts w:hint="eastAsia"/>
          <w:color w:val="auto"/>
          <w:lang w:val="en-US" w:eastAsia="zh-CN"/>
        </w:rPr>
        <w:t>月</w:t>
      </w:r>
      <w:r>
        <w:rPr>
          <w:rFonts w:hint="eastAsia" w:hAnsi="宋体" w:cs="宋体"/>
          <w:color w:val="000000"/>
          <w:sz w:val="24"/>
        </w:rPr>
        <w:t>吉尔格勒德水利枢纽工程已建设完成，水库每年将向下游西区提供</w:t>
      </w:r>
      <w:r>
        <w:rPr>
          <w:rFonts w:hint="eastAsia" w:ascii="Times New Roman" w:hAnsi="Times New Roman" w:cs="宋体"/>
          <w:color w:val="000000"/>
          <w:sz w:val="24"/>
        </w:rPr>
        <w:t>3300</w:t>
      </w:r>
      <w:r>
        <w:rPr>
          <w:rFonts w:hint="eastAsia" w:hAnsi="宋体" w:cs="宋体"/>
          <w:color w:val="000000"/>
          <w:sz w:val="24"/>
        </w:rPr>
        <w:t>万</w:t>
      </w:r>
      <w:r>
        <w:rPr>
          <w:rFonts w:hint="eastAsia" w:ascii="Times New Roman" w:hAnsi="Times New Roman" w:cs="宋体"/>
          <w:color w:val="000000"/>
          <w:sz w:val="24"/>
        </w:rPr>
        <w:t>m</w:t>
      </w:r>
      <w:r>
        <w:rPr>
          <w:rFonts w:hint="eastAsia" w:hAnsi="宋体" w:cs="宋体"/>
          <w:color w:val="000000"/>
          <w:sz w:val="24"/>
        </w:rPr>
        <w:t>³的工业用水</w:t>
      </w:r>
      <w:r>
        <w:rPr>
          <w:rFonts w:hint="eastAsia"/>
          <w:color w:val="auto"/>
          <w:lang w:val="en-US" w:eastAsia="zh-CN"/>
        </w:rPr>
        <w:t>。</w:t>
      </w:r>
      <w:r>
        <w:rPr>
          <w:rFonts w:hint="eastAsia" w:hAnsi="宋体" w:cs="宋体"/>
          <w:color w:val="000000"/>
          <w:sz w:val="24"/>
        </w:rPr>
        <w:t xml:space="preserve">在牧民新村西南方向约 </w:t>
      </w:r>
      <w:r>
        <w:rPr>
          <w:rFonts w:hint="eastAsia" w:ascii="Times New Roman" w:hAnsi="Times New Roman" w:cs="宋体"/>
          <w:color w:val="000000"/>
          <w:sz w:val="24"/>
        </w:rPr>
        <w:t>3</w:t>
      </w:r>
      <w:r>
        <w:rPr>
          <w:rFonts w:hint="eastAsia" w:hAnsi="宋体" w:cs="宋体"/>
          <w:color w:val="000000"/>
          <w:sz w:val="24"/>
        </w:rPr>
        <w:t>.</w:t>
      </w:r>
      <w:r>
        <w:rPr>
          <w:rFonts w:hint="eastAsia" w:ascii="Times New Roman" w:hAnsi="Times New Roman" w:cs="宋体"/>
          <w:color w:val="000000"/>
          <w:sz w:val="24"/>
        </w:rPr>
        <w:t>5km</w:t>
      </w:r>
      <w:r>
        <w:rPr>
          <w:rFonts w:hint="eastAsia" w:hAnsi="宋体" w:cs="宋体"/>
          <w:color w:val="000000"/>
          <w:sz w:val="24"/>
        </w:rPr>
        <w:t xml:space="preserve"> 处地势较高点选址已建</w:t>
      </w:r>
      <w:r>
        <w:rPr>
          <w:rFonts w:hint="eastAsia" w:ascii="Times New Roman" w:hAnsi="Times New Roman" w:cs="宋体"/>
          <w:color w:val="000000"/>
          <w:sz w:val="24"/>
        </w:rPr>
        <w:t>1</w:t>
      </w:r>
      <w:r>
        <w:rPr>
          <w:rFonts w:hint="eastAsia" w:hAnsi="宋体" w:cs="宋体"/>
          <w:color w:val="000000"/>
          <w:sz w:val="24"/>
        </w:rPr>
        <w:t>座</w:t>
      </w:r>
      <w:r>
        <w:rPr>
          <w:rFonts w:hint="eastAsia" w:hAnsi="宋体" w:cs="宋体"/>
          <w:color w:val="000000"/>
          <w:sz w:val="24"/>
          <w:lang w:eastAsia="zh-CN"/>
        </w:rPr>
        <w:t>净水厂</w:t>
      </w:r>
      <w:r>
        <w:rPr>
          <w:rFonts w:hint="eastAsia" w:hAnsi="宋体" w:cs="宋体"/>
          <w:color w:val="000000"/>
          <w:sz w:val="24"/>
        </w:rPr>
        <w:t>，设计供水能力达到</w:t>
      </w:r>
      <w:r>
        <w:rPr>
          <w:rFonts w:hint="eastAsia" w:ascii="Times New Roman" w:hAnsi="Times New Roman" w:cs="宋体"/>
          <w:color w:val="000000"/>
          <w:sz w:val="24"/>
        </w:rPr>
        <w:t>15</w:t>
      </w:r>
      <w:r>
        <w:rPr>
          <w:rFonts w:hint="eastAsia" w:hAnsi="宋体" w:cs="宋体"/>
          <w:color w:val="000000"/>
          <w:sz w:val="24"/>
        </w:rPr>
        <w:t>万</w:t>
      </w:r>
      <w:r>
        <w:rPr>
          <w:rFonts w:hint="eastAsia" w:ascii="Times New Roman" w:hAnsi="Times New Roman" w:cs="宋体"/>
          <w:color w:val="000000"/>
          <w:sz w:val="24"/>
        </w:rPr>
        <w:t>m</w:t>
      </w:r>
      <w:r>
        <w:rPr>
          <w:rFonts w:hint="eastAsia" w:hAnsi="宋体" w:cs="宋体"/>
          <w:color w:val="000000"/>
          <w:sz w:val="24"/>
        </w:rPr>
        <w:t>³/</w:t>
      </w:r>
      <w:r>
        <w:rPr>
          <w:rFonts w:hint="eastAsia" w:ascii="Times New Roman" w:hAnsi="Times New Roman" w:cs="宋体"/>
          <w:color w:val="000000"/>
          <w:sz w:val="24"/>
        </w:rPr>
        <w:t>d</w:t>
      </w:r>
      <w:r>
        <w:rPr>
          <w:rFonts w:hint="eastAsia" w:hAnsi="宋体" w:cs="宋体"/>
          <w:color w:val="000000"/>
          <w:sz w:val="24"/>
        </w:rPr>
        <w:t>，现状供水能力</w:t>
      </w:r>
      <w:r>
        <w:rPr>
          <w:rFonts w:hint="eastAsia" w:ascii="Times New Roman" w:hAnsi="Times New Roman" w:cs="宋体"/>
          <w:color w:val="000000"/>
          <w:sz w:val="24"/>
        </w:rPr>
        <w:t>3</w:t>
      </w:r>
      <w:r>
        <w:rPr>
          <w:rFonts w:hint="eastAsia" w:hAnsi="宋体" w:cs="宋体"/>
          <w:color w:val="000000"/>
          <w:sz w:val="24"/>
        </w:rPr>
        <w:t>万</w:t>
      </w:r>
      <w:r>
        <w:rPr>
          <w:rFonts w:hint="eastAsia" w:ascii="Times New Roman" w:hAnsi="Times New Roman" w:cs="宋体"/>
          <w:color w:val="000000"/>
          <w:sz w:val="24"/>
          <w:lang w:val="en-US" w:eastAsia="zh-CN"/>
        </w:rPr>
        <w:t>m</w:t>
      </w:r>
      <w:r>
        <w:rPr>
          <w:rFonts w:hint="eastAsia" w:hAnsi="宋体" w:cs="宋体"/>
          <w:color w:val="000000"/>
          <w:sz w:val="24"/>
          <w:lang w:val="en-US" w:eastAsia="zh-CN"/>
        </w:rPr>
        <w:t>³</w:t>
      </w:r>
      <w:r>
        <w:rPr>
          <w:rFonts w:hint="eastAsia" w:hAnsi="宋体" w:cs="宋体"/>
          <w:color w:val="000000"/>
          <w:sz w:val="24"/>
        </w:rPr>
        <w:t>/</w:t>
      </w:r>
      <w:r>
        <w:rPr>
          <w:rFonts w:hint="eastAsia" w:ascii="Times New Roman" w:hAnsi="Times New Roman" w:cs="宋体"/>
          <w:color w:val="000000"/>
          <w:sz w:val="24"/>
        </w:rPr>
        <w:t>d</w:t>
      </w:r>
      <w:r>
        <w:rPr>
          <w:rFonts w:hint="eastAsia" w:hAnsi="宋体" w:cs="宋体"/>
          <w:color w:val="000000"/>
          <w:sz w:val="24"/>
        </w:rPr>
        <w:t>，占地面积约</w:t>
      </w:r>
      <w:r>
        <w:rPr>
          <w:rFonts w:hint="eastAsia" w:ascii="Times New Roman" w:hAnsi="Times New Roman" w:cs="宋体"/>
          <w:color w:val="000000"/>
          <w:sz w:val="24"/>
        </w:rPr>
        <w:t>15hm</w:t>
      </w:r>
      <w:r>
        <w:rPr>
          <w:rFonts w:hint="eastAsia" w:hAnsi="宋体" w:cs="宋体"/>
          <w:color w:val="000000"/>
          <w:sz w:val="24"/>
        </w:rPr>
        <w:t>²，依靠重力输水至</w:t>
      </w:r>
      <w:r>
        <w:rPr>
          <w:rFonts w:hint="eastAsia" w:hAnsi="宋体" w:cs="宋体"/>
          <w:color w:val="000000"/>
          <w:sz w:val="24"/>
          <w:lang w:eastAsia="zh-CN"/>
        </w:rPr>
        <w:t>乌苏工业园区</w:t>
      </w:r>
      <w:r>
        <w:rPr>
          <w:rFonts w:hint="eastAsia" w:hAnsi="宋体" w:cs="宋体"/>
          <w:color w:val="000000"/>
          <w:sz w:val="24"/>
        </w:rPr>
        <w:t>西区。</w:t>
      </w:r>
    </w:p>
    <w:p>
      <w:pPr>
        <w:bidi w:val="0"/>
        <w:rPr>
          <w:rFonts w:hint="eastAsia"/>
        </w:rPr>
      </w:pPr>
      <w:r>
        <w:rPr>
          <w:rFonts w:hint="eastAsia"/>
          <w:lang w:eastAsia="zh-CN"/>
        </w:rPr>
        <w:t>园区供水采用生活、</w:t>
      </w:r>
      <w:r>
        <w:rPr>
          <w:rFonts w:hint="eastAsia" w:ascii="宋体" w:hAnsi="宋体"/>
        </w:rPr>
        <w:t>生产、绿化及浇洒道路两套给水管网系统（其中生活生产、消防合用，绿化及浇洒道路合用）。</w:t>
      </w:r>
    </w:p>
    <w:p>
      <w:pPr>
        <w:bidi w:val="0"/>
        <w:rPr>
          <w:rFonts w:hint="eastAsia"/>
        </w:rPr>
      </w:pPr>
      <w:r>
        <w:rPr>
          <w:rFonts w:hint="eastAsia"/>
          <w:lang w:eastAsia="zh-CN"/>
        </w:rPr>
        <w:t>（</w:t>
      </w:r>
      <w:r>
        <w:rPr>
          <w:rFonts w:hint="eastAsia" w:ascii="Times New Roman" w:hAnsi="Times New Roman"/>
          <w:lang w:val="en-US" w:eastAsia="zh-CN"/>
        </w:rPr>
        <w:t>2</w:t>
      </w:r>
      <w:r>
        <w:rPr>
          <w:rFonts w:hint="eastAsia"/>
          <w:lang w:eastAsia="zh-CN"/>
        </w:rPr>
        <w:t>）</w:t>
      </w:r>
      <w:r>
        <w:rPr>
          <w:rFonts w:hint="eastAsia"/>
        </w:rPr>
        <w:t>排水</w:t>
      </w:r>
    </w:p>
    <w:p>
      <w:pPr>
        <w:bidi w:val="0"/>
        <w:rPr>
          <w:rFonts w:hint="eastAsia"/>
          <w:lang w:val="en-US" w:eastAsia="zh-CN"/>
        </w:rPr>
      </w:pPr>
      <w:r>
        <w:rPr>
          <w:rFonts w:hint="eastAsia" w:ascii="Times New Roman" w:hAnsi="Times New Roman"/>
          <w:lang w:val="en-US" w:eastAsia="zh-CN"/>
        </w:rPr>
        <w:t>2018</w:t>
      </w:r>
      <w:r>
        <w:rPr>
          <w:rFonts w:hint="eastAsia"/>
          <w:lang w:val="en-US" w:eastAsia="zh-CN"/>
        </w:rPr>
        <w:t>年，</w:t>
      </w:r>
      <w:r>
        <w:rPr>
          <w:rFonts w:hint="eastAsia"/>
          <w:lang w:eastAsia="zh-CN"/>
        </w:rPr>
        <w:t>园区污水处理厂取得了新疆维吾尔自治区环境保护厅《关于乌苏市西区污水处理厂建设工程环境影响报告书的批复》（新环函</w:t>
      </w:r>
      <w:r>
        <w:rPr>
          <w:rFonts w:hint="eastAsia"/>
          <w:lang w:val="en-US" w:eastAsia="zh-CN"/>
        </w:rPr>
        <w:t>[</w:t>
      </w:r>
      <w:r>
        <w:rPr>
          <w:rFonts w:hint="eastAsia" w:ascii="Times New Roman" w:hAnsi="Times New Roman"/>
          <w:lang w:val="en-US" w:eastAsia="zh-CN"/>
        </w:rPr>
        <w:t>2018</w:t>
      </w:r>
      <w:r>
        <w:rPr>
          <w:rFonts w:hint="eastAsia"/>
          <w:lang w:val="en-US" w:eastAsia="zh-CN"/>
        </w:rPr>
        <w:t>]</w:t>
      </w:r>
      <w:r>
        <w:rPr>
          <w:rFonts w:hint="eastAsia" w:ascii="Times New Roman" w:hAnsi="Times New Roman"/>
          <w:lang w:val="en-US" w:eastAsia="zh-CN"/>
        </w:rPr>
        <w:t>1504</w:t>
      </w:r>
      <w:r>
        <w:rPr>
          <w:rFonts w:hint="eastAsia"/>
          <w:lang w:val="en-US" w:eastAsia="zh-CN"/>
        </w:rPr>
        <w:t>号</w:t>
      </w:r>
      <w:r>
        <w:rPr>
          <w:rFonts w:hint="eastAsia"/>
          <w:lang w:eastAsia="zh-CN"/>
        </w:rPr>
        <w:t>），</w:t>
      </w:r>
      <w:r>
        <w:rPr>
          <w:rFonts w:hint="eastAsia" w:ascii="Times New Roman" w:hAnsi="Times New Roman"/>
          <w:lang w:val="en-US" w:eastAsia="zh-CN"/>
        </w:rPr>
        <w:t>2019</w:t>
      </w:r>
      <w:r>
        <w:rPr>
          <w:rFonts w:hint="eastAsia"/>
          <w:lang w:val="en-US" w:eastAsia="zh-CN"/>
        </w:rPr>
        <w:t>年</w:t>
      </w:r>
      <w:r>
        <w:rPr>
          <w:rFonts w:hint="eastAsia" w:ascii="Times New Roman" w:hAnsi="Times New Roman"/>
          <w:lang w:val="en-US" w:eastAsia="zh-CN"/>
        </w:rPr>
        <w:t>8</w:t>
      </w:r>
      <w:r>
        <w:rPr>
          <w:rFonts w:hint="eastAsia"/>
          <w:lang w:val="en-US" w:eastAsia="zh-CN"/>
        </w:rPr>
        <w:t>月完成一期工程自主竣工环境保护验收工作，目前正常运行。</w:t>
      </w:r>
    </w:p>
    <w:p>
      <w:pPr>
        <w:bidi w:val="0"/>
        <w:rPr>
          <w:rFonts w:hint="eastAsia"/>
          <w:lang w:val="en-US" w:eastAsia="zh-CN"/>
        </w:rPr>
      </w:pPr>
      <w:r>
        <w:rPr>
          <w:rFonts w:hint="eastAsia"/>
          <w:lang w:val="en-US" w:eastAsia="zh-CN"/>
        </w:rPr>
        <w:t>污水处理厂设计规模</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0</w:t>
      </w:r>
      <w:r>
        <w:rPr>
          <w:rFonts w:hint="eastAsia"/>
          <w:lang w:val="en-US" w:eastAsia="zh-CN"/>
        </w:rPr>
        <w:t>万</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d</w:t>
      </w:r>
      <w:r>
        <w:rPr>
          <w:rFonts w:hint="eastAsia"/>
          <w:lang w:val="en-US" w:eastAsia="zh-CN"/>
        </w:rPr>
        <w:t>，接收园区企业排污水及园区生活污水。园区污水处理厂纳污水质标准为《污水排入城镇下水道水质标准》（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1B</w:t>
      </w:r>
      <w:r>
        <w:rPr>
          <w:rFonts w:hint="eastAsia"/>
          <w:lang w:val="en-US" w:eastAsia="zh-CN"/>
        </w:rPr>
        <w:t>级。污水处理厂采用“水解酸化池+</w:t>
      </w:r>
      <w:r>
        <w:rPr>
          <w:rFonts w:hint="eastAsia" w:ascii="Times New Roman" w:hAnsi="Times New Roman"/>
          <w:lang w:val="en-US" w:eastAsia="zh-CN"/>
        </w:rPr>
        <w:t>A2O</w:t>
      </w:r>
      <w:r>
        <w:rPr>
          <w:rFonts w:hint="eastAsia"/>
          <w:lang w:val="en-US" w:eastAsia="zh-CN"/>
        </w:rPr>
        <w:t>氧化沟+反硝化深床滤池+臭氧消毒”工艺，废水经处理后可以满足《城镇污水处理厂污染物排放标准》表</w:t>
      </w:r>
      <w:r>
        <w:rPr>
          <w:rFonts w:hint="eastAsia" w:ascii="Times New Roman" w:hAnsi="Times New Roman"/>
          <w:lang w:val="en-US" w:eastAsia="zh-CN"/>
        </w:rPr>
        <w:t>1</w:t>
      </w:r>
      <w:r>
        <w:rPr>
          <w:rFonts w:hint="eastAsia"/>
          <w:lang w:val="en-US" w:eastAsia="zh-CN"/>
        </w:rPr>
        <w:t>一级</w:t>
      </w:r>
      <w:r>
        <w:rPr>
          <w:rFonts w:hint="eastAsia" w:ascii="Times New Roman" w:hAnsi="Times New Roman"/>
          <w:lang w:val="en-US" w:eastAsia="zh-CN"/>
        </w:rPr>
        <w:t>A</w:t>
      </w:r>
      <w:r>
        <w:rPr>
          <w:rFonts w:hint="eastAsia"/>
          <w:lang w:val="en-US" w:eastAsia="zh-CN"/>
        </w:rPr>
        <w:t>标准限值，废水经处理后</w:t>
      </w:r>
      <w:r>
        <w:rPr>
          <w:rFonts w:hint="eastAsia" w:ascii="Times New Roman" w:hAnsi="Times New Roman"/>
          <w:lang w:val="en-US" w:eastAsia="zh-CN"/>
        </w:rPr>
        <w:t>75</w:t>
      </w:r>
      <w:r>
        <w:rPr>
          <w:rFonts w:hint="eastAsia"/>
          <w:lang w:val="en-US" w:eastAsia="zh-CN"/>
        </w:rPr>
        <w:t>%回用于凯赛项目，其余废水经</w:t>
      </w:r>
      <w:r>
        <w:rPr>
          <w:rFonts w:hint="eastAsia" w:ascii="Times New Roman" w:hAnsi="Times New Roman"/>
          <w:lang w:val="en-US" w:eastAsia="zh-CN"/>
        </w:rPr>
        <w:t>44</w:t>
      </w:r>
      <w:r>
        <w:rPr>
          <w:rFonts w:hint="eastAsia"/>
          <w:lang w:val="en-US" w:eastAsia="zh-CN"/>
        </w:rPr>
        <w:t>.</w:t>
      </w:r>
      <w:r>
        <w:rPr>
          <w:rFonts w:hint="eastAsia" w:ascii="Times New Roman" w:hAnsi="Times New Roman"/>
          <w:lang w:val="en-US" w:eastAsia="zh-CN"/>
        </w:rPr>
        <w:t>6km</w:t>
      </w:r>
      <w:r>
        <w:rPr>
          <w:rFonts w:hint="eastAsia"/>
          <w:lang w:val="en-US" w:eastAsia="zh-CN"/>
        </w:rPr>
        <w:t>尾水输水管线送至园区北侧乌苏北部沙漠的尾水库，用于荒漠植被的恢复和灌溉用水。</w:t>
      </w:r>
    </w:p>
    <w:p>
      <w:pPr>
        <w:bidi w:val="0"/>
        <w:rPr>
          <w:rFonts w:hint="default"/>
          <w:lang w:val="en-US" w:eastAsia="zh-CN"/>
        </w:rPr>
      </w:pPr>
      <w:r>
        <w:rPr>
          <w:rFonts w:hint="eastAsia"/>
          <w:lang w:eastAsia="zh-CN"/>
        </w:rPr>
        <w:t>园区排水体制采用不完全分流制，</w:t>
      </w:r>
      <w:r>
        <w:rPr>
          <w:rFonts w:hint="eastAsia"/>
        </w:rPr>
        <w:t>污水干道沿区内各干路布置，再汇流至主干路布置的污水总干管。为避免管道埋深过深，采用分区加压。生活污水管网及工业废水管网在布置上一致，按地形高差分别汇集至污水泵站后，经污水泵站提升后排至园区北部的污水处理厂进行处理。</w:t>
      </w:r>
    </w:p>
    <w:p>
      <w:pPr>
        <w:pStyle w:val="5"/>
        <w:bidi w:val="0"/>
        <w:rPr>
          <w:rFonts w:hint="eastAsia"/>
          <w:lang w:eastAsia="zh-CN"/>
        </w:rPr>
      </w:pP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2</w:t>
      </w:r>
      <w:r>
        <w:rPr>
          <w:rFonts w:hint="eastAsia"/>
          <w:lang w:eastAsia="zh-CN"/>
        </w:rPr>
        <w:t>供电</w:t>
      </w:r>
    </w:p>
    <w:p>
      <w:pPr>
        <w:bidi w:val="0"/>
        <w:rPr>
          <w:rFonts w:hint="eastAsia" w:eastAsia="宋体"/>
          <w:lang w:eastAsia="zh-CN"/>
        </w:rPr>
      </w:pPr>
      <w:r>
        <w:rPr>
          <w:rFonts w:hint="eastAsia"/>
          <w:lang w:eastAsia="zh-CN"/>
        </w:rPr>
        <w:t>（</w:t>
      </w:r>
      <w:r>
        <w:rPr>
          <w:rFonts w:hint="eastAsia" w:ascii="Times New Roman" w:hAnsi="Times New Roman"/>
          <w:lang w:val="en-US" w:eastAsia="zh-CN"/>
        </w:rPr>
        <w:t>1</w:t>
      </w:r>
      <w:r>
        <w:rPr>
          <w:rFonts w:hint="eastAsia"/>
          <w:lang w:eastAsia="zh-CN"/>
        </w:rPr>
        <w:t>）用电量</w:t>
      </w:r>
    </w:p>
    <w:p>
      <w:pPr>
        <w:bidi w:val="0"/>
        <w:rPr>
          <w:rFonts w:hint="default" w:eastAsia="宋体"/>
          <w:lang w:val="en-US" w:eastAsia="zh-CN"/>
        </w:rPr>
      </w:pPr>
      <w:r>
        <w:rPr>
          <w:rFonts w:hint="eastAsia"/>
          <w:lang w:eastAsia="zh-CN"/>
        </w:rPr>
        <w:t>园区用电负荷为</w:t>
      </w:r>
      <w:r>
        <w:rPr>
          <w:rFonts w:hint="eastAsia" w:ascii="Times New Roman" w:hAnsi="Times New Roman"/>
          <w:lang w:val="en-US" w:eastAsia="zh-CN"/>
        </w:rPr>
        <w:t>10</w:t>
      </w:r>
      <w:r>
        <w:rPr>
          <w:rFonts w:hint="eastAsia"/>
          <w:lang w:val="en-US" w:eastAsia="zh-CN"/>
        </w:rPr>
        <w:t>.</w:t>
      </w:r>
      <w:r>
        <w:rPr>
          <w:rFonts w:hint="eastAsia" w:ascii="Times New Roman" w:hAnsi="Times New Roman"/>
          <w:lang w:val="en-US" w:eastAsia="zh-CN"/>
        </w:rPr>
        <w:t>73</w:t>
      </w:r>
      <w:r>
        <w:rPr>
          <w:rFonts w:hint="eastAsia"/>
          <w:lang w:val="en-US" w:eastAsia="zh-CN"/>
        </w:rPr>
        <w:t>万</w:t>
      </w:r>
      <w:r>
        <w:rPr>
          <w:rFonts w:hint="eastAsia" w:ascii="Times New Roman" w:hAnsi="Times New Roman"/>
          <w:lang w:val="en-US" w:eastAsia="zh-CN"/>
        </w:rPr>
        <w:t>kW</w:t>
      </w:r>
      <w:r>
        <w:rPr>
          <w:rFonts w:hint="eastAsia"/>
          <w:lang w:val="en-US" w:eastAsia="zh-CN"/>
        </w:rPr>
        <w:t>，负荷密度为</w:t>
      </w:r>
      <w:r>
        <w:rPr>
          <w:rFonts w:hint="eastAsia" w:ascii="Times New Roman" w:hAnsi="Times New Roman"/>
          <w:lang w:val="en-US" w:eastAsia="zh-CN"/>
        </w:rPr>
        <w:t>110</w:t>
      </w:r>
      <w:r>
        <w:rPr>
          <w:rFonts w:hint="eastAsia"/>
          <w:lang w:val="en-US" w:eastAsia="zh-CN"/>
        </w:rPr>
        <w:t>.</w:t>
      </w:r>
      <w:r>
        <w:rPr>
          <w:rFonts w:hint="eastAsia" w:ascii="Times New Roman" w:hAnsi="Times New Roman"/>
          <w:lang w:val="en-US" w:eastAsia="zh-CN"/>
        </w:rPr>
        <w:t>05kW</w:t>
      </w:r>
      <w:r>
        <w:rPr>
          <w:rFonts w:hint="eastAsia"/>
          <w:lang w:val="en-US" w:eastAsia="zh-CN"/>
        </w:rPr>
        <w:t>/</w:t>
      </w:r>
      <w:r>
        <w:rPr>
          <w:rFonts w:hint="eastAsia" w:ascii="Times New Roman" w:hAnsi="Times New Roman"/>
          <w:lang w:val="en-US" w:eastAsia="zh-CN"/>
        </w:rPr>
        <w:t>h</w:t>
      </w:r>
      <w:r>
        <w:rPr>
          <w:rFonts w:hint="eastAsia"/>
          <w:lang w:val="en-US" w:eastAsia="zh-CN"/>
        </w:rPr>
        <w:t>㎡。</w:t>
      </w:r>
    </w:p>
    <w:p>
      <w:pPr>
        <w:bidi w:val="0"/>
        <w:rPr>
          <w:rFonts w:hint="eastAsia" w:eastAsia="宋体"/>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）电源</w:t>
      </w:r>
    </w:p>
    <w:p>
      <w:pPr>
        <w:bidi w:val="0"/>
        <w:rPr>
          <w:rFonts w:hint="default"/>
          <w:lang w:val="en-US" w:eastAsia="zh-CN"/>
        </w:rPr>
      </w:pPr>
      <w:r>
        <w:rPr>
          <w:rFonts w:hint="eastAsia"/>
          <w:lang w:eastAsia="zh-CN"/>
        </w:rPr>
        <w:t>园区电力能源由国家电网馈入，电网电源为</w:t>
      </w:r>
      <w:r>
        <w:rPr>
          <w:rFonts w:hint="eastAsia" w:ascii="Times New Roman" w:hAnsi="Times New Roman"/>
          <w:lang w:val="en-US" w:eastAsia="zh-CN"/>
        </w:rPr>
        <w:t>220kV</w:t>
      </w:r>
      <w:r>
        <w:rPr>
          <w:rFonts w:hint="eastAsia"/>
          <w:lang w:val="en-US" w:eastAsia="zh-CN"/>
        </w:rPr>
        <w:t>炮台梁变电站。园区主供电网为</w:t>
      </w:r>
      <w:r>
        <w:rPr>
          <w:rFonts w:hint="eastAsia" w:ascii="Times New Roman" w:hAnsi="Times New Roman"/>
          <w:lang w:val="en-US" w:eastAsia="zh-CN"/>
        </w:rPr>
        <w:t>110kV</w:t>
      </w:r>
      <w:r>
        <w:rPr>
          <w:rFonts w:hint="eastAsia"/>
          <w:lang w:val="en-US" w:eastAsia="zh-CN"/>
        </w:rPr>
        <w:t>，为满足园区内各企业用电需求，在负荷合理输送范围内建设若干个</w:t>
      </w:r>
      <w:r>
        <w:rPr>
          <w:rFonts w:hint="eastAsia" w:ascii="Times New Roman" w:hAnsi="Times New Roman"/>
          <w:lang w:val="en-US" w:eastAsia="zh-CN"/>
        </w:rPr>
        <w:t>10</w:t>
      </w:r>
      <w:r>
        <w:rPr>
          <w:rFonts w:hint="eastAsia"/>
          <w:lang w:val="en-US" w:eastAsia="zh-CN"/>
        </w:rPr>
        <w:t>（</w:t>
      </w:r>
      <w:r>
        <w:rPr>
          <w:rFonts w:hint="eastAsia" w:ascii="Times New Roman" w:hAnsi="Times New Roman"/>
          <w:lang w:val="en-US" w:eastAsia="zh-CN"/>
        </w:rPr>
        <w:t>20</w:t>
      </w:r>
      <w:r>
        <w:rPr>
          <w:rFonts w:hint="eastAsia"/>
          <w:lang w:val="en-US" w:eastAsia="zh-CN"/>
        </w:rPr>
        <w:t>）</w:t>
      </w:r>
      <w:r>
        <w:rPr>
          <w:rFonts w:hint="eastAsia" w:ascii="Times New Roman" w:hAnsi="Times New Roman"/>
          <w:lang w:val="en-US" w:eastAsia="zh-CN"/>
        </w:rPr>
        <w:t>kV</w:t>
      </w:r>
      <w:r>
        <w:rPr>
          <w:rFonts w:hint="eastAsia"/>
          <w:lang w:val="en-US" w:eastAsia="zh-CN"/>
        </w:rPr>
        <w:t>变电站。</w:t>
      </w:r>
    </w:p>
    <w:p>
      <w:pPr>
        <w:pStyle w:val="5"/>
        <w:bidi w:val="0"/>
      </w:pP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3</w:t>
      </w:r>
      <w:r>
        <w:t>供热</w:t>
      </w:r>
    </w:p>
    <w:p>
      <w:pPr>
        <w:bidi w:val="0"/>
        <w:rPr>
          <w:rFonts w:hint="eastAsia"/>
          <w:lang w:val="en-US" w:eastAsia="zh-CN"/>
        </w:rPr>
      </w:pPr>
      <w:r>
        <w:rPr>
          <w:rFonts w:hint="eastAsia"/>
          <w:lang w:eastAsia="zh-CN"/>
        </w:rPr>
        <w:t>园区目前采用凯赛（乌苏）生物材料有限公司动力站以集中供热方式向园区建筑提供采暖热负荷和工业企业生产用汽。锅炉房位于纬七路与经五路交叉口凯赛（乌苏）生物材料有限公司废水预处理站南侧，远期将进行扩建，确保园区的供热需求</w:t>
      </w:r>
      <w:r>
        <w:rPr>
          <w:rFonts w:hint="eastAsia"/>
          <w:lang w:val="en-US" w:eastAsia="zh-CN"/>
        </w:rPr>
        <w:t>。</w:t>
      </w:r>
    </w:p>
    <w:p>
      <w:pPr>
        <w:pStyle w:val="5"/>
        <w:bidi w:val="0"/>
      </w:pP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ascii="Times New Roman" w:hAnsi="Times New Roman"/>
          <w:lang w:val="en-US" w:eastAsia="zh-CN"/>
        </w:rPr>
        <w:t>4</w:t>
      </w:r>
      <w:r>
        <w:t>环卫设施</w:t>
      </w:r>
    </w:p>
    <w:p>
      <w:pPr>
        <w:bidi w:val="0"/>
        <w:rPr>
          <w:rFonts w:hint="eastAsia"/>
          <w:lang w:eastAsia="zh-CN"/>
        </w:rPr>
      </w:pPr>
      <w:r>
        <w:rPr>
          <w:rFonts w:hint="eastAsia"/>
          <w:lang w:eastAsia="zh-CN"/>
        </w:rPr>
        <w:t>园区固体废物主要由生活垃圾、一般工业固体废物和危险废物构成。</w:t>
      </w:r>
    </w:p>
    <w:p>
      <w:pPr>
        <w:bidi w:val="0"/>
        <w:rPr>
          <w:rFonts w:hint="eastAsia"/>
          <w:lang w:eastAsia="zh-CN"/>
        </w:rPr>
      </w:pPr>
      <w:r>
        <w:rPr>
          <w:rFonts w:hint="eastAsia"/>
          <w:lang w:eastAsia="zh-CN"/>
        </w:rPr>
        <w:t>（</w:t>
      </w:r>
      <w:r>
        <w:rPr>
          <w:rFonts w:hint="eastAsia" w:ascii="Times New Roman" w:hAnsi="Times New Roman"/>
          <w:lang w:val="en-US" w:eastAsia="zh-CN"/>
        </w:rPr>
        <w:t>1</w:t>
      </w:r>
      <w:r>
        <w:rPr>
          <w:rFonts w:hint="eastAsia"/>
          <w:lang w:eastAsia="zh-CN"/>
        </w:rPr>
        <w:t>）生活垃圾</w:t>
      </w:r>
    </w:p>
    <w:p>
      <w:pPr>
        <w:bidi w:val="0"/>
      </w:pPr>
      <w:r>
        <w:rPr>
          <w:rFonts w:hint="eastAsia"/>
          <w:lang w:eastAsia="zh-CN"/>
        </w:rPr>
        <w:t>现有生活垃圾</w:t>
      </w:r>
      <w:r>
        <w:rPr>
          <w:rFonts w:hint="eastAsia"/>
        </w:rPr>
        <w:t>收集方式以垃圾桶定点收集为主，逐步实现垃圾袋装化和分类收集。</w:t>
      </w:r>
      <w:r>
        <w:rPr>
          <w:rFonts w:hint="eastAsia"/>
          <w:lang w:eastAsia="zh-CN"/>
        </w:rPr>
        <w:t>在经十二路东、纬九路南设置一生活垃圾转运站，转运园区产生的生活垃圾，</w:t>
      </w:r>
      <w:r>
        <w:rPr>
          <w:rFonts w:hint="eastAsia"/>
        </w:rPr>
        <w:t>生活垃圾由环卫部门收集清运</w:t>
      </w:r>
      <w:r>
        <w:rPr>
          <w:rFonts w:hint="eastAsia"/>
          <w:lang w:eastAsia="zh-CN"/>
        </w:rPr>
        <w:t>至乌苏市城市生活垃圾填埋场处理</w:t>
      </w:r>
      <w:r>
        <w:rPr>
          <w:rFonts w:hint="eastAsia"/>
        </w:rPr>
        <w:t>。</w:t>
      </w:r>
    </w:p>
    <w:p>
      <w:pPr>
        <w:bidi w:val="0"/>
        <w:rPr>
          <w:rFonts w:hint="eastAsia"/>
          <w:lang w:eastAsia="zh-CN"/>
        </w:rPr>
      </w:pPr>
      <w:r>
        <w:rPr>
          <w:rFonts w:hint="eastAsia"/>
          <w:lang w:eastAsia="zh-CN"/>
        </w:rPr>
        <w:t>（</w:t>
      </w:r>
      <w:r>
        <w:rPr>
          <w:rFonts w:hint="eastAsia" w:ascii="Times New Roman" w:hAnsi="Times New Roman"/>
          <w:lang w:val="en-US" w:eastAsia="zh-CN"/>
        </w:rPr>
        <w:t>2</w:t>
      </w:r>
      <w:r>
        <w:rPr>
          <w:rFonts w:hint="eastAsia"/>
          <w:lang w:eastAsia="zh-CN"/>
        </w:rPr>
        <w:t>）一般工业固体废物</w:t>
      </w:r>
    </w:p>
    <w:p>
      <w:pPr>
        <w:bidi w:val="0"/>
      </w:pPr>
      <w:r>
        <w:rPr>
          <w:rFonts w:hint="eastAsia"/>
          <w:lang w:eastAsia="zh-CN"/>
        </w:rPr>
        <w:t>乌苏工业园区一般工业固废填埋场位于乌苏市吉尔格勒特蒙古民族乡毛墩塔拉村南侧约</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5km</w:t>
      </w:r>
      <w:r>
        <w:rPr>
          <w:rFonts w:hint="eastAsia"/>
          <w:lang w:val="en-US" w:eastAsia="zh-CN"/>
        </w:rPr>
        <w:t>处，主要负责处理乌苏工业园区企业产生的一般工业固体废物。处理规模</w:t>
      </w:r>
      <w:r>
        <w:rPr>
          <w:rFonts w:hint="eastAsia" w:ascii="Times New Roman" w:hAnsi="Times New Roman"/>
          <w:lang w:val="en-US" w:eastAsia="zh-CN"/>
        </w:rPr>
        <w:t>150t</w:t>
      </w:r>
      <w:r>
        <w:rPr>
          <w:rFonts w:hint="eastAsia"/>
          <w:lang w:val="en-US" w:eastAsia="zh-CN"/>
        </w:rPr>
        <w:t>/</w:t>
      </w:r>
      <w:r>
        <w:rPr>
          <w:rFonts w:hint="eastAsia" w:ascii="Times New Roman" w:hAnsi="Times New Roman"/>
          <w:lang w:val="en-US" w:eastAsia="zh-CN"/>
        </w:rPr>
        <w:t>d</w:t>
      </w:r>
      <w:r>
        <w:rPr>
          <w:rFonts w:hint="eastAsia"/>
          <w:lang w:val="en-US" w:eastAsia="zh-CN"/>
        </w:rPr>
        <w:t>，服务年限</w:t>
      </w:r>
      <w:r>
        <w:rPr>
          <w:rFonts w:hint="eastAsia" w:ascii="Times New Roman" w:hAnsi="Times New Roman"/>
          <w:lang w:val="en-US" w:eastAsia="zh-CN"/>
        </w:rPr>
        <w:t>20</w:t>
      </w:r>
      <w:r>
        <w:rPr>
          <w:rFonts w:hint="eastAsia"/>
          <w:lang w:val="en-US" w:eastAsia="zh-CN"/>
        </w:rPr>
        <w:t>年。新疆维吾尔自治区环境保护局出具了《关于乌苏工业园区一般工业固废填埋场项目环境影响报告书的批复》，新环函[</w:t>
      </w:r>
      <w:r>
        <w:rPr>
          <w:rFonts w:hint="eastAsia" w:ascii="Times New Roman" w:hAnsi="Times New Roman"/>
          <w:lang w:val="en-US" w:eastAsia="zh-CN"/>
        </w:rPr>
        <w:t>2018</w:t>
      </w:r>
      <w:r>
        <w:rPr>
          <w:rFonts w:hint="eastAsia"/>
          <w:lang w:val="en-US" w:eastAsia="zh-CN"/>
        </w:rPr>
        <w:t>]</w:t>
      </w:r>
      <w:r>
        <w:rPr>
          <w:rFonts w:hint="eastAsia" w:ascii="Times New Roman" w:hAnsi="Times New Roman"/>
          <w:lang w:val="en-US" w:eastAsia="zh-CN"/>
        </w:rPr>
        <w:t>1116</w:t>
      </w:r>
      <w:r>
        <w:rPr>
          <w:rFonts w:hint="eastAsia"/>
          <w:lang w:val="en-US" w:eastAsia="zh-CN"/>
        </w:rPr>
        <w:t>号。</w:t>
      </w:r>
      <w:r>
        <w:rPr>
          <w:rFonts w:hint="eastAsia"/>
          <w:lang w:eastAsia="zh-CN"/>
        </w:rPr>
        <w:t>目前该固废填埋场正常运行</w:t>
      </w:r>
      <w:r>
        <w:rPr>
          <w:rFonts w:hint="eastAsia"/>
        </w:rPr>
        <w:t>。</w:t>
      </w:r>
    </w:p>
    <w:p>
      <w:pPr>
        <w:bidi w:val="0"/>
        <w:rPr>
          <w:rFonts w:hint="eastAsia"/>
          <w:lang w:eastAsia="zh-CN"/>
        </w:rPr>
      </w:pPr>
      <w:r>
        <w:rPr>
          <w:rFonts w:hint="eastAsia"/>
          <w:lang w:eastAsia="zh-CN"/>
        </w:rPr>
        <w:t>（</w:t>
      </w:r>
      <w:r>
        <w:rPr>
          <w:rFonts w:hint="eastAsia" w:ascii="Times New Roman" w:hAnsi="Times New Roman"/>
          <w:lang w:val="en-US" w:eastAsia="zh-CN"/>
        </w:rPr>
        <w:t>3</w:t>
      </w:r>
      <w:r>
        <w:rPr>
          <w:rFonts w:hint="eastAsia"/>
          <w:lang w:eastAsia="zh-CN"/>
        </w:rPr>
        <w:t>）危险废物</w:t>
      </w:r>
    </w:p>
    <w:p>
      <w:pPr>
        <w:bidi w:val="0"/>
        <w:rPr>
          <w:rFonts w:hint="eastAsia"/>
        </w:rPr>
      </w:pPr>
      <w:r>
        <w:rPr>
          <w:rFonts w:hint="eastAsia"/>
          <w:lang w:eastAsia="zh-CN"/>
        </w:rPr>
        <w:t>园区企业根据危险废物的性质、产生量和产生周期，</w:t>
      </w:r>
      <w:r>
        <w:rPr>
          <w:rFonts w:hint="eastAsia"/>
        </w:rPr>
        <w:t>定期将危险废物交由</w:t>
      </w:r>
      <w:r>
        <w:rPr>
          <w:rFonts w:hint="eastAsia"/>
          <w:lang w:eastAsia="zh-CN"/>
        </w:rPr>
        <w:t>有资质的相关单位</w:t>
      </w:r>
      <w:r>
        <w:rPr>
          <w:rFonts w:hint="eastAsia"/>
        </w:rPr>
        <w:t>安全处置。</w:t>
      </w:r>
    </w:p>
    <w:p>
      <w:pPr>
        <w:pStyle w:val="5"/>
        <w:rPr>
          <w:rFonts w:hint="eastAsia"/>
        </w:rPr>
      </w:pPr>
      <w:r>
        <w:rPr>
          <w:rFonts w:hint="eastAsia" w:ascii="Times New Roman" w:hAnsi="Times New Roman"/>
          <w:lang w:val="en-US" w:eastAsia="zh-CN"/>
        </w:rPr>
        <w:t>5</w:t>
      </w:r>
      <w:r>
        <w:rPr>
          <w:rFonts w:hint="eastAsia" w:ascii="Times New Roman" w:hAnsi="Times New Roman"/>
          <w:lang w:val="en-US" w:eastAsia="zh-CN"/>
        </w:rPr>
        <w:t>.</w:t>
      </w:r>
      <w:r>
        <w:rPr>
          <w:rFonts w:hint="eastAsia" w:ascii="Times New Roman" w:hAnsi="Times New Roman"/>
          <w:lang w:val="en-US" w:eastAsia="zh-CN"/>
        </w:rPr>
        <w:t>3</w:t>
      </w:r>
      <w:r>
        <w:rPr>
          <w:rFonts w:hint="eastAsia"/>
        </w:rPr>
        <w:t>.</w:t>
      </w:r>
      <w:r>
        <w:rPr>
          <w:rFonts w:hint="eastAsia" w:ascii="Times New Roman" w:hAnsi="Times New Roman"/>
          <w:lang w:val="en-US" w:eastAsia="zh-CN"/>
        </w:rPr>
        <w:t>5</w:t>
      </w:r>
      <w:r>
        <w:rPr>
          <w:rFonts w:hint="eastAsia"/>
        </w:rPr>
        <w:t>基础设施可依托情况</w:t>
      </w:r>
    </w:p>
    <w:p>
      <w:pPr>
        <w:rPr>
          <w:rFonts w:hint="eastAsia"/>
        </w:rPr>
      </w:pPr>
      <w:r>
        <w:t>本项目</w:t>
      </w:r>
      <w:r>
        <w:rPr>
          <w:rFonts w:hint="eastAsia"/>
        </w:rPr>
        <w:t>公用工程</w:t>
      </w:r>
      <w:r>
        <w:t>与所在园区依托关系见表</w:t>
      </w:r>
      <w:r>
        <w:rPr>
          <w:rFonts w:hint="eastAsia" w:ascii="Times New Roman" w:hAnsi="Times New Roman"/>
          <w:lang w:val="en-US" w:eastAsia="zh-CN"/>
        </w:rPr>
        <w:t>5</w:t>
      </w:r>
      <w:r>
        <w:rPr>
          <w:rFonts w:hint="eastAsia"/>
        </w:rPr>
        <w:t>.</w:t>
      </w:r>
      <w:r>
        <w:rPr>
          <w:rFonts w:hint="eastAsia" w:ascii="Times New Roman" w:hAnsi="Times New Roman"/>
        </w:rPr>
        <w:t>3</w:t>
      </w:r>
      <w:r>
        <w:t>-</w:t>
      </w:r>
      <w:r>
        <w:rPr>
          <w:rFonts w:ascii="Times New Roman" w:hAnsi="Times New Roman"/>
        </w:rPr>
        <w:t>1</w:t>
      </w:r>
      <w:r>
        <w:t>。</w:t>
      </w:r>
    </w:p>
    <w:p>
      <w:pPr>
        <w:pStyle w:val="20"/>
        <w:spacing w:before="165" w:after="0"/>
        <w:rPr>
          <w:rFonts w:hint="eastAsia"/>
        </w:rPr>
      </w:pPr>
      <w:r>
        <w:rPr>
          <w:rFonts w:hint="eastAsia"/>
        </w:rPr>
        <w:t>表</w:t>
      </w:r>
      <w:r>
        <w:rPr>
          <w:rFonts w:hint="eastAsia" w:ascii="Times New Roman" w:hAnsi="Times New Roman"/>
          <w:lang w:val="en-US" w:eastAsia="zh-CN"/>
        </w:rPr>
        <w:t>5</w:t>
      </w:r>
      <w:r>
        <w:rPr>
          <w:rFonts w:hint="eastAsia"/>
        </w:rPr>
        <w:t>.</w:t>
      </w:r>
      <w:r>
        <w:rPr>
          <w:rFonts w:hint="eastAsia" w:ascii="Times New Roman" w:hAnsi="Times New Roman"/>
        </w:rPr>
        <w:t>3</w:t>
      </w:r>
      <w:r>
        <w:rPr>
          <w:rFonts w:hint="eastAsia"/>
        </w:rPr>
        <w:t>-</w:t>
      </w:r>
      <w:r>
        <w:rPr>
          <w:rFonts w:hint="eastAsia" w:ascii="Times New Roman" w:hAnsi="Times New Roman"/>
        </w:rPr>
        <w:t>1</w:t>
      </w:r>
      <w:r>
        <w:rPr>
          <w:rFonts w:hint="eastAsia"/>
        </w:rPr>
        <w:t xml:space="preserve">  本项目公用工程与园区依托关系一览表</w:t>
      </w:r>
    </w:p>
    <w:tbl>
      <w:tblPr>
        <w:tblStyle w:val="8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089"/>
        <w:gridCol w:w="1366"/>
        <w:gridCol w:w="1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16"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基础设施</w:t>
            </w:r>
          </w:p>
        </w:tc>
        <w:tc>
          <w:tcPr>
            <w:tcW w:w="277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规划情况</w:t>
            </w:r>
          </w:p>
        </w:tc>
        <w:tc>
          <w:tcPr>
            <w:tcW w:w="745"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cs="宋体"/>
                <w:sz w:val="21"/>
                <w:szCs w:val="21"/>
                <w:lang w:eastAsia="zh-CN"/>
              </w:rPr>
              <w:t>运行情况</w:t>
            </w:r>
          </w:p>
        </w:tc>
        <w:tc>
          <w:tcPr>
            <w:tcW w:w="863" w:type="pct"/>
            <w:noWrap w:val="0"/>
            <w:vAlign w:val="center"/>
          </w:tcPr>
          <w:p>
            <w:pPr>
              <w:spacing w:before="0" w:after="0" w:line="240" w:lineRule="auto"/>
              <w:ind w:firstLine="0"/>
              <w:jc w:val="center"/>
              <w:rPr>
                <w:rFonts w:hint="eastAsia" w:cs="宋体"/>
                <w:sz w:val="21"/>
                <w:szCs w:val="21"/>
                <w:lang w:eastAsia="zh-CN"/>
              </w:rPr>
            </w:pPr>
            <w:r>
              <w:rPr>
                <w:rFonts w:hint="eastAsia" w:cs="宋体"/>
                <w:sz w:val="21"/>
                <w:szCs w:val="21"/>
                <w:lang w:eastAsia="zh-CN"/>
              </w:rPr>
              <w:t>依托关系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16"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道路</w:t>
            </w:r>
          </w:p>
        </w:tc>
        <w:tc>
          <w:tcPr>
            <w:tcW w:w="277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道路</w:t>
            </w:r>
            <w:r>
              <w:rPr>
                <w:rFonts w:hint="eastAsia" w:cs="宋体"/>
                <w:sz w:val="21"/>
                <w:szCs w:val="21"/>
                <w:lang w:eastAsia="zh-CN"/>
              </w:rPr>
              <w:t>交通</w:t>
            </w:r>
            <w:r>
              <w:rPr>
                <w:rFonts w:hint="eastAsia" w:ascii="宋体" w:hAnsi="宋体" w:cs="宋体"/>
                <w:sz w:val="21"/>
                <w:szCs w:val="21"/>
              </w:rPr>
              <w:t>系统</w:t>
            </w:r>
          </w:p>
        </w:tc>
        <w:tc>
          <w:tcPr>
            <w:tcW w:w="74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已</w:t>
            </w:r>
            <w:r>
              <w:rPr>
                <w:rFonts w:hint="eastAsia" w:cs="宋体"/>
                <w:sz w:val="21"/>
                <w:szCs w:val="21"/>
                <w:lang w:eastAsia="zh-CN"/>
              </w:rPr>
              <w:t>投运</w:t>
            </w:r>
            <w:r>
              <w:rPr>
                <w:rFonts w:hint="eastAsia" w:ascii="宋体" w:hAnsi="宋体" w:cs="宋体"/>
                <w:sz w:val="21"/>
                <w:szCs w:val="21"/>
              </w:rPr>
              <w:t>多年</w:t>
            </w:r>
          </w:p>
        </w:tc>
        <w:tc>
          <w:tcPr>
            <w:tcW w:w="863"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cs="宋体"/>
                <w:sz w:val="21"/>
                <w:szCs w:val="21"/>
                <w:lang w:eastAsia="zh-CN"/>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16"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给水</w:t>
            </w:r>
          </w:p>
        </w:tc>
        <w:tc>
          <w:tcPr>
            <w:tcW w:w="2775" w:type="pct"/>
            <w:noWrap w:val="0"/>
            <w:vAlign w:val="center"/>
          </w:tcPr>
          <w:p>
            <w:pPr>
              <w:spacing w:before="0" w:after="0" w:line="240" w:lineRule="auto"/>
              <w:ind w:firstLine="0"/>
              <w:jc w:val="center"/>
              <w:rPr>
                <w:rFonts w:hint="eastAsia" w:ascii="宋体" w:hAnsi="宋体" w:cs="宋体"/>
                <w:sz w:val="21"/>
                <w:szCs w:val="21"/>
              </w:rPr>
            </w:pPr>
            <w:r>
              <w:rPr>
                <w:rFonts w:hint="eastAsia" w:cs="宋体"/>
                <w:sz w:val="21"/>
                <w:szCs w:val="21"/>
                <w:lang w:val="de-DE" w:eastAsia="zh-CN"/>
              </w:rPr>
              <w:t>由园区净水厂供水</w:t>
            </w:r>
            <w:r>
              <w:rPr>
                <w:rFonts w:hint="eastAsia" w:ascii="宋体" w:hAnsi="宋体" w:cs="宋体"/>
                <w:sz w:val="21"/>
                <w:szCs w:val="21"/>
                <w:lang w:val="de-DE"/>
              </w:rPr>
              <w:t>，</w:t>
            </w:r>
            <w:r>
              <w:rPr>
                <w:rFonts w:hint="eastAsia" w:ascii="宋体" w:hAnsi="宋体" w:cs="宋体"/>
                <w:sz w:val="21"/>
                <w:szCs w:val="21"/>
              </w:rPr>
              <w:t>供水管网覆盖项目区</w:t>
            </w:r>
          </w:p>
        </w:tc>
        <w:tc>
          <w:tcPr>
            <w:tcW w:w="74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已</w:t>
            </w:r>
            <w:r>
              <w:rPr>
                <w:rFonts w:hint="eastAsia" w:cs="宋体"/>
                <w:sz w:val="21"/>
                <w:szCs w:val="21"/>
                <w:lang w:eastAsia="zh-CN"/>
              </w:rPr>
              <w:t>投运</w:t>
            </w:r>
            <w:r>
              <w:rPr>
                <w:rFonts w:hint="eastAsia" w:ascii="宋体" w:hAnsi="宋体" w:cs="宋体"/>
                <w:sz w:val="21"/>
                <w:szCs w:val="21"/>
              </w:rPr>
              <w:t>多年</w:t>
            </w:r>
          </w:p>
        </w:tc>
        <w:tc>
          <w:tcPr>
            <w:tcW w:w="863" w:type="pct"/>
            <w:noWrap w:val="0"/>
            <w:vAlign w:val="center"/>
          </w:tcPr>
          <w:p>
            <w:pPr>
              <w:spacing w:before="0" w:after="0" w:line="240" w:lineRule="auto"/>
              <w:ind w:firstLine="0"/>
              <w:jc w:val="center"/>
              <w:rPr>
                <w:rFonts w:hint="eastAsia" w:ascii="宋体" w:hAnsi="宋体" w:cs="宋体"/>
                <w:sz w:val="21"/>
                <w:szCs w:val="21"/>
              </w:rPr>
            </w:pPr>
            <w:r>
              <w:rPr>
                <w:rFonts w:hint="eastAsia" w:cs="宋体"/>
                <w:sz w:val="21"/>
                <w:szCs w:val="21"/>
                <w:lang w:eastAsia="zh-CN"/>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16"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排水</w:t>
            </w:r>
          </w:p>
        </w:tc>
        <w:tc>
          <w:tcPr>
            <w:tcW w:w="2775" w:type="pct"/>
            <w:noWrap w:val="0"/>
            <w:tcMar>
              <w:left w:w="0" w:type="dxa"/>
              <w:right w:w="0" w:type="dxa"/>
            </w:tcMar>
            <w:vAlign w:val="center"/>
          </w:tcPr>
          <w:p>
            <w:pPr>
              <w:spacing w:before="0" w:after="0" w:line="240" w:lineRule="auto"/>
              <w:ind w:firstLine="0"/>
              <w:jc w:val="center"/>
              <w:rPr>
                <w:rFonts w:hint="eastAsia" w:ascii="宋体" w:hAnsi="宋体" w:cs="宋体"/>
                <w:sz w:val="21"/>
                <w:szCs w:val="21"/>
                <w:lang w:val="de-DE"/>
              </w:rPr>
            </w:pPr>
            <w:r>
              <w:rPr>
                <w:rFonts w:hint="eastAsia" w:ascii="宋体" w:hAnsi="宋体" w:cs="宋体"/>
                <w:sz w:val="21"/>
                <w:szCs w:val="21"/>
              </w:rPr>
              <w:t>排水管网覆盖园区，</w:t>
            </w:r>
            <w:r>
              <w:rPr>
                <w:rFonts w:hint="eastAsia" w:cs="宋体"/>
                <w:sz w:val="21"/>
                <w:szCs w:val="21"/>
                <w:lang w:eastAsia="zh-CN"/>
              </w:rPr>
              <w:t>污水处理厂</w:t>
            </w:r>
            <w:r>
              <w:rPr>
                <w:rFonts w:hint="eastAsia" w:ascii="宋体" w:hAnsi="宋体" w:cs="宋体"/>
                <w:sz w:val="21"/>
                <w:szCs w:val="21"/>
              </w:rPr>
              <w:t>处理规模</w:t>
            </w:r>
            <w:r>
              <w:rPr>
                <w:rFonts w:hint="eastAsia" w:ascii="Times New Roman" w:hAnsi="Times New Roman" w:cs="宋体"/>
                <w:sz w:val="21"/>
                <w:szCs w:val="21"/>
                <w:lang w:val="en-US" w:eastAsia="zh-CN"/>
              </w:rPr>
              <w:t>2</w:t>
            </w:r>
            <w:r>
              <w:rPr>
                <w:rFonts w:hint="eastAsia" w:cs="宋体"/>
                <w:sz w:val="21"/>
                <w:szCs w:val="21"/>
                <w:lang w:val="en-US" w:eastAsia="zh-CN"/>
              </w:rPr>
              <w:t>万</w:t>
            </w:r>
            <w:r>
              <w:rPr>
                <w:rFonts w:hint="eastAsia" w:ascii="Times New Roman" w:hAnsi="Times New Roman" w:cs="宋体"/>
                <w:sz w:val="21"/>
                <w:szCs w:val="21"/>
              </w:rPr>
              <w:t>m</w:t>
            </w:r>
            <w:r>
              <w:rPr>
                <w:rFonts w:hint="eastAsia" w:ascii="Times New Roman" w:hAnsi="Times New Roman" w:cs="宋体"/>
                <w:sz w:val="21"/>
                <w:szCs w:val="21"/>
                <w:vertAlign w:val="superscript"/>
              </w:rPr>
              <w:t>3</w:t>
            </w:r>
            <w:r>
              <w:rPr>
                <w:rFonts w:hint="eastAsia" w:ascii="宋体" w:hAnsi="宋体" w:cs="宋体"/>
                <w:sz w:val="21"/>
                <w:szCs w:val="21"/>
              </w:rPr>
              <w:t>/</w:t>
            </w:r>
            <w:r>
              <w:rPr>
                <w:rFonts w:hint="eastAsia" w:ascii="Times New Roman" w:hAnsi="Times New Roman" w:cs="宋体"/>
                <w:sz w:val="21"/>
                <w:szCs w:val="21"/>
              </w:rPr>
              <w:t>d</w:t>
            </w:r>
          </w:p>
        </w:tc>
        <w:tc>
          <w:tcPr>
            <w:tcW w:w="74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已</w:t>
            </w:r>
            <w:r>
              <w:rPr>
                <w:rFonts w:hint="eastAsia" w:cs="宋体"/>
                <w:sz w:val="21"/>
                <w:szCs w:val="21"/>
                <w:lang w:eastAsia="zh-CN"/>
              </w:rPr>
              <w:t>投运</w:t>
            </w:r>
            <w:r>
              <w:rPr>
                <w:rFonts w:hint="eastAsia" w:ascii="宋体" w:hAnsi="宋体" w:cs="宋体"/>
                <w:sz w:val="21"/>
                <w:szCs w:val="21"/>
              </w:rPr>
              <w:t>多年</w:t>
            </w:r>
          </w:p>
        </w:tc>
        <w:tc>
          <w:tcPr>
            <w:tcW w:w="863" w:type="pct"/>
            <w:noWrap w:val="0"/>
            <w:vAlign w:val="center"/>
          </w:tcPr>
          <w:p>
            <w:pPr>
              <w:spacing w:before="0" w:after="0" w:line="240" w:lineRule="auto"/>
              <w:ind w:firstLine="0"/>
              <w:jc w:val="center"/>
              <w:rPr>
                <w:rFonts w:hint="eastAsia" w:ascii="宋体" w:hAnsi="宋体" w:cs="宋体"/>
                <w:sz w:val="21"/>
                <w:szCs w:val="21"/>
              </w:rPr>
            </w:pPr>
            <w:r>
              <w:rPr>
                <w:rFonts w:hint="eastAsia" w:cs="宋体"/>
                <w:sz w:val="21"/>
                <w:szCs w:val="21"/>
                <w:lang w:eastAsia="zh-CN"/>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16"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cs="宋体"/>
                <w:sz w:val="21"/>
                <w:szCs w:val="21"/>
                <w:lang w:eastAsia="zh-CN"/>
              </w:rPr>
              <w:t>供气</w:t>
            </w:r>
          </w:p>
        </w:tc>
        <w:tc>
          <w:tcPr>
            <w:tcW w:w="2775" w:type="pct"/>
            <w:noWrap w:val="0"/>
            <w:tcMar>
              <w:left w:w="0" w:type="dxa"/>
              <w:right w:w="0" w:type="dxa"/>
            </w:tcMar>
            <w:vAlign w:val="center"/>
          </w:tcPr>
          <w:p>
            <w:pPr>
              <w:spacing w:before="0" w:after="0" w:line="240" w:lineRule="auto"/>
              <w:ind w:firstLine="0"/>
              <w:jc w:val="center"/>
              <w:rPr>
                <w:rFonts w:hint="eastAsia" w:ascii="宋体" w:hAnsi="宋体" w:eastAsia="宋体" w:cs="宋体"/>
                <w:sz w:val="21"/>
                <w:szCs w:val="21"/>
                <w:lang w:eastAsia="zh-CN"/>
              </w:rPr>
            </w:pPr>
            <w:r>
              <w:rPr>
                <w:rFonts w:hint="eastAsia" w:cs="宋体"/>
                <w:sz w:val="21"/>
                <w:szCs w:val="21"/>
                <w:lang w:eastAsia="zh-CN"/>
              </w:rPr>
              <w:t>园区天然气门站已建成</w:t>
            </w:r>
          </w:p>
        </w:tc>
        <w:tc>
          <w:tcPr>
            <w:tcW w:w="745"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cs="宋体"/>
                <w:sz w:val="21"/>
                <w:szCs w:val="21"/>
                <w:lang w:eastAsia="zh-CN"/>
              </w:rPr>
              <w:t>已投运多年</w:t>
            </w:r>
          </w:p>
        </w:tc>
        <w:tc>
          <w:tcPr>
            <w:tcW w:w="863" w:type="pct"/>
            <w:noWrap w:val="0"/>
            <w:vAlign w:val="center"/>
          </w:tcPr>
          <w:p>
            <w:pPr>
              <w:spacing w:before="0" w:after="0" w:line="240" w:lineRule="auto"/>
              <w:ind w:firstLine="0"/>
              <w:jc w:val="center"/>
              <w:rPr>
                <w:rFonts w:hint="eastAsia" w:cs="宋体"/>
                <w:sz w:val="21"/>
                <w:szCs w:val="21"/>
                <w:lang w:eastAsia="zh-CN"/>
              </w:rPr>
            </w:pPr>
            <w:r>
              <w:rPr>
                <w:rFonts w:hint="eastAsia" w:cs="宋体"/>
                <w:sz w:val="21"/>
                <w:szCs w:val="21"/>
                <w:lang w:eastAsia="zh-CN"/>
              </w:rPr>
              <w:t>本项目不涉及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16" w:type="pct"/>
            <w:vMerge w:val="restar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环卫设施</w:t>
            </w:r>
          </w:p>
        </w:tc>
        <w:tc>
          <w:tcPr>
            <w:tcW w:w="2775"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ascii="宋体" w:hAnsi="宋体" w:cs="宋体"/>
                <w:sz w:val="21"/>
                <w:szCs w:val="21"/>
              </w:rPr>
              <w:t>生活垃圾</w:t>
            </w:r>
            <w:r>
              <w:rPr>
                <w:rFonts w:hint="eastAsia" w:cs="宋体"/>
                <w:sz w:val="21"/>
                <w:szCs w:val="21"/>
                <w:lang w:eastAsia="zh-CN"/>
              </w:rPr>
              <w:t>转运站及垃圾填埋场</w:t>
            </w:r>
          </w:p>
        </w:tc>
        <w:tc>
          <w:tcPr>
            <w:tcW w:w="74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已</w:t>
            </w:r>
            <w:r>
              <w:rPr>
                <w:rFonts w:hint="eastAsia" w:cs="宋体"/>
                <w:sz w:val="21"/>
                <w:szCs w:val="21"/>
                <w:lang w:eastAsia="zh-CN"/>
              </w:rPr>
              <w:t>投运</w:t>
            </w:r>
            <w:r>
              <w:rPr>
                <w:rFonts w:hint="eastAsia" w:ascii="宋体" w:hAnsi="宋体" w:cs="宋体"/>
                <w:sz w:val="21"/>
                <w:szCs w:val="21"/>
              </w:rPr>
              <w:t>多年</w:t>
            </w:r>
          </w:p>
        </w:tc>
        <w:tc>
          <w:tcPr>
            <w:tcW w:w="863" w:type="pct"/>
            <w:noWrap w:val="0"/>
            <w:vAlign w:val="center"/>
          </w:tcPr>
          <w:p>
            <w:pPr>
              <w:spacing w:before="0" w:after="0" w:line="240" w:lineRule="auto"/>
              <w:ind w:firstLine="0"/>
              <w:jc w:val="center"/>
              <w:rPr>
                <w:rFonts w:hint="eastAsia" w:ascii="宋体" w:hAnsi="宋体" w:cs="宋体"/>
                <w:sz w:val="21"/>
                <w:szCs w:val="21"/>
              </w:rPr>
            </w:pPr>
            <w:r>
              <w:rPr>
                <w:rFonts w:hint="eastAsia" w:cs="宋体"/>
                <w:sz w:val="21"/>
                <w:szCs w:val="21"/>
                <w:lang w:eastAsia="zh-CN"/>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16" w:type="pct"/>
            <w:vMerge w:val="continue"/>
            <w:noWrap w:val="0"/>
            <w:vAlign w:val="center"/>
          </w:tcPr>
          <w:p>
            <w:pPr>
              <w:spacing w:before="0" w:after="0" w:line="240" w:lineRule="auto"/>
              <w:ind w:firstLine="0"/>
              <w:jc w:val="center"/>
              <w:rPr>
                <w:rFonts w:hint="eastAsia" w:ascii="宋体" w:hAnsi="宋体" w:cs="宋体"/>
                <w:sz w:val="21"/>
                <w:szCs w:val="21"/>
              </w:rPr>
            </w:pPr>
          </w:p>
        </w:tc>
        <w:tc>
          <w:tcPr>
            <w:tcW w:w="2775"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cs="宋体"/>
                <w:sz w:val="21"/>
                <w:szCs w:val="21"/>
                <w:lang w:eastAsia="zh-CN"/>
              </w:rPr>
              <w:t>一般工业固体废物填埋场</w:t>
            </w:r>
          </w:p>
        </w:tc>
        <w:tc>
          <w:tcPr>
            <w:tcW w:w="745"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ascii="宋体" w:hAnsi="宋体" w:cs="宋体"/>
                <w:sz w:val="21"/>
                <w:szCs w:val="21"/>
              </w:rPr>
              <w:t>已</w:t>
            </w:r>
            <w:r>
              <w:rPr>
                <w:rFonts w:hint="eastAsia" w:cs="宋体"/>
                <w:sz w:val="21"/>
                <w:szCs w:val="21"/>
                <w:lang w:eastAsia="zh-CN"/>
              </w:rPr>
              <w:t>投运</w:t>
            </w:r>
            <w:r>
              <w:rPr>
                <w:rFonts w:hint="eastAsia" w:ascii="宋体" w:hAnsi="宋体" w:cs="宋体"/>
                <w:sz w:val="21"/>
                <w:szCs w:val="21"/>
              </w:rPr>
              <w:t>多年</w:t>
            </w:r>
          </w:p>
        </w:tc>
        <w:tc>
          <w:tcPr>
            <w:tcW w:w="863" w:type="pct"/>
            <w:noWrap w:val="0"/>
            <w:vAlign w:val="center"/>
          </w:tcPr>
          <w:p>
            <w:pPr>
              <w:spacing w:before="0" w:after="0" w:line="240" w:lineRule="auto"/>
              <w:ind w:firstLine="0"/>
              <w:jc w:val="center"/>
              <w:rPr>
                <w:rFonts w:hint="eastAsia" w:ascii="宋体" w:hAnsi="宋体" w:cs="宋体"/>
                <w:sz w:val="21"/>
                <w:szCs w:val="21"/>
              </w:rPr>
            </w:pPr>
            <w:r>
              <w:rPr>
                <w:rFonts w:hint="eastAsia" w:cs="宋体"/>
                <w:sz w:val="21"/>
                <w:szCs w:val="21"/>
                <w:lang w:eastAsia="zh-CN"/>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6"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供电</w:t>
            </w:r>
          </w:p>
        </w:tc>
        <w:tc>
          <w:tcPr>
            <w:tcW w:w="277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园区电网</w:t>
            </w:r>
          </w:p>
        </w:tc>
        <w:tc>
          <w:tcPr>
            <w:tcW w:w="745"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已</w:t>
            </w:r>
            <w:r>
              <w:rPr>
                <w:rFonts w:hint="eastAsia" w:cs="宋体"/>
                <w:sz w:val="21"/>
                <w:szCs w:val="21"/>
                <w:lang w:eastAsia="zh-CN"/>
              </w:rPr>
              <w:t>投运</w:t>
            </w:r>
            <w:r>
              <w:rPr>
                <w:rFonts w:hint="eastAsia" w:ascii="宋体" w:hAnsi="宋体" w:cs="宋体"/>
                <w:sz w:val="21"/>
                <w:szCs w:val="21"/>
              </w:rPr>
              <w:t>多年</w:t>
            </w:r>
          </w:p>
        </w:tc>
        <w:tc>
          <w:tcPr>
            <w:tcW w:w="863" w:type="pct"/>
            <w:noWrap w:val="0"/>
            <w:vAlign w:val="center"/>
          </w:tcPr>
          <w:p>
            <w:pPr>
              <w:spacing w:before="0" w:after="0" w:line="240" w:lineRule="auto"/>
              <w:ind w:firstLine="0"/>
              <w:jc w:val="center"/>
              <w:rPr>
                <w:rFonts w:hint="eastAsia" w:ascii="宋体" w:hAnsi="宋体" w:cs="宋体"/>
                <w:sz w:val="21"/>
                <w:szCs w:val="21"/>
              </w:rPr>
            </w:pPr>
            <w:r>
              <w:rPr>
                <w:rFonts w:hint="eastAsia" w:cs="宋体"/>
                <w:sz w:val="21"/>
                <w:szCs w:val="21"/>
                <w:lang w:eastAsia="zh-CN"/>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6" w:type="pct"/>
            <w:noWrap w:val="0"/>
            <w:vAlign w:val="center"/>
          </w:tcPr>
          <w:p>
            <w:pPr>
              <w:spacing w:before="0" w:after="0" w:line="240" w:lineRule="auto"/>
              <w:ind w:firstLine="0"/>
              <w:jc w:val="center"/>
              <w:rPr>
                <w:rFonts w:hint="eastAsia" w:ascii="宋体" w:hAnsi="宋体" w:cs="宋体"/>
                <w:sz w:val="21"/>
                <w:szCs w:val="21"/>
              </w:rPr>
            </w:pPr>
            <w:r>
              <w:rPr>
                <w:rFonts w:hint="eastAsia" w:ascii="宋体" w:hAnsi="宋体" w:cs="宋体"/>
                <w:sz w:val="21"/>
                <w:szCs w:val="21"/>
              </w:rPr>
              <w:t>蒸汽</w:t>
            </w:r>
          </w:p>
        </w:tc>
        <w:tc>
          <w:tcPr>
            <w:tcW w:w="2775"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cs="宋体"/>
                <w:sz w:val="21"/>
                <w:szCs w:val="21"/>
                <w:lang w:eastAsia="zh-CN"/>
              </w:rPr>
              <w:t>利用现有凯赛动力站锅炉集中供热</w:t>
            </w:r>
          </w:p>
        </w:tc>
        <w:tc>
          <w:tcPr>
            <w:tcW w:w="745" w:type="pct"/>
            <w:noWrap w:val="0"/>
            <w:vAlign w:val="center"/>
          </w:tcPr>
          <w:p>
            <w:pPr>
              <w:spacing w:before="0" w:after="0" w:line="240" w:lineRule="auto"/>
              <w:ind w:firstLine="0"/>
              <w:jc w:val="center"/>
              <w:rPr>
                <w:rFonts w:hint="eastAsia" w:ascii="宋体" w:hAnsi="宋体" w:eastAsia="宋体" w:cs="宋体"/>
                <w:sz w:val="21"/>
                <w:szCs w:val="21"/>
                <w:lang w:eastAsia="zh-CN"/>
              </w:rPr>
            </w:pPr>
            <w:r>
              <w:rPr>
                <w:rFonts w:hint="eastAsia" w:ascii="宋体" w:hAnsi="宋体" w:cs="宋体"/>
                <w:sz w:val="21"/>
                <w:szCs w:val="21"/>
              </w:rPr>
              <w:t>已</w:t>
            </w:r>
            <w:r>
              <w:rPr>
                <w:rFonts w:hint="eastAsia" w:cs="宋体"/>
                <w:sz w:val="21"/>
                <w:szCs w:val="21"/>
                <w:lang w:eastAsia="zh-CN"/>
              </w:rPr>
              <w:t>投运</w:t>
            </w:r>
            <w:r>
              <w:rPr>
                <w:rFonts w:hint="eastAsia" w:ascii="宋体" w:hAnsi="宋体" w:cs="宋体"/>
                <w:sz w:val="21"/>
                <w:szCs w:val="21"/>
              </w:rPr>
              <w:t>多年</w:t>
            </w:r>
          </w:p>
        </w:tc>
        <w:tc>
          <w:tcPr>
            <w:tcW w:w="863" w:type="pct"/>
            <w:noWrap w:val="0"/>
            <w:vAlign w:val="center"/>
          </w:tcPr>
          <w:p>
            <w:pPr>
              <w:spacing w:before="0" w:after="0" w:line="240" w:lineRule="auto"/>
              <w:ind w:firstLine="0"/>
              <w:jc w:val="center"/>
              <w:rPr>
                <w:rFonts w:hint="eastAsia" w:ascii="宋体" w:hAnsi="宋体" w:cs="宋体"/>
                <w:sz w:val="21"/>
                <w:szCs w:val="21"/>
              </w:rPr>
            </w:pPr>
            <w:r>
              <w:rPr>
                <w:rFonts w:hint="eastAsia" w:cs="宋体"/>
                <w:sz w:val="21"/>
                <w:szCs w:val="21"/>
                <w:lang w:eastAsia="zh-CN"/>
              </w:rPr>
              <w:t>可依托</w:t>
            </w:r>
          </w:p>
        </w:tc>
      </w:tr>
      <w:bookmarkEnd w:id="159"/>
    </w:tbl>
    <w:p>
      <w:pPr>
        <w:pStyle w:val="4"/>
        <w:bidi w:val="0"/>
        <w:rPr>
          <w:rFonts w:hint="default"/>
          <w:lang w:val="en-US" w:eastAsia="zh-CN"/>
        </w:rPr>
      </w:pPr>
      <w:bookmarkStart w:id="164" w:name="_Toc4972"/>
      <w:bookmarkStart w:id="165" w:name="_Toc31762"/>
      <w:bookmarkStart w:id="166" w:name="_Toc17906"/>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lang w:val="en-US" w:eastAsia="zh-CN"/>
        </w:rPr>
        <w:t>区域污染源调查</w:t>
      </w:r>
      <w:bookmarkEnd w:id="164"/>
    </w:p>
    <w:p>
      <w:pPr>
        <w:spacing w:line="360" w:lineRule="auto"/>
        <w:ind w:firstLine="480" w:firstLineChars="200"/>
        <w:rPr>
          <w:rFonts w:hint="eastAsia"/>
          <w:color w:val="000000"/>
          <w:sz w:val="24"/>
        </w:rPr>
      </w:pPr>
      <w:r>
        <w:rPr>
          <w:rFonts w:ascii="Times New Roman"/>
          <w:color w:val="auto"/>
        </w:rPr>
        <w:t>工业园区内已建企业的三废排放基本情况见表</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4</w:t>
      </w:r>
      <w:r>
        <w:rPr>
          <w:rFonts w:hint="eastAsia" w:ascii="Times New Roman"/>
          <w:color w:val="auto"/>
          <w:lang w:val="en-US" w:eastAsia="zh-CN"/>
        </w:rPr>
        <w:t>-</w:t>
      </w:r>
      <w:r>
        <w:rPr>
          <w:rFonts w:hint="eastAsia" w:ascii="Times New Roman" w:hAnsi="Times New Roman"/>
          <w:color w:val="auto"/>
          <w:lang w:val="en-US" w:eastAsia="zh-CN"/>
        </w:rPr>
        <w:t>1</w:t>
      </w:r>
      <w:r>
        <w:rPr>
          <w:rFonts w:hint="eastAsia" w:ascii="Times New Roman"/>
          <w:color w:val="auto"/>
          <w:lang w:val="en-US" w:eastAsia="zh-CN"/>
        </w:rPr>
        <w:t>、表</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4</w:t>
      </w:r>
      <w:r>
        <w:rPr>
          <w:rFonts w:hint="eastAsia" w:ascii="Times New Roman"/>
          <w:color w:val="auto"/>
          <w:lang w:val="en-US" w:eastAsia="zh-CN"/>
        </w:rPr>
        <w:t>-</w:t>
      </w:r>
      <w:r>
        <w:rPr>
          <w:rFonts w:hint="eastAsia" w:ascii="Times New Roman" w:hAnsi="Times New Roman"/>
          <w:color w:val="auto"/>
          <w:lang w:val="en-US" w:eastAsia="zh-CN"/>
        </w:rPr>
        <w:t>2</w:t>
      </w:r>
      <w:r>
        <w:rPr>
          <w:rFonts w:hint="eastAsia" w:ascii="Times New Roman"/>
          <w:color w:val="auto"/>
          <w:lang w:val="en-US" w:eastAsia="zh-CN"/>
        </w:rPr>
        <w:t>、表</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4</w:t>
      </w:r>
      <w:r>
        <w:rPr>
          <w:rFonts w:hint="eastAsia" w:ascii="Times New Roman"/>
          <w:color w:val="auto"/>
          <w:lang w:val="en-US" w:eastAsia="zh-CN"/>
        </w:rPr>
        <w:t>-</w:t>
      </w:r>
      <w:r>
        <w:rPr>
          <w:rFonts w:hint="eastAsia" w:ascii="Times New Roman" w:hAnsi="Times New Roman"/>
          <w:color w:val="auto"/>
          <w:lang w:val="en-US" w:eastAsia="zh-CN"/>
        </w:rPr>
        <w:t>3</w:t>
      </w:r>
      <w:r>
        <w:rPr>
          <w:rFonts w:hint="eastAsia"/>
          <w:color w:val="000000"/>
          <w:sz w:val="24"/>
        </w:rPr>
        <w:t>。</w:t>
      </w:r>
    </w:p>
    <w:p>
      <w:pPr>
        <w:pStyle w:val="20"/>
        <w:spacing w:before="156"/>
        <w:rPr>
          <w:rFonts w:ascii="Times New Roman" w:hAnsi="Times New Roman"/>
          <w:color w:val="auto"/>
        </w:rPr>
      </w:pPr>
      <w:r>
        <w:rPr>
          <w:rFonts w:hint="eastAsia" w:ascii="Times New Roman" w:hAnsi="Times New Roman"/>
          <w:color w:val="auto"/>
        </w:rPr>
        <w:t>表</w:t>
      </w:r>
      <w:r>
        <w:rPr>
          <w:rFonts w:hint="eastAsia" w:ascii="Times New Roman" w:hAnsi="Times New Roman"/>
          <w:color w:val="auto"/>
          <w:lang w:val="en-US" w:eastAsia="zh-CN"/>
        </w:rPr>
        <w:t>5</w:t>
      </w:r>
      <w:r>
        <w:rPr>
          <w:rFonts w:ascii="Times New Roman" w:hAnsi="Times New Roman"/>
          <w:color w:val="auto"/>
        </w:rPr>
        <w:t>.</w:t>
      </w:r>
      <w:r>
        <w:rPr>
          <w:rFonts w:hint="eastAsia" w:ascii="Times New Roman" w:hAnsi="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ascii="Times New Roman" w:hAnsi="Times New Roman"/>
          <w:color w:val="auto"/>
        </w:rPr>
        <w:t xml:space="preserve">  园区内现有企业废气排放情况</w:t>
      </w:r>
    </w:p>
    <w:tbl>
      <w:tblPr>
        <w:tblStyle w:val="80"/>
        <w:tblW w:w="9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49"/>
        <w:gridCol w:w="2594"/>
        <w:gridCol w:w="2666"/>
        <w:gridCol w:w="26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24"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序号</w:t>
            </w:r>
          </w:p>
        </w:tc>
        <w:tc>
          <w:tcPr>
            <w:tcW w:w="749"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项目区</w:t>
            </w:r>
          </w:p>
        </w:tc>
        <w:tc>
          <w:tcPr>
            <w:tcW w:w="2594"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名    称</w:t>
            </w:r>
          </w:p>
        </w:tc>
        <w:tc>
          <w:tcPr>
            <w:tcW w:w="2666"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废气排放情况（</w:t>
            </w:r>
            <w:r>
              <w:rPr>
                <w:rFonts w:ascii="Times New Roman" w:hAnsi="Times New Roman"/>
                <w:color w:val="auto"/>
                <w:sz w:val="21"/>
              </w:rPr>
              <w:t>t</w:t>
            </w:r>
            <w:r>
              <w:rPr>
                <w:rFonts w:ascii="Times New Roman" w:hAnsi="Times New Roman"/>
                <w:color w:val="auto"/>
                <w:sz w:val="21"/>
              </w:rPr>
              <w:t>/</w:t>
            </w:r>
            <w:r>
              <w:rPr>
                <w:rFonts w:ascii="Times New Roman" w:hAnsi="Times New Roman"/>
                <w:color w:val="auto"/>
                <w:sz w:val="21"/>
              </w:rPr>
              <w:t>a</w:t>
            </w:r>
            <w:r>
              <w:rPr>
                <w:rFonts w:ascii="Times New Roman" w:hAnsi="Times New Roman"/>
                <w:color w:val="auto"/>
                <w:sz w:val="21"/>
              </w:rPr>
              <w:t>）</w:t>
            </w:r>
          </w:p>
        </w:tc>
        <w:tc>
          <w:tcPr>
            <w:tcW w:w="2605"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624"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1</w:t>
            </w:r>
          </w:p>
        </w:tc>
        <w:tc>
          <w:tcPr>
            <w:tcW w:w="749" w:type="dxa"/>
            <w:vMerge w:val="restart"/>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园区现有企业</w:t>
            </w:r>
          </w:p>
        </w:tc>
        <w:tc>
          <w:tcPr>
            <w:tcW w:w="25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lang w:val="en-US" w:eastAsia="zh-CN" w:bidi="ar-SA"/>
              </w:rPr>
            </w:pPr>
            <w:r>
              <w:rPr>
                <w:rFonts w:hint="eastAsia"/>
                <w:sz w:val="21"/>
                <w:szCs w:val="16"/>
              </w:rPr>
              <w:t>乌苏宏江燃气有限公司</w:t>
            </w:r>
          </w:p>
        </w:tc>
        <w:tc>
          <w:tcPr>
            <w:tcW w:w="2666" w:type="dxa"/>
            <w:vAlign w:val="center"/>
          </w:tcPr>
          <w:p>
            <w:pPr>
              <w:pStyle w:val="44"/>
              <w:spacing w:line="260" w:lineRule="exact"/>
              <w:ind w:firstLine="0"/>
              <w:rPr>
                <w:rFonts w:hint="default" w:ascii="Times New Roman" w:hAnsi="Times New Roman" w:eastAsia="宋体"/>
                <w:color w:val="auto"/>
                <w:sz w:val="21"/>
                <w:lang w:val="en-US" w:eastAsia="zh-CN"/>
              </w:rPr>
            </w:pPr>
            <w:r>
              <w:rPr>
                <w:rFonts w:ascii="Times New Roman" w:hAnsi="Times New Roman"/>
                <w:color w:val="auto"/>
                <w:sz w:val="21"/>
              </w:rPr>
              <w:t>SO</w:t>
            </w:r>
            <w:r>
              <w:rPr>
                <w:rFonts w:ascii="Times New Roman" w:hAnsi="Times New Roman"/>
                <w:color w:val="auto"/>
                <w:sz w:val="21"/>
                <w:vertAlign w:val="subscript"/>
              </w:rPr>
              <w:t>2</w:t>
            </w:r>
            <w:r>
              <w:rPr>
                <w:rFonts w:hint="eastAsia" w:ascii="Times New Roman" w:hAnsi="Times New Roman"/>
                <w:color w:val="auto"/>
                <w:sz w:val="21"/>
                <w:vertAlign w:val="baseline"/>
                <w:lang w:eastAsia="zh-CN"/>
              </w:rPr>
              <w:t>：</w:t>
            </w:r>
            <w:r>
              <w:rPr>
                <w:rFonts w:hint="eastAsia" w:ascii="Times New Roman" w:hAnsi="Times New Roman"/>
                <w:color w:val="auto"/>
                <w:sz w:val="21"/>
                <w:lang w:val="en-US" w:eastAsia="zh-CN"/>
              </w:rPr>
              <w:t>5</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2</w:t>
            </w:r>
            <w:r>
              <w:rPr>
                <w:rFonts w:ascii="Times New Roman" w:hAnsi="Times New Roman"/>
                <w:color w:val="auto"/>
                <w:sz w:val="21"/>
              </w:rPr>
              <w:t>、</w:t>
            </w:r>
            <w:r>
              <w:rPr>
                <w:rFonts w:ascii="Times New Roman" w:hAnsi="Times New Roman"/>
                <w:color w:val="auto"/>
                <w:sz w:val="21"/>
              </w:rPr>
              <w:t>NO</w:t>
            </w:r>
            <w:r>
              <w:rPr>
                <w:rFonts w:ascii="Times New Roman" w:hAnsi="Times New Roman"/>
                <w:color w:val="auto"/>
                <w:sz w:val="21"/>
                <w:vertAlign w:val="subscript"/>
              </w:rPr>
              <w:t>X</w:t>
            </w:r>
            <w:r>
              <w:rPr>
                <w:rFonts w:hint="eastAsia" w:ascii="Times New Roman" w:hAnsi="Times New Roman"/>
                <w:color w:val="auto"/>
                <w:sz w:val="21"/>
                <w:vertAlign w:val="baseline"/>
                <w:lang w:eastAsia="zh-CN"/>
              </w:rPr>
              <w:t>：</w:t>
            </w:r>
            <w:r>
              <w:rPr>
                <w:rFonts w:hint="eastAsia" w:ascii="Times New Roman" w:hAnsi="Times New Roman"/>
                <w:color w:val="auto"/>
                <w:sz w:val="21"/>
                <w:lang w:val="en-US" w:eastAsia="zh-CN"/>
              </w:rPr>
              <w:t>0</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19</w:t>
            </w:r>
            <w:r>
              <w:rPr>
                <w:rFonts w:ascii="Times New Roman" w:hAnsi="Times New Roman"/>
                <w:color w:val="auto"/>
                <w:sz w:val="21"/>
              </w:rPr>
              <w:t>、</w:t>
            </w:r>
            <w:r>
              <w:rPr>
                <w:rFonts w:hint="eastAsia" w:ascii="Times New Roman" w:hAnsi="Times New Roman"/>
                <w:color w:val="auto"/>
                <w:sz w:val="21"/>
                <w:lang w:eastAsia="zh-CN"/>
              </w:rPr>
              <w:t>颗粒物</w:t>
            </w:r>
            <w:r>
              <w:rPr>
                <w:rFonts w:hint="eastAsia" w:ascii="Times New Roman" w:hAnsi="Times New Roman"/>
                <w:color w:val="auto"/>
                <w:sz w:val="21"/>
                <w:vertAlign w:val="baseline"/>
                <w:lang w:eastAsia="zh-CN"/>
              </w:rPr>
              <w:t>：</w:t>
            </w:r>
            <w:r>
              <w:rPr>
                <w:rFonts w:hint="eastAsia" w:ascii="Times New Roman" w:hAnsi="Times New Roman"/>
                <w:color w:val="auto"/>
                <w:sz w:val="21"/>
                <w:lang w:val="en-US" w:eastAsia="zh-CN"/>
              </w:rPr>
              <w:t>7</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88</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VOCs</w:t>
            </w:r>
            <w:r>
              <w:rPr>
                <w:rFonts w:hint="eastAsia" w:ascii="Times New Roman" w:hAnsi="Times New Roman"/>
                <w:color w:val="auto"/>
                <w:sz w:val="21"/>
                <w:vertAlign w:val="baseline"/>
                <w:lang w:eastAsia="zh-CN"/>
              </w:rPr>
              <w:t>：</w:t>
            </w:r>
            <w:r>
              <w:rPr>
                <w:rFonts w:hint="eastAsia" w:ascii="Times New Roman" w:hAnsi="Times New Roman"/>
                <w:color w:val="auto"/>
                <w:sz w:val="21"/>
                <w:lang w:val="en-US" w:eastAsia="zh-CN"/>
              </w:rPr>
              <w:t>0</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074</w:t>
            </w:r>
          </w:p>
        </w:tc>
        <w:tc>
          <w:tcPr>
            <w:tcW w:w="2605" w:type="dxa"/>
            <w:vAlign w:val="center"/>
          </w:tcPr>
          <w:p>
            <w:pPr>
              <w:pStyle w:val="44"/>
              <w:spacing w:line="260" w:lineRule="exact"/>
              <w:ind w:firstLine="0"/>
              <w:rPr>
                <w:rFonts w:hint="eastAsia" w:ascii="Times New Roman" w:hAnsi="Times New Roman" w:eastAsia="宋体"/>
                <w:color w:val="auto"/>
                <w:sz w:val="21"/>
                <w:lang w:eastAsia="zh-CN"/>
              </w:rPr>
            </w:pPr>
            <w:r>
              <w:rPr>
                <w:rFonts w:hint="eastAsia" w:ascii="Times New Roman" w:hAnsi="Times New Roman"/>
                <w:snapToGrid w:val="0"/>
                <w:color w:val="auto"/>
                <w:sz w:val="21"/>
                <w:lang w:eastAsia="zh-CN"/>
              </w:rPr>
              <w:t>厨房油烟机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24"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2</w:t>
            </w:r>
          </w:p>
        </w:tc>
        <w:tc>
          <w:tcPr>
            <w:tcW w:w="749" w:type="dxa"/>
            <w:vMerge w:val="continue"/>
            <w:vAlign w:val="center"/>
          </w:tcPr>
          <w:p>
            <w:pPr>
              <w:pStyle w:val="44"/>
              <w:spacing w:line="260" w:lineRule="exact"/>
              <w:ind w:firstLine="0"/>
              <w:rPr>
                <w:rFonts w:ascii="Times New Roman" w:hAnsi="Times New Roman"/>
                <w:color w:val="auto"/>
                <w:sz w:val="21"/>
              </w:rPr>
            </w:pPr>
          </w:p>
        </w:tc>
        <w:tc>
          <w:tcPr>
            <w:tcW w:w="25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lang w:val="en-US" w:eastAsia="zh-CN" w:bidi="ar-SA"/>
              </w:rPr>
            </w:pPr>
            <w:r>
              <w:rPr>
                <w:rFonts w:hint="eastAsia"/>
                <w:sz w:val="21"/>
                <w:szCs w:val="16"/>
              </w:rPr>
              <w:t>乌苏恒帆棉纺织有限公司</w:t>
            </w:r>
          </w:p>
        </w:tc>
        <w:tc>
          <w:tcPr>
            <w:tcW w:w="2666" w:type="dxa"/>
            <w:vAlign w:val="center"/>
          </w:tcPr>
          <w:p>
            <w:pPr>
              <w:pStyle w:val="44"/>
              <w:spacing w:line="260" w:lineRule="exact"/>
              <w:ind w:firstLine="0"/>
              <w:rPr>
                <w:rFonts w:ascii="Times New Roman" w:hAnsi="Times New Roman"/>
                <w:color w:val="auto"/>
                <w:sz w:val="21"/>
              </w:rPr>
            </w:pPr>
            <w:r>
              <w:rPr>
                <w:rFonts w:ascii="Times New Roman" w:hAnsi="Times New Roman"/>
                <w:color w:val="auto"/>
                <w:sz w:val="21"/>
              </w:rPr>
              <w:t>颗粒物</w:t>
            </w:r>
            <w:r>
              <w:rPr>
                <w:rFonts w:hint="eastAsia" w:ascii="Times New Roman" w:hAnsi="Times New Roman"/>
                <w:color w:val="auto"/>
                <w:sz w:val="21"/>
                <w:vertAlign w:val="baseline"/>
                <w:lang w:eastAsia="zh-CN"/>
              </w:rPr>
              <w:t>：</w:t>
            </w:r>
            <w:r>
              <w:rPr>
                <w:rFonts w:hint="eastAsia" w:ascii="Times New Roman" w:hAnsi="Times New Roman"/>
                <w:color w:val="auto"/>
                <w:sz w:val="21"/>
                <w:vertAlign w:val="baseline"/>
                <w:lang w:val="en-US" w:eastAsia="zh-CN"/>
              </w:rPr>
              <w:t>9</w:t>
            </w:r>
            <w:r>
              <w:rPr>
                <w:rFonts w:hint="eastAsia" w:ascii="Times New Roman" w:hAnsi="Times New Roman"/>
                <w:color w:val="auto"/>
                <w:sz w:val="21"/>
                <w:vertAlign w:val="baseline"/>
                <w:lang w:val="en-US" w:eastAsia="zh-CN"/>
              </w:rPr>
              <w:t>.</w:t>
            </w:r>
            <w:r>
              <w:rPr>
                <w:rFonts w:hint="eastAsia" w:ascii="Times New Roman" w:hAnsi="Times New Roman"/>
                <w:color w:val="auto"/>
                <w:sz w:val="21"/>
                <w:vertAlign w:val="baseline"/>
                <w:lang w:val="en-US" w:eastAsia="zh-CN"/>
              </w:rPr>
              <w:t>27</w:t>
            </w:r>
          </w:p>
        </w:tc>
        <w:tc>
          <w:tcPr>
            <w:tcW w:w="2605" w:type="dxa"/>
            <w:vAlign w:val="center"/>
          </w:tcPr>
          <w:p>
            <w:pPr>
              <w:pStyle w:val="44"/>
              <w:spacing w:line="260" w:lineRule="exact"/>
              <w:ind w:firstLine="0"/>
              <w:rPr>
                <w:rFonts w:hint="default" w:ascii="Times New Roman" w:hAnsi="Times New Roman" w:eastAsia="宋体"/>
                <w:color w:val="auto"/>
                <w:sz w:val="21"/>
                <w:lang w:val="en-US" w:eastAsia="zh-CN"/>
              </w:rPr>
            </w:pPr>
            <w:r>
              <w:rPr>
                <w:rFonts w:ascii="Times New Roman" w:hAnsi="Times New Roman"/>
                <w:color w:val="auto"/>
                <w:sz w:val="21"/>
              </w:rPr>
              <w:t>袋式除尘</w:t>
            </w:r>
            <w:r>
              <w:rPr>
                <w:rFonts w:hint="eastAsia" w:ascii="Times New Roman" w:hAnsi="Times New Roman"/>
                <w:color w:val="auto"/>
                <w:sz w:val="21"/>
                <w:lang w:eastAsia="zh-CN"/>
              </w:rPr>
              <w:t>和筒式一体化除尘器</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15m</w:t>
            </w:r>
            <w:r>
              <w:rPr>
                <w:rFonts w:hint="eastAsia" w:ascii="Times New Roman" w:hAnsi="Times New Roman"/>
                <w:color w:val="auto"/>
                <w:sz w:val="21"/>
                <w:lang w:val="en-US" w:eastAsia="zh-CN"/>
              </w:rPr>
              <w:t>排气筒处理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24"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3</w:t>
            </w:r>
          </w:p>
        </w:tc>
        <w:tc>
          <w:tcPr>
            <w:tcW w:w="749" w:type="dxa"/>
            <w:vMerge w:val="continue"/>
            <w:vAlign w:val="center"/>
          </w:tcPr>
          <w:p>
            <w:pPr>
              <w:pStyle w:val="44"/>
              <w:spacing w:line="260" w:lineRule="exact"/>
              <w:ind w:firstLine="0"/>
              <w:rPr>
                <w:rFonts w:ascii="Times New Roman" w:hAnsi="Times New Roman"/>
                <w:color w:val="auto"/>
                <w:sz w:val="21"/>
              </w:rPr>
            </w:pPr>
          </w:p>
        </w:tc>
        <w:tc>
          <w:tcPr>
            <w:tcW w:w="25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lang w:val="en-US" w:eastAsia="zh-CN" w:bidi="ar-SA"/>
              </w:rPr>
            </w:pPr>
            <w:r>
              <w:rPr>
                <w:rFonts w:hint="eastAsia"/>
                <w:sz w:val="21"/>
                <w:szCs w:val="16"/>
              </w:rPr>
              <w:t>乌苏市锐泰毛纺织有限公司</w:t>
            </w:r>
          </w:p>
        </w:tc>
        <w:tc>
          <w:tcPr>
            <w:tcW w:w="2666" w:type="dxa"/>
            <w:vAlign w:val="center"/>
          </w:tcPr>
          <w:p>
            <w:pPr>
              <w:pStyle w:val="44"/>
              <w:spacing w:line="260" w:lineRule="exact"/>
              <w:ind w:firstLine="0"/>
              <w:rPr>
                <w:rFonts w:hint="default" w:ascii="Times New Roman" w:hAnsi="Times New Roman" w:eastAsia="宋体"/>
                <w:color w:val="auto"/>
                <w:sz w:val="21"/>
                <w:lang w:val="en-US" w:eastAsia="zh-CN"/>
              </w:rPr>
            </w:pPr>
            <w:r>
              <w:rPr>
                <w:rFonts w:hint="eastAsia" w:ascii="Times New Roman"/>
                <w:color w:val="auto"/>
                <w:sz w:val="21"/>
                <w:szCs w:val="21"/>
                <w:lang w:eastAsia="zh-CN"/>
              </w:rPr>
              <w:t>颗粒物</w:t>
            </w:r>
            <w:r>
              <w:rPr>
                <w:rFonts w:hint="eastAsia" w:ascii="Times New Roman" w:hAnsi="Times New Roman"/>
                <w:color w:val="auto"/>
                <w:sz w:val="21"/>
                <w:vertAlign w:val="baseline"/>
                <w:lang w:eastAsia="zh-CN"/>
              </w:rPr>
              <w:t>：</w:t>
            </w:r>
            <w:r>
              <w:rPr>
                <w:rFonts w:hint="eastAsia" w:ascii="Times New Roman" w:hAnsi="Times New Roman"/>
                <w:color w:val="auto"/>
                <w:sz w:val="21"/>
                <w:vertAlign w:val="baseline"/>
                <w:lang w:val="en-US" w:eastAsia="zh-CN"/>
              </w:rPr>
              <w:t>1</w:t>
            </w:r>
            <w:r>
              <w:rPr>
                <w:rFonts w:hint="eastAsia" w:ascii="Times New Roman" w:hAnsi="Times New Roman"/>
                <w:color w:val="auto"/>
                <w:sz w:val="21"/>
                <w:vertAlign w:val="baseline"/>
                <w:lang w:val="en-US" w:eastAsia="zh-CN"/>
              </w:rPr>
              <w:t>.</w:t>
            </w:r>
            <w:r>
              <w:rPr>
                <w:rFonts w:hint="eastAsia" w:ascii="Times New Roman" w:hAnsi="Times New Roman"/>
                <w:color w:val="auto"/>
                <w:sz w:val="21"/>
                <w:vertAlign w:val="baseline"/>
                <w:lang w:val="en-US" w:eastAsia="zh-CN"/>
              </w:rPr>
              <w:t>8</w:t>
            </w:r>
          </w:p>
        </w:tc>
        <w:tc>
          <w:tcPr>
            <w:tcW w:w="2605" w:type="dxa"/>
            <w:vAlign w:val="center"/>
          </w:tcPr>
          <w:p>
            <w:pPr>
              <w:pStyle w:val="44"/>
              <w:spacing w:line="260" w:lineRule="exact"/>
              <w:ind w:firstLine="0"/>
              <w:rPr>
                <w:rFonts w:hint="default" w:ascii="Times New Roman" w:hAnsi="Times New Roman" w:eastAsia="宋体"/>
                <w:color w:val="auto"/>
                <w:sz w:val="21"/>
                <w:lang w:val="en-US" w:eastAsia="zh-CN"/>
              </w:rPr>
            </w:pPr>
            <w:r>
              <w:rPr>
                <w:rFonts w:hint="eastAsia" w:ascii="Times New Roman" w:hAnsi="Times New Roman"/>
                <w:color w:val="auto"/>
                <w:sz w:val="21"/>
                <w:lang w:eastAsia="zh-CN"/>
              </w:rPr>
              <w:t>污水站设吸收塔，分拣毛尘采用集气罩</w:t>
            </w:r>
            <w:r>
              <w:rPr>
                <w:rFonts w:hint="eastAsia" w:ascii="Times New Roman" w:hAnsi="Times New Roman"/>
                <w:color w:val="auto"/>
                <w:sz w:val="21"/>
                <w:lang w:val="en-US" w:eastAsia="zh-CN"/>
              </w:rPr>
              <w:t>+螺旋除尘器+</w:t>
            </w:r>
            <w:r>
              <w:rPr>
                <w:rFonts w:hint="eastAsia" w:ascii="Times New Roman" w:hAnsi="Times New Roman"/>
                <w:color w:val="auto"/>
                <w:sz w:val="21"/>
                <w:lang w:val="en-US" w:eastAsia="zh-CN"/>
              </w:rPr>
              <w:t>15m</w:t>
            </w:r>
            <w:r>
              <w:rPr>
                <w:rFonts w:hint="eastAsia" w:ascii="Times New Roman" w:hAnsi="Times New Roman"/>
                <w:color w:val="auto"/>
                <w:sz w:val="21"/>
                <w:lang w:val="en-US" w:eastAsia="zh-CN"/>
              </w:rPr>
              <w:t>排气筒处理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24" w:type="dxa"/>
            <w:vAlign w:val="center"/>
          </w:tcPr>
          <w:p>
            <w:pPr>
              <w:pStyle w:val="44"/>
              <w:spacing w:line="260" w:lineRule="exact"/>
              <w:ind w:firstLine="0"/>
              <w:jc w:val="center"/>
              <w:rPr>
                <w:rFonts w:ascii="Times New Roman" w:hAnsi="Times New Roman"/>
                <w:color w:val="auto"/>
                <w:sz w:val="21"/>
              </w:rPr>
            </w:pPr>
            <w:r>
              <w:rPr>
                <w:rFonts w:ascii="Times New Roman" w:hAnsi="Times New Roman"/>
                <w:color w:val="auto"/>
                <w:sz w:val="21"/>
              </w:rPr>
              <w:t>4</w:t>
            </w:r>
          </w:p>
        </w:tc>
        <w:tc>
          <w:tcPr>
            <w:tcW w:w="749" w:type="dxa"/>
            <w:vMerge w:val="continue"/>
            <w:vAlign w:val="center"/>
          </w:tcPr>
          <w:p>
            <w:pPr>
              <w:pStyle w:val="44"/>
              <w:spacing w:line="260" w:lineRule="exact"/>
              <w:ind w:firstLine="0"/>
              <w:rPr>
                <w:rFonts w:ascii="Times New Roman" w:hAnsi="Times New Roman"/>
                <w:color w:val="auto"/>
                <w:sz w:val="21"/>
              </w:rPr>
            </w:pPr>
          </w:p>
        </w:tc>
        <w:tc>
          <w:tcPr>
            <w:tcW w:w="25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lang w:val="en-US" w:eastAsia="zh-CN" w:bidi="ar-SA"/>
              </w:rPr>
            </w:pPr>
            <w:r>
              <w:rPr>
                <w:rFonts w:hint="eastAsia"/>
                <w:sz w:val="21"/>
                <w:szCs w:val="16"/>
              </w:rPr>
              <w:t>新疆聚鑫隆纸业有限公司</w:t>
            </w:r>
          </w:p>
        </w:tc>
        <w:tc>
          <w:tcPr>
            <w:tcW w:w="2666" w:type="dxa"/>
            <w:vAlign w:val="center"/>
          </w:tcPr>
          <w:p>
            <w:pPr>
              <w:pStyle w:val="44"/>
              <w:spacing w:line="260" w:lineRule="exact"/>
              <w:ind w:firstLine="0"/>
              <w:rPr>
                <w:rFonts w:ascii="Times New Roman" w:hAnsi="Times New Roman"/>
                <w:color w:val="auto"/>
                <w:sz w:val="21"/>
              </w:rPr>
            </w:pPr>
            <w:r>
              <w:rPr>
                <w:rFonts w:ascii="Times New Roman" w:hAnsi="Times New Roman"/>
                <w:color w:val="auto"/>
                <w:sz w:val="21"/>
              </w:rPr>
              <w:t>SO</w:t>
            </w:r>
            <w:r>
              <w:rPr>
                <w:rFonts w:ascii="Times New Roman" w:hAnsi="Times New Roman"/>
                <w:color w:val="auto"/>
                <w:sz w:val="21"/>
                <w:vertAlign w:val="subscript"/>
              </w:rPr>
              <w:t>2</w:t>
            </w:r>
            <w:r>
              <w:rPr>
                <w:rFonts w:hint="eastAsia" w:ascii="Times New Roman" w:hAnsi="Times New Roman"/>
                <w:color w:val="auto"/>
                <w:sz w:val="21"/>
                <w:vertAlign w:val="baseline"/>
                <w:lang w:eastAsia="zh-CN"/>
              </w:rPr>
              <w:t>：</w:t>
            </w:r>
            <w:r>
              <w:rPr>
                <w:rFonts w:hint="eastAsia" w:ascii="Times New Roman" w:hAnsi="Times New Roman"/>
                <w:color w:val="auto"/>
                <w:sz w:val="21"/>
                <w:lang w:val="en-US" w:eastAsia="zh-CN"/>
              </w:rPr>
              <w:t>22</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7</w:t>
            </w:r>
            <w:r>
              <w:rPr>
                <w:rFonts w:ascii="Times New Roman" w:hAnsi="Times New Roman"/>
                <w:color w:val="auto"/>
                <w:sz w:val="21"/>
              </w:rPr>
              <w:t>、</w:t>
            </w:r>
            <w:r>
              <w:rPr>
                <w:rFonts w:ascii="Times New Roman" w:hAnsi="Times New Roman"/>
                <w:color w:val="auto"/>
                <w:sz w:val="21"/>
              </w:rPr>
              <w:t>NO</w:t>
            </w:r>
            <w:r>
              <w:rPr>
                <w:rFonts w:ascii="Times New Roman" w:hAnsi="Times New Roman"/>
                <w:color w:val="auto"/>
                <w:sz w:val="21"/>
                <w:vertAlign w:val="subscript"/>
              </w:rPr>
              <w:t>X</w:t>
            </w:r>
            <w:r>
              <w:rPr>
                <w:rFonts w:hint="eastAsia" w:ascii="Times New Roman" w:hAnsi="Times New Roman"/>
                <w:color w:val="auto"/>
                <w:sz w:val="21"/>
                <w:vertAlign w:val="baseline"/>
                <w:lang w:eastAsia="zh-CN"/>
              </w:rPr>
              <w:t>：</w:t>
            </w:r>
            <w:r>
              <w:rPr>
                <w:rFonts w:hint="eastAsia" w:ascii="Times New Roman" w:hAnsi="Times New Roman"/>
                <w:color w:val="auto"/>
                <w:sz w:val="21"/>
                <w:lang w:val="en-US" w:eastAsia="zh-CN"/>
              </w:rPr>
              <w:t>64</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7</w:t>
            </w:r>
            <w:r>
              <w:rPr>
                <w:rFonts w:ascii="Times New Roman" w:hAnsi="Times New Roman"/>
                <w:color w:val="auto"/>
                <w:sz w:val="21"/>
              </w:rPr>
              <w:t>、</w:t>
            </w:r>
            <w:r>
              <w:rPr>
                <w:rFonts w:hint="eastAsia" w:ascii="Times New Roman" w:hAnsi="Times New Roman"/>
                <w:color w:val="auto"/>
                <w:sz w:val="21"/>
                <w:lang w:eastAsia="zh-CN"/>
              </w:rPr>
              <w:t>颗粒物</w:t>
            </w:r>
            <w:r>
              <w:rPr>
                <w:rFonts w:hint="eastAsia" w:ascii="Times New Roman" w:hAnsi="Times New Roman"/>
                <w:color w:val="auto"/>
                <w:sz w:val="21"/>
                <w:vertAlign w:val="baseline"/>
                <w:lang w:eastAsia="zh-CN"/>
              </w:rPr>
              <w:t>：</w:t>
            </w:r>
            <w:r>
              <w:rPr>
                <w:rFonts w:hint="eastAsia" w:ascii="Times New Roman" w:hAnsi="Times New Roman"/>
                <w:color w:val="auto"/>
                <w:sz w:val="21"/>
                <w:lang w:val="en-US" w:eastAsia="zh-CN"/>
              </w:rPr>
              <w:t>7</w:t>
            </w:r>
            <w:r>
              <w:rPr>
                <w:rFonts w:hint="eastAsia" w:ascii="Times New Roman" w:hAnsi="Times New Roman"/>
                <w:color w:val="auto"/>
                <w:sz w:val="21"/>
                <w:lang w:val="en-US" w:eastAsia="zh-CN"/>
              </w:rPr>
              <w:t>.</w:t>
            </w:r>
            <w:r>
              <w:rPr>
                <w:rFonts w:hint="eastAsia" w:ascii="Times New Roman" w:hAnsi="Times New Roman"/>
                <w:color w:val="auto"/>
                <w:sz w:val="21"/>
                <w:lang w:val="en-US" w:eastAsia="zh-CN"/>
              </w:rPr>
              <w:t>14</w:t>
            </w:r>
          </w:p>
        </w:tc>
        <w:tc>
          <w:tcPr>
            <w:tcW w:w="2605" w:type="dxa"/>
            <w:vAlign w:val="center"/>
          </w:tcPr>
          <w:p>
            <w:pPr>
              <w:pStyle w:val="44"/>
              <w:spacing w:line="260" w:lineRule="exact"/>
              <w:ind w:firstLine="0"/>
              <w:rPr>
                <w:rFonts w:hint="default" w:ascii="Times New Roman" w:hAnsi="Times New Roman" w:eastAsia="宋体"/>
                <w:color w:val="auto"/>
                <w:sz w:val="21"/>
                <w:lang w:val="en-US" w:eastAsia="zh-CN"/>
              </w:rPr>
            </w:pPr>
            <w:r>
              <w:rPr>
                <w:rFonts w:hint="eastAsia" w:ascii="Times New Roman" w:hAnsi="Times New Roman"/>
                <w:color w:val="auto"/>
                <w:sz w:val="21"/>
                <w:lang w:eastAsia="zh-CN"/>
              </w:rPr>
              <w:t>锅炉烟气采用袋式除尘</w:t>
            </w:r>
            <w:r>
              <w:rPr>
                <w:rFonts w:hint="eastAsia" w:ascii="Times New Roman" w:hAnsi="Times New Roman"/>
                <w:color w:val="auto"/>
                <w:sz w:val="21"/>
                <w:lang w:val="en-US" w:eastAsia="zh-CN"/>
              </w:rPr>
              <w:t>+钠法双碱法脱硫+</w:t>
            </w:r>
            <w:r>
              <w:rPr>
                <w:rFonts w:hint="eastAsia" w:ascii="Times New Roman" w:hAnsi="Times New Roman"/>
                <w:color w:val="auto"/>
                <w:sz w:val="21"/>
                <w:lang w:val="en-US" w:eastAsia="zh-CN"/>
              </w:rPr>
              <w:t>45m</w:t>
            </w:r>
            <w:r>
              <w:rPr>
                <w:rFonts w:hint="eastAsia" w:ascii="Times New Roman" w:hAnsi="Times New Roman"/>
                <w:color w:val="auto"/>
                <w:sz w:val="21"/>
                <w:lang w:val="en-US" w:eastAsia="zh-CN"/>
              </w:rPr>
              <w:t>烟囱排放，污水站恶臭采用活性炭吸附法</w:t>
            </w:r>
          </w:p>
        </w:tc>
      </w:tr>
    </w:tbl>
    <w:p>
      <w:pPr>
        <w:pStyle w:val="20"/>
        <w:spacing w:before="156"/>
        <w:rPr>
          <w:rFonts w:hint="default" w:eastAsia="宋体"/>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color w:val="auto"/>
        </w:rPr>
        <w:t xml:space="preserve">  园区内现有企业废水排放情况</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780"/>
        <w:gridCol w:w="1335"/>
        <w:gridCol w:w="4170"/>
        <w:gridCol w:w="2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90" w:type="dxa"/>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序号</w:t>
            </w:r>
          </w:p>
        </w:tc>
        <w:tc>
          <w:tcPr>
            <w:tcW w:w="780" w:type="dxa"/>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项目区</w:t>
            </w:r>
          </w:p>
        </w:tc>
        <w:tc>
          <w:tcPr>
            <w:tcW w:w="1335" w:type="dxa"/>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名    称</w:t>
            </w:r>
          </w:p>
        </w:tc>
        <w:tc>
          <w:tcPr>
            <w:tcW w:w="4170" w:type="dxa"/>
            <w:vAlign w:val="center"/>
          </w:tcPr>
          <w:p>
            <w:pPr>
              <w:pStyle w:val="44"/>
              <w:spacing w:line="240" w:lineRule="auto"/>
              <w:ind w:firstLine="0"/>
              <w:jc w:val="center"/>
              <w:rPr>
                <w:rFonts w:hint="eastAsia" w:ascii="Times New Roman" w:hAnsi="Times New Roman" w:eastAsia="宋体"/>
                <w:color w:val="auto"/>
                <w:spacing w:val="-17"/>
                <w:sz w:val="21"/>
                <w:lang w:eastAsia="zh-CN"/>
              </w:rPr>
            </w:pPr>
            <w:r>
              <w:rPr>
                <w:rFonts w:hint="eastAsia" w:ascii="Times New Roman" w:hAnsi="Times New Roman"/>
                <w:color w:val="auto"/>
                <w:spacing w:val="-17"/>
                <w:sz w:val="21"/>
                <w:lang w:eastAsia="zh-CN"/>
              </w:rPr>
              <w:t>治理措施</w:t>
            </w:r>
          </w:p>
        </w:tc>
        <w:tc>
          <w:tcPr>
            <w:tcW w:w="2299" w:type="dxa"/>
            <w:vAlign w:val="center"/>
          </w:tcPr>
          <w:p>
            <w:pPr>
              <w:pStyle w:val="44"/>
              <w:spacing w:line="240" w:lineRule="auto"/>
              <w:ind w:firstLine="0"/>
              <w:jc w:val="center"/>
              <w:rPr>
                <w:rFonts w:hint="eastAsia" w:ascii="Times New Roman" w:hAnsi="Times New Roman" w:eastAsia="宋体"/>
                <w:color w:val="auto"/>
                <w:spacing w:val="-17"/>
                <w:sz w:val="21"/>
                <w:lang w:eastAsia="zh-CN"/>
              </w:rPr>
            </w:pPr>
            <w:r>
              <w:rPr>
                <w:rFonts w:hint="eastAsia" w:ascii="Times New Roman" w:hAnsi="Times New Roman"/>
                <w:color w:val="auto"/>
                <w:spacing w:val="-17"/>
                <w:sz w:val="21"/>
                <w:lang w:eastAsia="zh-C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90" w:type="dxa"/>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1</w:t>
            </w:r>
          </w:p>
        </w:tc>
        <w:tc>
          <w:tcPr>
            <w:tcW w:w="780" w:type="dxa"/>
            <w:vMerge w:val="restart"/>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园区现有企业</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sz w:val="21"/>
                <w:szCs w:val="16"/>
                <w:lang w:val="en-US" w:eastAsia="zh-CN" w:bidi="ar-SA"/>
              </w:rPr>
            </w:pPr>
            <w:r>
              <w:rPr>
                <w:rFonts w:hint="eastAsia"/>
                <w:spacing w:val="-17"/>
                <w:sz w:val="21"/>
                <w:szCs w:val="16"/>
              </w:rPr>
              <w:t>乌苏宏江燃气有限公司</w:t>
            </w:r>
          </w:p>
        </w:tc>
        <w:tc>
          <w:tcPr>
            <w:tcW w:w="4170" w:type="dxa"/>
            <w:vAlign w:val="center"/>
          </w:tcPr>
          <w:p>
            <w:pPr>
              <w:pStyle w:val="44"/>
              <w:spacing w:line="240" w:lineRule="auto"/>
              <w:ind w:firstLine="0"/>
              <w:jc w:val="center"/>
              <w:rPr>
                <w:rFonts w:ascii="Times New Roman" w:hAnsi="Times New Roman"/>
                <w:color w:val="auto"/>
                <w:spacing w:val="-17"/>
                <w:sz w:val="21"/>
              </w:rPr>
            </w:pPr>
            <w:r>
              <w:rPr>
                <w:rFonts w:hAnsi="Times New Roman"/>
                <w:color w:val="000000" w:themeColor="text1"/>
                <w:spacing w:val="-17"/>
                <w:sz w:val="21"/>
                <w:szCs w:val="21"/>
                <w:lang w:eastAsia="zh-CN"/>
                <w14:textFill>
                  <w14:solidFill>
                    <w14:schemeClr w14:val="tx1"/>
                  </w14:solidFill>
                </w14:textFill>
              </w:rPr>
              <w:t>压</w:t>
            </w:r>
            <w:r>
              <w:rPr>
                <w:rFonts w:hAnsi="Times New Roman"/>
                <w:color w:val="000000" w:themeColor="text1"/>
                <w:spacing w:val="-17"/>
                <w:sz w:val="21"/>
                <w:szCs w:val="21"/>
                <w14:textFill>
                  <w14:solidFill>
                    <w14:schemeClr w14:val="tx1"/>
                  </w14:solidFill>
                </w14:textFill>
              </w:rPr>
              <w:t>缩机冷却循环过程产生的废水为清净下水，用于项目区绿化与泼洒抑尘</w:t>
            </w:r>
            <w:r>
              <w:rPr>
                <w:rFonts w:hAnsi="Times New Roman"/>
                <w:color w:val="000000" w:themeColor="text1"/>
                <w:spacing w:val="-17"/>
                <w:sz w:val="21"/>
                <w:szCs w:val="21"/>
                <w:lang w:eastAsia="zh-CN"/>
                <w14:textFill>
                  <w14:solidFill>
                    <w14:schemeClr w14:val="tx1"/>
                  </w14:solidFill>
                </w14:textFill>
              </w:rPr>
              <w:t>；生活污水、</w:t>
            </w:r>
            <w:r>
              <w:rPr>
                <w:rFonts w:hAnsi="Times New Roman"/>
                <w:color w:val="000000" w:themeColor="text1"/>
                <w:spacing w:val="-17"/>
                <w:sz w:val="21"/>
                <w:szCs w:val="21"/>
                <w14:textFill>
                  <w14:solidFill>
                    <w14:schemeClr w14:val="tx1"/>
                  </w14:solidFill>
                </w14:textFill>
              </w:rPr>
              <w:t>脱水过程产生的废水经无害化处理后排入化粪池内进行处理</w:t>
            </w:r>
          </w:p>
        </w:tc>
        <w:tc>
          <w:tcPr>
            <w:tcW w:w="2299" w:type="dxa"/>
            <w:vAlign w:val="center"/>
          </w:tcPr>
          <w:p>
            <w:pPr>
              <w:pStyle w:val="44"/>
              <w:spacing w:line="240" w:lineRule="auto"/>
              <w:ind w:firstLine="0"/>
              <w:jc w:val="center"/>
              <w:rPr>
                <w:rFonts w:hint="eastAsia" w:ascii="Times New Roman" w:hAnsi="Times New Roman" w:eastAsia="宋体"/>
                <w:color w:val="auto"/>
                <w:spacing w:val="-17"/>
                <w:sz w:val="21"/>
                <w:lang w:eastAsia="zh-CN"/>
              </w:rPr>
            </w:pPr>
            <w:r>
              <w:rPr>
                <w:rFonts w:hint="eastAsia" w:ascii="Times New Roman" w:hAnsi="Times New Roman"/>
                <w:color w:val="auto"/>
                <w:spacing w:val="-17"/>
                <w:sz w:val="21"/>
                <w:lang w:eastAsia="zh-CN"/>
              </w:rPr>
              <w:t>排入下水管网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590" w:type="dxa"/>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2</w:t>
            </w:r>
          </w:p>
        </w:tc>
        <w:tc>
          <w:tcPr>
            <w:tcW w:w="780" w:type="dxa"/>
            <w:vMerge w:val="continue"/>
            <w:vAlign w:val="center"/>
          </w:tcPr>
          <w:p>
            <w:pPr>
              <w:pStyle w:val="44"/>
              <w:spacing w:line="240" w:lineRule="auto"/>
              <w:ind w:firstLine="0"/>
              <w:jc w:val="center"/>
              <w:rPr>
                <w:rFonts w:ascii="Times New Roman" w:hAnsi="Times New Roman"/>
                <w:color w:val="auto"/>
                <w:spacing w:val="-17"/>
                <w:sz w:val="21"/>
              </w:rPr>
            </w:pP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sz w:val="21"/>
                <w:szCs w:val="16"/>
                <w:lang w:val="en-US" w:eastAsia="zh-CN" w:bidi="ar-SA"/>
              </w:rPr>
            </w:pPr>
            <w:r>
              <w:rPr>
                <w:rFonts w:hint="eastAsia"/>
                <w:spacing w:val="-17"/>
                <w:sz w:val="21"/>
                <w:szCs w:val="16"/>
              </w:rPr>
              <w:t>乌苏恒帆棉纺织有限公司</w:t>
            </w:r>
          </w:p>
        </w:tc>
        <w:tc>
          <w:tcPr>
            <w:tcW w:w="4170" w:type="dxa"/>
            <w:vAlign w:val="center"/>
          </w:tcPr>
          <w:p>
            <w:pPr>
              <w:pStyle w:val="44"/>
              <w:spacing w:line="240" w:lineRule="auto"/>
              <w:ind w:firstLine="0"/>
              <w:jc w:val="center"/>
              <w:rPr>
                <w:rFonts w:ascii="Times New Roman" w:hAnsi="Times New Roman"/>
                <w:color w:val="auto"/>
                <w:spacing w:val="-17"/>
                <w:sz w:val="21"/>
              </w:rPr>
            </w:pPr>
            <w:r>
              <w:rPr>
                <w:rFonts w:hAnsi="Times New Roman"/>
                <w:color w:val="000000" w:themeColor="text1"/>
                <w:spacing w:val="-17"/>
                <w:sz w:val="21"/>
                <w:szCs w:val="21"/>
                <w14:textFill>
                  <w14:solidFill>
                    <w14:schemeClr w14:val="tx1"/>
                  </w14:solidFill>
                </w14:textFill>
              </w:rPr>
              <w:t>一体化污水处理装置，要求生活污水在经过处理后达到《污水综合排放标准》（</w:t>
            </w:r>
            <w:r>
              <w:rPr>
                <w:rFonts w:ascii="Times New Roman" w:hAnsi="Times New Roman"/>
                <w:color w:val="000000" w:themeColor="text1"/>
                <w:spacing w:val="-17"/>
                <w:sz w:val="21"/>
                <w:szCs w:val="21"/>
                <w14:textFill>
                  <w14:solidFill>
                    <w14:schemeClr w14:val="tx1"/>
                  </w14:solidFill>
                </w14:textFill>
              </w:rPr>
              <w:t>GB8978</w:t>
            </w:r>
            <w:r>
              <w:rPr>
                <w:rFonts w:hAnsi="Times New Roman"/>
                <w:color w:val="000000" w:themeColor="text1"/>
                <w:spacing w:val="-17"/>
                <w:sz w:val="21"/>
                <w:szCs w:val="21"/>
                <w14:textFill>
                  <w14:solidFill>
                    <w14:schemeClr w14:val="tx1"/>
                  </w14:solidFill>
                </w14:textFill>
              </w:rPr>
              <w:t>-</w:t>
            </w:r>
            <w:r>
              <w:rPr>
                <w:rFonts w:ascii="Times New Roman" w:hAnsi="Times New Roman"/>
                <w:color w:val="000000" w:themeColor="text1"/>
                <w:spacing w:val="-17"/>
                <w:sz w:val="21"/>
                <w:szCs w:val="21"/>
                <w14:textFill>
                  <w14:solidFill>
                    <w14:schemeClr w14:val="tx1"/>
                  </w14:solidFill>
                </w14:textFill>
              </w:rPr>
              <w:t>1996</w:t>
            </w:r>
            <w:r>
              <w:rPr>
                <w:rFonts w:hAnsi="Times New Roman"/>
                <w:color w:val="000000" w:themeColor="text1"/>
                <w:spacing w:val="-17"/>
                <w:sz w:val="21"/>
                <w:szCs w:val="21"/>
                <w14:textFill>
                  <w14:solidFill>
                    <w14:schemeClr w14:val="tx1"/>
                  </w14:solidFill>
                </w14:textFill>
              </w:rPr>
              <w:t>）的二级标准</w:t>
            </w:r>
          </w:p>
        </w:tc>
        <w:tc>
          <w:tcPr>
            <w:tcW w:w="2299" w:type="dxa"/>
            <w:vAlign w:val="center"/>
          </w:tcPr>
          <w:p>
            <w:pPr>
              <w:pStyle w:val="44"/>
              <w:spacing w:line="240" w:lineRule="auto"/>
              <w:ind w:firstLine="0"/>
              <w:jc w:val="center"/>
              <w:rPr>
                <w:rFonts w:hint="eastAsia" w:ascii="Times New Roman" w:hAnsi="Times New Roman" w:eastAsia="宋体"/>
                <w:color w:val="auto"/>
                <w:spacing w:val="-17"/>
                <w:sz w:val="21"/>
                <w:lang w:eastAsia="zh-CN"/>
              </w:rPr>
            </w:pPr>
            <w:r>
              <w:rPr>
                <w:rFonts w:hint="eastAsia" w:ascii="Times New Roman" w:hAnsi="Times New Roman"/>
                <w:color w:val="auto"/>
                <w:spacing w:val="-17"/>
                <w:sz w:val="21"/>
                <w:lang w:eastAsia="zh-CN"/>
              </w:rPr>
              <w:t>生活污水根据需要用于厂内绿化或排入下水管网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90" w:type="dxa"/>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3</w:t>
            </w:r>
          </w:p>
        </w:tc>
        <w:tc>
          <w:tcPr>
            <w:tcW w:w="780" w:type="dxa"/>
            <w:vMerge w:val="continue"/>
            <w:vAlign w:val="center"/>
          </w:tcPr>
          <w:p>
            <w:pPr>
              <w:pStyle w:val="44"/>
              <w:spacing w:line="240" w:lineRule="auto"/>
              <w:ind w:firstLine="0"/>
              <w:jc w:val="center"/>
              <w:rPr>
                <w:rFonts w:ascii="Times New Roman" w:hAnsi="Times New Roman"/>
                <w:color w:val="auto"/>
                <w:spacing w:val="-17"/>
                <w:sz w:val="21"/>
              </w:rPr>
            </w:pP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sz w:val="21"/>
                <w:szCs w:val="16"/>
                <w:lang w:val="en-US" w:eastAsia="zh-CN" w:bidi="ar-SA"/>
              </w:rPr>
            </w:pPr>
            <w:r>
              <w:rPr>
                <w:rFonts w:hint="eastAsia"/>
                <w:spacing w:val="-17"/>
                <w:sz w:val="21"/>
                <w:szCs w:val="16"/>
              </w:rPr>
              <w:t>乌苏市</w:t>
            </w:r>
            <w:r>
              <w:rPr>
                <w:rFonts w:hint="eastAsia"/>
                <w:spacing w:val="-17"/>
                <w:sz w:val="21"/>
                <w:szCs w:val="16"/>
                <w:lang w:eastAsia="zh-CN"/>
              </w:rPr>
              <w:t>疆宇</w:t>
            </w:r>
            <w:r>
              <w:rPr>
                <w:rFonts w:hint="eastAsia"/>
                <w:spacing w:val="-17"/>
                <w:sz w:val="21"/>
                <w:szCs w:val="16"/>
              </w:rPr>
              <w:t>毛纺织有限公司</w:t>
            </w:r>
          </w:p>
        </w:tc>
        <w:tc>
          <w:tcPr>
            <w:tcW w:w="4170" w:type="dxa"/>
            <w:vAlign w:val="center"/>
          </w:tcPr>
          <w:p>
            <w:pPr>
              <w:pStyle w:val="44"/>
              <w:spacing w:line="240" w:lineRule="auto"/>
              <w:ind w:firstLine="0"/>
              <w:jc w:val="center"/>
              <w:rPr>
                <w:rFonts w:ascii="Times New Roman" w:hAnsi="Times New Roman"/>
                <w:color w:val="auto"/>
                <w:spacing w:val="-17"/>
                <w:sz w:val="21"/>
              </w:rPr>
            </w:pPr>
            <w:r>
              <w:rPr>
                <w:rFonts w:hAnsi="Times New Roman"/>
                <w:color w:val="000000" w:themeColor="text1"/>
                <w:spacing w:val="-17"/>
                <w:sz w:val="21"/>
                <w:szCs w:val="21"/>
                <w14:textFill>
                  <w14:solidFill>
                    <w14:schemeClr w14:val="tx1"/>
                  </w14:solidFill>
                </w14:textFill>
              </w:rPr>
              <w:t>物化处理+生化处理+深度处理</w:t>
            </w:r>
          </w:p>
        </w:tc>
        <w:tc>
          <w:tcPr>
            <w:tcW w:w="2299" w:type="dxa"/>
            <w:vAlign w:val="center"/>
          </w:tcPr>
          <w:p>
            <w:pPr>
              <w:pStyle w:val="44"/>
              <w:spacing w:line="240" w:lineRule="auto"/>
              <w:ind w:firstLine="0"/>
              <w:jc w:val="center"/>
              <w:rPr>
                <w:rFonts w:hint="eastAsia" w:ascii="Times New Roman" w:hAnsi="Times New Roman" w:eastAsia="宋体"/>
                <w:color w:val="auto"/>
                <w:spacing w:val="-17"/>
                <w:sz w:val="21"/>
                <w:lang w:eastAsia="zh-CN"/>
              </w:rPr>
            </w:pPr>
            <w:r>
              <w:rPr>
                <w:rFonts w:hint="eastAsia" w:ascii="Times New Roman" w:hAnsi="Times New Roman"/>
                <w:color w:val="auto"/>
                <w:spacing w:val="-17"/>
                <w:sz w:val="21"/>
                <w:lang w:eastAsia="zh-CN"/>
              </w:rPr>
              <w:t>部分回用，其余处理达标后排下水管网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90" w:type="dxa"/>
            <w:vAlign w:val="center"/>
          </w:tcPr>
          <w:p>
            <w:pPr>
              <w:pStyle w:val="44"/>
              <w:spacing w:line="240" w:lineRule="auto"/>
              <w:ind w:firstLine="0"/>
              <w:jc w:val="center"/>
              <w:rPr>
                <w:rFonts w:ascii="Times New Roman" w:hAnsi="Times New Roman"/>
                <w:color w:val="auto"/>
                <w:spacing w:val="-17"/>
                <w:sz w:val="21"/>
              </w:rPr>
            </w:pPr>
            <w:r>
              <w:rPr>
                <w:rFonts w:ascii="Times New Roman" w:hAnsi="Times New Roman"/>
                <w:color w:val="auto"/>
                <w:spacing w:val="-17"/>
                <w:sz w:val="21"/>
              </w:rPr>
              <w:t>4</w:t>
            </w:r>
          </w:p>
        </w:tc>
        <w:tc>
          <w:tcPr>
            <w:tcW w:w="780" w:type="dxa"/>
            <w:vMerge w:val="continue"/>
            <w:vAlign w:val="center"/>
          </w:tcPr>
          <w:p>
            <w:pPr>
              <w:pStyle w:val="44"/>
              <w:spacing w:line="240" w:lineRule="auto"/>
              <w:ind w:firstLine="0"/>
              <w:jc w:val="center"/>
              <w:rPr>
                <w:rFonts w:ascii="Times New Roman" w:hAnsi="Times New Roman"/>
                <w:color w:val="auto"/>
                <w:spacing w:val="-17"/>
                <w:sz w:val="21"/>
              </w:rPr>
            </w:pP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7"/>
                <w:sz w:val="21"/>
                <w:szCs w:val="16"/>
                <w:lang w:val="en-US" w:eastAsia="zh-CN" w:bidi="ar-SA"/>
              </w:rPr>
            </w:pPr>
            <w:r>
              <w:rPr>
                <w:rFonts w:hint="eastAsia"/>
                <w:spacing w:val="-17"/>
                <w:sz w:val="21"/>
                <w:szCs w:val="16"/>
              </w:rPr>
              <w:t>新疆聚鑫隆纸业有限公司</w:t>
            </w:r>
          </w:p>
        </w:tc>
        <w:tc>
          <w:tcPr>
            <w:tcW w:w="4170" w:type="dxa"/>
            <w:vAlign w:val="center"/>
          </w:tcPr>
          <w:p>
            <w:pPr>
              <w:pStyle w:val="44"/>
              <w:spacing w:line="240" w:lineRule="auto"/>
              <w:ind w:firstLine="0"/>
              <w:jc w:val="center"/>
              <w:rPr>
                <w:rFonts w:ascii="Times New Roman" w:hAnsi="Times New Roman"/>
                <w:color w:val="auto"/>
                <w:spacing w:val="-17"/>
                <w:sz w:val="21"/>
              </w:rPr>
            </w:pPr>
            <w:r>
              <w:rPr>
                <w:rFonts w:hAnsi="Times New Roman"/>
                <w:color w:val="000000" w:themeColor="text1"/>
                <w:spacing w:val="-17"/>
                <w:sz w:val="21"/>
                <w:szCs w:val="21"/>
                <w14:textFill>
                  <w14:solidFill>
                    <w14:schemeClr w14:val="tx1"/>
                  </w14:solidFill>
                </w14:textFill>
              </w:rPr>
              <w:t>斜筛+高效浅层气浮</w:t>
            </w:r>
            <w:r>
              <w:rPr>
                <w:rFonts w:hAnsi="Times New Roman"/>
                <w:color w:val="000000" w:themeColor="text1"/>
                <w:spacing w:val="-17"/>
                <w:sz w:val="21"/>
                <w:szCs w:val="21"/>
                <w:lang w:eastAsia="zh-CN"/>
                <w14:textFill>
                  <w14:solidFill>
                    <w14:schemeClr w14:val="tx1"/>
                  </w14:solidFill>
                </w14:textFill>
              </w:rPr>
              <w:t>处理生产废水；</w:t>
            </w:r>
            <w:r>
              <w:rPr>
                <w:rFonts w:hAnsi="Times New Roman"/>
                <w:color w:val="000000" w:themeColor="text1"/>
                <w:spacing w:val="-17"/>
                <w:sz w:val="21"/>
                <w:szCs w:val="21"/>
                <w14:textFill>
                  <w14:solidFill>
                    <w14:schemeClr w14:val="tx1"/>
                  </w14:solidFill>
                </w14:textFill>
              </w:rPr>
              <w:t>集成式生物化粪池</w:t>
            </w:r>
            <w:r>
              <w:rPr>
                <w:rFonts w:hint="eastAsia" w:hAnsi="Times New Roman"/>
                <w:color w:val="000000" w:themeColor="text1"/>
                <w:spacing w:val="-17"/>
                <w:sz w:val="21"/>
                <w:szCs w:val="21"/>
                <w:lang w:eastAsia="zh-CN"/>
                <w14:textFill>
                  <w14:solidFill>
                    <w14:schemeClr w14:val="tx1"/>
                  </w14:solidFill>
                </w14:textFill>
              </w:rPr>
              <w:t>收集</w:t>
            </w:r>
            <w:r>
              <w:rPr>
                <w:rFonts w:hAnsi="Times New Roman"/>
                <w:color w:val="000000" w:themeColor="text1"/>
                <w:spacing w:val="-17"/>
                <w:sz w:val="21"/>
                <w:szCs w:val="21"/>
                <w:lang w:eastAsia="zh-CN"/>
                <w14:textFill>
                  <w14:solidFill>
                    <w14:schemeClr w14:val="tx1"/>
                  </w14:solidFill>
                </w14:textFill>
              </w:rPr>
              <w:t>生活污水</w:t>
            </w:r>
          </w:p>
        </w:tc>
        <w:tc>
          <w:tcPr>
            <w:tcW w:w="2299" w:type="dxa"/>
            <w:vAlign w:val="center"/>
          </w:tcPr>
          <w:p>
            <w:pPr>
              <w:pStyle w:val="44"/>
              <w:spacing w:line="240" w:lineRule="auto"/>
              <w:ind w:firstLine="0"/>
              <w:jc w:val="center"/>
              <w:rPr>
                <w:rFonts w:hint="eastAsia" w:ascii="Times New Roman" w:hAnsi="Times New Roman" w:eastAsia="宋体"/>
                <w:color w:val="auto"/>
                <w:spacing w:val="-17"/>
                <w:sz w:val="21"/>
                <w:lang w:eastAsia="zh-CN"/>
              </w:rPr>
            </w:pPr>
            <w:r>
              <w:rPr>
                <w:rFonts w:hint="eastAsia" w:ascii="Times New Roman" w:hAnsi="Times New Roman"/>
                <w:color w:val="auto"/>
                <w:spacing w:val="-17"/>
                <w:sz w:val="21"/>
                <w:lang w:eastAsia="zh-CN"/>
              </w:rPr>
              <w:t>生产废水回用，生活污水经处理后绿化</w:t>
            </w:r>
          </w:p>
        </w:tc>
      </w:tr>
    </w:tbl>
    <w:p>
      <w:pPr>
        <w:pStyle w:val="20"/>
        <w:spacing w:before="156"/>
        <w:rPr>
          <w:rFonts w:ascii="Times New Roman" w:hAnsi="Times New Roman"/>
          <w:color w:val="auto"/>
        </w:rPr>
      </w:pPr>
      <w:r>
        <w:rPr>
          <w:rFonts w:ascii="Times New Roman" w:hAnsi="Times New Roman"/>
          <w:color w:val="auto"/>
        </w:rPr>
        <w:t>表</w:t>
      </w:r>
      <w:r>
        <w:rPr>
          <w:rFonts w:hint="eastAsia" w:ascii="Times New Roman" w:hAnsi="Times New Roman"/>
          <w:color w:val="auto"/>
          <w:lang w:val="en-US" w:eastAsia="zh-CN"/>
        </w:rPr>
        <w:t>5</w:t>
      </w:r>
      <w:r>
        <w:rPr>
          <w:rFonts w:ascii="Times New Roman" w:hAnsi="Times New Roman"/>
          <w:color w:val="auto"/>
        </w:rPr>
        <w:t>.</w:t>
      </w:r>
      <w:r>
        <w:rPr>
          <w:rFonts w:hint="eastAsia" w:ascii="Times New Roman" w:hAnsi="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olor w:val="auto"/>
          <w:lang w:val="en-US" w:eastAsia="zh-CN"/>
        </w:rPr>
        <w:t>3</w:t>
      </w:r>
      <w:r>
        <w:rPr>
          <w:rFonts w:ascii="Times New Roman" w:hAnsi="Times New Roman"/>
          <w:color w:val="auto"/>
        </w:rPr>
        <w:t xml:space="preserve">  园区内企业固废排放表 </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918"/>
        <w:gridCol w:w="2635"/>
        <w:gridCol w:w="1056"/>
        <w:gridCol w:w="984"/>
        <w:gridCol w:w="3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0" w:type="auto"/>
            <w:vMerge w:val="restart"/>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序号</w:t>
            </w:r>
          </w:p>
        </w:tc>
        <w:tc>
          <w:tcPr>
            <w:tcW w:w="918" w:type="dxa"/>
            <w:vMerge w:val="restart"/>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项目区</w:t>
            </w:r>
          </w:p>
        </w:tc>
        <w:tc>
          <w:tcPr>
            <w:tcW w:w="2635" w:type="dxa"/>
            <w:vMerge w:val="restart"/>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名    称</w:t>
            </w:r>
          </w:p>
        </w:tc>
        <w:tc>
          <w:tcPr>
            <w:tcW w:w="2040" w:type="dxa"/>
            <w:gridSpan w:val="2"/>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固废产生情况</w:t>
            </w:r>
          </w:p>
        </w:tc>
        <w:tc>
          <w:tcPr>
            <w:tcW w:w="3064" w:type="dxa"/>
            <w:vMerge w:val="restart"/>
            <w:vAlign w:val="center"/>
          </w:tcPr>
          <w:p>
            <w:pPr>
              <w:pStyle w:val="44"/>
              <w:spacing w:line="260" w:lineRule="exact"/>
              <w:ind w:firstLine="0"/>
              <w:jc w:val="center"/>
              <w:rPr>
                <w:rFonts w:hint="eastAsia" w:ascii="Times New Roman" w:hAnsi="Times New Roman" w:eastAsia="宋体"/>
                <w:color w:val="auto"/>
                <w:spacing w:val="-11"/>
                <w:sz w:val="21"/>
                <w:lang w:eastAsia="zh-CN"/>
              </w:rPr>
            </w:pPr>
            <w:r>
              <w:rPr>
                <w:rFonts w:hint="eastAsia" w:ascii="Times New Roman" w:hAnsi="Times New Roman"/>
                <w:color w:val="auto"/>
                <w:spacing w:val="-11"/>
                <w:sz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0" w:type="auto"/>
            <w:vMerge w:val="continue"/>
            <w:vAlign w:val="center"/>
          </w:tcPr>
          <w:p>
            <w:pPr>
              <w:pStyle w:val="44"/>
              <w:spacing w:line="260" w:lineRule="exact"/>
              <w:ind w:firstLine="0"/>
              <w:jc w:val="center"/>
              <w:rPr>
                <w:rFonts w:ascii="Times New Roman" w:hAnsi="Times New Roman"/>
                <w:color w:val="auto"/>
                <w:spacing w:val="-11"/>
                <w:sz w:val="21"/>
              </w:rPr>
            </w:pPr>
          </w:p>
        </w:tc>
        <w:tc>
          <w:tcPr>
            <w:tcW w:w="918" w:type="dxa"/>
            <w:vMerge w:val="continue"/>
            <w:vAlign w:val="center"/>
          </w:tcPr>
          <w:p>
            <w:pPr>
              <w:pStyle w:val="44"/>
              <w:spacing w:line="260" w:lineRule="exact"/>
              <w:ind w:firstLine="0"/>
              <w:jc w:val="center"/>
              <w:rPr>
                <w:rFonts w:ascii="Times New Roman" w:hAnsi="Times New Roman"/>
                <w:color w:val="auto"/>
                <w:spacing w:val="-11"/>
                <w:sz w:val="21"/>
              </w:rPr>
            </w:pPr>
          </w:p>
        </w:tc>
        <w:tc>
          <w:tcPr>
            <w:tcW w:w="2635" w:type="dxa"/>
            <w:vMerge w:val="continue"/>
            <w:vAlign w:val="center"/>
          </w:tcPr>
          <w:p>
            <w:pPr>
              <w:pStyle w:val="44"/>
              <w:spacing w:line="260" w:lineRule="exact"/>
              <w:ind w:firstLine="0"/>
              <w:jc w:val="center"/>
              <w:rPr>
                <w:rFonts w:ascii="Times New Roman" w:hAnsi="Times New Roman"/>
                <w:color w:val="auto"/>
                <w:spacing w:val="-11"/>
                <w:sz w:val="21"/>
              </w:rPr>
            </w:pPr>
          </w:p>
        </w:tc>
        <w:tc>
          <w:tcPr>
            <w:tcW w:w="1056" w:type="dxa"/>
            <w:vAlign w:val="center"/>
          </w:tcPr>
          <w:p>
            <w:pPr>
              <w:pStyle w:val="44"/>
              <w:spacing w:line="260" w:lineRule="exact"/>
              <w:ind w:firstLine="0"/>
              <w:jc w:val="center"/>
              <w:rPr>
                <w:rFonts w:hint="eastAsia" w:ascii="Times New Roman" w:hAnsi="Times New Roman" w:eastAsia="宋体"/>
                <w:color w:val="auto"/>
                <w:spacing w:val="-11"/>
                <w:sz w:val="21"/>
                <w:lang w:eastAsia="zh-CN"/>
              </w:rPr>
            </w:pPr>
            <w:r>
              <w:rPr>
                <w:rFonts w:hint="eastAsia" w:ascii="Times New Roman" w:hAnsi="Times New Roman"/>
                <w:color w:val="auto"/>
                <w:spacing w:val="-11"/>
                <w:sz w:val="21"/>
                <w:lang w:eastAsia="zh-CN"/>
              </w:rPr>
              <w:t>一般固废</w:t>
            </w:r>
          </w:p>
        </w:tc>
        <w:tc>
          <w:tcPr>
            <w:tcW w:w="984" w:type="dxa"/>
            <w:vAlign w:val="center"/>
          </w:tcPr>
          <w:p>
            <w:pPr>
              <w:pStyle w:val="44"/>
              <w:spacing w:line="260" w:lineRule="exact"/>
              <w:ind w:firstLine="0"/>
              <w:jc w:val="center"/>
              <w:rPr>
                <w:rFonts w:hint="eastAsia" w:ascii="Times New Roman" w:hAnsi="Times New Roman" w:eastAsia="宋体"/>
                <w:color w:val="auto"/>
                <w:spacing w:val="-11"/>
                <w:sz w:val="21"/>
                <w:lang w:eastAsia="zh-CN"/>
              </w:rPr>
            </w:pPr>
            <w:r>
              <w:rPr>
                <w:rFonts w:hint="eastAsia" w:ascii="Times New Roman" w:hAnsi="Times New Roman"/>
                <w:color w:val="auto"/>
                <w:spacing w:val="-11"/>
                <w:sz w:val="21"/>
                <w:lang w:eastAsia="zh-CN"/>
              </w:rPr>
              <w:t>危险废物</w:t>
            </w:r>
          </w:p>
        </w:tc>
        <w:tc>
          <w:tcPr>
            <w:tcW w:w="3064" w:type="dxa"/>
            <w:vMerge w:val="continue"/>
            <w:vAlign w:val="center"/>
          </w:tcPr>
          <w:p>
            <w:pPr>
              <w:pStyle w:val="44"/>
              <w:spacing w:line="260" w:lineRule="exact"/>
              <w:ind w:firstLine="0"/>
              <w:jc w:val="center"/>
              <w:rPr>
                <w:rFonts w:ascii="Times New Roman" w:hAnsi="Times New Roman"/>
                <w:color w:val="auto"/>
                <w:spacing w:val="-11"/>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0" w:type="auto"/>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1</w:t>
            </w:r>
          </w:p>
        </w:tc>
        <w:tc>
          <w:tcPr>
            <w:tcW w:w="918" w:type="dxa"/>
            <w:vMerge w:val="restart"/>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园区现有企业</w:t>
            </w:r>
          </w:p>
        </w:tc>
        <w:tc>
          <w:tcPr>
            <w:tcW w:w="26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spacing w:val="-11"/>
                <w:sz w:val="21"/>
                <w:szCs w:val="16"/>
              </w:rPr>
              <w:t>乌苏宏江燃气有限公司</w:t>
            </w:r>
          </w:p>
        </w:tc>
        <w:tc>
          <w:tcPr>
            <w:tcW w:w="1056" w:type="dxa"/>
            <w:vAlign w:val="center"/>
          </w:tcPr>
          <w:p>
            <w:pPr>
              <w:pStyle w:val="44"/>
              <w:spacing w:line="260" w:lineRule="exact"/>
              <w:ind w:firstLine="0"/>
              <w:jc w:val="center"/>
              <w:rPr>
                <w:rFonts w:hint="eastAsia" w:ascii="Times New Roman" w:hAnsi="Times New Roman" w:eastAsia="宋体"/>
                <w:color w:val="auto"/>
                <w:spacing w:val="-11"/>
                <w:sz w:val="21"/>
                <w:lang w:val="en-US" w:eastAsia="zh-CN"/>
              </w:rPr>
            </w:pPr>
          </w:p>
        </w:tc>
        <w:tc>
          <w:tcPr>
            <w:tcW w:w="984" w:type="dxa"/>
            <w:vAlign w:val="center"/>
          </w:tcPr>
          <w:p>
            <w:pPr>
              <w:pStyle w:val="44"/>
              <w:spacing w:line="260" w:lineRule="exact"/>
              <w:ind w:firstLine="0"/>
              <w:jc w:val="center"/>
              <w:rPr>
                <w:rFonts w:hint="default" w:ascii="Times New Roman" w:hAnsi="Times New Roman"/>
                <w:color w:val="auto"/>
                <w:spacing w:val="-11"/>
                <w:sz w:val="21"/>
                <w:lang w:val="en-US" w:eastAsia="zh-CN"/>
              </w:rPr>
            </w:pPr>
            <w:r>
              <w:rPr>
                <w:rFonts w:hint="eastAsia" w:ascii="Times New Roman" w:hAnsi="Times New Roman"/>
                <w:color w:val="auto"/>
                <w:spacing w:val="-11"/>
                <w:sz w:val="21"/>
                <w:lang w:val="en-US" w:eastAsia="zh-CN"/>
              </w:rPr>
              <w:t>1</w:t>
            </w:r>
          </w:p>
        </w:tc>
        <w:tc>
          <w:tcPr>
            <w:tcW w:w="3064" w:type="dxa"/>
            <w:vAlign w:val="center"/>
          </w:tcPr>
          <w:p>
            <w:pPr>
              <w:pStyle w:val="44"/>
              <w:spacing w:line="260" w:lineRule="exact"/>
              <w:ind w:firstLine="0"/>
              <w:jc w:val="center"/>
              <w:rPr>
                <w:rFonts w:hint="eastAsia" w:ascii="Times New Roman" w:hAnsi="Times New Roman" w:eastAsia="宋体"/>
                <w:color w:val="auto"/>
                <w:spacing w:val="-11"/>
                <w:sz w:val="21"/>
                <w:lang w:eastAsia="zh-CN"/>
              </w:rPr>
            </w:pPr>
            <w:r>
              <w:rPr>
                <w:rFonts w:hint="eastAsia" w:ascii="Times New Roman" w:hAnsi="Times New Roman"/>
                <w:color w:val="auto"/>
                <w:spacing w:val="-11"/>
                <w:sz w:val="21"/>
                <w:lang w:eastAsia="zh-CN"/>
              </w:rPr>
              <w:t>压缩机含油废水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0" w:type="auto"/>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2</w:t>
            </w:r>
          </w:p>
        </w:tc>
        <w:tc>
          <w:tcPr>
            <w:tcW w:w="918" w:type="dxa"/>
            <w:vMerge w:val="continue"/>
            <w:vAlign w:val="center"/>
          </w:tcPr>
          <w:p>
            <w:pPr>
              <w:pStyle w:val="44"/>
              <w:spacing w:line="260" w:lineRule="exact"/>
              <w:ind w:firstLine="0"/>
              <w:jc w:val="center"/>
              <w:rPr>
                <w:rFonts w:ascii="Times New Roman" w:hAnsi="Times New Roman"/>
                <w:color w:val="auto"/>
                <w:spacing w:val="-11"/>
                <w:sz w:val="21"/>
              </w:rPr>
            </w:pPr>
          </w:p>
        </w:tc>
        <w:tc>
          <w:tcPr>
            <w:tcW w:w="26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spacing w:val="-11"/>
                <w:sz w:val="21"/>
                <w:szCs w:val="16"/>
              </w:rPr>
              <w:t>乌苏恒帆棉纺织有限公司</w:t>
            </w:r>
          </w:p>
        </w:tc>
        <w:tc>
          <w:tcPr>
            <w:tcW w:w="1056" w:type="dxa"/>
            <w:vAlign w:val="center"/>
          </w:tcPr>
          <w:p>
            <w:pPr>
              <w:pStyle w:val="44"/>
              <w:spacing w:line="260" w:lineRule="exact"/>
              <w:ind w:firstLine="0"/>
              <w:jc w:val="center"/>
              <w:rPr>
                <w:rFonts w:hint="default" w:ascii="Times New Roman" w:hAnsi="Times New Roman" w:eastAsia="宋体"/>
                <w:color w:val="auto"/>
                <w:spacing w:val="-11"/>
                <w:sz w:val="21"/>
                <w:lang w:val="en-US" w:eastAsia="zh-CN"/>
              </w:rPr>
            </w:pPr>
            <w:r>
              <w:rPr>
                <w:rFonts w:hint="eastAsia" w:ascii="Times New Roman" w:hAnsi="Times New Roman"/>
                <w:color w:val="auto"/>
                <w:spacing w:val="-11"/>
                <w:sz w:val="21"/>
                <w:lang w:val="en-US" w:eastAsia="zh-CN"/>
              </w:rPr>
              <w:t>83</w:t>
            </w:r>
            <w:r>
              <w:rPr>
                <w:rFonts w:hint="eastAsia" w:ascii="Times New Roman" w:hAnsi="Times New Roman"/>
                <w:color w:val="auto"/>
                <w:spacing w:val="-11"/>
                <w:sz w:val="21"/>
                <w:lang w:val="en-US" w:eastAsia="zh-CN"/>
              </w:rPr>
              <w:t>.</w:t>
            </w:r>
            <w:r>
              <w:rPr>
                <w:rFonts w:hint="eastAsia" w:ascii="Times New Roman" w:hAnsi="Times New Roman"/>
                <w:color w:val="auto"/>
                <w:spacing w:val="-11"/>
                <w:sz w:val="21"/>
                <w:lang w:val="en-US" w:eastAsia="zh-CN"/>
              </w:rPr>
              <w:t>16</w:t>
            </w:r>
          </w:p>
        </w:tc>
        <w:tc>
          <w:tcPr>
            <w:tcW w:w="984" w:type="dxa"/>
            <w:vAlign w:val="center"/>
          </w:tcPr>
          <w:p>
            <w:pPr>
              <w:pStyle w:val="44"/>
              <w:spacing w:line="260" w:lineRule="exact"/>
              <w:ind w:firstLine="0"/>
              <w:jc w:val="center"/>
              <w:rPr>
                <w:rFonts w:ascii="Times New Roman" w:hAnsi="Times New Roman"/>
                <w:color w:val="auto"/>
                <w:spacing w:val="-11"/>
                <w:sz w:val="21"/>
              </w:rPr>
            </w:pPr>
          </w:p>
        </w:tc>
        <w:tc>
          <w:tcPr>
            <w:tcW w:w="3064" w:type="dxa"/>
            <w:vAlign w:val="center"/>
          </w:tcPr>
          <w:p>
            <w:pPr>
              <w:pStyle w:val="44"/>
              <w:spacing w:line="260" w:lineRule="exact"/>
              <w:ind w:firstLine="0"/>
              <w:jc w:val="center"/>
              <w:rPr>
                <w:rFonts w:hint="eastAsia" w:ascii="Times New Roman" w:hAnsi="Times New Roman" w:eastAsia="宋体"/>
                <w:color w:val="auto"/>
                <w:spacing w:val="-11"/>
                <w:sz w:val="21"/>
                <w:lang w:eastAsia="zh-CN"/>
              </w:rPr>
            </w:pPr>
            <w:r>
              <w:rPr>
                <w:rFonts w:hint="eastAsia" w:ascii="Times New Roman" w:hAnsi="Times New Roman"/>
                <w:color w:val="auto"/>
                <w:spacing w:val="-11"/>
                <w:sz w:val="21"/>
                <w:lang w:eastAsia="zh-CN"/>
              </w:rPr>
              <w:t>棉絮和棉尘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0" w:type="auto"/>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3</w:t>
            </w:r>
          </w:p>
        </w:tc>
        <w:tc>
          <w:tcPr>
            <w:tcW w:w="918" w:type="dxa"/>
            <w:vMerge w:val="continue"/>
            <w:vAlign w:val="center"/>
          </w:tcPr>
          <w:p>
            <w:pPr>
              <w:pStyle w:val="44"/>
              <w:spacing w:line="260" w:lineRule="exact"/>
              <w:ind w:firstLine="0"/>
              <w:jc w:val="center"/>
              <w:rPr>
                <w:rFonts w:ascii="Times New Roman" w:hAnsi="Times New Roman"/>
                <w:color w:val="auto"/>
                <w:spacing w:val="-11"/>
                <w:sz w:val="21"/>
              </w:rPr>
            </w:pPr>
          </w:p>
        </w:tc>
        <w:tc>
          <w:tcPr>
            <w:tcW w:w="26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spacing w:val="-11"/>
                <w:sz w:val="21"/>
                <w:szCs w:val="16"/>
              </w:rPr>
              <w:t>乌苏市</w:t>
            </w:r>
            <w:r>
              <w:rPr>
                <w:rFonts w:hint="eastAsia"/>
                <w:spacing w:val="-11"/>
                <w:sz w:val="21"/>
                <w:szCs w:val="16"/>
                <w:lang w:eastAsia="zh-CN"/>
              </w:rPr>
              <w:t>疆宇</w:t>
            </w:r>
            <w:r>
              <w:rPr>
                <w:rFonts w:hint="eastAsia"/>
                <w:spacing w:val="-11"/>
                <w:sz w:val="21"/>
                <w:szCs w:val="16"/>
              </w:rPr>
              <w:t>毛纺织有限公司</w:t>
            </w:r>
          </w:p>
        </w:tc>
        <w:tc>
          <w:tcPr>
            <w:tcW w:w="1056" w:type="dxa"/>
            <w:vAlign w:val="center"/>
          </w:tcPr>
          <w:p>
            <w:pPr>
              <w:pStyle w:val="44"/>
              <w:spacing w:line="260" w:lineRule="exact"/>
              <w:ind w:firstLine="0"/>
              <w:jc w:val="center"/>
              <w:rPr>
                <w:rFonts w:hint="default" w:ascii="Times New Roman" w:hAnsi="Times New Roman" w:eastAsia="宋体"/>
                <w:color w:val="auto"/>
                <w:spacing w:val="-11"/>
                <w:sz w:val="21"/>
                <w:lang w:val="en-US" w:eastAsia="zh-CN"/>
              </w:rPr>
            </w:pPr>
            <w:r>
              <w:rPr>
                <w:rFonts w:hint="eastAsia" w:ascii="Times New Roman" w:hAnsi="Times New Roman"/>
                <w:color w:val="auto"/>
                <w:spacing w:val="-11"/>
                <w:sz w:val="21"/>
                <w:lang w:val="en-US" w:eastAsia="zh-CN"/>
              </w:rPr>
              <w:t>10801</w:t>
            </w:r>
          </w:p>
        </w:tc>
        <w:tc>
          <w:tcPr>
            <w:tcW w:w="984" w:type="dxa"/>
            <w:vAlign w:val="center"/>
          </w:tcPr>
          <w:p>
            <w:pPr>
              <w:pStyle w:val="44"/>
              <w:spacing w:line="260" w:lineRule="exact"/>
              <w:ind w:firstLine="0"/>
              <w:jc w:val="center"/>
              <w:rPr>
                <w:rFonts w:ascii="Times New Roman" w:hAnsi="Times New Roman"/>
                <w:color w:val="auto"/>
                <w:spacing w:val="-11"/>
                <w:sz w:val="21"/>
              </w:rPr>
            </w:pPr>
          </w:p>
        </w:tc>
        <w:tc>
          <w:tcPr>
            <w:tcW w:w="3064" w:type="dxa"/>
            <w:vAlign w:val="center"/>
          </w:tcPr>
          <w:p>
            <w:pPr>
              <w:pStyle w:val="44"/>
              <w:spacing w:line="260" w:lineRule="exact"/>
              <w:ind w:firstLine="0"/>
              <w:jc w:val="center"/>
              <w:rPr>
                <w:rFonts w:hint="eastAsia" w:ascii="Times New Roman" w:hAnsi="Times New Roman" w:eastAsia="宋体"/>
                <w:color w:val="auto"/>
                <w:spacing w:val="-11"/>
                <w:sz w:val="21"/>
                <w:lang w:eastAsia="zh-CN"/>
              </w:rPr>
            </w:pPr>
            <w:r>
              <w:rPr>
                <w:rFonts w:hint="eastAsia" w:ascii="Times New Roman" w:hAnsi="Times New Roman"/>
                <w:color w:val="auto"/>
                <w:spacing w:val="-11"/>
                <w:sz w:val="21"/>
                <w:lang w:eastAsia="zh-CN"/>
              </w:rPr>
              <w:t>羊毛杂质、羊毛絮、污水站污泥浮渣、废离子交换树脂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0" w:type="auto"/>
            <w:vAlign w:val="center"/>
          </w:tcPr>
          <w:p>
            <w:pPr>
              <w:pStyle w:val="44"/>
              <w:spacing w:line="260" w:lineRule="exact"/>
              <w:ind w:firstLine="0"/>
              <w:jc w:val="center"/>
              <w:rPr>
                <w:rFonts w:ascii="Times New Roman" w:hAnsi="Times New Roman"/>
                <w:color w:val="auto"/>
                <w:spacing w:val="-11"/>
                <w:sz w:val="21"/>
              </w:rPr>
            </w:pPr>
            <w:r>
              <w:rPr>
                <w:rFonts w:ascii="Times New Roman" w:hAnsi="Times New Roman"/>
                <w:color w:val="auto"/>
                <w:spacing w:val="-11"/>
                <w:sz w:val="21"/>
              </w:rPr>
              <w:t>4</w:t>
            </w:r>
          </w:p>
        </w:tc>
        <w:tc>
          <w:tcPr>
            <w:tcW w:w="918" w:type="dxa"/>
            <w:vMerge w:val="continue"/>
            <w:vAlign w:val="center"/>
          </w:tcPr>
          <w:p>
            <w:pPr>
              <w:pStyle w:val="44"/>
              <w:spacing w:line="260" w:lineRule="exact"/>
              <w:ind w:firstLine="0"/>
              <w:jc w:val="center"/>
              <w:rPr>
                <w:rFonts w:ascii="Times New Roman" w:hAnsi="Times New Roman"/>
                <w:color w:val="auto"/>
                <w:spacing w:val="-11"/>
                <w:sz w:val="21"/>
              </w:rPr>
            </w:pPr>
          </w:p>
        </w:tc>
        <w:tc>
          <w:tcPr>
            <w:tcW w:w="263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spacing w:val="-11"/>
                <w:sz w:val="21"/>
                <w:szCs w:val="16"/>
              </w:rPr>
              <w:t>新疆聚鑫隆纸业有限公司</w:t>
            </w:r>
          </w:p>
        </w:tc>
        <w:tc>
          <w:tcPr>
            <w:tcW w:w="1056" w:type="dxa"/>
            <w:vAlign w:val="center"/>
          </w:tcPr>
          <w:p>
            <w:pPr>
              <w:pStyle w:val="44"/>
              <w:spacing w:line="260" w:lineRule="exact"/>
              <w:ind w:firstLine="0"/>
              <w:jc w:val="center"/>
              <w:rPr>
                <w:rFonts w:hint="default" w:ascii="Times New Roman" w:hAnsi="Times New Roman" w:eastAsia="宋体"/>
                <w:color w:val="auto"/>
                <w:spacing w:val="-11"/>
                <w:sz w:val="21"/>
                <w:lang w:val="en-US" w:eastAsia="zh-CN"/>
              </w:rPr>
            </w:pPr>
            <w:r>
              <w:rPr>
                <w:rFonts w:hint="eastAsia" w:ascii="Times New Roman" w:hAnsi="Times New Roman"/>
                <w:color w:val="auto"/>
                <w:spacing w:val="-11"/>
                <w:sz w:val="21"/>
                <w:lang w:val="en-US" w:eastAsia="zh-CN"/>
              </w:rPr>
              <w:t>22542</w:t>
            </w:r>
          </w:p>
        </w:tc>
        <w:tc>
          <w:tcPr>
            <w:tcW w:w="984" w:type="dxa"/>
            <w:vAlign w:val="center"/>
          </w:tcPr>
          <w:p>
            <w:pPr>
              <w:pStyle w:val="44"/>
              <w:spacing w:line="260" w:lineRule="exact"/>
              <w:ind w:firstLine="0"/>
              <w:jc w:val="center"/>
              <w:rPr>
                <w:rFonts w:ascii="Times New Roman" w:hAnsi="Times New Roman"/>
                <w:color w:val="auto"/>
                <w:spacing w:val="-11"/>
                <w:sz w:val="21"/>
              </w:rPr>
            </w:pPr>
          </w:p>
        </w:tc>
        <w:tc>
          <w:tcPr>
            <w:tcW w:w="3064" w:type="dxa"/>
            <w:vAlign w:val="center"/>
          </w:tcPr>
          <w:p>
            <w:pPr>
              <w:pStyle w:val="44"/>
              <w:spacing w:line="260" w:lineRule="exact"/>
              <w:ind w:firstLine="0"/>
              <w:jc w:val="center"/>
              <w:rPr>
                <w:rFonts w:hint="eastAsia" w:ascii="Times New Roman" w:hAnsi="Times New Roman" w:eastAsia="宋体"/>
                <w:color w:val="auto"/>
                <w:spacing w:val="-11"/>
                <w:sz w:val="21"/>
                <w:lang w:eastAsia="zh-CN"/>
              </w:rPr>
            </w:pPr>
            <w:r>
              <w:rPr>
                <w:rFonts w:hint="eastAsia" w:ascii="Times New Roman" w:hAnsi="Times New Roman"/>
                <w:color w:val="auto"/>
                <w:spacing w:val="-11"/>
                <w:sz w:val="21"/>
                <w:lang w:eastAsia="zh-CN"/>
              </w:rPr>
              <w:t>锅炉灰渣、分拣废物、制浆泥渣、污水处理污泥、脱硫石膏</w:t>
            </w:r>
          </w:p>
        </w:tc>
      </w:tr>
    </w:tbl>
    <w:p>
      <w:pPr>
        <w:pStyle w:val="4"/>
        <w:spacing w:before="169" w:after="169"/>
        <w:rPr>
          <w:rFonts w:hint="eastAsia"/>
        </w:rPr>
      </w:pPr>
      <w:bookmarkStart w:id="167" w:name="_Toc8891"/>
      <w:r>
        <w:rPr>
          <w:rFonts w:hint="eastAsia" w:ascii="Times New Roman" w:hAnsi="Times New Roman"/>
          <w:lang w:val="en-US" w:eastAsia="zh-CN"/>
        </w:rPr>
        <w:t>5</w:t>
      </w:r>
      <w:r>
        <w:rPr>
          <w:rFonts w:hint="eastAsia"/>
        </w:rPr>
        <w:t>.</w:t>
      </w:r>
      <w:r>
        <w:rPr>
          <w:rFonts w:hint="eastAsia" w:ascii="Times New Roman" w:hAnsi="Times New Roman"/>
          <w:lang w:val="en-US" w:eastAsia="zh-CN"/>
        </w:rPr>
        <w:t>5</w:t>
      </w:r>
      <w:r>
        <w:rPr>
          <w:rFonts w:hint="eastAsia"/>
        </w:rPr>
        <w:t>环境质量现状调查与评价</w:t>
      </w:r>
      <w:bookmarkEnd w:id="165"/>
      <w:bookmarkEnd w:id="166"/>
      <w:bookmarkEnd w:id="167"/>
    </w:p>
    <w:p>
      <w:pPr>
        <w:pStyle w:val="5"/>
        <w:spacing w:before="169"/>
      </w:pPr>
      <w:bookmarkStart w:id="168" w:name="_Toc198981733"/>
      <w:bookmarkStart w:id="169" w:name="_Toc423102269"/>
      <w:r>
        <w:rPr>
          <w:rFonts w:hint="eastAsia" w:ascii="Times New Roman" w:hAnsi="Times New Roman"/>
          <w:lang w:val="en-US" w:eastAsia="zh-CN"/>
        </w:rPr>
        <w:t>5</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1</w:t>
      </w:r>
      <w:r>
        <w:t>环境</w:t>
      </w:r>
      <w:r>
        <w:rPr>
          <w:rFonts w:hint="eastAsia"/>
        </w:rPr>
        <w:t>空气质量</w:t>
      </w:r>
      <w:r>
        <w:t>现状</w:t>
      </w:r>
      <w:r>
        <w:rPr>
          <w:rFonts w:hint="eastAsia"/>
        </w:rPr>
        <w:t>调查</w:t>
      </w:r>
      <w:r>
        <w:t>与评价</w:t>
      </w:r>
      <w:bookmarkEnd w:id="168"/>
      <w:bookmarkEnd w:id="169"/>
    </w:p>
    <w:p>
      <w:pPr>
        <w:bidi w:val="0"/>
        <w:rPr>
          <w:rFonts w:hint="eastAsia" w:eastAsia="宋体"/>
          <w:lang w:eastAsia="zh-CN"/>
        </w:rPr>
      </w:pPr>
      <w:r>
        <w:rPr>
          <w:rFonts w:hint="eastAsia" w:ascii="Times New Roman" w:hAnsi="Times New Roman"/>
          <w:lang w:eastAsia="zh-CN"/>
        </w:rPr>
        <w:t>（</w:t>
      </w:r>
      <w:r>
        <w:rPr>
          <w:rFonts w:hint="eastAsia" w:ascii="Times New Roman" w:hAnsi="Times New Roman"/>
          <w:lang w:val="en-US" w:eastAsia="zh-CN"/>
        </w:rPr>
        <w:t>1</w:t>
      </w:r>
      <w:r>
        <w:rPr>
          <w:rFonts w:hint="eastAsia" w:ascii="Times New Roman" w:hAnsi="Times New Roman"/>
          <w:lang w:eastAsia="zh-CN"/>
        </w:rPr>
        <w:t>）</w:t>
      </w:r>
      <w:r>
        <w:rPr>
          <w:rFonts w:hint="eastAsia"/>
          <w:lang w:eastAsia="zh-CN"/>
        </w:rPr>
        <w:t>数据来源</w:t>
      </w:r>
    </w:p>
    <w:p>
      <w:pPr>
        <w:rPr>
          <w:rFonts w:hint="eastAsia" w:ascii="Times New Roman" w:cs="Times New Roman"/>
          <w:color w:val="auto"/>
          <w:lang w:eastAsia="zh-CN"/>
        </w:rPr>
      </w:pPr>
      <w:r>
        <w:rPr>
          <w:rFonts w:hint="default" w:ascii="Times New Roman" w:hAnsi="Times New Roman" w:cs="Times New Roman"/>
          <w:color w:val="auto"/>
          <w:lang w:eastAsia="zh-CN"/>
        </w:rPr>
        <w:t>本次评价采用</w:t>
      </w:r>
      <w:r>
        <w:rPr>
          <w:rFonts w:hint="eastAsia" w:ascii="Times New Roman" w:hAnsi="Times New Roman" w:cs="Times New Roman"/>
          <w:color w:val="auto"/>
          <w:lang w:eastAsia="zh-CN"/>
        </w:rPr>
        <w:t>环境空气质量模型技术支持服务系统</w:t>
      </w:r>
      <w:r>
        <w:rPr>
          <w:rFonts w:hint="eastAsia" w:ascii="Times New Roman" w:hAnsi="Times New Roman" w:cs="Times New Roman"/>
          <w:color w:val="auto"/>
          <w:lang w:val="en-US" w:eastAsia="zh-CN"/>
        </w:rPr>
        <w:t>2021</w:t>
      </w:r>
      <w:r>
        <w:rPr>
          <w:rFonts w:hint="eastAsia" w:ascii="Times New Roman" w:hAnsi="Times New Roman" w:cs="Times New Roman"/>
          <w:color w:val="auto"/>
          <w:lang w:val="en-US" w:eastAsia="zh-CN"/>
        </w:rPr>
        <w:t>年塔城地区环境空气质量统计数据</w:t>
      </w:r>
      <w:r>
        <w:rPr>
          <w:rFonts w:hint="eastAsia" w:ascii="Times New Roman" w:hAnsi="Times New Roman" w:cs="Times New Roman"/>
          <w:color w:val="auto"/>
          <w:lang w:eastAsia="zh-CN"/>
        </w:rPr>
        <w:t>，</w:t>
      </w:r>
      <w:r>
        <w:rPr>
          <w:rFonts w:hint="eastAsia" w:ascii="Times New Roman" w:cs="Times New Roman"/>
          <w:color w:val="auto"/>
          <w:lang w:eastAsia="zh-CN"/>
        </w:rPr>
        <w:t>作为本项目基本污染物环境质量现状数据来源。</w:t>
      </w:r>
    </w:p>
    <w:p>
      <w:pPr>
        <w:rPr>
          <w:rFonts w:hint="eastAsia"/>
        </w:rPr>
      </w:pPr>
      <w:r>
        <w:rPr>
          <w:rFonts w:hint="eastAsia"/>
          <w:color w:val="auto"/>
          <w:lang w:eastAsia="zh-CN"/>
        </w:rPr>
        <w:t>本项目委托新疆新能源（集团）环境检测有限公司对</w:t>
      </w:r>
      <w:r>
        <w:rPr>
          <w:rFonts w:hint="eastAsia"/>
          <w:color w:val="auto"/>
        </w:rPr>
        <w:t>其他</w:t>
      </w:r>
      <w:r>
        <w:rPr>
          <w:rFonts w:hint="eastAsia"/>
          <w:color w:val="auto"/>
          <w:lang w:eastAsia="zh-CN"/>
        </w:rPr>
        <w:t>特征</w:t>
      </w:r>
      <w:r>
        <w:rPr>
          <w:rFonts w:hint="eastAsia"/>
          <w:color w:val="auto"/>
        </w:rPr>
        <w:t>污染物（</w:t>
      </w:r>
      <w:r>
        <w:rPr>
          <w:rFonts w:hint="eastAsia" w:ascii="Times New Roman" w:hAnsi="Times New Roman"/>
          <w:color w:val="auto"/>
        </w:rPr>
        <w:t>NH</w:t>
      </w:r>
      <w:r>
        <w:rPr>
          <w:rFonts w:hint="eastAsia" w:ascii="Times New Roman" w:hAnsi="Times New Roman"/>
          <w:color w:val="auto"/>
          <w:vertAlign w:val="subscript"/>
        </w:rPr>
        <w:t>3</w:t>
      </w:r>
      <w:r>
        <w:rPr>
          <w:rFonts w:hint="eastAsia" w:ascii="Times New Roman" w:hAnsi="Times New Roman"/>
          <w:color w:val="auto"/>
          <w:vertAlign w:val="baseline"/>
          <w:lang w:eastAsia="zh-CN"/>
        </w:rPr>
        <w:t>和</w:t>
      </w:r>
      <w:r>
        <w:rPr>
          <w:rFonts w:hint="eastAsia" w:ascii="Times New Roman" w:hAnsi="Times New Roman"/>
          <w:color w:val="auto"/>
          <w:lang w:val="en-US" w:eastAsia="zh-CN"/>
        </w:rPr>
        <w:t>NMHC</w:t>
      </w:r>
      <w:r>
        <w:rPr>
          <w:rFonts w:hint="eastAsia" w:ascii="Times New Roman" w:hAnsi="Times New Roman"/>
          <w:color w:val="auto"/>
          <w:lang w:eastAsia="zh-CN"/>
        </w:rPr>
        <w:t>）进行了监测，采样时间为</w:t>
      </w:r>
      <w:r>
        <w:rPr>
          <w:rFonts w:hint="eastAsia" w:ascii="Times New Roman" w:hAnsi="Times New Roman"/>
          <w:color w:val="auto"/>
          <w:lang w:val="en-US" w:eastAsia="zh-CN"/>
        </w:rPr>
        <w:t>2023</w:t>
      </w:r>
      <w:r>
        <w:rPr>
          <w:rFonts w:hint="eastAsia" w:ascii="Times New Roman" w:hAnsi="Times New Roman"/>
          <w:color w:val="auto"/>
          <w:lang w:val="en-US" w:eastAsia="zh-CN"/>
        </w:rPr>
        <w:t>年</w:t>
      </w:r>
      <w:r>
        <w:rPr>
          <w:rFonts w:hint="eastAsia" w:ascii="Times New Roman" w:hAnsi="Times New Roman"/>
          <w:color w:val="auto"/>
          <w:lang w:val="en-US" w:eastAsia="zh-CN"/>
        </w:rPr>
        <w:t>8</w:t>
      </w:r>
      <w:r>
        <w:rPr>
          <w:rFonts w:hint="eastAsia" w:ascii="Times New Roman" w:hAnsi="Times New Roman"/>
          <w:color w:val="auto"/>
          <w:lang w:val="en-US" w:eastAsia="zh-CN"/>
        </w:rPr>
        <w:t>月</w:t>
      </w:r>
      <w:r>
        <w:rPr>
          <w:rFonts w:hint="eastAsia" w:ascii="Times New Roman" w:hAnsi="Times New Roman"/>
          <w:color w:val="auto"/>
          <w:lang w:val="en-US" w:eastAsia="zh-CN"/>
        </w:rPr>
        <w:t>5</w:t>
      </w:r>
      <w:r>
        <w:rPr>
          <w:rFonts w:hint="eastAsia" w:ascii="Times New Roman" w:hAnsi="Times New Roman"/>
          <w:color w:val="auto"/>
          <w:lang w:val="en-US" w:eastAsia="zh-CN"/>
        </w:rPr>
        <w:t>日 至</w:t>
      </w:r>
      <w:r>
        <w:rPr>
          <w:rFonts w:hint="eastAsia" w:ascii="Times New Roman" w:hAnsi="Times New Roman"/>
          <w:color w:val="auto"/>
          <w:lang w:val="en-US" w:eastAsia="zh-CN"/>
        </w:rPr>
        <w:t>2023</w:t>
      </w:r>
      <w:r>
        <w:rPr>
          <w:rFonts w:hint="eastAsia" w:ascii="Times New Roman" w:hAnsi="Times New Roman"/>
          <w:color w:val="auto"/>
          <w:lang w:val="en-US" w:eastAsia="zh-CN"/>
        </w:rPr>
        <w:t>年</w:t>
      </w:r>
      <w:r>
        <w:rPr>
          <w:rFonts w:hint="eastAsia" w:ascii="Times New Roman" w:hAnsi="Times New Roman"/>
          <w:color w:val="auto"/>
          <w:lang w:val="en-US" w:eastAsia="zh-CN"/>
        </w:rPr>
        <w:t>8</w:t>
      </w:r>
      <w:r>
        <w:rPr>
          <w:rFonts w:hint="eastAsia" w:ascii="Times New Roman" w:hAnsi="Times New Roman"/>
          <w:color w:val="auto"/>
          <w:lang w:val="en-US" w:eastAsia="zh-CN"/>
        </w:rPr>
        <w:t>月</w:t>
      </w:r>
      <w:r>
        <w:rPr>
          <w:rFonts w:hint="eastAsia" w:ascii="Times New Roman" w:hAnsi="Times New Roman"/>
          <w:color w:val="auto"/>
          <w:lang w:val="en-US" w:eastAsia="zh-CN"/>
        </w:rPr>
        <w:t>11</w:t>
      </w:r>
      <w:r>
        <w:rPr>
          <w:rFonts w:hint="eastAsia" w:ascii="Times New Roman" w:hAnsi="Times New Roman"/>
          <w:color w:val="auto"/>
          <w:lang w:val="en-US" w:eastAsia="zh-CN"/>
        </w:rPr>
        <w:t>日</w:t>
      </w:r>
      <w:r>
        <w:rPr>
          <w:rFonts w:hint="eastAsia"/>
          <w:color w:val="auto"/>
          <w:lang w:val="en-US" w:eastAsia="zh-CN"/>
        </w:rPr>
        <w:t>。</w:t>
      </w:r>
    </w:p>
    <w:p>
      <w:pPr>
        <w:bidi w:val="0"/>
        <w:rPr>
          <w:rFonts w:hint="default"/>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）评价标准</w:t>
      </w:r>
    </w:p>
    <w:p>
      <w:pPr>
        <w:rPr>
          <w:rFonts w:hint="default"/>
          <w:lang w:val="en-US"/>
        </w:rPr>
      </w:pPr>
      <w:r>
        <w:rPr>
          <w:rFonts w:hint="eastAsia" w:ascii="Times New Roman"/>
          <w:color w:val="auto"/>
        </w:rPr>
        <w:t>评价标准：</w:t>
      </w:r>
      <w:r>
        <w:rPr>
          <w:rFonts w:hint="eastAsia" w:ascii="Times New Roman" w:hAnsi="Times New Roman"/>
          <w:color w:val="auto"/>
        </w:rPr>
        <w:t>SO</w:t>
      </w:r>
      <w:r>
        <w:rPr>
          <w:rFonts w:hint="eastAsia" w:ascii="Times New Roman" w:hAnsi="Times New Roman"/>
          <w:color w:val="auto"/>
          <w:vertAlign w:val="subscript"/>
        </w:rPr>
        <w:t>2</w:t>
      </w:r>
      <w:r>
        <w:rPr>
          <w:rFonts w:hint="eastAsia" w:ascii="Times New Roman"/>
          <w:color w:val="auto"/>
        </w:rPr>
        <w:t>、</w:t>
      </w:r>
      <w:r>
        <w:rPr>
          <w:rFonts w:hint="eastAsia" w:ascii="Times New Roman" w:hAnsi="Times New Roman"/>
          <w:color w:val="auto"/>
        </w:rPr>
        <w:t>NO</w:t>
      </w:r>
      <w:r>
        <w:rPr>
          <w:rFonts w:hint="eastAsia" w:ascii="Times New Roman" w:hAnsi="Times New Roman"/>
          <w:color w:val="auto"/>
          <w:vertAlign w:val="subscript"/>
        </w:rPr>
        <w:t>2</w:t>
      </w:r>
      <w:r>
        <w:rPr>
          <w:rFonts w:hint="eastAsia" w:ascii="Times New Roman"/>
          <w:color w:val="auto"/>
        </w:rPr>
        <w:t>、</w:t>
      </w:r>
      <w:r>
        <w:rPr>
          <w:rFonts w:hint="eastAsia" w:ascii="Times New Roman" w:hAnsi="Times New Roman"/>
          <w:color w:val="auto"/>
        </w:rPr>
        <w:t>PM</w:t>
      </w:r>
      <w:r>
        <w:rPr>
          <w:rFonts w:hint="eastAsia" w:ascii="Times New Roman" w:hAnsi="Times New Roman"/>
          <w:color w:val="auto"/>
          <w:vertAlign w:val="subscript"/>
        </w:rPr>
        <w:t>10</w:t>
      </w:r>
      <w:r>
        <w:rPr>
          <w:rFonts w:hint="eastAsia" w:ascii="Times New Roman"/>
          <w:color w:val="auto"/>
        </w:rPr>
        <w:t>、</w:t>
      </w:r>
      <w:r>
        <w:rPr>
          <w:rFonts w:hint="eastAsia" w:ascii="Times New Roman" w:hAnsi="Times New Roman"/>
          <w:color w:val="auto"/>
        </w:rPr>
        <w:t>PM</w:t>
      </w:r>
      <w:r>
        <w:rPr>
          <w:rFonts w:hint="eastAsia" w:ascii="Times New Roman" w:hAnsi="Times New Roman"/>
          <w:color w:val="auto"/>
          <w:vertAlign w:val="subscript"/>
        </w:rPr>
        <w:t>2</w:t>
      </w:r>
      <w:r>
        <w:rPr>
          <w:rFonts w:hint="eastAsia" w:ascii="Times New Roman"/>
          <w:color w:val="auto"/>
          <w:vertAlign w:val="subscript"/>
        </w:rPr>
        <w:t>.</w:t>
      </w:r>
      <w:r>
        <w:rPr>
          <w:rFonts w:hint="eastAsia" w:ascii="Times New Roman" w:hAnsi="Times New Roman"/>
          <w:color w:val="auto"/>
          <w:vertAlign w:val="subscript"/>
        </w:rPr>
        <w:t>5</w:t>
      </w:r>
      <w:r>
        <w:rPr>
          <w:rFonts w:hint="eastAsia" w:ascii="Times New Roman"/>
          <w:color w:val="auto"/>
        </w:rPr>
        <w:t>、</w:t>
      </w:r>
      <w:r>
        <w:rPr>
          <w:rFonts w:hint="eastAsia" w:ascii="Times New Roman" w:hAnsi="Times New Roman"/>
          <w:color w:val="auto"/>
        </w:rPr>
        <w:t>CO</w:t>
      </w:r>
      <w:r>
        <w:rPr>
          <w:rFonts w:hint="eastAsia" w:ascii="Times New Roman"/>
          <w:color w:val="auto"/>
        </w:rPr>
        <w:t>、</w:t>
      </w:r>
      <w:r>
        <w:rPr>
          <w:rFonts w:hint="eastAsia" w:ascii="Times New Roman" w:hAnsi="Times New Roman"/>
          <w:color w:val="auto"/>
        </w:rPr>
        <w:t>O</w:t>
      </w:r>
      <w:r>
        <w:rPr>
          <w:rFonts w:hint="eastAsia" w:ascii="Times New Roman" w:hAnsi="Times New Roman"/>
          <w:color w:val="auto"/>
          <w:vertAlign w:val="subscript"/>
        </w:rPr>
        <w:t>3</w:t>
      </w:r>
      <w:r>
        <w:rPr>
          <w:rFonts w:hint="eastAsia" w:ascii="Times New Roman"/>
          <w:color w:val="auto"/>
        </w:rPr>
        <w:t>执行《环境空气质量标准》（</w:t>
      </w:r>
      <w:r>
        <w:rPr>
          <w:rFonts w:hint="eastAsia" w:ascii="Times New Roman" w:hAnsi="Times New Roman"/>
          <w:color w:val="auto"/>
        </w:rPr>
        <w:t>GB3095</w:t>
      </w:r>
      <w:r>
        <w:rPr>
          <w:rFonts w:hint="eastAsia" w:ascii="Times New Roman"/>
          <w:color w:val="auto"/>
        </w:rPr>
        <w:t>-</w:t>
      </w:r>
      <w:r>
        <w:rPr>
          <w:rFonts w:hint="eastAsia" w:ascii="Times New Roman" w:hAnsi="Times New Roman"/>
          <w:color w:val="auto"/>
        </w:rPr>
        <w:t>2012</w:t>
      </w:r>
      <w:r>
        <w:rPr>
          <w:rFonts w:hint="eastAsia" w:ascii="Times New Roman"/>
          <w:color w:val="auto"/>
        </w:rPr>
        <w:t>）中二级标准。</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ascii="Times New Roman" w:hAnsi="Times New Roman"/>
          <w:color w:val="auto"/>
          <w:vertAlign w:val="baseline"/>
          <w:lang w:val="en-US" w:eastAsia="zh-CN"/>
        </w:rPr>
        <w:t>浓度</w:t>
      </w:r>
      <w:r>
        <w:rPr>
          <w:rFonts w:hint="eastAsia" w:ascii="Times New Roman"/>
          <w:color w:val="auto"/>
          <w:lang w:val="en-US" w:eastAsia="zh-CN"/>
        </w:rPr>
        <w:t>执行《环境影响评价技术导则 大气环境》（</w:t>
      </w:r>
      <w:r>
        <w:rPr>
          <w:rFonts w:hint="eastAsia" w:ascii="Times New Roman" w:hAnsi="Times New Roman"/>
          <w:color w:val="auto"/>
          <w:lang w:val="en-US" w:eastAsia="zh-CN"/>
        </w:rPr>
        <w:t>HJ2</w:t>
      </w:r>
      <w:r>
        <w:rPr>
          <w:rFonts w:hint="eastAsia" w:ascii="Times New Roman"/>
          <w:color w:val="auto"/>
          <w:lang w:val="en-US" w:eastAsia="zh-CN"/>
        </w:rPr>
        <w:t>.</w:t>
      </w:r>
      <w:r>
        <w:rPr>
          <w:rFonts w:hint="eastAsia" w:ascii="Times New Roman" w:hAnsi="Times New Roman"/>
          <w:color w:val="auto"/>
          <w:lang w:val="en-US" w:eastAsia="zh-CN"/>
        </w:rPr>
        <w:t>2</w:t>
      </w:r>
      <w:r>
        <w:rPr>
          <w:rFonts w:hint="eastAsia" w:ascii="Times New Roman"/>
          <w:color w:val="auto"/>
          <w:lang w:val="en-US" w:eastAsia="zh-CN"/>
        </w:rPr>
        <w:t>-</w:t>
      </w:r>
      <w:r>
        <w:rPr>
          <w:rFonts w:hint="eastAsia" w:ascii="Times New Roman" w:hAnsi="Times New Roman"/>
          <w:color w:val="auto"/>
          <w:lang w:val="en-US" w:eastAsia="zh-CN"/>
        </w:rPr>
        <w:t>2018</w:t>
      </w:r>
      <w:r>
        <w:rPr>
          <w:rFonts w:hint="eastAsia" w:ascii="Times New Roman"/>
          <w:color w:val="auto"/>
          <w:lang w:val="en-US" w:eastAsia="zh-CN"/>
        </w:rPr>
        <w:t>）附录</w:t>
      </w:r>
      <w:r>
        <w:rPr>
          <w:rFonts w:hint="eastAsia" w:ascii="Times New Roman" w:hAnsi="Times New Roman"/>
          <w:color w:val="auto"/>
          <w:lang w:val="en-US" w:eastAsia="zh-CN"/>
        </w:rPr>
        <w:t>D</w:t>
      </w:r>
      <w:r>
        <w:rPr>
          <w:rFonts w:hint="eastAsia" w:ascii="Times New Roman"/>
          <w:color w:val="auto"/>
          <w:lang w:val="en-US" w:eastAsia="zh-CN"/>
        </w:rPr>
        <w:t>其他污染物空气质量参考限值，</w:t>
      </w:r>
      <w:r>
        <w:rPr>
          <w:rFonts w:hint="eastAsia" w:ascii="Times New Roman" w:hAnsi="Times New Roman"/>
          <w:color w:val="auto"/>
          <w:lang w:val="en-US" w:eastAsia="zh-CN"/>
        </w:rPr>
        <w:t>NMHC</w:t>
      </w:r>
      <w:r>
        <w:rPr>
          <w:rFonts w:hint="eastAsia" w:ascii="Times New Roman"/>
          <w:color w:val="auto"/>
          <w:lang w:val="en-US" w:eastAsia="zh-CN"/>
        </w:rPr>
        <w:t>执行《大气污染物综合排放标准详解》参考限值。</w:t>
      </w:r>
    </w:p>
    <w:p>
      <w:pPr>
        <w:bidi w:val="0"/>
        <w:rPr>
          <w:rFonts w:hint="eastAsia"/>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）基本污染物监测结果及达标区判定</w:t>
      </w:r>
    </w:p>
    <w:p>
      <w:pPr>
        <w:bidi w:val="0"/>
        <w:rPr>
          <w:rFonts w:hint="default"/>
          <w:lang w:val="en-US" w:eastAsia="zh-CN"/>
        </w:rPr>
      </w:pPr>
      <w:r>
        <w:rPr>
          <w:rFonts w:hint="eastAsia"/>
          <w:lang w:val="en-US" w:eastAsia="zh-CN"/>
        </w:rPr>
        <w:t>根据</w:t>
      </w:r>
      <w:r>
        <w:rPr>
          <w:rFonts w:hint="eastAsia" w:ascii="Times New Roman" w:hAnsi="Times New Roman" w:cs="Times New Roman"/>
          <w:color w:val="auto"/>
          <w:lang w:eastAsia="zh-CN"/>
        </w:rPr>
        <w:t>环境空气质量模型技术支持服务系统</w:t>
      </w:r>
      <w:r>
        <w:rPr>
          <w:rFonts w:hint="eastAsia" w:ascii="Times New Roman" w:hAnsi="Times New Roman" w:cs="Times New Roman"/>
          <w:color w:val="auto"/>
          <w:lang w:val="en-US" w:eastAsia="zh-CN"/>
        </w:rPr>
        <w:t>2021</w:t>
      </w:r>
      <w:r>
        <w:rPr>
          <w:rFonts w:hint="eastAsia" w:ascii="Times New Roman" w:hAnsi="Times New Roman" w:cs="Times New Roman"/>
          <w:color w:val="auto"/>
          <w:lang w:val="en-US" w:eastAsia="zh-CN"/>
        </w:rPr>
        <w:t>年塔城地区环境空气质量统计数据，塔城地区基本污染物环境空气质量现状评价见表</w:t>
      </w:r>
      <w:r>
        <w:rPr>
          <w:rFonts w:hint="eastAsia" w:ascii="Times New Roman" w:hAnsi="Times New Roman" w:cs="Times New Roman"/>
          <w:color w:val="auto"/>
          <w:lang w:val="en-US" w:eastAsia="zh-CN"/>
        </w:rPr>
        <w:t>5</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5</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 xml:space="preserve">  区域环境空气质量现状评价表</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3396"/>
        <w:gridCol w:w="1385"/>
        <w:gridCol w:w="1385"/>
        <w:gridCol w:w="925"/>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污染物</w:t>
            </w:r>
          </w:p>
        </w:tc>
        <w:tc>
          <w:tcPr>
            <w:tcW w:w="1851"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年评价指标</w:t>
            </w:r>
          </w:p>
        </w:tc>
        <w:tc>
          <w:tcPr>
            <w:tcW w:w="755"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现状浓度</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μg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m</w:t>
            </w:r>
            <w:r>
              <w:rPr>
                <w:rFonts w:hint="eastAsia"/>
                <w:sz w:val="21"/>
                <w:szCs w:val="16"/>
                <w:vertAlign w:val="baseline"/>
                <w:lang w:val="en-US" w:eastAsia="zh-CN"/>
              </w:rPr>
              <w:t>³）</w:t>
            </w:r>
          </w:p>
        </w:tc>
        <w:tc>
          <w:tcPr>
            <w:tcW w:w="755"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标准值</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μg</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m</w:t>
            </w:r>
            <w:r>
              <w:rPr>
                <w:rFonts w:hint="eastAsia"/>
                <w:sz w:val="21"/>
                <w:szCs w:val="16"/>
                <w:vertAlign w:val="baseline"/>
                <w:lang w:val="en-US" w:eastAsia="zh-CN"/>
              </w:rPr>
              <w:t>³）</w:t>
            </w:r>
          </w:p>
        </w:tc>
        <w:tc>
          <w:tcPr>
            <w:tcW w:w="504"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占标率</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w:t>
            </w:r>
          </w:p>
        </w:tc>
        <w:tc>
          <w:tcPr>
            <w:tcW w:w="629"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PM</w:t>
            </w:r>
            <w:r>
              <w:rPr>
                <w:rFonts w:hint="eastAsia" w:ascii="Times New Roman" w:hAnsi="Times New Roman"/>
                <w:sz w:val="21"/>
                <w:szCs w:val="16"/>
                <w:vertAlign w:val="subscript"/>
                <w:lang w:val="en-US" w:eastAsia="zh-CN"/>
              </w:rPr>
              <w:t>10</w:t>
            </w:r>
          </w:p>
        </w:tc>
        <w:tc>
          <w:tcPr>
            <w:tcW w:w="18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年平均质量浓度</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38</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70</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54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28</w:t>
            </w:r>
          </w:p>
        </w:tc>
        <w:tc>
          <w:tcPr>
            <w:tcW w:w="62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PM</w:t>
            </w:r>
            <w:r>
              <w:rPr>
                <w:rFonts w:hint="eastAsia" w:ascii="Times New Roman" w:hAnsi="Times New Roman"/>
                <w:sz w:val="21"/>
                <w:szCs w:val="16"/>
                <w:vertAlign w:val="subscript"/>
                <w:lang w:val="en-US" w:eastAsia="zh-CN"/>
              </w:rPr>
              <w:t>2</w:t>
            </w:r>
            <w:r>
              <w:rPr>
                <w:rFonts w:hint="eastAsia"/>
                <w:sz w:val="21"/>
                <w:szCs w:val="16"/>
                <w:vertAlign w:val="subscript"/>
                <w:lang w:val="en-US" w:eastAsia="zh-CN"/>
              </w:rPr>
              <w:t>.</w:t>
            </w:r>
            <w:r>
              <w:rPr>
                <w:rFonts w:hint="eastAsia" w:ascii="Times New Roman" w:hAnsi="Times New Roman"/>
                <w:sz w:val="21"/>
                <w:szCs w:val="16"/>
                <w:vertAlign w:val="subscript"/>
                <w:lang w:val="en-US" w:eastAsia="zh-CN"/>
              </w:rPr>
              <w:t>5</w:t>
            </w:r>
          </w:p>
        </w:tc>
        <w:tc>
          <w:tcPr>
            <w:tcW w:w="18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年平均质量浓度</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12</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35</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34</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29</w:t>
            </w:r>
          </w:p>
        </w:tc>
        <w:tc>
          <w:tcPr>
            <w:tcW w:w="62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SO</w:t>
            </w:r>
            <w:r>
              <w:rPr>
                <w:rFonts w:hint="eastAsia" w:ascii="Times New Roman" w:hAnsi="Times New Roman"/>
                <w:sz w:val="21"/>
                <w:szCs w:val="16"/>
                <w:vertAlign w:val="subscript"/>
                <w:lang w:val="en-US" w:eastAsia="zh-CN"/>
              </w:rPr>
              <w:t>2</w:t>
            </w:r>
          </w:p>
        </w:tc>
        <w:tc>
          <w:tcPr>
            <w:tcW w:w="18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年平均质量浓度</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5</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60</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8</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3</w:t>
            </w:r>
          </w:p>
        </w:tc>
        <w:tc>
          <w:tcPr>
            <w:tcW w:w="62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NO</w:t>
            </w:r>
            <w:r>
              <w:rPr>
                <w:rFonts w:hint="eastAsia" w:ascii="Times New Roman" w:hAnsi="Times New Roman"/>
                <w:sz w:val="21"/>
                <w:szCs w:val="16"/>
                <w:vertAlign w:val="subscript"/>
                <w:lang w:val="en-US" w:eastAsia="zh-CN"/>
              </w:rPr>
              <w:t>2</w:t>
            </w:r>
          </w:p>
        </w:tc>
        <w:tc>
          <w:tcPr>
            <w:tcW w:w="18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年平均质量浓度</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11</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40</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27</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62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CO</w:t>
            </w:r>
          </w:p>
        </w:tc>
        <w:tc>
          <w:tcPr>
            <w:tcW w:w="185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95</w:t>
            </w:r>
            <w:r>
              <w:rPr>
                <w:rFonts w:hint="eastAsia"/>
                <w:sz w:val="21"/>
                <w:szCs w:val="16"/>
                <w:vertAlign w:val="baseline"/>
                <w:lang w:val="en-US" w:eastAsia="zh-CN"/>
              </w:rPr>
              <w:t>百分位</w:t>
            </w:r>
            <w:r>
              <w:rPr>
                <w:rFonts w:hint="eastAsia" w:ascii="Times New Roman" w:hAnsi="Times New Roman"/>
                <w:sz w:val="21"/>
                <w:szCs w:val="16"/>
                <w:vertAlign w:val="baseline"/>
                <w:lang w:val="en-US" w:eastAsia="zh-CN"/>
              </w:rPr>
              <w:t>24</w:t>
            </w:r>
            <w:r>
              <w:rPr>
                <w:rFonts w:hint="eastAsia"/>
                <w:sz w:val="21"/>
                <w:szCs w:val="16"/>
                <w:vertAlign w:val="baseline"/>
                <w:lang w:val="en-US" w:eastAsia="zh-CN"/>
              </w:rPr>
              <w:t>小时平均质量浓度</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900</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4000</w:t>
            </w:r>
          </w:p>
        </w:tc>
        <w:tc>
          <w:tcPr>
            <w:tcW w:w="50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22</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5</w:t>
            </w:r>
          </w:p>
        </w:tc>
        <w:tc>
          <w:tcPr>
            <w:tcW w:w="62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O</w:t>
            </w:r>
            <w:r>
              <w:rPr>
                <w:rFonts w:hint="eastAsia" w:ascii="Times New Roman" w:hAnsi="Times New Roman"/>
                <w:sz w:val="21"/>
                <w:szCs w:val="16"/>
                <w:vertAlign w:val="subscript"/>
                <w:lang w:val="en-US" w:eastAsia="zh-CN"/>
              </w:rPr>
              <w:t>3</w:t>
            </w:r>
          </w:p>
        </w:tc>
        <w:tc>
          <w:tcPr>
            <w:tcW w:w="185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90</w:t>
            </w:r>
            <w:r>
              <w:rPr>
                <w:rFonts w:hint="eastAsia"/>
                <w:sz w:val="21"/>
                <w:szCs w:val="16"/>
                <w:vertAlign w:val="baseline"/>
                <w:lang w:val="en-US" w:eastAsia="zh-CN"/>
              </w:rPr>
              <w:t>百分位</w:t>
            </w:r>
            <w:r>
              <w:rPr>
                <w:rFonts w:hint="eastAsia" w:ascii="Times New Roman" w:hAnsi="Times New Roman"/>
                <w:sz w:val="21"/>
                <w:szCs w:val="16"/>
                <w:vertAlign w:val="baseline"/>
                <w:lang w:val="en-US" w:eastAsia="zh-CN"/>
              </w:rPr>
              <w:t>8</w:t>
            </w:r>
            <w:r>
              <w:rPr>
                <w:rFonts w:hint="eastAsia"/>
                <w:sz w:val="21"/>
                <w:szCs w:val="16"/>
                <w:vertAlign w:val="baseline"/>
                <w:lang w:val="en-US" w:eastAsia="zh-CN"/>
              </w:rPr>
              <w:t>小时平均质量浓度</w:t>
            </w:r>
          </w:p>
        </w:tc>
        <w:tc>
          <w:tcPr>
            <w:tcW w:w="75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102</w:t>
            </w:r>
          </w:p>
        </w:tc>
        <w:tc>
          <w:tcPr>
            <w:tcW w:w="75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160</w:t>
            </w:r>
            <w:r>
              <w:rPr>
                <w:rFonts w:hint="eastAsia"/>
                <w:sz w:val="21"/>
                <w:szCs w:val="16"/>
                <w:vertAlign w:val="baseline"/>
                <w:lang w:val="en-US" w:eastAsia="zh-CN"/>
              </w:rPr>
              <w:t>（日最大</w:t>
            </w:r>
            <w:r>
              <w:rPr>
                <w:rFonts w:hint="eastAsia" w:ascii="Times New Roman" w:hAnsi="Times New Roman"/>
                <w:sz w:val="21"/>
                <w:szCs w:val="16"/>
                <w:vertAlign w:val="baseline"/>
                <w:lang w:val="en-US" w:eastAsia="zh-CN"/>
              </w:rPr>
              <w:t>8</w:t>
            </w:r>
            <w:r>
              <w:rPr>
                <w:rFonts w:hint="eastAsia"/>
                <w:sz w:val="21"/>
                <w:szCs w:val="16"/>
                <w:vertAlign w:val="baseline"/>
                <w:lang w:val="en-US" w:eastAsia="zh-CN"/>
              </w:rPr>
              <w:t>小时平均）</w:t>
            </w:r>
          </w:p>
        </w:tc>
        <w:tc>
          <w:tcPr>
            <w:tcW w:w="50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63</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75</w:t>
            </w:r>
          </w:p>
        </w:tc>
        <w:tc>
          <w:tcPr>
            <w:tcW w:w="629"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vertAlign w:val="baseline"/>
                <w:lang w:val="en-US" w:eastAsia="zh-CN"/>
              </w:rPr>
            </w:pPr>
            <w:r>
              <w:rPr>
                <w:rFonts w:hint="eastAsia"/>
                <w:sz w:val="21"/>
                <w:szCs w:val="16"/>
                <w:vertAlign w:val="baseline"/>
                <w:lang w:val="en-US" w:eastAsia="zh-CN"/>
              </w:rPr>
              <w:t>达标</w:t>
            </w:r>
          </w:p>
        </w:tc>
      </w:tr>
    </w:tbl>
    <w:p>
      <w:pPr>
        <w:bidi w:val="0"/>
        <w:rPr>
          <w:rFonts w:ascii="Times New Roman"/>
        </w:rPr>
      </w:pPr>
      <w:r>
        <w:rPr>
          <w:rFonts w:hint="eastAsia"/>
          <w:lang w:eastAsia="zh-CN"/>
        </w:rPr>
        <w:t>由上表可知，</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w:t>
      </w:r>
      <w:r>
        <w:rPr>
          <w:rFonts w:hint="default" w:ascii="Times New Roman" w:hAnsi="Times New Roman" w:cs="Times New Roman"/>
          <w:color w:val="auto"/>
        </w:rPr>
        <w:t>PM</w:t>
      </w:r>
      <w:r>
        <w:rPr>
          <w:rFonts w:hint="default" w:ascii="Times New Roman" w:hAnsi="Times New Roman" w:cs="Times New Roman"/>
          <w:color w:val="auto"/>
          <w:vertAlign w:val="subscript"/>
        </w:rPr>
        <w:t>2</w:t>
      </w:r>
      <w:r>
        <w:rPr>
          <w:rFonts w:hint="default" w:ascii="Times New Roman" w:hAnsi="Times New Roman" w:cs="Times New Roman"/>
          <w:color w:val="auto"/>
          <w:vertAlign w:val="subscript"/>
        </w:rPr>
        <w:t>.</w:t>
      </w:r>
      <w:r>
        <w:rPr>
          <w:rFonts w:hint="default" w:ascii="Times New Roman" w:hAnsi="Times New Roman" w:cs="Times New Roman"/>
          <w:color w:val="auto"/>
          <w:vertAlign w:val="subscript"/>
        </w:rPr>
        <w:t>5</w:t>
      </w:r>
      <w:r>
        <w:rPr>
          <w:rFonts w:hint="default" w:ascii="Times New Roman" w:hAnsi="Times New Roman" w:cs="Times New Roman"/>
          <w:color w:val="auto"/>
          <w:vertAlign w:val="baseline"/>
        </w:rPr>
        <w:t>年平均浓度</w:t>
      </w:r>
      <w:r>
        <w:rPr>
          <w:rFonts w:hint="default" w:ascii="Times New Roman" w:hAnsi="Times New Roman" w:cs="Times New Roman"/>
          <w:color w:val="auto"/>
        </w:rPr>
        <w:t>、</w:t>
      </w:r>
      <w:r>
        <w:rPr>
          <w:rFonts w:hint="default" w:ascii="Times New Roman" w:hAnsi="Times New Roman" w:cs="Times New Roman"/>
          <w:color w:val="auto"/>
        </w:rPr>
        <w:t>CO</w:t>
      </w:r>
      <w:r>
        <w:rPr>
          <w:rFonts w:hint="default" w:ascii="Times New Roman" w:hAnsi="Times New Roman" w:cs="Times New Roman"/>
          <w:color w:val="auto"/>
        </w:rPr>
        <w:t>第</w:t>
      </w:r>
      <w:r>
        <w:rPr>
          <w:rFonts w:hint="default" w:ascii="Times New Roman" w:hAnsi="Times New Roman" w:cs="Times New Roman"/>
          <w:color w:val="auto"/>
        </w:rPr>
        <w:t>95</w:t>
      </w:r>
      <w:r>
        <w:rPr>
          <w:rFonts w:hint="default" w:ascii="Times New Roman" w:hAnsi="Times New Roman" w:cs="Times New Roman"/>
          <w:color w:val="auto"/>
        </w:rPr>
        <w:t>百分位数日平均浓度和</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vertAlign w:val="baseline"/>
        </w:rPr>
        <w:t>最大</w:t>
      </w:r>
      <w:r>
        <w:rPr>
          <w:rFonts w:hint="default" w:ascii="Times New Roman" w:hAnsi="Times New Roman" w:cs="Times New Roman"/>
          <w:color w:val="auto"/>
          <w:vertAlign w:val="baseline"/>
        </w:rPr>
        <w:t>8</w:t>
      </w:r>
      <w:r>
        <w:rPr>
          <w:rFonts w:hint="default" w:ascii="Times New Roman" w:hAnsi="Times New Roman" w:cs="Times New Roman"/>
          <w:color w:val="auto"/>
          <w:vertAlign w:val="baseline"/>
        </w:rPr>
        <w:t>小时第</w:t>
      </w:r>
      <w:r>
        <w:rPr>
          <w:rFonts w:hint="default" w:ascii="Times New Roman" w:hAnsi="Times New Roman" w:cs="Times New Roman"/>
          <w:color w:val="auto"/>
          <w:vertAlign w:val="baseline"/>
        </w:rPr>
        <w:t>90</w:t>
      </w:r>
      <w:r>
        <w:rPr>
          <w:rFonts w:hint="default" w:ascii="Times New Roman" w:hAnsi="Times New Roman" w:cs="Times New Roman"/>
          <w:color w:val="auto"/>
          <w:vertAlign w:val="baseline"/>
        </w:rPr>
        <w:t>百分位数日平均浓度均满足《环境空气质量标准》（</w:t>
      </w:r>
      <w:r>
        <w:rPr>
          <w:rFonts w:hint="default" w:ascii="Times New Roman" w:hAnsi="Times New Roman" w:cs="Times New Roman"/>
          <w:color w:val="auto"/>
          <w:vertAlign w:val="baseline"/>
        </w:rPr>
        <w:t>GB3095</w:t>
      </w:r>
      <w:r>
        <w:rPr>
          <w:rFonts w:hint="default" w:ascii="Times New Roman" w:hAnsi="Times New Roman" w:cs="Times New Roman"/>
          <w:color w:val="auto"/>
          <w:vertAlign w:val="baseline"/>
        </w:rPr>
        <w:t>-</w:t>
      </w:r>
      <w:r>
        <w:rPr>
          <w:rFonts w:hint="default" w:ascii="Times New Roman" w:hAnsi="Times New Roman" w:cs="Times New Roman"/>
          <w:color w:val="auto"/>
          <w:vertAlign w:val="baseline"/>
        </w:rPr>
        <w:t>2012</w:t>
      </w:r>
      <w:r>
        <w:rPr>
          <w:rFonts w:hint="default" w:ascii="Times New Roman" w:hAnsi="Times New Roman" w:cs="Times New Roman"/>
          <w:color w:val="auto"/>
          <w:vertAlign w:val="baseline"/>
        </w:rPr>
        <w:t>）的二级标准要求</w:t>
      </w:r>
      <w:r>
        <w:rPr>
          <w:rFonts w:hint="default" w:ascii="Times New Roman" w:hAnsi="Times New Roman" w:cs="Times New Roman"/>
          <w:color w:val="auto"/>
        </w:rPr>
        <w:t>，</w:t>
      </w:r>
      <w:r>
        <w:rPr>
          <w:rFonts w:hint="eastAsia"/>
          <w:lang w:eastAsia="zh-CN"/>
        </w:rPr>
        <w:t>本项目所在区域属于达标区域。</w:t>
      </w:r>
    </w:p>
    <w:p>
      <w:pPr>
        <w:bidi w:val="0"/>
        <w:rPr>
          <w:rFonts w:hint="eastAsia" w:eastAsia="宋体"/>
          <w:lang w:eastAsia="zh-CN"/>
        </w:rPr>
      </w:pPr>
      <w:r>
        <w:rPr>
          <w:rFonts w:hint="eastAsia" w:ascii="Times New Roman" w:hAnsi="Times New Roman"/>
          <w:lang w:eastAsia="zh-CN"/>
        </w:rPr>
        <w:t>（</w:t>
      </w:r>
      <w:r>
        <w:rPr>
          <w:rFonts w:hint="eastAsia" w:ascii="Times New Roman" w:hAnsi="Times New Roman"/>
          <w:lang w:val="en-US" w:eastAsia="zh-CN"/>
        </w:rPr>
        <w:t>4</w:t>
      </w:r>
      <w:r>
        <w:rPr>
          <w:rFonts w:hint="eastAsia" w:ascii="Times New Roman" w:hAnsi="Times New Roman"/>
          <w:lang w:eastAsia="zh-CN"/>
        </w:rPr>
        <w:t>）</w:t>
      </w:r>
      <w:r>
        <w:rPr>
          <w:rFonts w:hint="eastAsia"/>
        </w:rPr>
        <w:t>其他污染物调查</w:t>
      </w:r>
      <w:r>
        <w:rPr>
          <w:rFonts w:hint="eastAsia"/>
          <w:lang w:eastAsia="zh-CN"/>
        </w:rPr>
        <w:t>与评价</w:t>
      </w:r>
    </w:p>
    <w:p>
      <w:pPr>
        <w:rPr>
          <w:rFonts w:hint="eastAsia" w:eastAsia="宋体"/>
          <w:lang w:eastAsia="zh-CN"/>
        </w:rPr>
      </w:pPr>
      <w:r>
        <w:rPr>
          <w:rFonts w:hint="eastAsia"/>
          <w:lang w:eastAsia="zh-CN"/>
        </w:rPr>
        <w:t>①</w:t>
      </w:r>
      <w:r>
        <w:rPr>
          <w:rFonts w:hint="eastAsia"/>
        </w:rPr>
        <w:t>监测</w:t>
      </w:r>
      <w:r>
        <w:rPr>
          <w:rFonts w:hint="eastAsia"/>
          <w:lang w:eastAsia="zh-CN"/>
        </w:rPr>
        <w:t>点位布设</w:t>
      </w:r>
    </w:p>
    <w:p>
      <w:pPr>
        <w:rPr>
          <w:color w:val="auto"/>
        </w:rPr>
      </w:pPr>
      <w:r>
        <w:rPr>
          <w:rFonts w:hint="eastAsia"/>
          <w:color w:val="auto"/>
          <w:lang w:eastAsia="zh-CN"/>
        </w:rPr>
        <w:t>本项目其他污染物</w:t>
      </w:r>
      <w:r>
        <w:rPr>
          <w:rFonts w:hint="eastAsia"/>
          <w:color w:val="auto"/>
        </w:rPr>
        <w:t>监测布点图见图</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rPr>
        <w:t>1</w:t>
      </w:r>
      <w:r>
        <w:rPr>
          <w:rFonts w:hint="eastAsia"/>
          <w:color w:val="auto"/>
        </w:rPr>
        <w:t>。各监测点位置及其监测因子见表</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lang w:val="en-US" w:eastAsia="zh-CN"/>
        </w:rPr>
        <w:t>2</w:t>
      </w:r>
      <w:r>
        <w:rPr>
          <w:rFonts w:hint="eastAsia"/>
          <w:color w:val="auto"/>
        </w:rPr>
        <w:t>。</w:t>
      </w:r>
    </w:p>
    <w:p>
      <w:pPr>
        <w:snapToGrid w:val="0"/>
        <w:spacing w:before="169" w:beforeLines="50"/>
        <w:ind w:firstLine="0"/>
        <w:jc w:val="center"/>
        <w:rPr>
          <w:rFonts w:hint="eastAsia" w:hAnsi="宋体" w:cs="宋体"/>
          <w:b/>
          <w:bCs/>
          <w:color w:val="auto"/>
          <w:sz w:val="21"/>
          <w:szCs w:val="21"/>
        </w:rPr>
      </w:pPr>
      <w:r>
        <w:rPr>
          <w:rFonts w:hint="eastAsia" w:hAnsi="宋体" w:cs="宋体"/>
          <w:b/>
          <w:bCs/>
          <w:color w:val="auto"/>
          <w:sz w:val="21"/>
          <w:szCs w:val="21"/>
        </w:rPr>
        <w:t>表</w:t>
      </w:r>
      <w:r>
        <w:rPr>
          <w:rFonts w:hint="eastAsia" w:ascii="Times New Roman" w:hAnsi="Times New Roman"/>
          <w:b/>
          <w:bCs/>
          <w:color w:val="auto"/>
          <w:sz w:val="21"/>
          <w:szCs w:val="21"/>
          <w:lang w:val="en-US" w:eastAsia="zh-CN"/>
        </w:rPr>
        <w:t>5</w:t>
      </w:r>
      <w:r>
        <w:rPr>
          <w:rFonts w:hint="eastAsia" w:ascii="Times New Roman"/>
          <w:b/>
          <w:bCs/>
          <w:color w:val="auto"/>
          <w:sz w:val="21"/>
          <w:szCs w:val="21"/>
          <w:lang w:val="en-US" w:eastAsia="zh-CN"/>
        </w:rPr>
        <w:t>.</w:t>
      </w:r>
      <w:r>
        <w:rPr>
          <w:rFonts w:hint="eastAsia" w:ascii="Times New Roman" w:hAnsi="Times New Roman"/>
          <w:b/>
          <w:bCs/>
          <w:color w:val="auto"/>
          <w:sz w:val="21"/>
          <w:szCs w:val="21"/>
          <w:lang w:val="en-US" w:eastAsia="zh-CN"/>
        </w:rPr>
        <w:t>5</w:t>
      </w:r>
      <w:r>
        <w:rPr>
          <w:rFonts w:hint="eastAsia" w:hAnsi="宋体" w:cs="宋体"/>
          <w:b/>
          <w:bCs/>
          <w:color w:val="auto"/>
          <w:sz w:val="21"/>
          <w:szCs w:val="21"/>
        </w:rPr>
        <w:t>-</w:t>
      </w:r>
      <w:r>
        <w:rPr>
          <w:rFonts w:hint="eastAsia" w:ascii="Times New Roman" w:hAnsi="Times New Roman"/>
          <w:b/>
          <w:bCs/>
          <w:color w:val="auto"/>
          <w:sz w:val="21"/>
          <w:szCs w:val="21"/>
          <w:lang w:val="en-US" w:eastAsia="zh-CN"/>
        </w:rPr>
        <w:t>2</w:t>
      </w:r>
      <w:r>
        <w:rPr>
          <w:rFonts w:hint="eastAsia" w:hAnsi="宋体" w:cs="宋体"/>
          <w:b/>
          <w:bCs/>
          <w:color w:val="auto"/>
          <w:sz w:val="21"/>
          <w:szCs w:val="21"/>
        </w:rPr>
        <w:t xml:space="preserve">  环境空气监测点及监测因子一览表</w:t>
      </w:r>
    </w:p>
    <w:tbl>
      <w:tblPr>
        <w:tblStyle w:val="80"/>
        <w:tblW w:w="90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79"/>
        <w:gridCol w:w="835"/>
        <w:gridCol w:w="1726"/>
        <w:gridCol w:w="1517"/>
        <w:gridCol w:w="1472"/>
        <w:gridCol w:w="1151"/>
        <w:gridCol w:w="698"/>
        <w:gridCol w:w="1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9" w:hRule="atLeast"/>
          <w:jc w:val="center"/>
        </w:trPr>
        <w:tc>
          <w:tcPr>
            <w:tcW w:w="479" w:type="dxa"/>
            <w:vMerge w:val="restart"/>
            <w:noWrap w:val="0"/>
            <w:vAlign w:val="center"/>
          </w:tcPr>
          <w:p>
            <w:pPr>
              <w:spacing w:line="240" w:lineRule="auto"/>
              <w:ind w:firstLine="0" w:firstLineChars="0"/>
              <w:jc w:val="center"/>
              <w:rPr>
                <w:b w:val="0"/>
                <w:bCs w:val="0"/>
                <w:color w:val="auto"/>
                <w:kern w:val="0"/>
                <w:sz w:val="21"/>
                <w:szCs w:val="21"/>
              </w:rPr>
            </w:pPr>
            <w:r>
              <w:rPr>
                <w:b w:val="0"/>
                <w:bCs w:val="0"/>
                <w:color w:val="auto"/>
                <w:kern w:val="0"/>
                <w:sz w:val="21"/>
                <w:szCs w:val="21"/>
              </w:rPr>
              <w:t>编号</w:t>
            </w:r>
          </w:p>
        </w:tc>
        <w:tc>
          <w:tcPr>
            <w:tcW w:w="835" w:type="dxa"/>
            <w:vMerge w:val="restart"/>
            <w:noWrap w:val="0"/>
            <w:vAlign w:val="center"/>
          </w:tcPr>
          <w:p>
            <w:pPr>
              <w:spacing w:line="240" w:lineRule="auto"/>
              <w:ind w:firstLine="0" w:firstLineChars="0"/>
              <w:jc w:val="center"/>
              <w:rPr>
                <w:b w:val="0"/>
                <w:bCs w:val="0"/>
                <w:color w:val="auto"/>
                <w:kern w:val="0"/>
                <w:sz w:val="21"/>
                <w:szCs w:val="21"/>
              </w:rPr>
            </w:pPr>
            <w:r>
              <w:rPr>
                <w:b w:val="0"/>
                <w:bCs w:val="0"/>
                <w:color w:val="auto"/>
                <w:kern w:val="0"/>
                <w:sz w:val="21"/>
                <w:szCs w:val="21"/>
              </w:rPr>
              <w:t>监测点名称</w:t>
            </w:r>
          </w:p>
        </w:tc>
        <w:tc>
          <w:tcPr>
            <w:tcW w:w="3243" w:type="dxa"/>
            <w:gridSpan w:val="2"/>
            <w:noWrap w:val="0"/>
            <w:vAlign w:val="center"/>
          </w:tcPr>
          <w:p>
            <w:pPr>
              <w:spacing w:line="240" w:lineRule="auto"/>
              <w:ind w:firstLine="0" w:firstLineChars="0"/>
              <w:jc w:val="center"/>
              <w:rPr>
                <w:rFonts w:hint="eastAsia" w:eastAsia="宋体"/>
                <w:b w:val="0"/>
                <w:bCs w:val="0"/>
                <w:color w:val="auto"/>
                <w:kern w:val="0"/>
                <w:sz w:val="21"/>
                <w:szCs w:val="21"/>
                <w:lang w:eastAsia="zh-CN"/>
              </w:rPr>
            </w:pPr>
            <w:r>
              <w:rPr>
                <w:rFonts w:hint="eastAsia"/>
                <w:b w:val="0"/>
                <w:bCs w:val="0"/>
                <w:color w:val="auto"/>
                <w:kern w:val="0"/>
                <w:sz w:val="21"/>
                <w:szCs w:val="21"/>
                <w:lang w:eastAsia="zh-CN"/>
              </w:rPr>
              <w:t>监测点坐标</w:t>
            </w:r>
          </w:p>
        </w:tc>
        <w:tc>
          <w:tcPr>
            <w:tcW w:w="1472" w:type="dxa"/>
            <w:vMerge w:val="restart"/>
            <w:noWrap w:val="0"/>
            <w:vAlign w:val="center"/>
          </w:tcPr>
          <w:p>
            <w:pPr>
              <w:spacing w:line="240" w:lineRule="auto"/>
              <w:ind w:firstLine="0" w:firstLineChars="0"/>
              <w:jc w:val="center"/>
              <w:rPr>
                <w:rFonts w:hint="eastAsia" w:eastAsia="宋体"/>
                <w:b w:val="0"/>
                <w:bCs w:val="0"/>
                <w:color w:val="auto"/>
                <w:kern w:val="0"/>
                <w:sz w:val="21"/>
                <w:szCs w:val="21"/>
                <w:lang w:eastAsia="zh-CN"/>
              </w:rPr>
            </w:pPr>
            <w:r>
              <w:rPr>
                <w:rFonts w:hint="eastAsia"/>
                <w:b w:val="0"/>
                <w:bCs w:val="0"/>
                <w:color w:val="auto"/>
                <w:kern w:val="0"/>
                <w:sz w:val="21"/>
                <w:szCs w:val="21"/>
                <w:lang w:eastAsia="zh-CN"/>
              </w:rPr>
              <w:t>监测因子</w:t>
            </w:r>
          </w:p>
        </w:tc>
        <w:tc>
          <w:tcPr>
            <w:tcW w:w="1151" w:type="dxa"/>
            <w:vMerge w:val="restart"/>
            <w:noWrap w:val="0"/>
            <w:vAlign w:val="center"/>
          </w:tcPr>
          <w:p>
            <w:pPr>
              <w:spacing w:line="240" w:lineRule="auto"/>
              <w:ind w:firstLine="0" w:firstLineChars="0"/>
              <w:jc w:val="center"/>
              <w:rPr>
                <w:rFonts w:hint="eastAsia"/>
                <w:b w:val="0"/>
                <w:bCs w:val="0"/>
                <w:color w:val="auto"/>
                <w:kern w:val="0"/>
                <w:sz w:val="21"/>
                <w:szCs w:val="21"/>
                <w:lang w:eastAsia="zh-CN"/>
              </w:rPr>
            </w:pPr>
            <w:r>
              <w:rPr>
                <w:rFonts w:hint="eastAsia"/>
                <w:b w:val="0"/>
                <w:bCs w:val="0"/>
                <w:color w:val="auto"/>
                <w:kern w:val="0"/>
                <w:sz w:val="21"/>
                <w:szCs w:val="21"/>
                <w:lang w:eastAsia="zh-CN"/>
              </w:rPr>
              <w:t>监测</w:t>
            </w:r>
          </w:p>
          <w:p>
            <w:pPr>
              <w:spacing w:line="240" w:lineRule="auto"/>
              <w:ind w:firstLine="0" w:firstLineChars="0"/>
              <w:jc w:val="center"/>
              <w:rPr>
                <w:rFonts w:hint="eastAsia" w:eastAsia="宋体"/>
                <w:b w:val="0"/>
                <w:bCs w:val="0"/>
                <w:color w:val="auto"/>
                <w:kern w:val="0"/>
                <w:sz w:val="21"/>
                <w:szCs w:val="21"/>
                <w:lang w:eastAsia="zh-CN"/>
              </w:rPr>
            </w:pPr>
            <w:r>
              <w:rPr>
                <w:rFonts w:hint="eastAsia"/>
                <w:b w:val="0"/>
                <w:bCs w:val="0"/>
                <w:color w:val="auto"/>
                <w:kern w:val="0"/>
                <w:sz w:val="21"/>
                <w:szCs w:val="21"/>
                <w:lang w:eastAsia="zh-CN"/>
              </w:rPr>
              <w:t>时段</w:t>
            </w:r>
          </w:p>
        </w:tc>
        <w:tc>
          <w:tcPr>
            <w:tcW w:w="698" w:type="dxa"/>
            <w:vMerge w:val="restart"/>
            <w:noWrap w:val="0"/>
            <w:vAlign w:val="center"/>
          </w:tcPr>
          <w:p>
            <w:pPr>
              <w:spacing w:line="240" w:lineRule="auto"/>
              <w:ind w:firstLine="0" w:firstLineChars="0"/>
              <w:jc w:val="center"/>
              <w:rPr>
                <w:rFonts w:hint="eastAsia"/>
                <w:b w:val="0"/>
                <w:bCs w:val="0"/>
                <w:color w:val="auto"/>
                <w:kern w:val="0"/>
                <w:sz w:val="21"/>
                <w:szCs w:val="21"/>
                <w:lang w:eastAsia="zh-CN"/>
              </w:rPr>
            </w:pPr>
            <w:r>
              <w:rPr>
                <w:rFonts w:hint="eastAsia"/>
                <w:b w:val="0"/>
                <w:bCs w:val="0"/>
                <w:color w:val="auto"/>
                <w:kern w:val="0"/>
                <w:sz w:val="21"/>
                <w:szCs w:val="21"/>
                <w:lang w:eastAsia="zh-CN"/>
              </w:rPr>
              <w:t>相对厂</w:t>
            </w:r>
          </w:p>
          <w:p>
            <w:pPr>
              <w:spacing w:line="240" w:lineRule="auto"/>
              <w:ind w:firstLine="0" w:firstLineChars="0"/>
              <w:jc w:val="center"/>
              <w:rPr>
                <w:rFonts w:hint="eastAsia"/>
                <w:b w:val="0"/>
                <w:bCs w:val="0"/>
                <w:color w:val="auto"/>
                <w:kern w:val="0"/>
                <w:sz w:val="21"/>
                <w:szCs w:val="21"/>
                <w:lang w:eastAsia="zh-CN"/>
              </w:rPr>
            </w:pPr>
            <w:r>
              <w:rPr>
                <w:rFonts w:hint="eastAsia"/>
                <w:b w:val="0"/>
                <w:bCs w:val="0"/>
                <w:color w:val="auto"/>
                <w:kern w:val="0"/>
                <w:sz w:val="21"/>
                <w:szCs w:val="21"/>
                <w:lang w:eastAsia="zh-CN"/>
              </w:rPr>
              <w:t>址方位</w:t>
            </w:r>
          </w:p>
        </w:tc>
        <w:tc>
          <w:tcPr>
            <w:tcW w:w="1131" w:type="dxa"/>
            <w:vMerge w:val="restart"/>
            <w:noWrap w:val="0"/>
            <w:vAlign w:val="center"/>
          </w:tcPr>
          <w:p>
            <w:pPr>
              <w:spacing w:line="240" w:lineRule="auto"/>
              <w:ind w:firstLine="0" w:firstLineChars="0"/>
              <w:jc w:val="center"/>
              <w:rPr>
                <w:rFonts w:hint="eastAsia"/>
                <w:b w:val="0"/>
                <w:bCs w:val="0"/>
                <w:color w:val="auto"/>
                <w:kern w:val="0"/>
                <w:sz w:val="21"/>
                <w:szCs w:val="21"/>
                <w:lang w:eastAsia="zh-CN"/>
              </w:rPr>
            </w:pPr>
            <w:r>
              <w:rPr>
                <w:rFonts w:hint="eastAsia"/>
                <w:b w:val="0"/>
                <w:bCs w:val="0"/>
                <w:color w:val="auto"/>
                <w:kern w:val="0"/>
                <w:sz w:val="21"/>
                <w:szCs w:val="21"/>
                <w:lang w:eastAsia="zh-CN"/>
              </w:rPr>
              <w:t>相对厂界</w:t>
            </w:r>
          </w:p>
          <w:p>
            <w:pPr>
              <w:spacing w:line="240" w:lineRule="auto"/>
              <w:ind w:firstLine="0" w:firstLineChars="0"/>
              <w:jc w:val="center"/>
              <w:rPr>
                <w:rFonts w:hint="eastAsia" w:eastAsia="宋体"/>
                <w:b w:val="0"/>
                <w:bCs w:val="0"/>
                <w:color w:val="auto"/>
                <w:kern w:val="0"/>
                <w:sz w:val="21"/>
                <w:szCs w:val="21"/>
                <w:lang w:eastAsia="zh-CN"/>
              </w:rPr>
            </w:pPr>
            <w:r>
              <w:rPr>
                <w:rFonts w:hint="eastAsia"/>
                <w:b w:val="0"/>
                <w:bCs w:val="0"/>
                <w:color w:val="auto"/>
                <w:kern w:val="0"/>
                <w:sz w:val="21"/>
                <w:szCs w:val="21"/>
                <w:lang w:eastAsia="zh-CN"/>
              </w:rPr>
              <w:t>距离（</w:t>
            </w:r>
            <w:r>
              <w:rPr>
                <w:rFonts w:hint="eastAsia" w:ascii="Times New Roman" w:hAnsi="Times New Roman"/>
                <w:b w:val="0"/>
                <w:bCs w:val="0"/>
                <w:color w:val="auto"/>
                <w:kern w:val="0"/>
                <w:sz w:val="21"/>
                <w:szCs w:val="21"/>
                <w:lang w:val="en-US" w:eastAsia="zh-CN"/>
              </w:rPr>
              <w:t>km</w:t>
            </w:r>
            <w:r>
              <w:rPr>
                <w:rFonts w:hint="eastAsia"/>
                <w:b w:val="0"/>
                <w:bCs w:val="0"/>
                <w:color w:val="auto"/>
                <w:kern w:val="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79" w:type="dxa"/>
            <w:vMerge w:val="continue"/>
            <w:noWrap w:val="0"/>
            <w:vAlign w:val="center"/>
          </w:tcPr>
          <w:p>
            <w:pPr>
              <w:pStyle w:val="927"/>
              <w:rPr>
                <w:rFonts w:ascii="Times New Roman" w:hAnsi="Times New Roman"/>
                <w:b w:val="0"/>
                <w:bCs w:val="0"/>
                <w:color w:val="auto"/>
              </w:rPr>
            </w:pPr>
          </w:p>
        </w:tc>
        <w:tc>
          <w:tcPr>
            <w:tcW w:w="835" w:type="dxa"/>
            <w:vMerge w:val="continue"/>
            <w:noWrap w:val="0"/>
            <w:vAlign w:val="center"/>
          </w:tcPr>
          <w:p>
            <w:pPr>
              <w:spacing w:line="240" w:lineRule="auto"/>
              <w:ind w:firstLine="0" w:firstLineChars="0"/>
              <w:jc w:val="center"/>
              <w:rPr>
                <w:rFonts w:hint="eastAsia"/>
                <w:color w:val="auto"/>
                <w:kern w:val="0"/>
                <w:sz w:val="21"/>
                <w:szCs w:val="21"/>
                <w:lang w:eastAsia="zh-CN"/>
              </w:rPr>
            </w:pPr>
          </w:p>
        </w:tc>
        <w:tc>
          <w:tcPr>
            <w:tcW w:w="1726"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纬度</w:t>
            </w:r>
          </w:p>
        </w:tc>
        <w:tc>
          <w:tcPr>
            <w:tcW w:w="1517"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经度</w:t>
            </w:r>
          </w:p>
        </w:tc>
        <w:tc>
          <w:tcPr>
            <w:tcW w:w="1472" w:type="dxa"/>
            <w:vMerge w:val="continue"/>
            <w:noWrap w:val="0"/>
            <w:vAlign w:val="center"/>
          </w:tcPr>
          <w:p>
            <w:pPr>
              <w:spacing w:line="240" w:lineRule="auto"/>
              <w:ind w:firstLine="0" w:firstLineChars="0"/>
              <w:jc w:val="center"/>
              <w:rPr>
                <w:color w:val="auto"/>
                <w:kern w:val="0"/>
                <w:sz w:val="21"/>
                <w:szCs w:val="21"/>
              </w:rPr>
            </w:pPr>
          </w:p>
        </w:tc>
        <w:tc>
          <w:tcPr>
            <w:tcW w:w="1151" w:type="dxa"/>
            <w:vMerge w:val="continue"/>
            <w:noWrap w:val="0"/>
            <w:vAlign w:val="center"/>
          </w:tcPr>
          <w:p>
            <w:pPr>
              <w:spacing w:line="240" w:lineRule="auto"/>
              <w:ind w:firstLine="0" w:firstLineChars="0"/>
              <w:jc w:val="center"/>
              <w:rPr>
                <w:color w:val="auto"/>
                <w:kern w:val="0"/>
                <w:sz w:val="21"/>
                <w:szCs w:val="21"/>
              </w:rPr>
            </w:pPr>
          </w:p>
        </w:tc>
        <w:tc>
          <w:tcPr>
            <w:tcW w:w="698" w:type="dxa"/>
            <w:vMerge w:val="continue"/>
            <w:noWrap w:val="0"/>
            <w:vAlign w:val="center"/>
          </w:tcPr>
          <w:p>
            <w:pPr>
              <w:spacing w:line="240" w:lineRule="auto"/>
              <w:ind w:firstLine="0" w:firstLineChars="0"/>
              <w:jc w:val="center"/>
              <w:rPr>
                <w:color w:val="auto"/>
                <w:kern w:val="0"/>
                <w:sz w:val="21"/>
                <w:szCs w:val="21"/>
              </w:rPr>
            </w:pPr>
          </w:p>
        </w:tc>
        <w:tc>
          <w:tcPr>
            <w:tcW w:w="1131" w:type="dxa"/>
            <w:vMerge w:val="continue"/>
            <w:noWrap w:val="0"/>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79" w:type="dxa"/>
            <w:noWrap w:val="0"/>
            <w:vAlign w:val="center"/>
          </w:tcPr>
          <w:p>
            <w:pPr>
              <w:pStyle w:val="927"/>
              <w:rPr>
                <w:rFonts w:ascii="Times New Roman" w:hAnsi="Times New Roman"/>
                <w:b w:val="0"/>
                <w:bCs w:val="0"/>
                <w:color w:val="auto"/>
              </w:rPr>
            </w:pPr>
            <w:r>
              <w:rPr>
                <w:rFonts w:hint="eastAsia" w:ascii="Times New Roman" w:hAnsi="Times New Roman"/>
                <w:b w:val="0"/>
                <w:bCs w:val="0"/>
                <w:color w:val="auto"/>
                <w:lang w:val="en-US" w:eastAsia="zh-CN"/>
              </w:rPr>
              <w:t>G</w:t>
            </w:r>
            <w:r>
              <w:rPr>
                <w:rFonts w:ascii="Times New Roman" w:hAnsi="Times New Roman"/>
                <w:b w:val="0"/>
                <w:bCs w:val="0"/>
                <w:color w:val="auto"/>
              </w:rPr>
              <w:t>1</w:t>
            </w:r>
          </w:p>
        </w:tc>
        <w:tc>
          <w:tcPr>
            <w:tcW w:w="835" w:type="dxa"/>
            <w:noWrap w:val="0"/>
            <w:vAlign w:val="center"/>
          </w:tcPr>
          <w:p>
            <w:pPr>
              <w:spacing w:line="240" w:lineRule="auto"/>
              <w:ind w:firstLine="0" w:firstLineChars="0"/>
              <w:jc w:val="center"/>
              <w:rPr>
                <w:rFonts w:hint="eastAsia" w:eastAsia="宋体"/>
                <w:color w:val="auto"/>
                <w:kern w:val="0"/>
                <w:sz w:val="21"/>
                <w:szCs w:val="21"/>
                <w:lang w:eastAsia="zh-CN"/>
              </w:rPr>
            </w:pPr>
            <w:r>
              <w:rPr>
                <w:rFonts w:hint="eastAsia"/>
                <w:color w:val="auto"/>
                <w:kern w:val="0"/>
                <w:sz w:val="21"/>
                <w:szCs w:val="21"/>
                <w:lang w:eastAsia="zh-CN"/>
              </w:rPr>
              <w:t>项目所在区</w:t>
            </w:r>
          </w:p>
        </w:tc>
        <w:tc>
          <w:tcPr>
            <w:tcW w:w="1726" w:type="dxa"/>
            <w:noWrap w:val="0"/>
            <w:vAlign w:val="center"/>
          </w:tcPr>
          <w:p>
            <w:pPr>
              <w:spacing w:line="240" w:lineRule="auto"/>
              <w:ind w:firstLine="0" w:firstLineChars="0"/>
              <w:jc w:val="center"/>
              <w:rPr>
                <w:rFonts w:hint="eastAsia"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rPr>
              <w:t>N44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26</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558</w:t>
            </w:r>
            <w:r>
              <w:rPr>
                <w:rFonts w:hint="default" w:ascii="Times New Roman" w:hAnsi="Times New Roman" w:cs="Times New Roman"/>
                <w:color w:val="auto"/>
                <w:sz w:val="21"/>
                <w:szCs w:val="21"/>
              </w:rPr>
              <w:t>″</w:t>
            </w:r>
          </w:p>
        </w:tc>
        <w:tc>
          <w:tcPr>
            <w:tcW w:w="1517" w:type="dxa"/>
            <w:noWrap w:val="0"/>
            <w:vAlign w:val="center"/>
          </w:tcPr>
          <w:p>
            <w:pPr>
              <w:spacing w:line="240" w:lineRule="auto"/>
              <w:ind w:firstLine="0" w:firstLineChars="0"/>
              <w:jc w:val="center"/>
              <w:rPr>
                <w:rFonts w:hint="eastAsia"/>
                <w:color w:val="auto"/>
                <w:kern w:val="0"/>
                <w:sz w:val="21"/>
                <w:szCs w:val="21"/>
                <w:lang w:eastAsia="zh-CN"/>
              </w:rPr>
            </w:pPr>
            <w:r>
              <w:rPr>
                <w:rFonts w:hint="default" w:ascii="Times New Roman" w:hAnsi="Times New Roman" w:cs="Times New Roman"/>
                <w:color w:val="auto"/>
                <w:sz w:val="21"/>
                <w:szCs w:val="21"/>
              </w:rPr>
              <w:t>E84</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35</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920</w:t>
            </w:r>
            <w:r>
              <w:rPr>
                <w:rFonts w:hint="default" w:ascii="Times New Roman" w:hAnsi="Times New Roman" w:cs="Times New Roman"/>
                <w:color w:val="auto"/>
                <w:sz w:val="21"/>
                <w:szCs w:val="21"/>
              </w:rPr>
              <w:t>″</w:t>
            </w:r>
          </w:p>
        </w:tc>
        <w:tc>
          <w:tcPr>
            <w:tcW w:w="1472" w:type="dxa"/>
            <w:vMerge w:val="restart"/>
            <w:noWrap w:val="0"/>
            <w:vAlign w:val="center"/>
          </w:tcPr>
          <w:p>
            <w:pPr>
              <w:spacing w:line="240" w:lineRule="auto"/>
              <w:ind w:firstLine="0" w:firstLineChars="0"/>
              <w:jc w:val="center"/>
              <w:rPr>
                <w:rFonts w:hint="default" w:eastAsia="宋体"/>
                <w:color w:val="auto"/>
                <w:kern w:val="0"/>
                <w:sz w:val="21"/>
                <w:szCs w:val="21"/>
                <w:lang w:val="en-US" w:eastAsia="zh-CN"/>
              </w:rPr>
            </w:pPr>
            <w:r>
              <w:rPr>
                <w:rFonts w:hint="eastAsia" w:ascii="Times New Roman" w:hAnsi="Times New Roman"/>
                <w:color w:val="auto"/>
                <w:kern w:val="0"/>
                <w:sz w:val="21"/>
                <w:szCs w:val="21"/>
                <w:lang w:val="en-US" w:eastAsia="zh-CN"/>
              </w:rPr>
              <w:t>NH</w:t>
            </w:r>
            <w:r>
              <w:rPr>
                <w:rFonts w:hint="eastAsia" w:ascii="Times New Roman" w:hAnsi="Times New Roman"/>
                <w:color w:val="auto"/>
                <w:kern w:val="0"/>
                <w:sz w:val="21"/>
                <w:szCs w:val="21"/>
                <w:vertAlign w:val="subscript"/>
                <w:lang w:val="en-US" w:eastAsia="zh-CN"/>
              </w:rPr>
              <w:t>3</w:t>
            </w:r>
            <w:r>
              <w:rPr>
                <w:rFonts w:hint="eastAsia" w:ascii="Times New Roman" w:hAnsi="Times New Roman"/>
                <w:color w:val="auto"/>
                <w:kern w:val="0"/>
                <w:sz w:val="21"/>
                <w:szCs w:val="21"/>
                <w:vertAlign w:val="baseline"/>
                <w:lang w:val="en-US" w:eastAsia="zh-CN"/>
              </w:rPr>
              <w:t>、</w:t>
            </w:r>
            <w:r>
              <w:rPr>
                <w:rFonts w:hint="eastAsia" w:ascii="Times New Roman" w:hAnsi="Times New Roman"/>
                <w:color w:val="auto"/>
                <w:kern w:val="0"/>
                <w:sz w:val="21"/>
                <w:szCs w:val="21"/>
                <w:vertAlign w:val="baseline"/>
                <w:lang w:val="en-US" w:eastAsia="zh-CN"/>
              </w:rPr>
              <w:t>NMHC</w:t>
            </w:r>
          </w:p>
        </w:tc>
        <w:tc>
          <w:tcPr>
            <w:tcW w:w="1151" w:type="dxa"/>
            <w:vMerge w:val="restart"/>
            <w:noWrap w:val="0"/>
            <w:vAlign w:val="center"/>
          </w:tcPr>
          <w:p>
            <w:pPr>
              <w:spacing w:line="240" w:lineRule="auto"/>
              <w:ind w:firstLine="0" w:firstLineChars="0"/>
              <w:jc w:val="center"/>
              <w:rPr>
                <w:rFonts w:hint="default" w:eastAsia="宋体"/>
                <w:color w:val="auto"/>
                <w:kern w:val="0"/>
                <w:sz w:val="21"/>
                <w:szCs w:val="21"/>
                <w:lang w:val="en-US" w:eastAsia="zh-CN"/>
              </w:rPr>
            </w:pPr>
            <w:r>
              <w:rPr>
                <w:rFonts w:hint="eastAsia" w:ascii="Times New Roman" w:hAnsi="Times New Roman"/>
                <w:color w:val="auto"/>
                <w:kern w:val="0"/>
                <w:sz w:val="21"/>
                <w:szCs w:val="21"/>
                <w:lang w:val="en-US" w:eastAsia="zh-CN"/>
              </w:rPr>
              <w:t>2023</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8</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5</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2023</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8</w:t>
            </w:r>
            <w:r>
              <w:rPr>
                <w:rFonts w:hint="eastAsia"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11</w:t>
            </w:r>
          </w:p>
        </w:tc>
        <w:tc>
          <w:tcPr>
            <w:tcW w:w="698" w:type="dxa"/>
            <w:noWrap w:val="0"/>
            <w:vAlign w:val="center"/>
          </w:tcPr>
          <w:p>
            <w:pPr>
              <w:spacing w:line="240" w:lineRule="auto"/>
              <w:ind w:firstLine="0" w:firstLineChars="0"/>
              <w:jc w:val="center"/>
              <w:rPr>
                <w:rFonts w:hint="eastAsia" w:eastAsia="宋体"/>
                <w:color w:val="auto"/>
                <w:kern w:val="0"/>
                <w:sz w:val="21"/>
                <w:szCs w:val="21"/>
                <w:lang w:val="en-US" w:eastAsia="zh-CN"/>
              </w:rPr>
            </w:pPr>
            <w:r>
              <w:rPr>
                <w:rFonts w:hint="eastAsia" w:ascii="Times New Roman" w:hAnsi="Times New Roman"/>
                <w:color w:val="auto"/>
                <w:kern w:val="0"/>
                <w:sz w:val="21"/>
                <w:szCs w:val="21"/>
                <w:lang w:val="en-US" w:eastAsia="zh-CN"/>
              </w:rPr>
              <w:t>/</w:t>
            </w:r>
          </w:p>
        </w:tc>
        <w:tc>
          <w:tcPr>
            <w:tcW w:w="113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479" w:type="dxa"/>
            <w:noWrap w:val="0"/>
            <w:vAlign w:val="center"/>
          </w:tcPr>
          <w:p>
            <w:pPr>
              <w:pStyle w:val="927"/>
              <w:rPr>
                <w:rFonts w:ascii="Times New Roman" w:hAnsi="Times New Roman"/>
                <w:b w:val="0"/>
                <w:bCs w:val="0"/>
                <w:color w:val="auto"/>
              </w:rPr>
            </w:pPr>
            <w:r>
              <w:rPr>
                <w:rFonts w:hint="eastAsia" w:ascii="Times New Roman" w:hAnsi="Times New Roman"/>
                <w:b w:val="0"/>
                <w:bCs w:val="0"/>
                <w:color w:val="auto"/>
                <w:lang w:val="en-US" w:eastAsia="zh-CN"/>
              </w:rPr>
              <w:t>G</w:t>
            </w:r>
            <w:r>
              <w:rPr>
                <w:rFonts w:ascii="Times New Roman" w:hAnsi="Times New Roman"/>
                <w:b w:val="0"/>
                <w:bCs w:val="0"/>
                <w:color w:val="auto"/>
              </w:rPr>
              <w:t>2</w:t>
            </w:r>
          </w:p>
        </w:tc>
        <w:tc>
          <w:tcPr>
            <w:tcW w:w="835" w:type="dxa"/>
            <w:noWrap w:val="0"/>
            <w:vAlign w:val="center"/>
          </w:tcPr>
          <w:p>
            <w:pPr>
              <w:spacing w:line="240" w:lineRule="auto"/>
              <w:ind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厂界东北方</w:t>
            </w:r>
          </w:p>
        </w:tc>
        <w:tc>
          <w:tcPr>
            <w:tcW w:w="1726" w:type="dxa"/>
            <w:noWrap w:val="0"/>
            <w:vAlign w:val="center"/>
          </w:tcPr>
          <w:p>
            <w:pPr>
              <w:spacing w:line="240" w:lineRule="auto"/>
              <w:ind w:firstLine="0" w:firstLineChars="0"/>
              <w:jc w:val="center"/>
              <w:rPr>
                <w:rFonts w:hint="eastAsia"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rPr>
              <w:t>N</w:t>
            </w:r>
            <w:r>
              <w:rPr>
                <w:rFonts w:hint="default" w:ascii="Times New Roman" w:hAnsi="Times New Roman" w:cs="Times New Roman"/>
                <w:bCs/>
                <w:color w:val="auto"/>
                <w:sz w:val="21"/>
                <w:szCs w:val="21"/>
              </w:rPr>
              <w:t>44</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rPr>
              <w:t>2</w:t>
            </w:r>
            <w:r>
              <w:rPr>
                <w:rFonts w:hint="eastAsia" w:ascii="Times New Roman" w:hAnsi="Times New Roman" w:cs="Times New Roman"/>
                <w:bCs/>
                <w:color w:val="auto"/>
                <w:sz w:val="21"/>
                <w:szCs w:val="21"/>
                <w:lang w:val="en-US" w:eastAsia="zh-CN"/>
              </w:rPr>
              <w:t>0</w:t>
            </w:r>
            <w:r>
              <w:rPr>
                <w:rFonts w:hint="default" w:ascii="Times New Roman" w:hAnsi="Times New Roman" w:cs="Times New Roman"/>
                <w:bCs/>
                <w:color w:val="auto"/>
                <w:sz w:val="21"/>
                <w:szCs w:val="21"/>
              </w:rPr>
              <w:t>′</w:t>
            </w:r>
            <w:r>
              <w:rPr>
                <w:rFonts w:hint="eastAsia" w:ascii="Times New Roman" w:hAnsi="Times New Roman" w:cs="Times New Roman"/>
                <w:bCs/>
                <w:color w:val="auto"/>
                <w:sz w:val="21"/>
                <w:szCs w:val="21"/>
                <w:lang w:val="en-US" w:eastAsia="zh-CN"/>
              </w:rPr>
              <w:t>54</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290</w:t>
            </w:r>
            <w:r>
              <w:rPr>
                <w:rFonts w:hint="default" w:ascii="Times New Roman" w:hAnsi="Times New Roman" w:cs="Times New Roman"/>
                <w:bCs/>
                <w:color w:val="auto"/>
                <w:sz w:val="21"/>
                <w:szCs w:val="21"/>
              </w:rPr>
              <w:t>″</w:t>
            </w:r>
          </w:p>
        </w:tc>
        <w:tc>
          <w:tcPr>
            <w:tcW w:w="1517" w:type="dxa"/>
            <w:noWrap w:val="0"/>
            <w:vAlign w:val="center"/>
          </w:tcPr>
          <w:p>
            <w:pPr>
              <w:spacing w:line="240" w:lineRule="auto"/>
              <w:ind w:firstLine="0" w:firstLineChars="0"/>
              <w:jc w:val="center"/>
              <w:rPr>
                <w:rFonts w:hint="eastAsia" w:eastAsia="宋体"/>
                <w:color w:val="auto"/>
                <w:kern w:val="0"/>
                <w:sz w:val="21"/>
                <w:szCs w:val="21"/>
                <w:lang w:val="en-US" w:eastAsia="zh-CN"/>
              </w:rPr>
            </w:pPr>
            <w:r>
              <w:rPr>
                <w:rFonts w:hint="default" w:ascii="Times New Roman" w:hAnsi="Times New Roman" w:cs="Times New Roman"/>
                <w:color w:val="auto"/>
                <w:sz w:val="21"/>
                <w:szCs w:val="21"/>
              </w:rPr>
              <w:t>E</w:t>
            </w:r>
            <w:r>
              <w:rPr>
                <w:rFonts w:hint="default" w:ascii="Times New Roman" w:hAnsi="Times New Roman" w:cs="Times New Roman"/>
                <w:bCs/>
                <w:color w:val="auto"/>
                <w:sz w:val="21"/>
                <w:szCs w:val="21"/>
              </w:rPr>
              <w:t>84</w:t>
            </w:r>
            <w:r>
              <w:rPr>
                <w:rFonts w:hint="default" w:ascii="Times New Roman" w:hAnsi="Times New Roman" w:cs="Times New Roman"/>
                <w:bCs/>
                <w:color w:val="auto"/>
                <w:sz w:val="21"/>
                <w:szCs w:val="21"/>
              </w:rPr>
              <w:t>°</w:t>
            </w:r>
            <w:r>
              <w:rPr>
                <w:rFonts w:hint="eastAsia" w:ascii="Times New Roman" w:hAnsi="Times New Roman" w:cs="Times New Roman"/>
                <w:bCs/>
                <w:color w:val="auto"/>
                <w:sz w:val="21"/>
                <w:szCs w:val="21"/>
                <w:lang w:val="en-US" w:eastAsia="zh-CN"/>
              </w:rPr>
              <w:t>16</w:t>
            </w:r>
            <w:r>
              <w:rPr>
                <w:rFonts w:hint="default" w:ascii="Times New Roman" w:hAnsi="Times New Roman" w:cs="Times New Roman"/>
                <w:bCs/>
                <w:color w:val="auto"/>
                <w:sz w:val="21"/>
                <w:szCs w:val="21"/>
              </w:rPr>
              <w:t>′</w:t>
            </w:r>
            <w:r>
              <w:rPr>
                <w:rFonts w:hint="eastAsia" w:ascii="Times New Roman" w:hAnsi="Times New Roman" w:cs="Times New Roman"/>
                <w:bCs/>
                <w:color w:val="auto"/>
                <w:sz w:val="21"/>
                <w:szCs w:val="21"/>
                <w:lang w:val="en-US" w:eastAsia="zh-CN"/>
              </w:rPr>
              <w:t>46</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194</w:t>
            </w:r>
            <w:r>
              <w:rPr>
                <w:rFonts w:hint="default" w:ascii="Times New Roman" w:hAnsi="Times New Roman" w:cs="Times New Roman"/>
                <w:bCs/>
                <w:color w:val="auto"/>
                <w:sz w:val="21"/>
                <w:szCs w:val="21"/>
              </w:rPr>
              <w:t>″</w:t>
            </w:r>
          </w:p>
        </w:tc>
        <w:tc>
          <w:tcPr>
            <w:tcW w:w="1472" w:type="dxa"/>
            <w:vMerge w:val="continue"/>
            <w:noWrap w:val="0"/>
            <w:vAlign w:val="center"/>
          </w:tcPr>
          <w:p>
            <w:pPr>
              <w:spacing w:line="240" w:lineRule="auto"/>
              <w:ind w:firstLine="0" w:firstLineChars="0"/>
              <w:jc w:val="center"/>
              <w:rPr>
                <w:rFonts w:hint="default" w:eastAsia="宋体"/>
                <w:color w:val="auto"/>
                <w:kern w:val="0"/>
                <w:sz w:val="21"/>
                <w:szCs w:val="21"/>
                <w:lang w:val="en-US" w:eastAsia="zh-CN"/>
              </w:rPr>
            </w:pPr>
          </w:p>
        </w:tc>
        <w:tc>
          <w:tcPr>
            <w:tcW w:w="1151" w:type="dxa"/>
            <w:vMerge w:val="continue"/>
            <w:noWrap w:val="0"/>
            <w:vAlign w:val="center"/>
          </w:tcPr>
          <w:p>
            <w:pPr>
              <w:spacing w:line="240" w:lineRule="auto"/>
              <w:ind w:firstLine="0" w:firstLineChars="0"/>
              <w:jc w:val="center"/>
              <w:rPr>
                <w:rFonts w:hint="default" w:eastAsia="宋体"/>
                <w:color w:val="auto"/>
                <w:kern w:val="0"/>
                <w:sz w:val="21"/>
                <w:szCs w:val="21"/>
                <w:lang w:val="en-US" w:eastAsia="zh-CN"/>
              </w:rPr>
            </w:pPr>
          </w:p>
        </w:tc>
        <w:tc>
          <w:tcPr>
            <w:tcW w:w="698" w:type="dxa"/>
            <w:noWrap w:val="0"/>
            <w:vAlign w:val="center"/>
          </w:tcPr>
          <w:p>
            <w:pPr>
              <w:spacing w:line="240" w:lineRule="auto"/>
              <w:ind w:firstLine="0" w:firstLineChars="0"/>
              <w:jc w:val="center"/>
              <w:rPr>
                <w:rFonts w:hint="default"/>
                <w:color w:val="auto"/>
                <w:kern w:val="0"/>
                <w:sz w:val="21"/>
                <w:szCs w:val="21"/>
                <w:lang w:val="en-US" w:eastAsia="zh-CN"/>
              </w:rPr>
            </w:pPr>
            <w:r>
              <w:rPr>
                <w:rFonts w:hint="eastAsia" w:ascii="Times New Roman" w:hAnsi="Times New Roman"/>
                <w:color w:val="auto"/>
                <w:kern w:val="0"/>
                <w:sz w:val="21"/>
                <w:szCs w:val="21"/>
                <w:lang w:val="en-US" w:eastAsia="zh-CN"/>
              </w:rPr>
              <w:t>NE</w:t>
            </w:r>
          </w:p>
        </w:tc>
        <w:tc>
          <w:tcPr>
            <w:tcW w:w="113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5</w:t>
            </w:r>
          </w:p>
        </w:tc>
      </w:tr>
    </w:tbl>
    <w:p>
      <w:pPr>
        <w:rPr>
          <w:rFonts w:hint="eastAsia"/>
          <w:color w:val="auto"/>
        </w:rPr>
      </w:pPr>
      <w:r>
        <w:rPr>
          <w:rFonts w:hint="eastAsia"/>
          <w:color w:val="auto"/>
        </w:rPr>
        <w:t>（</w:t>
      </w:r>
      <w:r>
        <w:rPr>
          <w:rFonts w:hint="eastAsia" w:ascii="Times New Roman" w:hAnsi="Times New Roman"/>
          <w:color w:val="auto"/>
        </w:rPr>
        <w:t>2</w:t>
      </w:r>
      <w:r>
        <w:rPr>
          <w:rFonts w:hint="eastAsia"/>
          <w:color w:val="auto"/>
        </w:rPr>
        <w:t>）监测及分析方法</w:t>
      </w:r>
    </w:p>
    <w:p>
      <w:pPr>
        <w:rPr>
          <w:rFonts w:hint="eastAsia"/>
          <w:color w:val="FF0000"/>
        </w:rPr>
      </w:pPr>
      <w:r>
        <w:rPr>
          <w:rFonts w:hint="eastAsia"/>
          <w:color w:val="auto"/>
          <w:lang w:val="en-US" w:eastAsia="zh-CN"/>
        </w:rPr>
        <w:t>其他</w:t>
      </w:r>
      <w:r>
        <w:rPr>
          <w:rFonts w:hint="eastAsia"/>
          <w:color w:val="auto"/>
        </w:rPr>
        <w:t>污染物</w:t>
      </w:r>
      <w:r>
        <w:rPr>
          <w:color w:val="auto"/>
        </w:rPr>
        <w:t>采样</w:t>
      </w:r>
      <w:r>
        <w:rPr>
          <w:rFonts w:hint="eastAsia"/>
          <w:color w:val="auto"/>
        </w:rPr>
        <w:t>及监测</w:t>
      </w:r>
      <w:r>
        <w:rPr>
          <w:color w:val="auto"/>
        </w:rPr>
        <w:t>方法</w:t>
      </w:r>
      <w:r>
        <w:rPr>
          <w:rFonts w:hint="eastAsia"/>
          <w:color w:val="auto"/>
        </w:rPr>
        <w:t>按照《环境监测技术规范》（大气部分）、《环境空气和废气监测分析方法》（第四版）和《环境空气质量标准》（</w:t>
      </w:r>
      <w:r>
        <w:rPr>
          <w:rFonts w:hint="eastAsia" w:ascii="Times New Roman" w:hAnsi="Times New Roman" w:cs="Times New Roman"/>
          <w:color w:val="auto"/>
        </w:rPr>
        <w:t>GB3095</w:t>
      </w:r>
      <w:r>
        <w:rPr>
          <w:rFonts w:hint="eastAsia"/>
          <w:color w:val="auto"/>
        </w:rPr>
        <w:t>-</w:t>
      </w:r>
      <w:r>
        <w:rPr>
          <w:rFonts w:hint="eastAsia" w:ascii="Times New Roman" w:hAnsi="Times New Roman" w:cs="Times New Roman"/>
          <w:color w:val="auto"/>
        </w:rPr>
        <w:t>2012</w:t>
      </w:r>
      <w:r>
        <w:rPr>
          <w:rFonts w:hint="eastAsia"/>
          <w:color w:val="auto"/>
        </w:rPr>
        <w:t>）相关要求执行。</w:t>
      </w:r>
    </w:p>
    <w:p>
      <w:pPr>
        <w:rPr>
          <w:rFonts w:hint="eastAsia"/>
          <w:color w:val="auto"/>
        </w:rPr>
      </w:pPr>
      <w:r>
        <w:rPr>
          <w:rFonts w:hint="eastAsia"/>
          <w:color w:val="auto"/>
        </w:rPr>
        <w:t>（</w:t>
      </w:r>
      <w:r>
        <w:rPr>
          <w:rFonts w:hint="eastAsia" w:ascii="Times New Roman" w:hAnsi="Times New Roman"/>
          <w:color w:val="auto"/>
        </w:rPr>
        <w:t>3</w:t>
      </w:r>
      <w:r>
        <w:rPr>
          <w:rFonts w:hint="eastAsia"/>
          <w:color w:val="auto"/>
        </w:rPr>
        <w:t>）评价标准</w:t>
      </w:r>
    </w:p>
    <w:p>
      <w:pPr>
        <w:rPr>
          <w:color w:val="auto"/>
        </w:rPr>
      </w:pPr>
      <w:r>
        <w:rPr>
          <w:rFonts w:hint="eastAsia" w:ascii="Times New Roman" w:hAnsi="Times New Roman" w:cs="Times New Roman"/>
          <w:color w:val="auto"/>
          <w:spacing w:val="-8"/>
          <w:lang w:val="en-US" w:eastAsia="zh-CN"/>
        </w:rPr>
        <w:t>NH</w:t>
      </w:r>
      <w:r>
        <w:rPr>
          <w:rFonts w:hint="eastAsia" w:ascii="Times New Roman" w:hAnsi="Times New Roman" w:cs="Times New Roman"/>
          <w:color w:val="auto"/>
          <w:spacing w:val="-8"/>
          <w:vertAlign w:val="subscript"/>
          <w:lang w:val="en-US" w:eastAsia="zh-CN"/>
        </w:rPr>
        <w:t>3</w:t>
      </w:r>
      <w:r>
        <w:rPr>
          <w:rFonts w:hint="eastAsia" w:ascii="Times New Roman" w:cs="Times New Roman"/>
          <w:color w:val="auto"/>
          <w:spacing w:val="-8"/>
          <w:lang w:val="en-US" w:eastAsia="zh-CN"/>
        </w:rPr>
        <w:t>执行《环境影响评价技术导则 大气环境》（</w:t>
      </w:r>
      <w:r>
        <w:rPr>
          <w:rFonts w:hint="eastAsia" w:ascii="Times New Roman" w:hAnsi="Times New Roman" w:cs="Times New Roman"/>
          <w:color w:val="auto"/>
          <w:spacing w:val="-8"/>
          <w:lang w:val="en-US" w:eastAsia="zh-CN"/>
        </w:rPr>
        <w:t>HJ2</w:t>
      </w:r>
      <w:r>
        <w:rPr>
          <w:rFonts w:hint="eastAsia" w:ascii="Times New Roman" w:cs="Times New Roman"/>
          <w:color w:val="auto"/>
          <w:spacing w:val="-8"/>
          <w:lang w:val="en-US" w:eastAsia="zh-CN"/>
        </w:rPr>
        <w:t>.</w:t>
      </w:r>
      <w:r>
        <w:rPr>
          <w:rFonts w:hint="eastAsia" w:ascii="Times New Roman" w:hAnsi="Times New Roman" w:cs="Times New Roman"/>
          <w:color w:val="auto"/>
          <w:spacing w:val="-8"/>
          <w:lang w:val="en-US" w:eastAsia="zh-CN"/>
        </w:rPr>
        <w:t>2</w:t>
      </w:r>
      <w:r>
        <w:rPr>
          <w:rFonts w:hint="eastAsia" w:ascii="Times New Roman" w:cs="Times New Roman"/>
          <w:color w:val="auto"/>
          <w:spacing w:val="-8"/>
          <w:lang w:val="en-US" w:eastAsia="zh-CN"/>
        </w:rPr>
        <w:t>-</w:t>
      </w:r>
      <w:r>
        <w:rPr>
          <w:rFonts w:hint="eastAsia" w:ascii="Times New Roman" w:hAnsi="Times New Roman" w:cs="Times New Roman"/>
          <w:color w:val="auto"/>
          <w:spacing w:val="-8"/>
          <w:lang w:val="en-US" w:eastAsia="zh-CN"/>
        </w:rPr>
        <w:t>2018</w:t>
      </w:r>
      <w:r>
        <w:rPr>
          <w:rFonts w:hint="eastAsia" w:ascii="Times New Roman" w:cs="Times New Roman"/>
          <w:color w:val="auto"/>
          <w:spacing w:val="-8"/>
          <w:lang w:val="en-US" w:eastAsia="zh-CN"/>
        </w:rPr>
        <w:t>）附录</w:t>
      </w:r>
      <w:r>
        <w:rPr>
          <w:rFonts w:hint="eastAsia" w:ascii="Times New Roman" w:hAnsi="Times New Roman" w:cs="Times New Roman"/>
          <w:color w:val="auto"/>
          <w:spacing w:val="-8"/>
          <w:lang w:val="en-US" w:eastAsia="zh-CN"/>
        </w:rPr>
        <w:t>D</w:t>
      </w:r>
      <w:r>
        <w:rPr>
          <w:rFonts w:hint="eastAsia" w:ascii="Times New Roman" w:cs="Times New Roman"/>
          <w:color w:val="auto"/>
          <w:spacing w:val="-8"/>
          <w:lang w:val="en-US" w:eastAsia="zh-CN"/>
        </w:rPr>
        <w:t>其他污染物空气质量参考浓度，</w:t>
      </w:r>
      <w:r>
        <w:rPr>
          <w:rFonts w:hint="eastAsia" w:ascii="Times New Roman" w:hAnsi="Times New Roman" w:cs="Times New Roman"/>
          <w:color w:val="auto"/>
          <w:spacing w:val="-8"/>
          <w:lang w:val="en-US" w:eastAsia="zh-CN"/>
        </w:rPr>
        <w:t>NMHC</w:t>
      </w:r>
      <w:r>
        <w:rPr>
          <w:rFonts w:hint="eastAsia" w:ascii="Times New Roman" w:cs="Times New Roman"/>
          <w:color w:val="auto"/>
          <w:spacing w:val="-8"/>
          <w:lang w:val="en-US" w:eastAsia="zh-CN"/>
        </w:rPr>
        <w:t>执行《大气污染物综合排放标准详解》一次浓度推荐限值</w:t>
      </w:r>
      <w:r>
        <w:rPr>
          <w:rFonts w:hint="eastAsia" w:ascii="Times New Roman" w:hAnsi="Times New Roman" w:cs="Times New Roman"/>
          <w:color w:val="auto"/>
          <w:spacing w:val="-8"/>
          <w:lang w:val="en-US" w:eastAsia="zh-CN"/>
        </w:rPr>
        <w:t>2mg</w:t>
      </w:r>
      <w:r>
        <w:rPr>
          <w:rFonts w:hint="eastAsia" w:ascii="Times New Roman" w:cs="Times New Roman"/>
          <w:color w:val="auto"/>
          <w:spacing w:val="-8"/>
          <w:lang w:val="en-US" w:eastAsia="zh-CN"/>
        </w:rPr>
        <w:t>/</w:t>
      </w:r>
      <w:r>
        <w:rPr>
          <w:rFonts w:hint="eastAsia" w:ascii="Times New Roman" w:hAnsi="Times New Roman" w:cs="Times New Roman"/>
          <w:color w:val="auto"/>
          <w:spacing w:val="-8"/>
          <w:lang w:val="en-US" w:eastAsia="zh-CN"/>
        </w:rPr>
        <w:t>m</w:t>
      </w:r>
      <w:r>
        <w:rPr>
          <w:rFonts w:hint="eastAsia" w:ascii="Times New Roman" w:cs="Times New Roman"/>
          <w:color w:val="auto"/>
          <w:spacing w:val="-8"/>
          <w:lang w:val="en-US" w:eastAsia="zh-CN"/>
        </w:rPr>
        <w:t>³。</w:t>
      </w:r>
    </w:p>
    <w:p>
      <w:pPr>
        <w:rPr>
          <w:rFonts w:hint="eastAsia"/>
          <w:color w:val="auto"/>
        </w:rPr>
      </w:pPr>
      <w:r>
        <w:rPr>
          <w:rFonts w:hint="eastAsia"/>
          <w:color w:val="auto"/>
        </w:rPr>
        <w:t>（</w:t>
      </w:r>
      <w:r>
        <w:rPr>
          <w:rFonts w:hint="eastAsia" w:ascii="Times New Roman" w:hAnsi="Times New Roman"/>
          <w:color w:val="auto"/>
        </w:rPr>
        <w:t>4</w:t>
      </w:r>
      <w:r>
        <w:rPr>
          <w:rFonts w:hint="eastAsia"/>
          <w:color w:val="auto"/>
        </w:rPr>
        <w:t>）评价方法</w:t>
      </w:r>
    </w:p>
    <w:p>
      <w:pPr>
        <w:snapToGrid w:val="0"/>
        <w:ind w:firstLine="480"/>
        <w:rPr>
          <w:color w:val="auto"/>
        </w:rPr>
      </w:pPr>
      <w:r>
        <w:rPr>
          <w:color w:val="auto"/>
        </w:rPr>
        <w:t>采用</w:t>
      </w:r>
      <w:r>
        <w:rPr>
          <w:rFonts w:hint="eastAsia"/>
          <w:color w:val="auto"/>
          <w:lang w:eastAsia="zh-CN"/>
        </w:rPr>
        <w:t>标准指数法</w:t>
      </w:r>
      <w:r>
        <w:rPr>
          <w:color w:val="auto"/>
        </w:rPr>
        <w:t>，计算公式为：</w:t>
      </w:r>
    </w:p>
    <w:p>
      <w:pPr>
        <w:widowControl w:val="0"/>
        <w:wordWrap/>
        <w:autoSpaceDE w:val="0"/>
        <w:autoSpaceDN w:val="0"/>
        <w:adjustRightInd w:val="0"/>
        <w:snapToGrid/>
        <w:spacing w:line="440" w:lineRule="exact"/>
        <w:ind w:firstLine="480"/>
        <w:textAlignment w:val="auto"/>
        <w:rPr>
          <w:color w:val="auto"/>
        </w:rPr>
      </w:pPr>
      <w:r>
        <w:rPr>
          <w:color w:val="auto"/>
          <w:position w:val="-30"/>
        </w:rPr>
        <w:t xml:space="preserve">                         </w:t>
      </w:r>
      <w:r>
        <w:rPr>
          <w:rFonts w:ascii="Times New Roman" w:hAnsi="Times New Roman" w:cs="Times New Roman"/>
          <w:color w:val="auto"/>
          <w:sz w:val="26"/>
          <w:szCs w:val="26"/>
        </w:rPr>
        <w:t>P</w:t>
      </w:r>
      <w:r>
        <w:rPr>
          <w:rFonts w:ascii="Times New Roman" w:hAnsi="Times New Roman" w:cs="Times New Roman"/>
          <w:color w:val="auto"/>
          <w:sz w:val="26"/>
          <w:szCs w:val="26"/>
          <w:vertAlign w:val="subscript"/>
        </w:rPr>
        <w:t>i</w:t>
      </w:r>
      <w:r>
        <w:rPr>
          <w:color w:val="auto"/>
          <w:sz w:val="26"/>
          <w:szCs w:val="26"/>
        </w:rPr>
        <w:t>=</w:t>
      </w:r>
      <w:r>
        <w:rPr>
          <w:rFonts w:ascii="Times New Roman" w:hAnsi="Times New Roman" w:cs="Times New Roman"/>
          <w:color w:val="auto"/>
          <w:sz w:val="26"/>
          <w:szCs w:val="26"/>
        </w:rPr>
        <w:t>C</w:t>
      </w:r>
      <w:r>
        <w:rPr>
          <w:rFonts w:ascii="Times New Roman" w:hAnsi="Times New Roman" w:cs="Times New Roman"/>
          <w:color w:val="auto"/>
          <w:sz w:val="26"/>
          <w:szCs w:val="26"/>
          <w:vertAlign w:val="subscript"/>
        </w:rPr>
        <w:t>i</w:t>
      </w:r>
      <w:r>
        <w:rPr>
          <w:color w:val="auto"/>
          <w:sz w:val="26"/>
          <w:szCs w:val="26"/>
        </w:rPr>
        <w:t>/</w:t>
      </w:r>
      <w:r>
        <w:rPr>
          <w:rFonts w:ascii="Times New Roman" w:hAnsi="Times New Roman" w:cs="Times New Roman"/>
          <w:color w:val="auto"/>
          <w:sz w:val="26"/>
          <w:szCs w:val="26"/>
        </w:rPr>
        <w:t>C</w:t>
      </w:r>
      <w:r>
        <w:rPr>
          <w:rFonts w:ascii="Times New Roman" w:hAnsi="Times New Roman" w:cs="Times New Roman"/>
          <w:color w:val="auto"/>
          <w:sz w:val="26"/>
          <w:szCs w:val="26"/>
          <w:vertAlign w:val="subscript"/>
        </w:rPr>
        <w:t>oi</w:t>
      </w:r>
    </w:p>
    <w:p>
      <w:pPr>
        <w:widowControl w:val="0"/>
        <w:wordWrap/>
        <w:snapToGrid/>
        <w:spacing w:line="440" w:lineRule="exact"/>
        <w:textAlignment w:val="auto"/>
        <w:rPr>
          <w:color w:val="auto"/>
        </w:rPr>
      </w:pPr>
      <w:r>
        <w:rPr>
          <w:color w:val="auto"/>
        </w:rPr>
        <w:t>式中：</w:t>
      </w:r>
      <w:r>
        <w:rPr>
          <w:rFonts w:ascii="Times New Roman" w:hAnsi="Times New Roman" w:cs="Times New Roman"/>
          <w:color w:val="auto"/>
        </w:rPr>
        <w:t>P</w:t>
      </w:r>
      <w:r>
        <w:rPr>
          <w:rFonts w:ascii="Times New Roman" w:hAnsi="Times New Roman" w:cs="Times New Roman"/>
          <w:color w:val="auto"/>
          <w:vertAlign w:val="subscript"/>
        </w:rPr>
        <w:t>i</w:t>
      </w:r>
      <w:r>
        <w:rPr>
          <w:color w:val="auto"/>
        </w:rPr>
        <w:t>——</w:t>
      </w:r>
      <w:r>
        <w:rPr>
          <w:rFonts w:hint="eastAsia"/>
          <w:color w:val="auto"/>
        </w:rPr>
        <w:t>污染物</w:t>
      </w:r>
      <w:r>
        <w:rPr>
          <w:rFonts w:ascii="Times New Roman" w:hAnsi="Times New Roman" w:cs="Times New Roman"/>
          <w:color w:val="auto"/>
        </w:rPr>
        <w:t>i</w:t>
      </w:r>
      <w:r>
        <w:rPr>
          <w:rFonts w:hint="eastAsia" w:ascii="Times New Roman"/>
          <w:color w:val="auto"/>
        </w:rPr>
        <w:t>的标准指数</w:t>
      </w:r>
      <w:r>
        <w:rPr>
          <w:color w:val="auto"/>
        </w:rPr>
        <w:t>；</w:t>
      </w:r>
    </w:p>
    <w:p>
      <w:pPr>
        <w:widowControl w:val="0"/>
        <w:wordWrap/>
        <w:snapToGrid/>
        <w:spacing w:line="440" w:lineRule="exact"/>
        <w:textAlignment w:val="auto"/>
        <w:rPr>
          <w:color w:val="auto"/>
        </w:rPr>
      </w:pPr>
      <w:r>
        <w:rPr>
          <w:color w:val="auto"/>
        </w:rPr>
        <w:t xml:space="preserve">      </w:t>
      </w:r>
      <w:r>
        <w:rPr>
          <w:rFonts w:ascii="Times New Roman" w:hAnsi="Times New Roman" w:cs="Times New Roman"/>
          <w:color w:val="auto"/>
        </w:rPr>
        <w:t>C</w:t>
      </w:r>
      <w:r>
        <w:rPr>
          <w:rFonts w:ascii="Times New Roman" w:hAnsi="Times New Roman" w:cs="Times New Roman"/>
          <w:color w:val="auto"/>
          <w:vertAlign w:val="subscript"/>
        </w:rPr>
        <w:t>i</w:t>
      </w:r>
      <w:r>
        <w:rPr>
          <w:color w:val="auto"/>
        </w:rPr>
        <w:t>——</w:t>
      </w:r>
      <w:r>
        <w:rPr>
          <w:rFonts w:hint="eastAsia" w:ascii="Times New Roman"/>
          <w:color w:val="auto"/>
        </w:rPr>
        <w:t>特征污染物</w:t>
      </w:r>
      <w:r>
        <w:rPr>
          <w:rFonts w:hint="eastAsia" w:ascii="Times New Roman" w:hAnsi="Times New Roman" w:cs="Times New Roman"/>
          <w:color w:val="auto"/>
        </w:rPr>
        <w:t>i</w:t>
      </w:r>
      <w:r>
        <w:rPr>
          <w:rFonts w:hint="eastAsia" w:ascii="Times New Roman"/>
          <w:color w:val="auto"/>
        </w:rPr>
        <w:t>的实测浓度，</w:t>
      </w:r>
      <w:r>
        <w:rPr>
          <w:rFonts w:hint="eastAsia" w:ascii="Times New Roman" w:hAnsi="Times New Roman" w:cs="Times New Roman"/>
          <w:color w:val="auto"/>
        </w:rPr>
        <w:t>μg</w:t>
      </w:r>
      <w:r>
        <w:rPr>
          <w:rFonts w:hint="eastAsia" w:ascii="Times New Roman"/>
          <w:color w:val="auto"/>
        </w:rPr>
        <w:t>/</w:t>
      </w:r>
      <w:r>
        <w:rPr>
          <w:rFonts w:hint="eastAsia" w:ascii="Times New Roman" w:hAnsi="Times New Roman" w:cs="Times New Roman"/>
          <w:color w:val="auto"/>
        </w:rPr>
        <w:t>m</w:t>
      </w:r>
      <w:r>
        <w:rPr>
          <w:rFonts w:hint="eastAsia" w:ascii="Times New Roman"/>
          <w:color w:val="auto"/>
        </w:rPr>
        <w:t>³</w:t>
      </w:r>
      <w:r>
        <w:rPr>
          <w:color w:val="auto"/>
        </w:rPr>
        <w:t>；</w:t>
      </w:r>
    </w:p>
    <w:p>
      <w:pPr>
        <w:widowControl w:val="0"/>
        <w:wordWrap/>
        <w:snapToGrid/>
        <w:spacing w:line="440" w:lineRule="exact"/>
        <w:ind w:firstLine="480"/>
        <w:textAlignment w:val="auto"/>
        <w:rPr>
          <w:rFonts w:hint="eastAsia" w:ascii="Times New Roman"/>
          <w:color w:val="auto"/>
        </w:rPr>
      </w:pPr>
      <w:r>
        <w:rPr>
          <w:color w:val="auto"/>
        </w:rPr>
        <w:t xml:space="preserve">      </w:t>
      </w:r>
      <w:r>
        <w:rPr>
          <w:rFonts w:ascii="Times New Roman" w:hAnsi="Times New Roman" w:cs="Times New Roman"/>
          <w:color w:val="auto"/>
        </w:rPr>
        <w:t>C</w:t>
      </w:r>
      <w:r>
        <w:rPr>
          <w:rFonts w:ascii="Times New Roman" w:hAnsi="Times New Roman" w:cs="Times New Roman"/>
          <w:color w:val="auto"/>
          <w:vertAlign w:val="subscript"/>
        </w:rPr>
        <w:t>oi</w:t>
      </w:r>
      <w:r>
        <w:rPr>
          <w:color w:val="auto"/>
        </w:rPr>
        <w:t>——</w:t>
      </w:r>
      <w:r>
        <w:rPr>
          <w:rFonts w:hint="eastAsia"/>
          <w:color w:val="auto"/>
        </w:rPr>
        <w:t>污染物</w:t>
      </w:r>
      <w:r>
        <w:rPr>
          <w:rFonts w:ascii="Times New Roman" w:hAnsi="Times New Roman" w:cs="Times New Roman"/>
          <w:color w:val="auto"/>
        </w:rPr>
        <w:t>i</w:t>
      </w:r>
      <w:r>
        <w:rPr>
          <w:rFonts w:hint="eastAsia" w:ascii="Times New Roman"/>
          <w:color w:val="auto"/>
        </w:rPr>
        <w:t>的评价</w:t>
      </w:r>
      <w:r>
        <w:rPr>
          <w:color w:val="auto"/>
        </w:rPr>
        <w:t>标准</w:t>
      </w:r>
      <w:r>
        <w:rPr>
          <w:rFonts w:hint="eastAsia"/>
          <w:color w:val="auto"/>
          <w:lang w:eastAsia="zh-CN"/>
        </w:rPr>
        <w:t>，</w:t>
      </w:r>
      <w:r>
        <w:rPr>
          <w:rFonts w:hint="eastAsia" w:ascii="Times New Roman" w:hAnsi="Times New Roman" w:cs="Times New Roman"/>
          <w:color w:val="auto"/>
        </w:rPr>
        <w:t>μ</w:t>
      </w:r>
      <w:r>
        <w:rPr>
          <w:rFonts w:ascii="Times New Roman" w:hAnsi="Times New Roman" w:cs="Times New Roman"/>
          <w:color w:val="auto"/>
        </w:rPr>
        <w:t>g</w:t>
      </w:r>
      <w:r>
        <w:rPr>
          <w:color w:val="auto"/>
        </w:rPr>
        <w:t>/</w:t>
      </w:r>
      <w:r>
        <w:rPr>
          <w:rFonts w:ascii="Times New Roman" w:hAnsi="Times New Roman" w:cs="Times New Roman"/>
          <w:color w:val="auto"/>
        </w:rPr>
        <w:t>m</w:t>
      </w:r>
      <w:r>
        <w:rPr>
          <w:rFonts w:ascii="Times New Roman" w:hAnsi="Times New Roman" w:cs="Times New Roman"/>
          <w:color w:val="auto"/>
          <w:vertAlign w:val="superscript"/>
        </w:rPr>
        <w:t>3</w:t>
      </w:r>
      <w:r>
        <w:rPr>
          <w:color w:val="auto"/>
        </w:rPr>
        <w:t>。</w:t>
      </w:r>
    </w:p>
    <w:p>
      <w:pPr>
        <w:rPr>
          <w:rFonts w:hint="eastAsia"/>
          <w:color w:val="auto"/>
        </w:rPr>
      </w:pPr>
      <w:r>
        <w:rPr>
          <w:rFonts w:hint="eastAsia"/>
          <w:color w:val="auto"/>
        </w:rPr>
        <w:t>（</w:t>
      </w:r>
      <w:r>
        <w:rPr>
          <w:rFonts w:hint="eastAsia" w:ascii="Times New Roman" w:hAnsi="Times New Roman"/>
          <w:color w:val="auto"/>
        </w:rPr>
        <w:t>5</w:t>
      </w:r>
      <w:r>
        <w:rPr>
          <w:rFonts w:hint="eastAsia"/>
          <w:color w:val="auto"/>
        </w:rPr>
        <w:t>）</w:t>
      </w:r>
      <w:r>
        <w:rPr>
          <w:rFonts w:hint="eastAsia"/>
          <w:color w:val="auto"/>
          <w:lang w:eastAsia="zh-CN"/>
        </w:rPr>
        <w:t>监测及</w:t>
      </w:r>
      <w:r>
        <w:rPr>
          <w:rFonts w:hint="eastAsia"/>
          <w:color w:val="auto"/>
        </w:rPr>
        <w:t>评价结果</w:t>
      </w:r>
    </w:p>
    <w:p>
      <w:pPr>
        <w:rPr>
          <w:color w:val="FF0000"/>
        </w:rPr>
      </w:pPr>
      <w:r>
        <w:rPr>
          <w:rFonts w:hint="eastAsia"/>
          <w:color w:val="auto"/>
          <w:lang w:eastAsia="zh-CN"/>
        </w:rPr>
        <w:t>其他污染物</w:t>
      </w:r>
      <w:r>
        <w:rPr>
          <w:rFonts w:hint="eastAsia"/>
          <w:color w:val="auto"/>
        </w:rPr>
        <w:t>环境空气质量监测点各项污染物的评价结果见表</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5</w:t>
      </w:r>
      <w:r>
        <w:rPr>
          <w:rFonts w:hint="eastAsia" w:ascii="Times New Roman"/>
          <w:color w:val="auto"/>
          <w:lang w:val="en-US" w:eastAsia="zh-CN"/>
        </w:rPr>
        <w:t>-</w:t>
      </w:r>
      <w:r>
        <w:rPr>
          <w:rFonts w:hint="eastAsia" w:ascii="Times New Roman" w:hAnsi="Times New Roman"/>
          <w:color w:val="auto"/>
          <w:lang w:val="en-US" w:eastAsia="zh-CN"/>
        </w:rPr>
        <w:t>3</w:t>
      </w:r>
      <w:r>
        <w:rPr>
          <w:rFonts w:hint="eastAsia"/>
          <w:color w:val="auto"/>
        </w:rPr>
        <w:t>。</w:t>
      </w:r>
    </w:p>
    <w:p>
      <w:pPr>
        <w:snapToGrid w:val="0"/>
        <w:spacing w:before="169" w:beforeLines="50"/>
        <w:ind w:firstLine="0"/>
        <w:jc w:val="center"/>
        <w:rPr>
          <w:rFonts w:hint="eastAsia" w:hAnsi="宋体" w:cs="宋体"/>
          <w:b/>
          <w:bCs/>
          <w:color w:val="auto"/>
          <w:spacing w:val="-6"/>
          <w:sz w:val="21"/>
          <w:szCs w:val="21"/>
        </w:rPr>
      </w:pPr>
      <w:r>
        <w:rPr>
          <w:rFonts w:hint="eastAsia" w:hAnsi="宋体" w:cs="宋体"/>
          <w:b/>
          <w:bCs/>
          <w:color w:val="auto"/>
          <w:sz w:val="21"/>
          <w:szCs w:val="21"/>
        </w:rPr>
        <w:t>表</w:t>
      </w:r>
      <w:r>
        <w:rPr>
          <w:rFonts w:hint="eastAsia" w:ascii="Times New Roman" w:hAnsi="Times New Roman"/>
          <w:b/>
          <w:bCs/>
          <w:color w:val="auto"/>
          <w:sz w:val="21"/>
          <w:szCs w:val="21"/>
          <w:lang w:val="en-US" w:eastAsia="zh-CN"/>
        </w:rPr>
        <w:t>5</w:t>
      </w:r>
      <w:r>
        <w:rPr>
          <w:rFonts w:hint="eastAsia" w:ascii="Times New Roman"/>
          <w:b/>
          <w:bCs/>
          <w:color w:val="auto"/>
          <w:sz w:val="21"/>
          <w:szCs w:val="21"/>
          <w:lang w:val="en-US" w:eastAsia="zh-CN"/>
        </w:rPr>
        <w:t>.</w:t>
      </w:r>
      <w:r>
        <w:rPr>
          <w:rFonts w:hint="eastAsia" w:ascii="Times New Roman" w:hAnsi="Times New Roman"/>
          <w:b/>
          <w:bCs/>
          <w:color w:val="auto"/>
          <w:sz w:val="21"/>
          <w:szCs w:val="21"/>
          <w:lang w:val="en-US" w:eastAsia="zh-CN"/>
        </w:rPr>
        <w:t>5</w:t>
      </w:r>
      <w:r>
        <w:rPr>
          <w:rFonts w:hint="eastAsia" w:ascii="Times New Roman"/>
          <w:b/>
          <w:bCs/>
          <w:color w:val="auto"/>
          <w:sz w:val="21"/>
          <w:szCs w:val="21"/>
          <w:lang w:val="en-US" w:eastAsia="zh-CN"/>
        </w:rPr>
        <w:t>-</w:t>
      </w:r>
      <w:r>
        <w:rPr>
          <w:rFonts w:hint="eastAsia" w:ascii="Times New Roman" w:hAnsi="Times New Roman"/>
          <w:b/>
          <w:bCs/>
          <w:color w:val="auto"/>
          <w:sz w:val="21"/>
          <w:szCs w:val="21"/>
          <w:lang w:val="en-US" w:eastAsia="zh-CN"/>
        </w:rPr>
        <w:t>3</w:t>
      </w:r>
      <w:r>
        <w:rPr>
          <w:rFonts w:hint="eastAsia" w:hAnsi="宋体" w:cs="宋体"/>
          <w:b/>
          <w:bCs/>
          <w:color w:val="auto"/>
          <w:sz w:val="21"/>
          <w:szCs w:val="21"/>
        </w:rPr>
        <w:t xml:space="preserve">  </w:t>
      </w:r>
      <w:r>
        <w:rPr>
          <w:rFonts w:hint="eastAsia" w:hAnsi="宋体" w:cs="宋体"/>
          <w:b/>
          <w:bCs/>
          <w:color w:val="auto"/>
          <w:spacing w:val="-6"/>
          <w:sz w:val="21"/>
          <w:szCs w:val="21"/>
        </w:rPr>
        <w:t>环境空气质量统计分析表</w:t>
      </w:r>
    </w:p>
    <w:tbl>
      <w:tblPr>
        <w:tblStyle w:val="8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092"/>
        <w:gridCol w:w="882"/>
        <w:gridCol w:w="1260"/>
        <w:gridCol w:w="2026"/>
        <w:gridCol w:w="1304"/>
        <w:gridCol w:w="853"/>
        <w:gridCol w:w="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76" w:type="pct"/>
            <w:vMerge w:val="restart"/>
            <w:noWrap w:val="0"/>
            <w:vAlign w:val="center"/>
          </w:tcPr>
          <w:p>
            <w:pPr>
              <w:spacing w:line="240" w:lineRule="auto"/>
              <w:ind w:firstLine="0"/>
              <w:jc w:val="center"/>
              <w:rPr>
                <w:color w:val="auto"/>
                <w:sz w:val="21"/>
                <w:szCs w:val="21"/>
              </w:rPr>
            </w:pPr>
            <w:r>
              <w:rPr>
                <w:color w:val="auto"/>
                <w:sz w:val="21"/>
                <w:szCs w:val="21"/>
              </w:rPr>
              <w:t>监测点名称</w:t>
            </w:r>
          </w:p>
        </w:tc>
        <w:tc>
          <w:tcPr>
            <w:tcW w:w="596" w:type="pct"/>
            <w:vMerge w:val="restart"/>
            <w:noWrap w:val="0"/>
            <w:vAlign w:val="center"/>
          </w:tcPr>
          <w:p>
            <w:pPr>
              <w:spacing w:line="240" w:lineRule="auto"/>
              <w:ind w:firstLine="0"/>
              <w:jc w:val="center"/>
              <w:rPr>
                <w:color w:val="auto"/>
                <w:sz w:val="21"/>
                <w:szCs w:val="21"/>
              </w:rPr>
            </w:pPr>
            <w:r>
              <w:rPr>
                <w:color w:val="auto"/>
                <w:sz w:val="21"/>
                <w:szCs w:val="21"/>
              </w:rPr>
              <w:t>污染物</w:t>
            </w:r>
          </w:p>
        </w:tc>
        <w:tc>
          <w:tcPr>
            <w:tcW w:w="481" w:type="pct"/>
            <w:vMerge w:val="restart"/>
            <w:noWrap w:val="0"/>
            <w:vAlign w:val="center"/>
          </w:tcPr>
          <w:p>
            <w:pPr>
              <w:spacing w:line="240" w:lineRule="auto"/>
              <w:ind w:firstLine="0"/>
              <w:jc w:val="center"/>
              <w:rPr>
                <w:color w:val="auto"/>
                <w:sz w:val="21"/>
                <w:szCs w:val="21"/>
              </w:rPr>
            </w:pPr>
            <w:r>
              <w:rPr>
                <w:color w:val="auto"/>
                <w:sz w:val="21"/>
                <w:szCs w:val="21"/>
              </w:rPr>
              <w:t>平均时间</w:t>
            </w:r>
          </w:p>
        </w:tc>
        <w:tc>
          <w:tcPr>
            <w:tcW w:w="687" w:type="pct"/>
            <w:vMerge w:val="restart"/>
            <w:noWrap w:val="0"/>
            <w:vAlign w:val="center"/>
          </w:tcPr>
          <w:p>
            <w:pPr>
              <w:spacing w:line="240" w:lineRule="auto"/>
              <w:ind w:firstLine="0"/>
              <w:jc w:val="center"/>
              <w:rPr>
                <w:color w:val="auto"/>
                <w:sz w:val="21"/>
                <w:szCs w:val="21"/>
              </w:rPr>
            </w:pPr>
            <w:r>
              <w:rPr>
                <w:color w:val="auto"/>
                <w:sz w:val="21"/>
                <w:szCs w:val="21"/>
              </w:rPr>
              <w:t>评价标准</w:t>
            </w:r>
            <w:r>
              <w:rPr>
                <w:rFonts w:ascii="Times New Roman" w:hAnsi="Times New Roman"/>
                <w:bCs/>
                <w:color w:val="auto"/>
                <w:sz w:val="21"/>
                <w:szCs w:val="21"/>
              </w:rPr>
              <w:t>mg</w:t>
            </w:r>
            <w:r>
              <w:rPr>
                <w:bCs/>
                <w:color w:val="auto"/>
                <w:sz w:val="21"/>
                <w:szCs w:val="21"/>
              </w:rPr>
              <w:t>/</w:t>
            </w:r>
            <w:r>
              <w:rPr>
                <w:rFonts w:ascii="Times New Roman" w:hAnsi="Times New Roman"/>
                <w:bCs/>
                <w:color w:val="auto"/>
                <w:sz w:val="21"/>
                <w:szCs w:val="21"/>
              </w:rPr>
              <w:t>m</w:t>
            </w:r>
            <w:r>
              <w:rPr>
                <w:rFonts w:ascii="Times New Roman" w:hAnsi="Times New Roman"/>
                <w:bCs/>
                <w:color w:val="auto"/>
                <w:sz w:val="21"/>
                <w:szCs w:val="21"/>
                <w:vertAlign w:val="superscript"/>
              </w:rPr>
              <w:t>3</w:t>
            </w:r>
          </w:p>
        </w:tc>
        <w:tc>
          <w:tcPr>
            <w:tcW w:w="1105" w:type="pct"/>
            <w:vMerge w:val="restart"/>
            <w:noWrap w:val="0"/>
            <w:vAlign w:val="center"/>
          </w:tcPr>
          <w:p>
            <w:pPr>
              <w:spacing w:line="240" w:lineRule="auto"/>
              <w:ind w:firstLine="0"/>
              <w:jc w:val="center"/>
              <w:rPr>
                <w:color w:val="auto"/>
                <w:sz w:val="21"/>
                <w:szCs w:val="21"/>
              </w:rPr>
            </w:pPr>
            <w:r>
              <w:rPr>
                <w:color w:val="auto"/>
                <w:sz w:val="21"/>
                <w:szCs w:val="21"/>
              </w:rPr>
              <w:t>监测浓度范围</w:t>
            </w:r>
            <w:r>
              <w:rPr>
                <w:rFonts w:ascii="Times New Roman" w:hAnsi="Times New Roman"/>
                <w:bCs/>
                <w:color w:val="auto"/>
                <w:sz w:val="21"/>
                <w:szCs w:val="21"/>
              </w:rPr>
              <w:t>mg</w:t>
            </w:r>
            <w:r>
              <w:rPr>
                <w:bCs/>
                <w:color w:val="auto"/>
                <w:sz w:val="21"/>
                <w:szCs w:val="21"/>
              </w:rPr>
              <w:t>/</w:t>
            </w:r>
            <w:r>
              <w:rPr>
                <w:rFonts w:ascii="Times New Roman" w:hAnsi="Times New Roman"/>
                <w:bCs/>
                <w:color w:val="auto"/>
                <w:sz w:val="21"/>
                <w:szCs w:val="21"/>
              </w:rPr>
              <w:t>m</w:t>
            </w:r>
            <w:r>
              <w:rPr>
                <w:rFonts w:ascii="Times New Roman" w:hAnsi="Times New Roman"/>
                <w:bCs/>
                <w:color w:val="auto"/>
                <w:sz w:val="21"/>
                <w:szCs w:val="21"/>
                <w:vertAlign w:val="superscript"/>
              </w:rPr>
              <w:t>3</w:t>
            </w:r>
          </w:p>
        </w:tc>
        <w:tc>
          <w:tcPr>
            <w:tcW w:w="711" w:type="pct"/>
            <w:vMerge w:val="restart"/>
            <w:noWrap w:val="0"/>
            <w:vAlign w:val="center"/>
          </w:tcPr>
          <w:p>
            <w:pPr>
              <w:spacing w:line="240" w:lineRule="auto"/>
              <w:ind w:firstLine="0"/>
              <w:jc w:val="center"/>
              <w:rPr>
                <w:rFonts w:hint="eastAsia" w:eastAsia="宋体"/>
                <w:color w:val="auto"/>
                <w:sz w:val="21"/>
                <w:szCs w:val="21"/>
                <w:lang w:eastAsia="zh-CN"/>
              </w:rPr>
            </w:pPr>
            <w:r>
              <w:rPr>
                <w:rFonts w:hint="eastAsia"/>
                <w:color w:val="auto"/>
                <w:sz w:val="21"/>
                <w:szCs w:val="21"/>
                <w:lang w:eastAsia="zh-CN"/>
              </w:rPr>
              <w:t>标准指数</w:t>
            </w:r>
          </w:p>
        </w:tc>
        <w:tc>
          <w:tcPr>
            <w:tcW w:w="465" w:type="pct"/>
            <w:vMerge w:val="restart"/>
            <w:noWrap w:val="0"/>
            <w:vAlign w:val="center"/>
          </w:tcPr>
          <w:p>
            <w:pPr>
              <w:spacing w:line="240" w:lineRule="auto"/>
              <w:ind w:firstLine="0"/>
              <w:jc w:val="center"/>
              <w:rPr>
                <w:color w:val="auto"/>
                <w:sz w:val="21"/>
                <w:szCs w:val="21"/>
              </w:rPr>
            </w:pPr>
            <w:r>
              <w:rPr>
                <w:color w:val="auto"/>
                <w:sz w:val="21"/>
                <w:szCs w:val="21"/>
              </w:rPr>
              <w:t>超标率%</w:t>
            </w:r>
          </w:p>
        </w:tc>
        <w:tc>
          <w:tcPr>
            <w:tcW w:w="476" w:type="pct"/>
            <w:vMerge w:val="restart"/>
            <w:noWrap w:val="0"/>
            <w:vAlign w:val="center"/>
          </w:tcPr>
          <w:p>
            <w:pPr>
              <w:spacing w:line="240" w:lineRule="auto"/>
              <w:ind w:firstLine="0"/>
              <w:jc w:val="center"/>
              <w:rPr>
                <w:color w:val="auto"/>
                <w:sz w:val="21"/>
                <w:szCs w:val="21"/>
              </w:rPr>
            </w:pPr>
            <w:r>
              <w:rPr>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6" w:type="pct"/>
            <w:vMerge w:val="continue"/>
            <w:noWrap w:val="0"/>
            <w:vAlign w:val="center"/>
          </w:tcPr>
          <w:p>
            <w:pPr>
              <w:spacing w:line="240" w:lineRule="auto"/>
              <w:ind w:firstLine="0"/>
              <w:jc w:val="center"/>
              <w:rPr>
                <w:color w:val="auto"/>
                <w:sz w:val="21"/>
                <w:szCs w:val="21"/>
              </w:rPr>
            </w:pPr>
          </w:p>
        </w:tc>
        <w:tc>
          <w:tcPr>
            <w:tcW w:w="596" w:type="pct"/>
            <w:vMerge w:val="continue"/>
            <w:noWrap w:val="0"/>
            <w:vAlign w:val="center"/>
          </w:tcPr>
          <w:p>
            <w:pPr>
              <w:spacing w:line="240" w:lineRule="auto"/>
              <w:ind w:firstLine="0"/>
              <w:jc w:val="center"/>
              <w:rPr>
                <w:color w:val="auto"/>
                <w:sz w:val="21"/>
                <w:szCs w:val="21"/>
              </w:rPr>
            </w:pPr>
          </w:p>
        </w:tc>
        <w:tc>
          <w:tcPr>
            <w:tcW w:w="481" w:type="pct"/>
            <w:vMerge w:val="continue"/>
            <w:noWrap w:val="0"/>
            <w:vAlign w:val="center"/>
          </w:tcPr>
          <w:p>
            <w:pPr>
              <w:spacing w:line="240" w:lineRule="auto"/>
              <w:ind w:firstLine="0"/>
              <w:jc w:val="center"/>
              <w:rPr>
                <w:color w:val="auto"/>
                <w:sz w:val="21"/>
                <w:szCs w:val="21"/>
              </w:rPr>
            </w:pPr>
          </w:p>
        </w:tc>
        <w:tc>
          <w:tcPr>
            <w:tcW w:w="687" w:type="pct"/>
            <w:vMerge w:val="continue"/>
            <w:noWrap w:val="0"/>
            <w:vAlign w:val="center"/>
          </w:tcPr>
          <w:p>
            <w:pPr>
              <w:spacing w:line="240" w:lineRule="auto"/>
              <w:ind w:firstLine="0"/>
              <w:jc w:val="center"/>
              <w:rPr>
                <w:color w:val="auto"/>
                <w:sz w:val="21"/>
                <w:szCs w:val="21"/>
              </w:rPr>
            </w:pPr>
          </w:p>
        </w:tc>
        <w:tc>
          <w:tcPr>
            <w:tcW w:w="1105" w:type="pct"/>
            <w:vMerge w:val="continue"/>
            <w:noWrap w:val="0"/>
            <w:vAlign w:val="center"/>
          </w:tcPr>
          <w:p>
            <w:pPr>
              <w:spacing w:line="240" w:lineRule="auto"/>
              <w:ind w:firstLine="0"/>
              <w:jc w:val="center"/>
              <w:rPr>
                <w:color w:val="auto"/>
                <w:sz w:val="21"/>
                <w:szCs w:val="21"/>
              </w:rPr>
            </w:pPr>
          </w:p>
        </w:tc>
        <w:tc>
          <w:tcPr>
            <w:tcW w:w="711" w:type="pct"/>
            <w:vMerge w:val="continue"/>
            <w:noWrap w:val="0"/>
            <w:vAlign w:val="center"/>
          </w:tcPr>
          <w:p>
            <w:pPr>
              <w:spacing w:line="240" w:lineRule="auto"/>
              <w:ind w:firstLine="0"/>
              <w:jc w:val="center"/>
              <w:rPr>
                <w:color w:val="auto"/>
                <w:sz w:val="21"/>
                <w:szCs w:val="21"/>
              </w:rPr>
            </w:pPr>
          </w:p>
        </w:tc>
        <w:tc>
          <w:tcPr>
            <w:tcW w:w="465" w:type="pct"/>
            <w:vMerge w:val="continue"/>
            <w:noWrap w:val="0"/>
            <w:vAlign w:val="center"/>
          </w:tcPr>
          <w:p>
            <w:pPr>
              <w:spacing w:line="240" w:lineRule="auto"/>
              <w:ind w:firstLine="0"/>
              <w:jc w:val="center"/>
              <w:rPr>
                <w:color w:val="auto"/>
                <w:sz w:val="21"/>
                <w:szCs w:val="21"/>
              </w:rPr>
            </w:pPr>
          </w:p>
        </w:tc>
        <w:tc>
          <w:tcPr>
            <w:tcW w:w="476" w:type="pct"/>
            <w:vMerge w:val="continue"/>
            <w:noWrap w:val="0"/>
            <w:vAlign w:val="center"/>
          </w:tcPr>
          <w:p>
            <w:pPr>
              <w:spacing w:line="240" w:lineRule="auto"/>
              <w:ind w:firstLine="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76" w:type="pct"/>
            <w:vMerge w:val="restart"/>
            <w:noWrap w:val="0"/>
            <w:vAlign w:val="center"/>
          </w:tcPr>
          <w:p>
            <w:pPr>
              <w:spacing w:line="240" w:lineRule="auto"/>
              <w:ind w:firstLine="0"/>
              <w:jc w:val="center"/>
              <w:rPr>
                <w:color w:val="auto"/>
                <w:sz w:val="21"/>
                <w:szCs w:val="21"/>
              </w:rPr>
            </w:pPr>
            <w:r>
              <w:rPr>
                <w:rFonts w:hint="eastAsia" w:ascii="Times New Roman" w:hAnsi="Times New Roman"/>
                <w:color w:val="auto"/>
                <w:sz w:val="21"/>
                <w:szCs w:val="21"/>
              </w:rPr>
              <w:t>G1</w:t>
            </w:r>
          </w:p>
        </w:tc>
        <w:tc>
          <w:tcPr>
            <w:tcW w:w="596" w:type="pct"/>
            <w:noWrap w:val="0"/>
            <w:vAlign w:val="center"/>
          </w:tcPr>
          <w:p>
            <w:pPr>
              <w:pStyle w:val="746"/>
              <w:spacing w:line="240" w:lineRule="auto"/>
              <w:rPr>
                <w:rFonts w:ascii="Times New Roman" w:hAnsi="Times New Roman" w:eastAsia="宋体" w:cs="Times New Roman"/>
                <w:color w:val="auto"/>
                <w:sz w:val="21"/>
                <w:szCs w:val="21"/>
                <w:lang w:val="en-US" w:eastAsia="zh-CN" w:bidi="ar-SA"/>
              </w:rPr>
            </w:pPr>
            <w:r>
              <w:rPr>
                <w:rFonts w:ascii="Times New Roman" w:hAnsi="Times New Roman"/>
                <w:color w:val="auto"/>
                <w:sz w:val="21"/>
                <w:szCs w:val="21"/>
              </w:rPr>
              <w:t>NH</w:t>
            </w:r>
            <w:r>
              <w:rPr>
                <w:rFonts w:ascii="Times New Roman" w:hAnsi="Times New Roman"/>
                <w:color w:val="auto"/>
                <w:sz w:val="21"/>
                <w:szCs w:val="21"/>
                <w:vertAlign w:val="subscript"/>
              </w:rPr>
              <w:t>3</w:t>
            </w:r>
          </w:p>
        </w:tc>
        <w:tc>
          <w:tcPr>
            <w:tcW w:w="481"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rFonts w:ascii="Times New Roman" w:hAnsi="Times New Roman"/>
                <w:color w:val="auto"/>
                <w:sz w:val="21"/>
                <w:szCs w:val="21"/>
              </w:rPr>
              <w:t>1h</w:t>
            </w:r>
          </w:p>
        </w:tc>
        <w:tc>
          <w:tcPr>
            <w:tcW w:w="687"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rFonts w:ascii="Times New Roman" w:hAnsi="Times New Roman"/>
                <w:color w:val="auto"/>
                <w:sz w:val="21"/>
                <w:szCs w:val="21"/>
              </w:rPr>
              <w:t>0</w:t>
            </w:r>
            <w:r>
              <w:rPr>
                <w:color w:val="auto"/>
                <w:sz w:val="21"/>
                <w:szCs w:val="21"/>
              </w:rPr>
              <w:t>.</w:t>
            </w:r>
            <w:r>
              <w:rPr>
                <w:rFonts w:ascii="Times New Roman" w:hAnsi="Times New Roman"/>
                <w:color w:val="auto"/>
                <w:sz w:val="21"/>
                <w:szCs w:val="21"/>
              </w:rPr>
              <w:t>2</w:t>
            </w:r>
          </w:p>
        </w:tc>
        <w:tc>
          <w:tcPr>
            <w:tcW w:w="1105" w:type="pct"/>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ND</w:t>
            </w:r>
            <w:r>
              <w:rPr>
                <w:rFonts w:hint="eastAsia"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0</w:t>
            </w:r>
            <w:r>
              <w:rPr>
                <w:rFonts w:hint="eastAsia"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17</w:t>
            </w:r>
          </w:p>
        </w:tc>
        <w:tc>
          <w:tcPr>
            <w:tcW w:w="711" w:type="pct"/>
            <w:noWrap w:val="0"/>
            <w:vAlign w:val="center"/>
          </w:tcPr>
          <w:p>
            <w:pPr>
              <w:spacing w:line="240" w:lineRule="auto"/>
              <w:ind w:firstLine="0" w:firstLineChars="0"/>
              <w:jc w:val="center"/>
              <w:rPr>
                <w:rFonts w:hint="default" w:ascii="宋体" w:hAnsi="宋体" w:eastAsia="等线" w:cs="Times New Roman"/>
                <w:color w:val="auto"/>
                <w:sz w:val="21"/>
                <w:szCs w:val="21"/>
                <w:lang w:val="en-US" w:eastAsia="zh-CN" w:bidi="ar-SA"/>
              </w:rPr>
            </w:pPr>
            <w:r>
              <w:rPr>
                <w:rFonts w:hint="eastAsia" w:ascii="Times New Roman" w:hAnsi="Times New Roman" w:eastAsia="等线" w:cs="Times New Roman"/>
                <w:color w:val="auto"/>
                <w:sz w:val="21"/>
                <w:szCs w:val="21"/>
                <w:lang w:val="en-US" w:eastAsia="zh-CN" w:bidi="ar-SA"/>
              </w:rPr>
              <w:t>0</w:t>
            </w:r>
            <w:r>
              <w:rPr>
                <w:rFonts w:hint="eastAsia" w:eastAsia="等线" w:cs="Times New Roman"/>
                <w:color w:val="auto"/>
                <w:sz w:val="21"/>
                <w:szCs w:val="21"/>
                <w:lang w:val="en-US" w:eastAsia="zh-CN" w:bidi="ar-SA"/>
              </w:rPr>
              <w:t>.</w:t>
            </w:r>
            <w:r>
              <w:rPr>
                <w:rFonts w:hint="eastAsia" w:ascii="Times New Roman" w:hAnsi="Times New Roman" w:eastAsia="等线" w:cs="Times New Roman"/>
                <w:color w:val="auto"/>
                <w:sz w:val="21"/>
                <w:szCs w:val="21"/>
                <w:lang w:val="en-US" w:eastAsia="zh-CN" w:bidi="ar-SA"/>
              </w:rPr>
              <w:t>85</w:t>
            </w:r>
          </w:p>
        </w:tc>
        <w:tc>
          <w:tcPr>
            <w:tcW w:w="465"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rFonts w:ascii="Times New Roman" w:hAnsi="Times New Roman"/>
                <w:color w:val="auto"/>
                <w:sz w:val="21"/>
                <w:szCs w:val="21"/>
              </w:rPr>
              <w:t>0</w:t>
            </w:r>
          </w:p>
        </w:tc>
        <w:tc>
          <w:tcPr>
            <w:tcW w:w="476"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 w:type="pct"/>
            <w:vMerge w:val="continue"/>
            <w:noWrap w:val="0"/>
            <w:vAlign w:val="center"/>
          </w:tcPr>
          <w:p>
            <w:pPr>
              <w:spacing w:line="240" w:lineRule="auto"/>
              <w:ind w:firstLine="0"/>
              <w:jc w:val="center"/>
              <w:rPr>
                <w:color w:val="auto"/>
                <w:sz w:val="21"/>
                <w:szCs w:val="21"/>
              </w:rPr>
            </w:pPr>
          </w:p>
        </w:tc>
        <w:tc>
          <w:tcPr>
            <w:tcW w:w="596" w:type="pct"/>
            <w:noWrap w:val="0"/>
            <w:vAlign w:val="center"/>
          </w:tcPr>
          <w:p>
            <w:pPr>
              <w:pStyle w:val="746"/>
              <w:spacing w:line="240" w:lineRule="auto"/>
              <w:rPr>
                <w:rFonts w:hint="default"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lang w:val="en-US" w:eastAsia="zh-CN"/>
              </w:rPr>
              <w:t>NMHC</w:t>
            </w:r>
          </w:p>
        </w:tc>
        <w:tc>
          <w:tcPr>
            <w:tcW w:w="481" w:type="pct"/>
            <w:noWrap w:val="0"/>
            <w:vAlign w:val="center"/>
          </w:tcPr>
          <w:p>
            <w:pPr>
              <w:spacing w:line="240" w:lineRule="auto"/>
              <w:ind w:firstLine="0" w:firstLineChars="0"/>
              <w:jc w:val="center"/>
              <w:rPr>
                <w:rFonts w:hint="default" w:ascii="Times New Roman"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1h</w:t>
            </w:r>
          </w:p>
        </w:tc>
        <w:tc>
          <w:tcPr>
            <w:tcW w:w="687" w:type="pct"/>
            <w:noWrap w:val="0"/>
            <w:vAlign w:val="center"/>
          </w:tcPr>
          <w:p>
            <w:pPr>
              <w:spacing w:line="240" w:lineRule="auto"/>
              <w:ind w:firstLine="0" w:firstLineChars="0"/>
              <w:jc w:val="center"/>
              <w:rPr>
                <w:rFonts w:hint="eastAsia" w:ascii="Times New Roman"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2</w:t>
            </w:r>
          </w:p>
        </w:tc>
        <w:tc>
          <w:tcPr>
            <w:tcW w:w="1105" w:type="pct"/>
            <w:noWrap w:val="0"/>
            <w:vAlign w:val="center"/>
          </w:tcPr>
          <w:p>
            <w:pPr>
              <w:spacing w:line="240" w:lineRule="auto"/>
              <w:ind w:firstLine="0" w:firstLineChars="0"/>
              <w:jc w:val="center"/>
              <w:rPr>
                <w:rFonts w:hint="default" w:ascii="宋体" w:hAnsi="宋体" w:eastAsia="宋体" w:cs="Times New Roman"/>
                <w:color w:val="auto"/>
                <w:kern w:val="44"/>
                <w:sz w:val="21"/>
                <w:szCs w:val="21"/>
                <w:lang w:val="en-US" w:eastAsia="zh-CN" w:bidi="ar-SA"/>
              </w:rPr>
            </w:pPr>
            <w:r>
              <w:rPr>
                <w:rFonts w:hint="eastAsia" w:ascii="Times New Roman" w:hAnsi="Times New Roman" w:cs="Times New Roman"/>
                <w:color w:val="auto"/>
                <w:kern w:val="44"/>
                <w:sz w:val="21"/>
                <w:szCs w:val="21"/>
                <w:lang w:val="en-US" w:eastAsia="zh-CN" w:bidi="ar-SA"/>
              </w:rPr>
              <w:t>0</w:t>
            </w:r>
            <w:r>
              <w:rPr>
                <w:rFonts w:hint="eastAsia" w:cs="Times New Roman"/>
                <w:color w:val="auto"/>
                <w:kern w:val="44"/>
                <w:sz w:val="21"/>
                <w:szCs w:val="21"/>
                <w:lang w:val="en-US" w:eastAsia="zh-CN" w:bidi="ar-SA"/>
              </w:rPr>
              <w:t>.</w:t>
            </w:r>
            <w:r>
              <w:rPr>
                <w:rFonts w:hint="eastAsia" w:ascii="Times New Roman" w:hAnsi="Times New Roman" w:cs="Times New Roman"/>
                <w:color w:val="auto"/>
                <w:kern w:val="44"/>
                <w:sz w:val="21"/>
                <w:szCs w:val="21"/>
                <w:lang w:val="en-US" w:eastAsia="zh-CN" w:bidi="ar-SA"/>
              </w:rPr>
              <w:t>35</w:t>
            </w:r>
            <w:r>
              <w:rPr>
                <w:rFonts w:hint="eastAsia" w:cs="Times New Roman"/>
                <w:color w:val="auto"/>
                <w:kern w:val="44"/>
                <w:sz w:val="21"/>
                <w:szCs w:val="21"/>
                <w:lang w:val="en-US" w:eastAsia="zh-CN" w:bidi="ar-SA"/>
              </w:rPr>
              <w:t>～</w:t>
            </w:r>
            <w:r>
              <w:rPr>
                <w:rFonts w:hint="eastAsia" w:ascii="Times New Roman" w:hAnsi="Times New Roman" w:cs="Times New Roman"/>
                <w:color w:val="auto"/>
                <w:kern w:val="44"/>
                <w:sz w:val="21"/>
                <w:szCs w:val="21"/>
                <w:lang w:val="en-US" w:eastAsia="zh-CN" w:bidi="ar-SA"/>
              </w:rPr>
              <w:t>0</w:t>
            </w:r>
            <w:r>
              <w:rPr>
                <w:rFonts w:hint="eastAsia" w:cs="Times New Roman"/>
                <w:color w:val="auto"/>
                <w:kern w:val="44"/>
                <w:sz w:val="21"/>
                <w:szCs w:val="21"/>
                <w:lang w:val="en-US" w:eastAsia="zh-CN" w:bidi="ar-SA"/>
              </w:rPr>
              <w:t>.</w:t>
            </w:r>
            <w:r>
              <w:rPr>
                <w:rFonts w:hint="eastAsia" w:ascii="Times New Roman" w:hAnsi="Times New Roman" w:cs="Times New Roman"/>
                <w:color w:val="auto"/>
                <w:kern w:val="44"/>
                <w:sz w:val="21"/>
                <w:szCs w:val="21"/>
                <w:lang w:val="en-US" w:eastAsia="zh-CN" w:bidi="ar-SA"/>
              </w:rPr>
              <w:t>71</w:t>
            </w:r>
          </w:p>
        </w:tc>
        <w:tc>
          <w:tcPr>
            <w:tcW w:w="711" w:type="pct"/>
            <w:noWrap w:val="0"/>
            <w:vAlign w:val="center"/>
          </w:tcPr>
          <w:p>
            <w:pPr>
              <w:spacing w:line="240" w:lineRule="auto"/>
              <w:ind w:firstLine="0" w:firstLineChars="0"/>
              <w:jc w:val="center"/>
              <w:rPr>
                <w:rFonts w:hint="default" w:ascii="宋体" w:hAnsi="宋体" w:eastAsia="等线" w:cs="Times New Roman"/>
                <w:color w:val="auto"/>
                <w:sz w:val="21"/>
                <w:szCs w:val="21"/>
                <w:lang w:val="en-US" w:eastAsia="zh-CN" w:bidi="ar-SA"/>
              </w:rPr>
            </w:pPr>
            <w:r>
              <w:rPr>
                <w:rFonts w:hint="eastAsia" w:ascii="Times New Roman" w:hAnsi="Times New Roman" w:eastAsia="等线" w:cs="Times New Roman"/>
                <w:color w:val="auto"/>
                <w:sz w:val="21"/>
                <w:szCs w:val="21"/>
                <w:lang w:val="en-US" w:eastAsia="zh-CN" w:bidi="ar-SA"/>
              </w:rPr>
              <w:t>0</w:t>
            </w:r>
            <w:r>
              <w:rPr>
                <w:rFonts w:hint="eastAsia" w:eastAsia="等线" w:cs="Times New Roman"/>
                <w:color w:val="auto"/>
                <w:sz w:val="21"/>
                <w:szCs w:val="21"/>
                <w:lang w:val="en-US" w:eastAsia="zh-CN" w:bidi="ar-SA"/>
              </w:rPr>
              <w:t>.</w:t>
            </w:r>
            <w:r>
              <w:rPr>
                <w:rFonts w:hint="eastAsia" w:ascii="Times New Roman" w:hAnsi="Times New Roman" w:eastAsia="等线" w:cs="Times New Roman"/>
                <w:color w:val="auto"/>
                <w:sz w:val="21"/>
                <w:szCs w:val="21"/>
                <w:lang w:val="en-US" w:eastAsia="zh-CN" w:bidi="ar-SA"/>
              </w:rPr>
              <w:t>35</w:t>
            </w:r>
          </w:p>
        </w:tc>
        <w:tc>
          <w:tcPr>
            <w:tcW w:w="465" w:type="pct"/>
            <w:noWrap w:val="0"/>
            <w:vAlign w:val="center"/>
          </w:tcPr>
          <w:p>
            <w:pPr>
              <w:spacing w:line="240" w:lineRule="auto"/>
              <w:ind w:firstLine="0" w:firstLineChars="0"/>
              <w:jc w:val="center"/>
              <w:rPr>
                <w:rFonts w:hint="eastAsia" w:ascii="Times New Roman"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0</w:t>
            </w:r>
          </w:p>
        </w:tc>
        <w:tc>
          <w:tcPr>
            <w:tcW w:w="476" w:type="pct"/>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olor w:val="auto"/>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476" w:type="pct"/>
            <w:vMerge w:val="restart"/>
            <w:noWrap w:val="0"/>
            <w:vAlign w:val="center"/>
          </w:tcPr>
          <w:p>
            <w:pPr>
              <w:spacing w:line="240" w:lineRule="auto"/>
              <w:ind w:firstLine="0"/>
              <w:jc w:val="center"/>
              <w:rPr>
                <w:color w:val="auto"/>
                <w:sz w:val="21"/>
                <w:szCs w:val="21"/>
              </w:rPr>
            </w:pPr>
            <w:r>
              <w:rPr>
                <w:rFonts w:hint="eastAsia" w:ascii="Times New Roman" w:hAnsi="Times New Roman"/>
                <w:color w:val="auto"/>
                <w:sz w:val="21"/>
                <w:szCs w:val="21"/>
              </w:rPr>
              <w:t>G2</w:t>
            </w:r>
          </w:p>
        </w:tc>
        <w:tc>
          <w:tcPr>
            <w:tcW w:w="596" w:type="pct"/>
            <w:noWrap w:val="0"/>
            <w:vAlign w:val="center"/>
          </w:tcPr>
          <w:p>
            <w:pPr>
              <w:pStyle w:val="746"/>
              <w:spacing w:line="240" w:lineRule="auto"/>
              <w:rPr>
                <w:rFonts w:ascii="Times New Roman" w:hAnsi="Times New Roman" w:eastAsia="宋体" w:cs="Times New Roman"/>
                <w:color w:val="auto"/>
                <w:sz w:val="21"/>
                <w:szCs w:val="21"/>
                <w:lang w:val="en-US" w:eastAsia="zh-CN" w:bidi="ar-SA"/>
              </w:rPr>
            </w:pPr>
            <w:r>
              <w:rPr>
                <w:rFonts w:ascii="Times New Roman" w:hAnsi="Times New Roman"/>
                <w:color w:val="auto"/>
                <w:sz w:val="21"/>
                <w:szCs w:val="21"/>
              </w:rPr>
              <w:t>NH</w:t>
            </w:r>
            <w:r>
              <w:rPr>
                <w:rFonts w:ascii="Times New Roman" w:hAnsi="Times New Roman"/>
                <w:color w:val="auto"/>
                <w:sz w:val="21"/>
                <w:szCs w:val="21"/>
                <w:vertAlign w:val="subscript"/>
              </w:rPr>
              <w:t>3</w:t>
            </w:r>
          </w:p>
        </w:tc>
        <w:tc>
          <w:tcPr>
            <w:tcW w:w="481"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rFonts w:ascii="Times New Roman" w:hAnsi="Times New Roman"/>
                <w:color w:val="auto"/>
                <w:sz w:val="21"/>
                <w:szCs w:val="21"/>
              </w:rPr>
              <w:t>1h</w:t>
            </w:r>
          </w:p>
        </w:tc>
        <w:tc>
          <w:tcPr>
            <w:tcW w:w="687"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rFonts w:ascii="Times New Roman" w:hAnsi="Times New Roman"/>
                <w:color w:val="auto"/>
                <w:sz w:val="21"/>
                <w:szCs w:val="21"/>
              </w:rPr>
              <w:t>0</w:t>
            </w:r>
            <w:r>
              <w:rPr>
                <w:color w:val="auto"/>
                <w:sz w:val="21"/>
                <w:szCs w:val="21"/>
              </w:rPr>
              <w:t>.</w:t>
            </w:r>
            <w:r>
              <w:rPr>
                <w:rFonts w:ascii="Times New Roman" w:hAnsi="Times New Roman"/>
                <w:color w:val="auto"/>
                <w:sz w:val="21"/>
                <w:szCs w:val="21"/>
              </w:rPr>
              <w:t>2</w:t>
            </w:r>
          </w:p>
        </w:tc>
        <w:tc>
          <w:tcPr>
            <w:tcW w:w="1105" w:type="pct"/>
            <w:noWrap w:val="0"/>
            <w:vAlign w:val="center"/>
          </w:tcPr>
          <w:p>
            <w:pPr>
              <w:spacing w:line="240" w:lineRule="auto"/>
              <w:ind w:firstLine="0" w:firstLineChars="0"/>
              <w:jc w:val="center"/>
              <w:rPr>
                <w:rFonts w:hint="default" w:ascii="宋体" w:hAnsi="宋体"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ND</w:t>
            </w:r>
            <w:r>
              <w:rPr>
                <w:rFonts w:hint="eastAsia"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0</w:t>
            </w:r>
            <w:r>
              <w:rPr>
                <w:rFonts w:hint="eastAsia"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17</w:t>
            </w:r>
          </w:p>
        </w:tc>
        <w:tc>
          <w:tcPr>
            <w:tcW w:w="711" w:type="pct"/>
            <w:noWrap w:val="0"/>
            <w:vAlign w:val="center"/>
          </w:tcPr>
          <w:p>
            <w:pPr>
              <w:spacing w:line="240" w:lineRule="auto"/>
              <w:ind w:firstLine="0" w:firstLineChars="0"/>
              <w:jc w:val="center"/>
              <w:rPr>
                <w:rFonts w:hint="default" w:ascii="宋体" w:hAnsi="宋体" w:eastAsia="等线" w:cs="Times New Roman"/>
                <w:color w:val="auto"/>
                <w:sz w:val="21"/>
                <w:szCs w:val="21"/>
                <w:lang w:val="en-US" w:eastAsia="zh-CN" w:bidi="ar-SA"/>
              </w:rPr>
            </w:pPr>
            <w:r>
              <w:rPr>
                <w:rFonts w:hint="eastAsia" w:ascii="Times New Roman" w:hAnsi="Times New Roman" w:eastAsia="等线" w:cs="Times New Roman"/>
                <w:color w:val="auto"/>
                <w:sz w:val="21"/>
                <w:szCs w:val="21"/>
                <w:lang w:val="en-US" w:eastAsia="zh-CN" w:bidi="ar-SA"/>
              </w:rPr>
              <w:t>0</w:t>
            </w:r>
            <w:r>
              <w:rPr>
                <w:rFonts w:hint="eastAsia" w:eastAsia="等线" w:cs="Times New Roman"/>
                <w:color w:val="auto"/>
                <w:sz w:val="21"/>
                <w:szCs w:val="21"/>
                <w:lang w:val="en-US" w:eastAsia="zh-CN" w:bidi="ar-SA"/>
              </w:rPr>
              <w:t>.</w:t>
            </w:r>
            <w:r>
              <w:rPr>
                <w:rFonts w:hint="eastAsia" w:ascii="Times New Roman" w:hAnsi="Times New Roman" w:eastAsia="等线" w:cs="Times New Roman"/>
                <w:color w:val="auto"/>
                <w:sz w:val="21"/>
                <w:szCs w:val="21"/>
                <w:lang w:val="en-US" w:eastAsia="zh-CN" w:bidi="ar-SA"/>
              </w:rPr>
              <w:t>85</w:t>
            </w:r>
          </w:p>
        </w:tc>
        <w:tc>
          <w:tcPr>
            <w:tcW w:w="465"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rFonts w:ascii="Times New Roman" w:hAnsi="Times New Roman"/>
                <w:color w:val="auto"/>
                <w:sz w:val="21"/>
                <w:szCs w:val="21"/>
              </w:rPr>
              <w:t>0</w:t>
            </w:r>
          </w:p>
        </w:tc>
        <w:tc>
          <w:tcPr>
            <w:tcW w:w="476" w:type="pct"/>
            <w:noWrap w:val="0"/>
            <w:vAlign w:val="center"/>
          </w:tcPr>
          <w:p>
            <w:pPr>
              <w:spacing w:line="240" w:lineRule="auto"/>
              <w:ind w:firstLine="0" w:firstLineChars="0"/>
              <w:jc w:val="center"/>
              <w:rPr>
                <w:rFonts w:ascii="宋体" w:hAnsi="宋体" w:eastAsia="宋体" w:cs="Times New Roman"/>
                <w:color w:val="auto"/>
                <w:sz w:val="21"/>
                <w:szCs w:val="21"/>
                <w:lang w:val="en-US" w:eastAsia="zh-CN" w:bidi="ar-SA"/>
              </w:rPr>
            </w:pPr>
            <w:r>
              <w:rPr>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476" w:type="pct"/>
            <w:vMerge w:val="continue"/>
            <w:noWrap w:val="0"/>
            <w:vAlign w:val="center"/>
          </w:tcPr>
          <w:p>
            <w:pPr>
              <w:spacing w:line="240" w:lineRule="auto"/>
              <w:ind w:firstLine="0"/>
              <w:jc w:val="center"/>
              <w:rPr>
                <w:color w:val="auto"/>
                <w:sz w:val="21"/>
                <w:szCs w:val="21"/>
              </w:rPr>
            </w:pPr>
          </w:p>
        </w:tc>
        <w:tc>
          <w:tcPr>
            <w:tcW w:w="596" w:type="pct"/>
            <w:noWrap w:val="0"/>
            <w:vAlign w:val="center"/>
          </w:tcPr>
          <w:p>
            <w:pPr>
              <w:pStyle w:val="746"/>
              <w:spacing w:line="240" w:lineRule="auto"/>
              <w:rPr>
                <w:rFonts w:hint="default"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lang w:val="en-US" w:eastAsia="zh-CN"/>
              </w:rPr>
              <w:t>NMHC</w:t>
            </w:r>
          </w:p>
        </w:tc>
        <w:tc>
          <w:tcPr>
            <w:tcW w:w="481" w:type="pct"/>
            <w:noWrap w:val="0"/>
            <w:vAlign w:val="center"/>
          </w:tcPr>
          <w:p>
            <w:pPr>
              <w:spacing w:line="240" w:lineRule="auto"/>
              <w:ind w:firstLine="0" w:firstLineChars="0"/>
              <w:jc w:val="center"/>
              <w:rPr>
                <w:rFonts w:hint="default" w:ascii="Times New Roman"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1h</w:t>
            </w:r>
          </w:p>
        </w:tc>
        <w:tc>
          <w:tcPr>
            <w:tcW w:w="687" w:type="pct"/>
            <w:noWrap w:val="0"/>
            <w:vAlign w:val="center"/>
          </w:tcPr>
          <w:p>
            <w:pPr>
              <w:spacing w:line="240" w:lineRule="auto"/>
              <w:ind w:firstLine="0" w:firstLineChars="0"/>
              <w:jc w:val="center"/>
              <w:rPr>
                <w:rFonts w:hint="eastAsia" w:ascii="Times New Roman"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2</w:t>
            </w:r>
          </w:p>
        </w:tc>
        <w:tc>
          <w:tcPr>
            <w:tcW w:w="1105" w:type="pct"/>
            <w:noWrap w:val="0"/>
            <w:vAlign w:val="center"/>
          </w:tcPr>
          <w:p>
            <w:pPr>
              <w:spacing w:line="240" w:lineRule="auto"/>
              <w:ind w:firstLine="0" w:firstLineChars="0"/>
              <w:jc w:val="center"/>
              <w:rPr>
                <w:rFonts w:hint="default" w:ascii="宋体" w:hAnsi="宋体" w:eastAsia="宋体" w:cs="Times New Roman"/>
                <w:color w:val="auto"/>
                <w:kern w:val="44"/>
                <w:sz w:val="21"/>
                <w:szCs w:val="21"/>
                <w:lang w:val="en-US" w:eastAsia="zh-CN" w:bidi="ar-SA"/>
              </w:rPr>
            </w:pPr>
            <w:r>
              <w:rPr>
                <w:rFonts w:hint="eastAsia" w:ascii="Times New Roman" w:hAnsi="Times New Roman" w:cs="Times New Roman"/>
                <w:color w:val="auto"/>
                <w:kern w:val="44"/>
                <w:sz w:val="21"/>
                <w:szCs w:val="21"/>
                <w:lang w:val="en-US" w:eastAsia="zh-CN" w:bidi="ar-SA"/>
              </w:rPr>
              <w:t>0</w:t>
            </w:r>
            <w:r>
              <w:rPr>
                <w:rFonts w:hint="eastAsia" w:cs="Times New Roman"/>
                <w:color w:val="auto"/>
                <w:kern w:val="44"/>
                <w:sz w:val="21"/>
                <w:szCs w:val="21"/>
                <w:lang w:val="en-US" w:eastAsia="zh-CN" w:bidi="ar-SA"/>
              </w:rPr>
              <w:t>.</w:t>
            </w:r>
            <w:r>
              <w:rPr>
                <w:rFonts w:hint="eastAsia" w:ascii="Times New Roman" w:hAnsi="Times New Roman" w:cs="Times New Roman"/>
                <w:color w:val="auto"/>
                <w:kern w:val="44"/>
                <w:sz w:val="21"/>
                <w:szCs w:val="21"/>
                <w:lang w:val="en-US" w:eastAsia="zh-CN" w:bidi="ar-SA"/>
              </w:rPr>
              <w:t>55</w:t>
            </w:r>
            <w:r>
              <w:rPr>
                <w:rFonts w:hint="eastAsia" w:cs="Times New Roman"/>
                <w:color w:val="auto"/>
                <w:kern w:val="44"/>
                <w:sz w:val="21"/>
                <w:szCs w:val="21"/>
                <w:lang w:val="en-US" w:eastAsia="zh-CN" w:bidi="ar-SA"/>
              </w:rPr>
              <w:t>～</w:t>
            </w:r>
            <w:r>
              <w:rPr>
                <w:rFonts w:hint="eastAsia" w:ascii="Times New Roman" w:hAnsi="Times New Roman" w:cs="Times New Roman"/>
                <w:color w:val="auto"/>
                <w:kern w:val="44"/>
                <w:sz w:val="21"/>
                <w:szCs w:val="21"/>
                <w:lang w:val="en-US" w:eastAsia="zh-CN" w:bidi="ar-SA"/>
              </w:rPr>
              <w:t>0</w:t>
            </w:r>
            <w:r>
              <w:rPr>
                <w:rFonts w:hint="eastAsia" w:cs="Times New Roman"/>
                <w:color w:val="auto"/>
                <w:kern w:val="44"/>
                <w:sz w:val="21"/>
                <w:szCs w:val="21"/>
                <w:lang w:val="en-US" w:eastAsia="zh-CN" w:bidi="ar-SA"/>
              </w:rPr>
              <w:t>.</w:t>
            </w:r>
            <w:r>
              <w:rPr>
                <w:rFonts w:hint="eastAsia" w:ascii="Times New Roman" w:hAnsi="Times New Roman" w:cs="Times New Roman"/>
                <w:color w:val="auto"/>
                <w:kern w:val="44"/>
                <w:sz w:val="21"/>
                <w:szCs w:val="21"/>
                <w:lang w:val="en-US" w:eastAsia="zh-CN" w:bidi="ar-SA"/>
              </w:rPr>
              <w:t>92</w:t>
            </w:r>
          </w:p>
        </w:tc>
        <w:tc>
          <w:tcPr>
            <w:tcW w:w="711" w:type="pct"/>
            <w:noWrap w:val="0"/>
            <w:vAlign w:val="center"/>
          </w:tcPr>
          <w:p>
            <w:pPr>
              <w:spacing w:line="240" w:lineRule="auto"/>
              <w:ind w:firstLine="0" w:firstLineChars="0"/>
              <w:jc w:val="center"/>
              <w:rPr>
                <w:rFonts w:hint="default" w:ascii="宋体" w:hAnsi="宋体" w:eastAsia="等线" w:cs="Times New Roman"/>
                <w:color w:val="auto"/>
                <w:sz w:val="21"/>
                <w:szCs w:val="21"/>
                <w:lang w:val="en-US" w:eastAsia="zh-CN" w:bidi="ar-SA"/>
              </w:rPr>
            </w:pPr>
            <w:r>
              <w:rPr>
                <w:rFonts w:hint="eastAsia" w:ascii="Times New Roman" w:hAnsi="Times New Roman" w:eastAsia="等线" w:cs="Times New Roman"/>
                <w:color w:val="auto"/>
                <w:sz w:val="21"/>
                <w:szCs w:val="21"/>
                <w:lang w:val="en-US" w:eastAsia="zh-CN" w:bidi="ar-SA"/>
              </w:rPr>
              <w:t>0</w:t>
            </w:r>
            <w:r>
              <w:rPr>
                <w:rFonts w:hint="eastAsia" w:eastAsia="等线" w:cs="Times New Roman"/>
                <w:color w:val="auto"/>
                <w:sz w:val="21"/>
                <w:szCs w:val="21"/>
                <w:lang w:val="en-US" w:eastAsia="zh-CN" w:bidi="ar-SA"/>
              </w:rPr>
              <w:t>.</w:t>
            </w:r>
            <w:r>
              <w:rPr>
                <w:rFonts w:hint="eastAsia" w:ascii="Times New Roman" w:hAnsi="Times New Roman" w:eastAsia="等线" w:cs="Times New Roman"/>
                <w:color w:val="auto"/>
                <w:sz w:val="21"/>
                <w:szCs w:val="21"/>
                <w:lang w:val="en-US" w:eastAsia="zh-CN" w:bidi="ar-SA"/>
              </w:rPr>
              <w:t>46</w:t>
            </w:r>
          </w:p>
        </w:tc>
        <w:tc>
          <w:tcPr>
            <w:tcW w:w="465" w:type="pct"/>
            <w:noWrap w:val="0"/>
            <w:vAlign w:val="center"/>
          </w:tcPr>
          <w:p>
            <w:pPr>
              <w:spacing w:line="240" w:lineRule="auto"/>
              <w:ind w:firstLine="0" w:firstLineChars="0"/>
              <w:jc w:val="center"/>
              <w:rPr>
                <w:rFonts w:hint="eastAsia" w:ascii="Times New Roman"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0</w:t>
            </w:r>
          </w:p>
        </w:tc>
        <w:tc>
          <w:tcPr>
            <w:tcW w:w="476" w:type="pct"/>
            <w:noWrap w:val="0"/>
            <w:vAlign w:val="center"/>
          </w:tcPr>
          <w:p>
            <w:pPr>
              <w:spacing w:line="240" w:lineRule="auto"/>
              <w:ind w:firstLine="0" w:firstLineChars="0"/>
              <w:jc w:val="center"/>
              <w:rPr>
                <w:rFonts w:hint="eastAsia" w:ascii="宋体" w:hAnsi="宋体" w:eastAsia="宋体" w:cs="Times New Roman"/>
                <w:color w:val="auto"/>
                <w:sz w:val="21"/>
                <w:szCs w:val="21"/>
                <w:lang w:val="en-US" w:eastAsia="zh-CN" w:bidi="ar-SA"/>
              </w:rPr>
            </w:pPr>
            <w:r>
              <w:rPr>
                <w:rFonts w:hint="eastAsia"/>
                <w:color w:val="auto"/>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000" w:type="pct"/>
            <w:gridSpan w:val="8"/>
            <w:noWrap w:val="0"/>
            <w:vAlign w:val="center"/>
          </w:tcPr>
          <w:p>
            <w:pPr>
              <w:spacing w:line="240" w:lineRule="auto"/>
              <w:ind w:firstLine="0"/>
              <w:jc w:val="left"/>
              <w:rPr>
                <w:rFonts w:hint="eastAsia"/>
                <w:color w:val="auto"/>
                <w:sz w:val="21"/>
                <w:szCs w:val="21"/>
              </w:rPr>
            </w:pPr>
            <w:r>
              <w:rPr>
                <w:rFonts w:hint="eastAsia"/>
                <w:color w:val="auto"/>
                <w:sz w:val="21"/>
                <w:szCs w:val="21"/>
                <w:lang w:eastAsia="zh-CN"/>
              </w:rPr>
              <w:t>注：</w:t>
            </w:r>
            <w:r>
              <w:rPr>
                <w:rFonts w:hint="eastAsia" w:ascii="Times New Roman" w:hAnsi="Times New Roman"/>
                <w:color w:val="auto"/>
                <w:sz w:val="21"/>
                <w:szCs w:val="21"/>
                <w:lang w:val="en-US" w:eastAsia="zh-CN"/>
              </w:rPr>
              <w:t>ND</w:t>
            </w:r>
            <w:r>
              <w:rPr>
                <w:rFonts w:hint="eastAsia"/>
                <w:color w:val="auto"/>
                <w:sz w:val="21"/>
                <w:szCs w:val="21"/>
                <w:lang w:val="en-US" w:eastAsia="zh-CN"/>
              </w:rPr>
              <w:t>表示未检出</w:t>
            </w:r>
          </w:p>
        </w:tc>
      </w:tr>
    </w:tbl>
    <w:p>
      <w:pPr>
        <w:rPr>
          <w:color w:val="auto"/>
        </w:rPr>
      </w:pPr>
      <w:r>
        <w:rPr>
          <w:rFonts w:hint="eastAsia"/>
          <w:color w:val="auto"/>
        </w:rPr>
        <w:t>现状监测结果表明，评价区内各监测点环境空气中</w:t>
      </w:r>
      <w:r>
        <w:rPr>
          <w:rFonts w:hint="eastAsia" w:ascii="Times New Roman" w:hAnsi="Times New Roman"/>
          <w:color w:val="auto"/>
          <w:lang w:val="en-US" w:eastAsia="zh-CN"/>
        </w:rPr>
        <w:t>NMHC</w:t>
      </w:r>
      <w:r>
        <w:rPr>
          <w:rFonts w:hint="eastAsia"/>
          <w:color w:val="auto"/>
          <w:lang w:val="en-US" w:eastAsia="zh-CN"/>
        </w:rPr>
        <w:t>、</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color w:val="auto"/>
        </w:rPr>
        <w:t>均满足《环境影响评价技术导则 大气环境》（</w:t>
      </w:r>
      <w:r>
        <w:rPr>
          <w:rFonts w:hint="eastAsia" w:ascii="Times New Roman" w:hAnsi="Times New Roman"/>
          <w:color w:val="auto"/>
        </w:rPr>
        <w:t>HJ2</w:t>
      </w:r>
      <w:r>
        <w:rPr>
          <w:rFonts w:hint="eastAsia"/>
          <w:color w:val="auto"/>
        </w:rPr>
        <w:t>.</w:t>
      </w:r>
      <w:r>
        <w:rPr>
          <w:rFonts w:hint="eastAsia" w:ascii="Times New Roman" w:hAnsi="Times New Roman"/>
          <w:color w:val="auto"/>
        </w:rPr>
        <w:t>2</w:t>
      </w:r>
      <w:r>
        <w:rPr>
          <w:rFonts w:hint="eastAsia"/>
          <w:color w:val="auto"/>
        </w:rPr>
        <w:t>-</w:t>
      </w:r>
      <w:r>
        <w:rPr>
          <w:rFonts w:hint="eastAsia" w:ascii="Times New Roman" w:hAnsi="Times New Roman"/>
          <w:color w:val="auto"/>
        </w:rPr>
        <w:t>2018</w:t>
      </w:r>
      <w:r>
        <w:rPr>
          <w:rFonts w:hint="eastAsia"/>
          <w:color w:val="auto"/>
        </w:rPr>
        <w:t>）附录</w:t>
      </w:r>
      <w:r>
        <w:rPr>
          <w:rFonts w:hint="eastAsia" w:ascii="Times New Roman" w:hAnsi="Times New Roman"/>
          <w:color w:val="auto"/>
        </w:rPr>
        <w:t>D</w:t>
      </w:r>
      <w:r>
        <w:rPr>
          <w:rFonts w:hint="eastAsia"/>
          <w:color w:val="auto"/>
        </w:rPr>
        <w:t>中其他污染物空气质量浓度参考限值要求。</w:t>
      </w:r>
    </w:p>
    <w:p>
      <w:pPr>
        <w:pStyle w:val="5"/>
        <w:bidi w:val="0"/>
        <w:rPr>
          <w:rFonts w:hint="eastAsia"/>
        </w:rPr>
      </w:pPr>
      <w:r>
        <w:rPr>
          <w:rFonts w:hint="eastAsia" w:ascii="Times New Roman" w:hAnsi="Times New Roman"/>
          <w:lang w:val="en-US" w:eastAsia="zh-CN"/>
        </w:rPr>
        <w:t>5</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lang w:val="en-US" w:eastAsia="zh-CN"/>
        </w:rPr>
        <w:t>2</w:t>
      </w:r>
      <w:r>
        <w:rPr>
          <w:rFonts w:hint="eastAsia"/>
        </w:rPr>
        <w:t>地下水水环境</w:t>
      </w:r>
      <w:r>
        <w:rPr>
          <w:rFonts w:hint="eastAsia"/>
          <w:lang w:eastAsia="zh-CN"/>
        </w:rPr>
        <w:t>质量</w:t>
      </w:r>
      <w:r>
        <w:rPr>
          <w:rFonts w:hint="eastAsia"/>
        </w:rPr>
        <w:t>调查与评价</w:t>
      </w:r>
    </w:p>
    <w:p>
      <w:pPr>
        <w:rPr>
          <w:rFonts w:hint="eastAsia" w:eastAsia="宋体"/>
          <w:lang w:eastAsia="zh-CN"/>
        </w:rPr>
      </w:pPr>
      <w:r>
        <w:rPr>
          <w:rFonts w:hint="eastAsia"/>
        </w:rPr>
        <w:t>（</w:t>
      </w:r>
      <w:r>
        <w:rPr>
          <w:rFonts w:hint="eastAsia" w:ascii="Times New Roman" w:hAnsi="Times New Roman"/>
        </w:rPr>
        <w:t>1</w:t>
      </w:r>
      <w:r>
        <w:rPr>
          <w:rFonts w:hint="eastAsia"/>
        </w:rPr>
        <w:t>）监测</w:t>
      </w:r>
      <w:r>
        <w:rPr>
          <w:rFonts w:hint="eastAsia"/>
          <w:lang w:eastAsia="zh-CN"/>
        </w:rPr>
        <w:t>方案</w:t>
      </w:r>
    </w:p>
    <w:p>
      <w:pPr>
        <w:rPr>
          <w:rFonts w:hint="eastAsia" w:hAnsi="宋体" w:cs="宋体"/>
          <w:color w:val="auto"/>
          <w:szCs w:val="24"/>
          <w:highlight w:val="none"/>
        </w:rPr>
      </w:pPr>
      <w:r>
        <w:rPr>
          <w:rFonts w:hint="eastAsia" w:cs="宋体"/>
          <w:color w:val="auto"/>
          <w:szCs w:val="24"/>
          <w:highlight w:val="none"/>
          <w:lang w:eastAsia="zh-CN"/>
        </w:rPr>
        <w:t>根据项目周边现有水井的分布情况，</w:t>
      </w:r>
      <w:r>
        <w:rPr>
          <w:rFonts w:hint="eastAsia" w:hAnsi="宋体" w:cs="宋体"/>
          <w:color w:val="auto"/>
          <w:szCs w:val="24"/>
          <w:highlight w:val="none"/>
        </w:rPr>
        <w:t>本次评价引用《</w:t>
      </w:r>
      <w:r>
        <w:rPr>
          <w:rFonts w:hint="eastAsia" w:cs="宋体"/>
          <w:color w:val="auto"/>
          <w:szCs w:val="24"/>
          <w:highlight w:val="none"/>
          <w:lang w:eastAsia="zh-CN"/>
        </w:rPr>
        <w:t>凯赛（乌苏）生物材料有限公司年产</w:t>
      </w:r>
      <w:r>
        <w:rPr>
          <w:rFonts w:hint="eastAsia" w:ascii="Times New Roman" w:hAnsi="Times New Roman" w:cs="宋体"/>
          <w:color w:val="auto"/>
          <w:szCs w:val="24"/>
          <w:highlight w:val="none"/>
          <w:lang w:val="en-US" w:eastAsia="zh-CN"/>
        </w:rPr>
        <w:t>10</w:t>
      </w:r>
      <w:r>
        <w:rPr>
          <w:rFonts w:hint="eastAsia" w:cs="宋体"/>
          <w:color w:val="auto"/>
          <w:szCs w:val="24"/>
          <w:highlight w:val="none"/>
          <w:lang w:val="en-US" w:eastAsia="zh-CN"/>
        </w:rPr>
        <w:t>万吨生物基聚酰胺项目</w:t>
      </w:r>
      <w:r>
        <w:rPr>
          <w:rFonts w:hint="eastAsia" w:cs="宋体"/>
          <w:color w:val="auto"/>
          <w:szCs w:val="24"/>
          <w:highlight w:val="none"/>
          <w:lang w:eastAsia="zh-CN"/>
        </w:rPr>
        <w:t>环境影响后评价</w:t>
      </w:r>
      <w:r>
        <w:rPr>
          <w:rFonts w:hint="eastAsia" w:hAnsi="宋体" w:cs="宋体"/>
          <w:color w:val="auto"/>
          <w:szCs w:val="24"/>
          <w:highlight w:val="none"/>
        </w:rPr>
        <w:t>》中</w:t>
      </w:r>
      <w:r>
        <w:rPr>
          <w:rFonts w:hint="eastAsia" w:ascii="Times New Roman" w:hAnsi="Times New Roman" w:cs="宋体"/>
          <w:color w:val="auto"/>
          <w:szCs w:val="24"/>
          <w:highlight w:val="none"/>
          <w:lang w:val="en-US" w:eastAsia="zh-CN"/>
        </w:rPr>
        <w:t>3</w:t>
      </w:r>
      <w:r>
        <w:rPr>
          <w:rFonts w:hint="eastAsia" w:cs="宋体"/>
          <w:color w:val="auto"/>
          <w:szCs w:val="24"/>
          <w:highlight w:val="none"/>
          <w:lang w:val="en-US" w:eastAsia="zh-CN"/>
        </w:rPr>
        <w:t>处</w:t>
      </w:r>
      <w:r>
        <w:rPr>
          <w:rFonts w:hint="eastAsia" w:hAnsi="宋体" w:cs="宋体"/>
          <w:color w:val="auto"/>
          <w:szCs w:val="24"/>
          <w:highlight w:val="none"/>
        </w:rPr>
        <w:t>地下水监测数据，</w:t>
      </w:r>
      <w:r>
        <w:rPr>
          <w:rFonts w:hint="eastAsia" w:cs="宋体"/>
          <w:color w:val="auto"/>
          <w:szCs w:val="24"/>
          <w:highlight w:val="none"/>
          <w:lang w:eastAsia="zh-CN"/>
        </w:rPr>
        <w:t>该监测由新疆锡水金山环境科技有限公司于</w:t>
      </w:r>
      <w:r>
        <w:rPr>
          <w:rFonts w:hint="eastAsia" w:ascii="Times New Roman" w:hAnsi="Times New Roman" w:cs="宋体"/>
          <w:color w:val="auto"/>
          <w:szCs w:val="24"/>
          <w:highlight w:val="none"/>
          <w:lang w:val="en-US" w:eastAsia="zh-CN"/>
        </w:rPr>
        <w:t>2021</w:t>
      </w:r>
      <w:r>
        <w:rPr>
          <w:rFonts w:hint="eastAsia" w:cs="宋体"/>
          <w:color w:val="auto"/>
          <w:szCs w:val="24"/>
          <w:highlight w:val="none"/>
          <w:lang w:val="en-US" w:eastAsia="zh-CN"/>
        </w:rPr>
        <w:t>年</w:t>
      </w:r>
      <w:r>
        <w:rPr>
          <w:rFonts w:hint="eastAsia" w:ascii="Times New Roman" w:hAnsi="Times New Roman" w:cs="宋体"/>
          <w:color w:val="auto"/>
          <w:szCs w:val="24"/>
          <w:highlight w:val="none"/>
          <w:lang w:val="en-US" w:eastAsia="zh-CN"/>
        </w:rPr>
        <w:t>11</w:t>
      </w:r>
      <w:r>
        <w:rPr>
          <w:rFonts w:hint="eastAsia" w:cs="宋体"/>
          <w:color w:val="auto"/>
          <w:szCs w:val="24"/>
          <w:highlight w:val="none"/>
          <w:lang w:val="en-US" w:eastAsia="zh-CN"/>
        </w:rPr>
        <w:t>月</w:t>
      </w:r>
      <w:r>
        <w:rPr>
          <w:rFonts w:hint="eastAsia" w:ascii="Times New Roman" w:hAnsi="Times New Roman" w:cs="宋体"/>
          <w:color w:val="auto"/>
          <w:szCs w:val="24"/>
          <w:highlight w:val="none"/>
          <w:lang w:val="en-US" w:eastAsia="zh-CN"/>
        </w:rPr>
        <w:t>17</w:t>
      </w:r>
      <w:r>
        <w:rPr>
          <w:rFonts w:hint="eastAsia" w:cs="宋体"/>
          <w:color w:val="auto"/>
          <w:szCs w:val="24"/>
          <w:highlight w:val="none"/>
          <w:lang w:val="en-US" w:eastAsia="zh-CN"/>
        </w:rPr>
        <w:t>日监测，监测因子包括：</w:t>
      </w:r>
      <w:r>
        <w:rPr>
          <w:rFonts w:ascii="Times New Roman" w:hAnsi="Times New Roman"/>
        </w:rPr>
        <w:t>pH</w:t>
      </w:r>
      <w:r>
        <w:rPr>
          <w:rFonts w:hint="eastAsia"/>
        </w:rPr>
        <w:t>值、氨氮、硝酸盐氮、亚硝酸盐氮、挥发性酚类、氰化物、砷、汞、六价铬、总硬度、</w:t>
      </w:r>
      <w:r>
        <w:rPr>
          <w:rFonts w:hint="eastAsia"/>
          <w:lang w:eastAsia="zh-CN"/>
        </w:rPr>
        <w:t>色度、</w:t>
      </w:r>
      <w:r>
        <w:rPr>
          <w:rFonts w:hint="eastAsia"/>
        </w:rPr>
        <w:t>铅、氟</w:t>
      </w:r>
      <w:r>
        <w:rPr>
          <w:rFonts w:hint="eastAsia"/>
          <w:lang w:eastAsia="zh-CN"/>
        </w:rPr>
        <w:t>化物</w:t>
      </w:r>
      <w:r>
        <w:rPr>
          <w:rFonts w:hint="eastAsia"/>
        </w:rPr>
        <w:t>、镉、铁、锰、溶解性总固体、</w:t>
      </w:r>
      <w:r>
        <w:rPr>
          <w:rFonts w:hint="eastAsia"/>
          <w:lang w:eastAsia="zh-CN"/>
        </w:rPr>
        <w:t>耗氧量</w:t>
      </w:r>
      <w:r>
        <w:rPr>
          <w:rFonts w:hint="eastAsia"/>
        </w:rPr>
        <w:t>、硫酸盐、氯化物、总大肠杆菌群、细菌总数</w:t>
      </w:r>
      <w:r>
        <w:rPr>
          <w:rFonts w:hint="eastAsia"/>
          <w:lang w:eastAsia="zh-CN"/>
        </w:rPr>
        <w:t>、钾离子、钠离子、钙离子、镁离子、碳酸根离子、碳酸氢根离子</w:t>
      </w:r>
      <w:r>
        <w:rPr>
          <w:rFonts w:hint="eastAsia"/>
        </w:rPr>
        <w:t>等共计</w:t>
      </w:r>
      <w:r>
        <w:rPr>
          <w:rFonts w:ascii="Times New Roman" w:hAnsi="Times New Roman"/>
        </w:rPr>
        <w:t>2</w:t>
      </w:r>
      <w:r>
        <w:rPr>
          <w:rFonts w:hint="eastAsia" w:ascii="Times New Roman" w:hAnsi="Times New Roman"/>
          <w:lang w:val="en-US" w:eastAsia="zh-CN"/>
        </w:rPr>
        <w:t>9</w:t>
      </w:r>
      <w:r>
        <w:rPr>
          <w:rFonts w:hint="eastAsia"/>
        </w:rPr>
        <w:t>项。</w:t>
      </w:r>
      <w:r>
        <w:rPr>
          <w:rFonts w:hint="eastAsia" w:cs="宋体"/>
          <w:color w:val="auto"/>
          <w:szCs w:val="24"/>
          <w:highlight w:val="none"/>
          <w:lang w:val="en-US" w:eastAsia="zh-CN"/>
        </w:rPr>
        <w:t>另引用</w:t>
      </w:r>
      <w:r>
        <w:rPr>
          <w:rFonts w:hint="eastAsia" w:hAnsi="宋体" w:cs="宋体"/>
          <w:color w:val="auto"/>
          <w:szCs w:val="24"/>
          <w:highlight w:val="none"/>
        </w:rPr>
        <w:t>《</w:t>
      </w:r>
      <w:r>
        <w:rPr>
          <w:rFonts w:hint="eastAsia" w:cs="宋体"/>
          <w:color w:val="auto"/>
          <w:szCs w:val="24"/>
          <w:highlight w:val="none"/>
          <w:lang w:eastAsia="zh-CN"/>
        </w:rPr>
        <w:t>凯赛（乌苏）生物材料有限公司废气废水监测项目</w:t>
      </w:r>
      <w:r>
        <w:rPr>
          <w:rFonts w:hint="eastAsia" w:ascii="Times New Roman" w:hAnsi="宋体" w:eastAsia="宋体" w:cs="宋体"/>
          <w:color w:val="auto"/>
          <w:szCs w:val="24"/>
          <w:highlight w:val="none"/>
        </w:rPr>
        <w:t>》</w:t>
      </w:r>
      <w:r>
        <w:rPr>
          <w:rFonts w:hint="eastAsia" w:ascii="Times New Roman" w:hAnsi="Times New Roman" w:cs="宋体"/>
          <w:color w:val="auto"/>
          <w:szCs w:val="24"/>
          <w:highlight w:val="none"/>
          <w:lang w:val="en-US" w:eastAsia="zh-CN"/>
        </w:rPr>
        <w:t>2022</w:t>
      </w:r>
      <w:r>
        <w:rPr>
          <w:rFonts w:hint="eastAsia" w:ascii="Times New Roman" w:cs="宋体"/>
          <w:color w:val="auto"/>
          <w:szCs w:val="24"/>
          <w:highlight w:val="none"/>
          <w:lang w:val="en-US" w:eastAsia="zh-CN"/>
        </w:rPr>
        <w:t>年第三季度例行监测报告</w:t>
      </w:r>
      <w:r>
        <w:rPr>
          <w:rFonts w:hint="eastAsia" w:ascii="Times New Roman" w:hAnsi="宋体" w:eastAsia="宋体" w:cs="宋体"/>
          <w:color w:val="auto"/>
          <w:szCs w:val="24"/>
          <w:highlight w:val="none"/>
        </w:rPr>
        <w:t>中</w:t>
      </w:r>
      <w:r>
        <w:rPr>
          <w:rFonts w:hint="eastAsia" w:ascii="Times New Roman" w:hAnsi="Times New Roman" w:cs="宋体"/>
          <w:color w:val="auto"/>
          <w:szCs w:val="24"/>
          <w:highlight w:val="none"/>
          <w:lang w:val="en-US" w:eastAsia="zh-CN"/>
        </w:rPr>
        <w:t>2</w:t>
      </w:r>
      <w:r>
        <w:rPr>
          <w:rFonts w:hint="eastAsia" w:ascii="Times New Roman" w:cs="宋体"/>
          <w:color w:val="auto"/>
          <w:szCs w:val="24"/>
          <w:highlight w:val="none"/>
          <w:lang w:eastAsia="zh-CN"/>
        </w:rPr>
        <w:t>处</w:t>
      </w:r>
      <w:r>
        <w:rPr>
          <w:rFonts w:hint="eastAsia" w:ascii="Times New Roman" w:hAnsi="宋体" w:eastAsia="宋体" w:cs="宋体"/>
          <w:color w:val="auto"/>
          <w:szCs w:val="24"/>
          <w:highlight w:val="none"/>
        </w:rPr>
        <w:t>地下水监测数据，</w:t>
      </w:r>
      <w:r>
        <w:rPr>
          <w:rFonts w:hint="eastAsia" w:ascii="Times New Roman" w:cs="宋体"/>
          <w:color w:val="auto"/>
          <w:szCs w:val="24"/>
          <w:highlight w:val="none"/>
          <w:lang w:eastAsia="zh-CN"/>
        </w:rPr>
        <w:t>该监测由新疆卓凯新环境科技有限公司于</w:t>
      </w:r>
      <w:r>
        <w:rPr>
          <w:rFonts w:hint="eastAsia" w:ascii="Times New Roman" w:hAnsi="Times New Roman" w:cs="宋体"/>
          <w:color w:val="auto"/>
          <w:szCs w:val="24"/>
          <w:highlight w:val="none"/>
          <w:lang w:val="en-US" w:eastAsia="zh-CN"/>
        </w:rPr>
        <w:t>2022</w:t>
      </w:r>
      <w:r>
        <w:rPr>
          <w:rFonts w:hint="eastAsia" w:ascii="Times New Roman" w:cs="宋体"/>
          <w:color w:val="auto"/>
          <w:szCs w:val="24"/>
          <w:highlight w:val="none"/>
          <w:lang w:val="en-US" w:eastAsia="zh-CN"/>
        </w:rPr>
        <w:t>年</w:t>
      </w:r>
      <w:r>
        <w:rPr>
          <w:rFonts w:hint="eastAsia" w:ascii="Times New Roman" w:hAnsi="Times New Roman" w:cs="宋体"/>
          <w:color w:val="auto"/>
          <w:szCs w:val="24"/>
          <w:highlight w:val="none"/>
          <w:lang w:val="en-US" w:eastAsia="zh-CN"/>
        </w:rPr>
        <w:t>8</w:t>
      </w:r>
      <w:r>
        <w:rPr>
          <w:rFonts w:hint="eastAsia" w:ascii="Times New Roman" w:cs="宋体"/>
          <w:color w:val="auto"/>
          <w:szCs w:val="24"/>
          <w:highlight w:val="none"/>
          <w:lang w:val="en-US" w:eastAsia="zh-CN"/>
        </w:rPr>
        <w:t>月</w:t>
      </w:r>
      <w:r>
        <w:rPr>
          <w:rFonts w:hint="eastAsia" w:ascii="Times New Roman" w:hAnsi="Times New Roman" w:cs="宋体"/>
          <w:color w:val="auto"/>
          <w:szCs w:val="24"/>
          <w:highlight w:val="none"/>
          <w:lang w:val="en-US" w:eastAsia="zh-CN"/>
        </w:rPr>
        <w:t>4</w:t>
      </w:r>
      <w:r>
        <w:rPr>
          <w:rFonts w:hint="eastAsia" w:ascii="Times New Roman" w:cs="宋体"/>
          <w:color w:val="auto"/>
          <w:szCs w:val="24"/>
          <w:highlight w:val="none"/>
          <w:lang w:val="en-US" w:eastAsia="zh-CN"/>
        </w:rPr>
        <w:t>日监测，监测因子包括：</w:t>
      </w:r>
      <w:r>
        <w:rPr>
          <w:rFonts w:hint="eastAsia" w:hAnsi="宋体" w:cs="宋体"/>
          <w:color w:val="auto"/>
          <w:szCs w:val="24"/>
          <w:highlight w:val="none"/>
        </w:rPr>
        <w:t>。</w:t>
      </w:r>
    </w:p>
    <w:p>
      <w:pPr>
        <w:rPr>
          <w:rFonts w:hint="eastAsia" w:hAnsi="宋体" w:eastAsia="宋体" w:cs="宋体"/>
          <w:color w:val="auto"/>
          <w:szCs w:val="24"/>
          <w:highlight w:val="none"/>
          <w:lang w:eastAsia="zh-CN"/>
        </w:rPr>
      </w:pPr>
      <w:r>
        <w:rPr>
          <w:rFonts w:hint="eastAsia" w:cs="宋体"/>
          <w:color w:val="auto"/>
          <w:szCs w:val="24"/>
          <w:highlight w:val="none"/>
          <w:lang w:eastAsia="zh-CN"/>
        </w:rPr>
        <w:t>监测因子包括：</w:t>
      </w:r>
      <w:r>
        <w:rPr>
          <w:rFonts w:hint="eastAsia" w:ascii="Times New Roman" w:hAnsi="Times New Roman" w:eastAsia="宋体" w:cs="Times New Roman"/>
          <w:bCs/>
          <w:color w:val="000000"/>
          <w:kern w:val="0"/>
          <w:szCs w:val="24"/>
        </w:rPr>
        <w:t>pH</w:t>
      </w:r>
      <w:r>
        <w:rPr>
          <w:rFonts w:hint="eastAsia" w:ascii="Times New Roman" w:hAnsi="Times New Roman" w:eastAsia="宋体" w:cs="Times New Roman"/>
          <w:bCs/>
          <w:color w:val="000000"/>
          <w:kern w:val="0"/>
          <w:szCs w:val="24"/>
        </w:rPr>
        <w:t>、</w:t>
      </w:r>
      <w:r>
        <w:rPr>
          <w:rFonts w:hint="eastAsia" w:ascii="Times New Roman" w:hAnsi="Times New Roman" w:cs="Times New Roman"/>
          <w:bCs/>
          <w:color w:val="000000"/>
          <w:kern w:val="0"/>
          <w:szCs w:val="24"/>
          <w:lang w:eastAsia="zh-CN"/>
        </w:rPr>
        <w:t>耗氧量、六价铬、</w:t>
      </w:r>
      <w:r>
        <w:rPr>
          <w:rFonts w:hint="eastAsia" w:ascii="Times New Roman" w:hAnsi="Times New Roman" w:eastAsia="宋体" w:cs="Times New Roman"/>
          <w:bCs/>
          <w:color w:val="000000"/>
          <w:kern w:val="0"/>
          <w:szCs w:val="24"/>
        </w:rPr>
        <w:t>总硬度、</w:t>
      </w:r>
      <w:r>
        <w:rPr>
          <w:rFonts w:hint="eastAsia" w:ascii="Times New Roman" w:hAnsi="Times New Roman" w:cs="Times New Roman"/>
          <w:bCs/>
          <w:color w:val="000000"/>
          <w:kern w:val="0"/>
          <w:szCs w:val="24"/>
          <w:lang w:eastAsia="zh-CN"/>
        </w:rPr>
        <w:t>氨氮、挥发酚、</w:t>
      </w:r>
      <w:r>
        <w:rPr>
          <w:rFonts w:hint="eastAsia" w:ascii="Times New Roman" w:hAnsi="Times New Roman" w:eastAsia="宋体" w:cs="Times New Roman"/>
          <w:bCs/>
          <w:color w:val="000000"/>
          <w:kern w:val="0"/>
          <w:szCs w:val="24"/>
        </w:rPr>
        <w:t>阴离子表面活性剂、</w:t>
      </w:r>
      <w:r>
        <w:rPr>
          <w:rFonts w:hint="eastAsia" w:ascii="Times New Roman" w:hAnsi="Times New Roman" w:cs="Times New Roman"/>
          <w:bCs/>
          <w:color w:val="000000"/>
          <w:kern w:val="0"/>
          <w:szCs w:val="24"/>
          <w:lang w:eastAsia="zh-CN"/>
        </w:rPr>
        <w:t>氰化物、溶解性总固体、总大肠菌群、铜、锌、铅、镉、锰、铁、砷、汞、硒共计</w:t>
      </w:r>
      <w:r>
        <w:rPr>
          <w:rFonts w:hint="eastAsia" w:ascii="Times New Roman" w:hAnsi="Times New Roman" w:cs="Times New Roman"/>
          <w:bCs/>
          <w:color w:val="000000"/>
          <w:kern w:val="0"/>
          <w:szCs w:val="24"/>
          <w:lang w:val="en-US" w:eastAsia="zh-CN"/>
        </w:rPr>
        <w:t>19</w:t>
      </w:r>
      <w:r>
        <w:rPr>
          <w:rFonts w:hint="eastAsia" w:ascii="Times New Roman" w:hAnsi="Times New Roman" w:cs="Times New Roman"/>
          <w:bCs/>
          <w:color w:val="000000"/>
          <w:kern w:val="0"/>
          <w:szCs w:val="24"/>
          <w:lang w:val="en-US" w:eastAsia="zh-CN"/>
        </w:rPr>
        <w:t>项</w:t>
      </w:r>
      <w:r>
        <w:rPr>
          <w:rFonts w:hint="eastAsia" w:ascii="Times New Roman" w:hAnsi="Times New Roman" w:cs="Times New Roman"/>
          <w:bCs/>
          <w:color w:val="000000"/>
          <w:kern w:val="0"/>
          <w:szCs w:val="24"/>
          <w:lang w:eastAsia="zh-CN"/>
        </w:rPr>
        <w:t>。</w:t>
      </w:r>
    </w:p>
    <w:p>
      <w:pPr>
        <w:rPr>
          <w:rFonts w:hint="default" w:eastAsia="宋体"/>
          <w:lang w:val="en-US" w:eastAsia="zh-CN"/>
        </w:rPr>
      </w:pPr>
      <w:r>
        <w:rPr>
          <w:rFonts w:hint="eastAsia" w:cs="宋体"/>
          <w:color w:val="auto"/>
          <w:szCs w:val="24"/>
          <w:highlight w:val="none"/>
          <w:lang w:eastAsia="zh-CN"/>
        </w:rPr>
        <w:t>地下水监测点位见表</w:t>
      </w:r>
      <w:r>
        <w:rPr>
          <w:rFonts w:hint="eastAsia" w:ascii="Times New Roman" w:hAnsi="Times New Roman" w:cs="宋体"/>
          <w:color w:val="auto"/>
          <w:szCs w:val="24"/>
          <w:highlight w:val="none"/>
          <w:lang w:val="en-US" w:eastAsia="zh-CN"/>
        </w:rPr>
        <w:t>5</w:t>
      </w:r>
      <w:r>
        <w:rPr>
          <w:rFonts w:hint="eastAsia" w:cs="宋体"/>
          <w:color w:val="auto"/>
          <w:szCs w:val="24"/>
          <w:highlight w:val="none"/>
          <w:lang w:val="en-US" w:eastAsia="zh-CN"/>
        </w:rPr>
        <w:t>.</w:t>
      </w:r>
      <w:r>
        <w:rPr>
          <w:rFonts w:hint="eastAsia" w:ascii="Times New Roman" w:hAnsi="Times New Roman" w:cs="宋体"/>
          <w:color w:val="auto"/>
          <w:szCs w:val="24"/>
          <w:highlight w:val="none"/>
          <w:lang w:val="en-US" w:eastAsia="zh-CN"/>
        </w:rPr>
        <w:t>5</w:t>
      </w:r>
      <w:r>
        <w:rPr>
          <w:rFonts w:hint="eastAsia" w:cs="宋体"/>
          <w:color w:val="auto"/>
          <w:szCs w:val="24"/>
          <w:highlight w:val="none"/>
          <w:lang w:val="en-US" w:eastAsia="zh-CN"/>
        </w:rPr>
        <w:t>-</w:t>
      </w:r>
      <w:r>
        <w:rPr>
          <w:rFonts w:hint="eastAsia" w:ascii="Times New Roman" w:hAnsi="Times New Roman" w:cs="宋体"/>
          <w:color w:val="auto"/>
          <w:szCs w:val="24"/>
          <w:highlight w:val="none"/>
          <w:lang w:val="en-US" w:eastAsia="zh-CN"/>
        </w:rPr>
        <w:t>4</w:t>
      </w:r>
      <w:r>
        <w:rPr>
          <w:rFonts w:hint="eastAsia" w:cs="宋体"/>
          <w:color w:val="auto"/>
          <w:szCs w:val="24"/>
          <w:highlight w:val="none"/>
          <w:lang w:val="en-US" w:eastAsia="zh-CN"/>
        </w:rPr>
        <w:t>。</w:t>
      </w:r>
    </w:p>
    <w:p>
      <w:pPr>
        <w:pStyle w:val="20"/>
        <w:spacing w:before="0" w:beforeLines="0"/>
        <w:rPr>
          <w:rFonts w:hint="eastAsia" w:ascii="Calibri" w:hAnsi="宋体"/>
          <w:kern w:val="2"/>
          <w:szCs w:val="21"/>
        </w:rPr>
      </w:pPr>
      <w:r>
        <w:rPr>
          <w:rFonts w:hint="eastAsia" w:ascii="Calibri" w:hAnsi="宋体"/>
          <w:kern w:val="2"/>
          <w:szCs w:val="21"/>
        </w:rPr>
        <w:t>表</w:t>
      </w:r>
      <w:r>
        <w:rPr>
          <w:rFonts w:hint="eastAsia" w:ascii="Times New Roman" w:hAnsi="Times New Roman"/>
          <w:kern w:val="2"/>
          <w:szCs w:val="21"/>
          <w:lang w:val="en-US" w:eastAsia="zh-CN"/>
        </w:rPr>
        <w:t>5</w:t>
      </w:r>
      <w:r>
        <w:rPr>
          <w:rFonts w:hint="eastAsia" w:ascii="Times New Roman" w:hAnsi="Times New Roman"/>
          <w:kern w:val="2"/>
          <w:szCs w:val="21"/>
          <w:lang w:val="en-US" w:eastAsia="zh-CN"/>
        </w:rPr>
        <w:t>.</w:t>
      </w:r>
      <w:r>
        <w:rPr>
          <w:rFonts w:hint="eastAsia" w:ascii="Times New Roman" w:hAnsi="Times New Roman"/>
          <w:kern w:val="2"/>
          <w:szCs w:val="21"/>
          <w:lang w:val="en-US" w:eastAsia="zh-CN"/>
        </w:rPr>
        <w:t>5</w:t>
      </w:r>
      <w:r>
        <w:rPr>
          <w:rFonts w:hint="eastAsia" w:ascii="Times New Roman" w:hAnsi="Times New Roman"/>
          <w:kern w:val="2"/>
          <w:szCs w:val="21"/>
          <w:lang w:val="en-US" w:eastAsia="zh-CN"/>
        </w:rPr>
        <w:t>-</w:t>
      </w:r>
      <w:r>
        <w:rPr>
          <w:rFonts w:hint="eastAsia" w:ascii="Times New Roman" w:hAnsi="Times New Roman"/>
          <w:kern w:val="2"/>
          <w:szCs w:val="21"/>
          <w:lang w:val="en-US" w:eastAsia="zh-CN"/>
        </w:rPr>
        <w:t>4</w:t>
      </w:r>
      <w:r>
        <w:rPr>
          <w:rFonts w:hint="eastAsia" w:ascii="Calibri" w:hAnsi="宋体"/>
          <w:kern w:val="2"/>
          <w:szCs w:val="21"/>
        </w:rPr>
        <w:t xml:space="preserve">  地下水现状监测点布置</w:t>
      </w:r>
    </w:p>
    <w:tbl>
      <w:tblPr>
        <w:tblStyle w:val="8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683"/>
        <w:gridCol w:w="1095"/>
        <w:gridCol w:w="2295"/>
        <w:gridCol w:w="1193"/>
        <w:gridCol w:w="18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11" w:type="pct"/>
            <w:noWrap w:val="0"/>
            <w:vAlign w:val="center"/>
          </w:tcPr>
          <w:p>
            <w:pPr>
              <w:pStyle w:val="199"/>
              <w:spacing w:line="240" w:lineRule="auto"/>
              <w:ind w:firstLine="0"/>
              <w:rPr>
                <w:rFonts w:hint="eastAsia" w:eastAsia="宋体"/>
                <w:sz w:val="20"/>
                <w:szCs w:val="20"/>
                <w:lang w:eastAsia="zh-CN"/>
              </w:rPr>
            </w:pPr>
            <w:r>
              <w:rPr>
                <w:rFonts w:hint="eastAsia"/>
                <w:sz w:val="20"/>
                <w:szCs w:val="20"/>
                <w:lang w:eastAsia="zh-CN"/>
              </w:rPr>
              <w:t>数据来源</w:t>
            </w:r>
          </w:p>
        </w:tc>
        <w:tc>
          <w:tcPr>
            <w:tcW w:w="372" w:type="pct"/>
            <w:noWrap w:val="0"/>
            <w:vAlign w:val="center"/>
          </w:tcPr>
          <w:p>
            <w:pPr>
              <w:pStyle w:val="199"/>
              <w:spacing w:line="240" w:lineRule="auto"/>
              <w:ind w:firstLine="0"/>
              <w:rPr>
                <w:rFonts w:hint="eastAsia"/>
                <w:sz w:val="20"/>
                <w:szCs w:val="20"/>
                <w:lang w:eastAsia="zh-CN"/>
              </w:rPr>
            </w:pPr>
            <w:r>
              <w:rPr>
                <w:rFonts w:hint="eastAsia"/>
                <w:sz w:val="20"/>
                <w:szCs w:val="20"/>
                <w:lang w:eastAsia="zh-CN"/>
              </w:rPr>
              <w:t>监测</w:t>
            </w:r>
          </w:p>
          <w:p>
            <w:pPr>
              <w:pStyle w:val="199"/>
              <w:spacing w:line="240" w:lineRule="auto"/>
              <w:ind w:firstLine="0"/>
              <w:rPr>
                <w:rFonts w:hint="eastAsia" w:eastAsia="宋体"/>
                <w:sz w:val="20"/>
                <w:szCs w:val="20"/>
                <w:lang w:eastAsia="zh-CN"/>
              </w:rPr>
            </w:pPr>
            <w:r>
              <w:rPr>
                <w:rFonts w:hint="eastAsia"/>
                <w:sz w:val="20"/>
                <w:szCs w:val="20"/>
                <w:lang w:eastAsia="zh-CN"/>
              </w:rPr>
              <w:t>时间</w:t>
            </w:r>
          </w:p>
        </w:tc>
        <w:tc>
          <w:tcPr>
            <w:tcW w:w="597" w:type="pct"/>
            <w:noWrap w:val="0"/>
            <w:vAlign w:val="center"/>
          </w:tcPr>
          <w:p>
            <w:pPr>
              <w:pStyle w:val="199"/>
              <w:spacing w:line="240" w:lineRule="auto"/>
              <w:ind w:firstLine="0"/>
              <w:rPr>
                <w:rFonts w:hint="eastAsia" w:eastAsia="宋体"/>
                <w:sz w:val="20"/>
                <w:szCs w:val="20"/>
                <w:lang w:eastAsia="zh-CN"/>
              </w:rPr>
            </w:pPr>
            <w:r>
              <w:rPr>
                <w:rFonts w:hint="eastAsia"/>
                <w:sz w:val="20"/>
                <w:szCs w:val="20"/>
                <w:lang w:eastAsia="zh-CN"/>
              </w:rPr>
              <w:t>监测单位</w:t>
            </w:r>
          </w:p>
        </w:tc>
        <w:tc>
          <w:tcPr>
            <w:tcW w:w="1251" w:type="pct"/>
            <w:noWrap w:val="0"/>
            <w:vAlign w:val="center"/>
          </w:tcPr>
          <w:p>
            <w:pPr>
              <w:pStyle w:val="199"/>
              <w:spacing w:line="240" w:lineRule="auto"/>
              <w:ind w:firstLine="0"/>
              <w:rPr>
                <w:rFonts w:hint="eastAsia"/>
                <w:sz w:val="20"/>
                <w:szCs w:val="20"/>
              </w:rPr>
            </w:pPr>
            <w:r>
              <w:rPr>
                <w:rFonts w:hint="eastAsia"/>
                <w:sz w:val="20"/>
                <w:szCs w:val="20"/>
              </w:rPr>
              <w:t>监测点坐标</w:t>
            </w:r>
          </w:p>
        </w:tc>
        <w:tc>
          <w:tcPr>
            <w:tcW w:w="650" w:type="pct"/>
            <w:noWrap w:val="0"/>
            <w:vAlign w:val="center"/>
          </w:tcPr>
          <w:p>
            <w:pPr>
              <w:pStyle w:val="199"/>
              <w:spacing w:line="240" w:lineRule="auto"/>
              <w:ind w:firstLine="0"/>
              <w:rPr>
                <w:rFonts w:hint="eastAsia"/>
                <w:sz w:val="20"/>
                <w:szCs w:val="20"/>
              </w:rPr>
            </w:pPr>
            <w:r>
              <w:rPr>
                <w:rFonts w:hint="eastAsia"/>
                <w:sz w:val="20"/>
                <w:szCs w:val="20"/>
              </w:rPr>
              <w:t>与本项目位置关系</w:t>
            </w:r>
          </w:p>
        </w:tc>
        <w:tc>
          <w:tcPr>
            <w:tcW w:w="1016" w:type="pct"/>
            <w:noWrap w:val="0"/>
            <w:vAlign w:val="center"/>
          </w:tcPr>
          <w:p>
            <w:pPr>
              <w:pStyle w:val="199"/>
              <w:spacing w:line="240" w:lineRule="auto"/>
              <w:ind w:firstLine="0"/>
              <w:rPr>
                <w:rFonts w:hint="eastAsia" w:eastAsia="宋体"/>
                <w:sz w:val="20"/>
                <w:szCs w:val="20"/>
                <w:lang w:eastAsia="zh-CN"/>
              </w:rPr>
            </w:pPr>
            <w:r>
              <w:rPr>
                <w:rFonts w:hint="eastAsia"/>
                <w:sz w:val="20"/>
                <w:szCs w:val="20"/>
                <w:lang w:eastAsia="zh-CN"/>
              </w:rPr>
              <w:t>与项目所在区域地下水流向的相对位置关系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11" w:type="pct"/>
            <w:vMerge w:val="restart"/>
            <w:noWrap w:val="0"/>
            <w:vAlign w:val="center"/>
          </w:tcPr>
          <w:p>
            <w:pPr>
              <w:pStyle w:val="199"/>
              <w:spacing w:line="240" w:lineRule="auto"/>
              <w:ind w:firstLine="0"/>
              <w:rPr>
                <w:rFonts w:hint="eastAsia" w:ascii="Times New Roman" w:hAnsi="Times New Roman" w:eastAsia="宋体"/>
                <w:color w:val="000000"/>
                <w:sz w:val="20"/>
                <w:szCs w:val="20"/>
                <w:lang w:eastAsia="zh-CN"/>
              </w:rPr>
            </w:pPr>
            <w:r>
              <w:rPr>
                <w:rFonts w:hint="eastAsia" w:ascii="Times New Roman" w:hAnsi="Times New Roman"/>
                <w:color w:val="000000"/>
                <w:sz w:val="20"/>
                <w:szCs w:val="20"/>
                <w:lang w:eastAsia="zh-CN"/>
              </w:rPr>
              <w:t>《凯赛（乌苏）生物材料有限公司年产</w:t>
            </w:r>
            <w:r>
              <w:rPr>
                <w:rFonts w:hint="eastAsia" w:ascii="Times New Roman" w:hAnsi="Times New Roman"/>
                <w:color w:val="000000"/>
                <w:sz w:val="20"/>
                <w:szCs w:val="20"/>
                <w:lang w:val="en-US" w:eastAsia="zh-CN"/>
              </w:rPr>
              <w:t>10</w:t>
            </w:r>
            <w:r>
              <w:rPr>
                <w:rFonts w:hint="eastAsia" w:ascii="Times New Roman" w:hAnsi="Times New Roman"/>
                <w:color w:val="000000"/>
                <w:sz w:val="20"/>
                <w:szCs w:val="20"/>
                <w:lang w:val="en-US" w:eastAsia="zh-CN"/>
              </w:rPr>
              <w:t>万吨生物基聚酰胺项目</w:t>
            </w:r>
            <w:r>
              <w:rPr>
                <w:rFonts w:hint="eastAsia" w:ascii="Times New Roman" w:hAnsi="Times New Roman"/>
                <w:color w:val="000000"/>
                <w:sz w:val="20"/>
                <w:szCs w:val="20"/>
                <w:lang w:eastAsia="zh-CN"/>
              </w:rPr>
              <w:t>环境影响后评价》监测报告（编号：</w:t>
            </w:r>
            <w:r>
              <w:rPr>
                <w:rFonts w:hint="eastAsia" w:ascii="Times New Roman" w:hAnsi="Times New Roman"/>
                <w:color w:val="000000"/>
                <w:sz w:val="20"/>
                <w:szCs w:val="20"/>
                <w:lang w:val="en-US" w:eastAsia="zh-CN"/>
              </w:rPr>
              <w:t>WT</w:t>
            </w:r>
            <w:r>
              <w:rPr>
                <w:rFonts w:hint="eastAsia" w:ascii="Times New Roman" w:hAnsi="Times New Roman"/>
                <w:color w:val="000000"/>
                <w:sz w:val="20"/>
                <w:szCs w:val="20"/>
                <w:lang w:val="en-US" w:eastAsia="zh-CN"/>
              </w:rPr>
              <w:t>：</w:t>
            </w:r>
            <w:r>
              <w:rPr>
                <w:rFonts w:hint="eastAsia" w:ascii="Times New Roman" w:hAnsi="Times New Roman"/>
                <w:color w:val="000000"/>
                <w:sz w:val="20"/>
                <w:szCs w:val="20"/>
                <w:lang w:val="en-US" w:eastAsia="zh-CN"/>
              </w:rPr>
              <w:t>202111075</w:t>
            </w:r>
            <w:r>
              <w:rPr>
                <w:rFonts w:hint="eastAsia" w:ascii="Times New Roman" w:hAnsi="Times New Roman"/>
                <w:color w:val="000000"/>
                <w:sz w:val="20"/>
                <w:szCs w:val="20"/>
                <w:lang w:eastAsia="zh-CN"/>
              </w:rPr>
              <w:t>）</w:t>
            </w:r>
          </w:p>
        </w:tc>
        <w:tc>
          <w:tcPr>
            <w:tcW w:w="372" w:type="pct"/>
            <w:vMerge w:val="restart"/>
            <w:noWrap w:val="0"/>
            <w:vAlign w:val="center"/>
          </w:tcPr>
          <w:p>
            <w:pPr>
              <w:pStyle w:val="199"/>
              <w:spacing w:line="240" w:lineRule="auto"/>
              <w:ind w:firstLine="0"/>
              <w:rPr>
                <w:rFonts w:hint="default" w:eastAsia="宋体"/>
                <w:color w:val="000000"/>
                <w:sz w:val="20"/>
                <w:szCs w:val="20"/>
                <w:lang w:val="en-US" w:eastAsia="zh-CN"/>
              </w:rPr>
            </w:pPr>
            <w:r>
              <w:rPr>
                <w:rFonts w:hint="eastAsia" w:ascii="Times New Roman" w:hAnsi="Times New Roman"/>
                <w:color w:val="000000"/>
                <w:sz w:val="20"/>
                <w:szCs w:val="20"/>
                <w:lang w:val="en-US" w:eastAsia="zh-CN"/>
              </w:rPr>
              <w:t>2021</w:t>
            </w:r>
            <w:r>
              <w:rPr>
                <w:rFonts w:hint="eastAsia"/>
                <w:color w:val="000000"/>
                <w:sz w:val="20"/>
                <w:szCs w:val="20"/>
                <w:lang w:val="en-US" w:eastAsia="zh-CN"/>
              </w:rPr>
              <w:t>.</w:t>
            </w:r>
            <w:r>
              <w:rPr>
                <w:rFonts w:hint="eastAsia" w:ascii="Times New Roman" w:hAnsi="Times New Roman"/>
                <w:color w:val="000000"/>
                <w:sz w:val="20"/>
                <w:szCs w:val="20"/>
                <w:lang w:val="en-US" w:eastAsia="zh-CN"/>
              </w:rPr>
              <w:t>11</w:t>
            </w:r>
            <w:r>
              <w:rPr>
                <w:rFonts w:hint="eastAsia"/>
                <w:color w:val="000000"/>
                <w:sz w:val="20"/>
                <w:szCs w:val="20"/>
                <w:lang w:val="en-US" w:eastAsia="zh-CN"/>
              </w:rPr>
              <w:t>.</w:t>
            </w:r>
            <w:r>
              <w:rPr>
                <w:rFonts w:hint="eastAsia" w:ascii="Times New Roman" w:hAnsi="Times New Roman"/>
                <w:color w:val="000000"/>
                <w:sz w:val="20"/>
                <w:szCs w:val="20"/>
                <w:lang w:val="en-US" w:eastAsia="zh-CN"/>
              </w:rPr>
              <w:t>17</w:t>
            </w:r>
          </w:p>
        </w:tc>
        <w:tc>
          <w:tcPr>
            <w:tcW w:w="597" w:type="pct"/>
            <w:vMerge w:val="restart"/>
            <w:noWrap w:val="0"/>
            <w:vAlign w:val="center"/>
          </w:tcPr>
          <w:p>
            <w:pPr>
              <w:pStyle w:val="199"/>
              <w:spacing w:line="240" w:lineRule="auto"/>
              <w:ind w:firstLine="0"/>
              <w:rPr>
                <w:rFonts w:hint="eastAsia" w:eastAsia="宋体"/>
                <w:sz w:val="20"/>
                <w:szCs w:val="20"/>
                <w:lang w:eastAsia="zh-CN"/>
              </w:rPr>
            </w:pPr>
            <w:r>
              <w:rPr>
                <w:rFonts w:hint="eastAsia"/>
                <w:sz w:val="20"/>
                <w:szCs w:val="20"/>
                <w:lang w:eastAsia="zh-CN"/>
              </w:rPr>
              <w:t>新疆锡水金山环境科技有限公司</w:t>
            </w:r>
          </w:p>
        </w:tc>
        <w:tc>
          <w:tcPr>
            <w:tcW w:w="1251" w:type="pct"/>
            <w:noWrap w:val="0"/>
            <w:vAlign w:val="center"/>
          </w:tcPr>
          <w:p>
            <w:pPr>
              <w:pStyle w:val="199"/>
              <w:spacing w:line="240" w:lineRule="auto"/>
              <w:ind w:firstLine="0"/>
              <w:rPr>
                <w:rFonts w:hint="eastAsia"/>
                <w:sz w:val="20"/>
                <w:szCs w:val="20"/>
              </w:rPr>
            </w:pPr>
            <w:r>
              <w:rPr>
                <w:rFonts w:hint="eastAsia" w:ascii="Times New Roman" w:hAnsi="Times New Roman"/>
                <w:sz w:val="20"/>
                <w:szCs w:val="20"/>
                <w:lang w:val="en-US" w:eastAsia="zh-CN"/>
              </w:rPr>
              <w:t>1</w:t>
            </w:r>
            <w:r>
              <w:rPr>
                <w:rFonts w:hint="eastAsia" w:ascii="Times New Roman" w:hAnsi="Times New Roman"/>
                <w:sz w:val="20"/>
                <w:szCs w:val="20"/>
                <w:lang w:val="en-US" w:eastAsia="zh-CN"/>
              </w:rPr>
              <w:t>#生活区宿舍：</w:t>
            </w:r>
            <w:r>
              <w:rPr>
                <w:rFonts w:hint="eastAsia" w:ascii="Times New Roman" w:hAnsi="Times New Roman"/>
                <w:sz w:val="20"/>
                <w:szCs w:val="20"/>
              </w:rPr>
              <w:t>44</w:t>
            </w:r>
            <w:r>
              <w:rPr>
                <w:sz w:val="20"/>
                <w:szCs w:val="20"/>
              </w:rPr>
              <w:t>°</w:t>
            </w:r>
            <w:r>
              <w:rPr>
                <w:rFonts w:hint="eastAsia" w:ascii="Times New Roman" w:hAnsi="Times New Roman"/>
                <w:sz w:val="20"/>
                <w:szCs w:val="20"/>
                <w:lang w:val="en-US" w:eastAsia="zh-CN"/>
              </w:rPr>
              <w:t>23</w:t>
            </w:r>
            <w:r>
              <w:rPr>
                <w:sz w:val="20"/>
                <w:szCs w:val="20"/>
              </w:rPr>
              <w:t>′</w:t>
            </w:r>
            <w:r>
              <w:rPr>
                <w:rFonts w:hint="eastAsia" w:ascii="Times New Roman" w:hAnsi="Times New Roman"/>
                <w:sz w:val="20"/>
                <w:szCs w:val="20"/>
                <w:lang w:val="en-US" w:eastAsia="zh-CN"/>
              </w:rPr>
              <w:t>3</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32</w:t>
            </w:r>
            <w:r>
              <w:rPr>
                <w:sz w:val="20"/>
                <w:szCs w:val="20"/>
              </w:rPr>
              <w:t>″</w:t>
            </w:r>
            <w:r>
              <w:rPr>
                <w:rFonts w:hint="eastAsia" w:ascii="Times New Roman" w:hAnsi="Times New Roman"/>
                <w:sz w:val="20"/>
                <w:szCs w:val="20"/>
              </w:rPr>
              <w:t>N</w:t>
            </w:r>
            <w:r>
              <w:rPr>
                <w:rFonts w:hint="eastAsia"/>
                <w:sz w:val="20"/>
                <w:szCs w:val="20"/>
              </w:rPr>
              <w:t>，</w:t>
            </w:r>
          </w:p>
          <w:p>
            <w:pPr>
              <w:pStyle w:val="199"/>
              <w:spacing w:line="240" w:lineRule="auto"/>
              <w:ind w:firstLine="0"/>
              <w:rPr>
                <w:rFonts w:hint="eastAsia"/>
                <w:sz w:val="20"/>
                <w:szCs w:val="20"/>
              </w:rPr>
            </w:pPr>
            <w:r>
              <w:rPr>
                <w:rFonts w:hint="eastAsia" w:ascii="Times New Roman" w:hAnsi="Times New Roman"/>
                <w:sz w:val="20"/>
                <w:szCs w:val="20"/>
              </w:rPr>
              <w:t>8</w:t>
            </w:r>
            <w:r>
              <w:rPr>
                <w:rFonts w:hint="eastAsia" w:ascii="Times New Roman" w:hAnsi="Times New Roman"/>
                <w:sz w:val="20"/>
                <w:szCs w:val="20"/>
                <w:lang w:val="en-US" w:eastAsia="zh-CN"/>
              </w:rPr>
              <w:t>4</w:t>
            </w:r>
            <w:r>
              <w:rPr>
                <w:sz w:val="20"/>
                <w:szCs w:val="20"/>
              </w:rPr>
              <w:t>°</w:t>
            </w:r>
            <w:r>
              <w:rPr>
                <w:rFonts w:hint="eastAsia" w:ascii="Times New Roman" w:hAnsi="Times New Roman"/>
                <w:sz w:val="20"/>
                <w:szCs w:val="20"/>
                <w:lang w:val="en-US" w:eastAsia="zh-CN"/>
              </w:rPr>
              <w:t>54</w:t>
            </w:r>
            <w:r>
              <w:rPr>
                <w:sz w:val="20"/>
                <w:szCs w:val="20"/>
              </w:rPr>
              <w:t>′</w:t>
            </w:r>
            <w:r>
              <w:rPr>
                <w:rFonts w:hint="eastAsia" w:ascii="Times New Roman" w:hAnsi="Times New Roman"/>
                <w:sz w:val="20"/>
                <w:szCs w:val="20"/>
                <w:lang w:val="en-US" w:eastAsia="zh-CN"/>
              </w:rPr>
              <w:t>18</w:t>
            </w:r>
            <w:r>
              <w:rPr>
                <w:rFonts w:hint="eastAsia"/>
                <w:sz w:val="20"/>
                <w:szCs w:val="20"/>
                <w:lang w:val="en-US" w:eastAsia="zh-CN"/>
              </w:rPr>
              <w:t>.</w:t>
            </w:r>
            <w:r>
              <w:rPr>
                <w:rFonts w:hint="eastAsia" w:ascii="Times New Roman" w:hAnsi="Times New Roman"/>
                <w:sz w:val="20"/>
                <w:szCs w:val="20"/>
                <w:lang w:val="en-US" w:eastAsia="zh-CN"/>
              </w:rPr>
              <w:t>01</w:t>
            </w:r>
            <w:r>
              <w:rPr>
                <w:sz w:val="20"/>
                <w:szCs w:val="20"/>
              </w:rPr>
              <w:t>″</w:t>
            </w:r>
            <w:r>
              <w:rPr>
                <w:rFonts w:hint="eastAsia" w:ascii="Times New Roman" w:hAnsi="Times New Roman"/>
                <w:sz w:val="20"/>
                <w:szCs w:val="20"/>
              </w:rPr>
              <w:t>E</w:t>
            </w:r>
          </w:p>
        </w:tc>
        <w:tc>
          <w:tcPr>
            <w:tcW w:w="650" w:type="pct"/>
            <w:noWrap w:val="0"/>
            <w:vAlign w:val="center"/>
          </w:tcPr>
          <w:p>
            <w:pPr>
              <w:pStyle w:val="199"/>
              <w:spacing w:line="240" w:lineRule="auto"/>
              <w:ind w:firstLine="0"/>
              <w:rPr>
                <w:rFonts w:hint="eastAsia" w:ascii="Times New Roman" w:hAnsi="Times New Roman"/>
                <w:sz w:val="20"/>
                <w:szCs w:val="20"/>
              </w:rPr>
            </w:pPr>
            <w:r>
              <w:rPr>
                <w:rFonts w:hint="eastAsia" w:ascii="Times New Roman" w:hAnsi="Times New Roman"/>
                <w:sz w:val="20"/>
                <w:szCs w:val="20"/>
                <w:lang w:val="en-US" w:eastAsia="zh-CN"/>
              </w:rPr>
              <w:t>E</w:t>
            </w:r>
            <w:r>
              <w:rPr>
                <w:rFonts w:hint="eastAsia" w:ascii="Times New Roman" w:hAnsi="Times New Roman"/>
                <w:sz w:val="20"/>
                <w:szCs w:val="20"/>
              </w:rPr>
              <w:t>，</w:t>
            </w:r>
            <w:r>
              <w:rPr>
                <w:rFonts w:hint="eastAsia" w:ascii="Times New Roman" w:hAnsi="Times New Roman"/>
                <w:sz w:val="20"/>
                <w:szCs w:val="20"/>
                <w:lang w:val="en-US" w:eastAsia="zh-CN"/>
              </w:rPr>
              <w:t>1</w:t>
            </w:r>
            <w:r>
              <w:rPr>
                <w:rFonts w:hint="eastAsia" w:ascii="Times New Roman" w:hAnsi="Times New Roman"/>
                <w:sz w:val="20"/>
                <w:szCs w:val="20"/>
              </w:rPr>
              <w:t>km</w:t>
            </w:r>
          </w:p>
        </w:tc>
        <w:tc>
          <w:tcPr>
            <w:tcW w:w="1016" w:type="pct"/>
            <w:noWrap w:val="0"/>
            <w:vAlign w:val="center"/>
          </w:tcPr>
          <w:p>
            <w:pPr>
              <w:pStyle w:val="199"/>
              <w:spacing w:line="240" w:lineRule="auto"/>
              <w:ind w:firstLine="0"/>
              <w:rPr>
                <w:rFonts w:hint="eastAsia" w:eastAsia="宋体"/>
                <w:sz w:val="20"/>
                <w:szCs w:val="20"/>
                <w:lang w:eastAsia="zh-CN"/>
              </w:rPr>
            </w:pPr>
            <w:r>
              <w:rPr>
                <w:rFonts w:hint="eastAsia"/>
                <w:sz w:val="20"/>
                <w:szCs w:val="20"/>
                <w:lang w:eastAsia="zh-CN"/>
              </w:rPr>
              <w:t>侧向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11" w:type="pct"/>
            <w:vMerge w:val="continue"/>
            <w:noWrap w:val="0"/>
            <w:vAlign w:val="center"/>
          </w:tcPr>
          <w:p>
            <w:pPr>
              <w:pStyle w:val="199"/>
              <w:spacing w:line="240" w:lineRule="auto"/>
              <w:ind w:firstLine="0"/>
              <w:rPr>
                <w:rFonts w:hint="eastAsia" w:ascii="Times New Roman" w:hAnsi="Times New Roman"/>
                <w:color w:val="000000"/>
                <w:sz w:val="20"/>
                <w:szCs w:val="20"/>
              </w:rPr>
            </w:pPr>
          </w:p>
        </w:tc>
        <w:tc>
          <w:tcPr>
            <w:tcW w:w="372" w:type="pct"/>
            <w:vMerge w:val="continue"/>
            <w:noWrap w:val="0"/>
            <w:vAlign w:val="center"/>
          </w:tcPr>
          <w:p>
            <w:pPr>
              <w:pStyle w:val="199"/>
              <w:spacing w:line="240" w:lineRule="auto"/>
              <w:ind w:firstLine="0"/>
              <w:rPr>
                <w:rFonts w:hint="eastAsia" w:ascii="Times New Roman" w:hAnsi="Times New Roman"/>
                <w:color w:val="000000"/>
                <w:sz w:val="20"/>
                <w:szCs w:val="20"/>
              </w:rPr>
            </w:pPr>
          </w:p>
        </w:tc>
        <w:tc>
          <w:tcPr>
            <w:tcW w:w="597" w:type="pct"/>
            <w:vMerge w:val="continue"/>
            <w:noWrap w:val="0"/>
            <w:vAlign w:val="center"/>
          </w:tcPr>
          <w:p>
            <w:pPr>
              <w:pStyle w:val="199"/>
              <w:spacing w:line="240" w:lineRule="auto"/>
              <w:ind w:firstLine="0"/>
              <w:rPr>
                <w:rFonts w:hint="eastAsia"/>
                <w:sz w:val="20"/>
                <w:szCs w:val="20"/>
              </w:rPr>
            </w:pPr>
          </w:p>
        </w:tc>
        <w:tc>
          <w:tcPr>
            <w:tcW w:w="1251" w:type="pct"/>
            <w:noWrap w:val="0"/>
            <w:vAlign w:val="center"/>
          </w:tcPr>
          <w:p>
            <w:pPr>
              <w:pStyle w:val="199"/>
              <w:spacing w:line="240" w:lineRule="auto"/>
              <w:ind w:firstLine="0"/>
              <w:rPr>
                <w:rFonts w:hint="eastAsia"/>
                <w:sz w:val="20"/>
                <w:szCs w:val="20"/>
              </w:rPr>
            </w:pPr>
            <w:r>
              <w:rPr>
                <w:rFonts w:hint="eastAsia" w:ascii="Times New Roman" w:hAnsi="Times New Roman"/>
                <w:sz w:val="20"/>
                <w:szCs w:val="20"/>
                <w:lang w:val="en-US" w:eastAsia="zh-CN"/>
              </w:rPr>
              <w:t>2</w:t>
            </w:r>
            <w:r>
              <w:rPr>
                <w:rFonts w:hint="eastAsia" w:ascii="Times New Roman" w:hAnsi="Times New Roman"/>
                <w:sz w:val="20"/>
                <w:szCs w:val="20"/>
                <w:lang w:val="en-US" w:eastAsia="zh-CN"/>
              </w:rPr>
              <w:t>#：厂区外北侧自建房：</w:t>
            </w:r>
            <w:r>
              <w:rPr>
                <w:rFonts w:hint="eastAsia" w:ascii="Times New Roman" w:hAnsi="Times New Roman"/>
                <w:sz w:val="20"/>
                <w:szCs w:val="20"/>
              </w:rPr>
              <w:t>44</w:t>
            </w:r>
            <w:r>
              <w:rPr>
                <w:sz w:val="20"/>
                <w:szCs w:val="20"/>
              </w:rPr>
              <w:t>°</w:t>
            </w:r>
            <w:r>
              <w:rPr>
                <w:rFonts w:hint="eastAsia" w:ascii="Times New Roman" w:hAnsi="Times New Roman"/>
                <w:sz w:val="20"/>
                <w:szCs w:val="20"/>
                <w:lang w:val="en-US" w:eastAsia="zh-CN"/>
              </w:rPr>
              <w:t>21</w:t>
            </w:r>
            <w:r>
              <w:rPr>
                <w:sz w:val="20"/>
                <w:szCs w:val="20"/>
              </w:rPr>
              <w:t>′</w:t>
            </w:r>
            <w:r>
              <w:rPr>
                <w:rFonts w:hint="eastAsia" w:ascii="Times New Roman" w:hAnsi="Times New Roman"/>
                <w:sz w:val="20"/>
                <w:szCs w:val="20"/>
                <w:lang w:val="en-US" w:eastAsia="zh-CN"/>
              </w:rPr>
              <w:t>32</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67</w:t>
            </w:r>
            <w:r>
              <w:rPr>
                <w:sz w:val="20"/>
                <w:szCs w:val="20"/>
              </w:rPr>
              <w:t>″</w:t>
            </w:r>
            <w:r>
              <w:rPr>
                <w:rFonts w:hint="eastAsia" w:ascii="Times New Roman" w:hAnsi="Times New Roman"/>
                <w:sz w:val="20"/>
                <w:szCs w:val="20"/>
              </w:rPr>
              <w:t>N</w:t>
            </w:r>
            <w:r>
              <w:rPr>
                <w:rFonts w:hint="eastAsia"/>
                <w:sz w:val="20"/>
                <w:szCs w:val="20"/>
              </w:rPr>
              <w:t>，</w:t>
            </w:r>
          </w:p>
          <w:p>
            <w:pPr>
              <w:pStyle w:val="199"/>
              <w:spacing w:line="240" w:lineRule="auto"/>
              <w:ind w:firstLine="0"/>
              <w:rPr>
                <w:rFonts w:hint="eastAsia" w:ascii="Times New Roman" w:hAnsi="Times New Roman"/>
                <w:sz w:val="20"/>
                <w:szCs w:val="20"/>
              </w:rPr>
            </w:pPr>
            <w:r>
              <w:rPr>
                <w:rFonts w:hint="eastAsia" w:ascii="Times New Roman" w:hAnsi="Times New Roman"/>
                <w:sz w:val="20"/>
                <w:szCs w:val="20"/>
              </w:rPr>
              <w:t>8</w:t>
            </w:r>
            <w:r>
              <w:rPr>
                <w:rFonts w:hint="eastAsia" w:ascii="Times New Roman" w:hAnsi="Times New Roman"/>
                <w:sz w:val="20"/>
                <w:szCs w:val="20"/>
                <w:lang w:val="en-US" w:eastAsia="zh-CN"/>
              </w:rPr>
              <w:t>4</w:t>
            </w:r>
            <w:r>
              <w:rPr>
                <w:sz w:val="20"/>
                <w:szCs w:val="20"/>
              </w:rPr>
              <w:t>°</w:t>
            </w:r>
            <w:r>
              <w:rPr>
                <w:rFonts w:hint="eastAsia" w:ascii="Times New Roman" w:hAnsi="Times New Roman"/>
                <w:sz w:val="20"/>
                <w:szCs w:val="20"/>
                <w:lang w:val="en-US" w:eastAsia="zh-CN"/>
              </w:rPr>
              <w:t>59</w:t>
            </w:r>
            <w:r>
              <w:rPr>
                <w:sz w:val="20"/>
                <w:szCs w:val="20"/>
              </w:rPr>
              <w:t>′</w:t>
            </w:r>
            <w:r>
              <w:rPr>
                <w:rFonts w:hint="eastAsia" w:ascii="Times New Roman" w:hAnsi="Times New Roman"/>
                <w:sz w:val="20"/>
                <w:szCs w:val="20"/>
                <w:lang w:val="en-US" w:eastAsia="zh-CN"/>
              </w:rPr>
              <w:t>3</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41</w:t>
            </w:r>
            <w:r>
              <w:rPr>
                <w:sz w:val="20"/>
                <w:szCs w:val="20"/>
              </w:rPr>
              <w:t>″</w:t>
            </w:r>
            <w:r>
              <w:rPr>
                <w:rFonts w:hint="eastAsia" w:ascii="Times New Roman" w:hAnsi="Times New Roman"/>
                <w:sz w:val="20"/>
                <w:szCs w:val="20"/>
              </w:rPr>
              <w:t>E</w:t>
            </w:r>
          </w:p>
        </w:tc>
        <w:tc>
          <w:tcPr>
            <w:tcW w:w="650" w:type="pct"/>
            <w:noWrap w:val="0"/>
            <w:vAlign w:val="center"/>
          </w:tcPr>
          <w:p>
            <w:pPr>
              <w:pStyle w:val="199"/>
              <w:spacing w:line="240" w:lineRule="auto"/>
              <w:ind w:firstLine="0"/>
              <w:rPr>
                <w:rFonts w:hint="eastAsia" w:ascii="Times New Roman" w:hAnsi="Times New Roman"/>
                <w:sz w:val="20"/>
                <w:szCs w:val="20"/>
              </w:rPr>
            </w:pPr>
            <w:r>
              <w:rPr>
                <w:rFonts w:hint="eastAsia" w:ascii="Times New Roman" w:hAnsi="Times New Roman"/>
                <w:sz w:val="20"/>
                <w:szCs w:val="20"/>
                <w:lang w:val="en-US" w:eastAsia="zh-CN"/>
              </w:rPr>
              <w:t>NE</w:t>
            </w:r>
            <w:r>
              <w:rPr>
                <w:rFonts w:hint="eastAsia" w:ascii="Times New Roman" w:hAnsi="Times New Roman"/>
                <w:sz w:val="20"/>
                <w:szCs w:val="20"/>
              </w:rPr>
              <w:t>，</w:t>
            </w:r>
            <w:r>
              <w:rPr>
                <w:rFonts w:hint="eastAsia" w:ascii="Times New Roman" w:hAnsi="Times New Roman"/>
                <w:sz w:val="20"/>
                <w:szCs w:val="20"/>
                <w:lang w:val="en-US" w:eastAsia="zh-CN"/>
              </w:rPr>
              <w:t>1</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1</w:t>
            </w:r>
            <w:r>
              <w:rPr>
                <w:rFonts w:hint="eastAsia" w:ascii="Times New Roman" w:hAnsi="Times New Roman"/>
                <w:sz w:val="20"/>
                <w:szCs w:val="20"/>
              </w:rPr>
              <w:t>km</w:t>
            </w:r>
          </w:p>
        </w:tc>
        <w:tc>
          <w:tcPr>
            <w:tcW w:w="1016" w:type="pct"/>
            <w:noWrap w:val="0"/>
            <w:vAlign w:val="center"/>
          </w:tcPr>
          <w:p>
            <w:pPr>
              <w:pStyle w:val="199"/>
              <w:spacing w:line="240" w:lineRule="auto"/>
              <w:ind w:firstLine="0"/>
              <w:rPr>
                <w:rFonts w:hint="eastAsia" w:ascii="Times New Roman" w:hAnsi="Times New Roman" w:eastAsia="宋体"/>
                <w:sz w:val="20"/>
                <w:szCs w:val="20"/>
                <w:lang w:eastAsia="zh-CN"/>
              </w:rPr>
            </w:pPr>
            <w:r>
              <w:rPr>
                <w:rFonts w:hint="eastAsia" w:ascii="Times New Roman" w:hAnsi="Times New Roman"/>
                <w:sz w:val="20"/>
                <w:szCs w:val="20"/>
                <w:lang w:eastAsia="zh-CN"/>
              </w:rPr>
              <w:t>侧向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11" w:type="pct"/>
            <w:vMerge w:val="continue"/>
            <w:noWrap w:val="0"/>
            <w:vAlign w:val="center"/>
          </w:tcPr>
          <w:p>
            <w:pPr>
              <w:pStyle w:val="199"/>
              <w:spacing w:line="240" w:lineRule="auto"/>
              <w:ind w:firstLine="0"/>
              <w:rPr>
                <w:rFonts w:hint="eastAsia" w:ascii="Times New Roman" w:hAnsi="Times New Roman"/>
                <w:color w:val="000000"/>
                <w:sz w:val="20"/>
                <w:szCs w:val="20"/>
              </w:rPr>
            </w:pPr>
          </w:p>
        </w:tc>
        <w:tc>
          <w:tcPr>
            <w:tcW w:w="372" w:type="pct"/>
            <w:vMerge w:val="continue"/>
            <w:noWrap w:val="0"/>
            <w:vAlign w:val="center"/>
          </w:tcPr>
          <w:p>
            <w:pPr>
              <w:pStyle w:val="199"/>
              <w:spacing w:line="240" w:lineRule="auto"/>
              <w:ind w:firstLine="0"/>
              <w:rPr>
                <w:rFonts w:hint="eastAsia"/>
                <w:color w:val="000000"/>
                <w:sz w:val="20"/>
                <w:szCs w:val="20"/>
              </w:rPr>
            </w:pPr>
          </w:p>
        </w:tc>
        <w:tc>
          <w:tcPr>
            <w:tcW w:w="597" w:type="pct"/>
            <w:vMerge w:val="continue"/>
            <w:noWrap w:val="0"/>
            <w:vAlign w:val="center"/>
          </w:tcPr>
          <w:p>
            <w:pPr>
              <w:pStyle w:val="199"/>
              <w:spacing w:line="240" w:lineRule="auto"/>
              <w:ind w:firstLine="0"/>
              <w:rPr>
                <w:sz w:val="20"/>
                <w:szCs w:val="20"/>
              </w:rPr>
            </w:pPr>
          </w:p>
        </w:tc>
        <w:tc>
          <w:tcPr>
            <w:tcW w:w="1251" w:type="pct"/>
            <w:noWrap w:val="0"/>
            <w:vAlign w:val="center"/>
          </w:tcPr>
          <w:p>
            <w:pPr>
              <w:pStyle w:val="199"/>
              <w:spacing w:line="240" w:lineRule="auto"/>
              <w:ind w:firstLine="0"/>
              <w:rPr>
                <w:rFonts w:hint="eastAsia"/>
                <w:sz w:val="20"/>
                <w:szCs w:val="20"/>
              </w:rPr>
            </w:pPr>
            <w:r>
              <w:rPr>
                <w:rFonts w:hint="eastAsia" w:ascii="Times New Roman" w:hAnsi="Times New Roman"/>
                <w:sz w:val="20"/>
                <w:szCs w:val="20"/>
                <w:lang w:val="en-US" w:eastAsia="zh-CN"/>
              </w:rPr>
              <w:t>3</w:t>
            </w:r>
            <w:r>
              <w:rPr>
                <w:rFonts w:hint="eastAsia" w:ascii="Times New Roman" w:hAnsi="Times New Roman"/>
                <w:sz w:val="20"/>
                <w:szCs w:val="20"/>
                <w:lang w:val="en-US" w:eastAsia="zh-CN"/>
              </w:rPr>
              <w:t>#：项目南侧水井：</w:t>
            </w:r>
            <w:r>
              <w:rPr>
                <w:rFonts w:hint="eastAsia" w:ascii="Times New Roman" w:hAnsi="Times New Roman"/>
                <w:sz w:val="20"/>
                <w:szCs w:val="20"/>
              </w:rPr>
              <w:t>44</w:t>
            </w:r>
            <w:r>
              <w:rPr>
                <w:sz w:val="20"/>
                <w:szCs w:val="20"/>
              </w:rPr>
              <w:t>°</w:t>
            </w:r>
            <w:r>
              <w:rPr>
                <w:rFonts w:hint="eastAsia" w:ascii="Times New Roman" w:hAnsi="Times New Roman"/>
                <w:sz w:val="20"/>
                <w:szCs w:val="20"/>
                <w:lang w:val="en-US" w:eastAsia="zh-CN"/>
              </w:rPr>
              <w:t>21</w:t>
            </w:r>
            <w:r>
              <w:rPr>
                <w:sz w:val="20"/>
                <w:szCs w:val="20"/>
              </w:rPr>
              <w:t>′</w:t>
            </w:r>
            <w:r>
              <w:rPr>
                <w:rFonts w:hint="eastAsia" w:ascii="Times New Roman" w:hAnsi="Times New Roman"/>
                <w:sz w:val="20"/>
                <w:szCs w:val="20"/>
                <w:lang w:val="en-US" w:eastAsia="zh-CN"/>
              </w:rPr>
              <w:t>15</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51</w:t>
            </w:r>
            <w:r>
              <w:rPr>
                <w:sz w:val="20"/>
                <w:szCs w:val="20"/>
              </w:rPr>
              <w:t>″</w:t>
            </w:r>
            <w:r>
              <w:rPr>
                <w:rFonts w:hint="eastAsia" w:ascii="Times New Roman" w:hAnsi="Times New Roman"/>
                <w:sz w:val="20"/>
                <w:szCs w:val="20"/>
              </w:rPr>
              <w:t>N</w:t>
            </w:r>
            <w:r>
              <w:rPr>
                <w:rFonts w:hint="eastAsia"/>
                <w:sz w:val="20"/>
                <w:szCs w:val="20"/>
              </w:rPr>
              <w:t>，</w:t>
            </w:r>
          </w:p>
          <w:p>
            <w:pPr>
              <w:pStyle w:val="199"/>
              <w:spacing w:line="240" w:lineRule="auto"/>
              <w:ind w:firstLine="0"/>
              <w:rPr>
                <w:rFonts w:hint="eastAsia"/>
                <w:sz w:val="20"/>
                <w:szCs w:val="20"/>
              </w:rPr>
            </w:pPr>
            <w:r>
              <w:rPr>
                <w:rFonts w:hint="eastAsia" w:ascii="Times New Roman" w:hAnsi="Times New Roman"/>
                <w:sz w:val="20"/>
                <w:szCs w:val="20"/>
              </w:rPr>
              <w:t>8</w:t>
            </w:r>
            <w:r>
              <w:rPr>
                <w:rFonts w:hint="eastAsia" w:ascii="Times New Roman" w:hAnsi="Times New Roman"/>
                <w:sz w:val="20"/>
                <w:szCs w:val="20"/>
                <w:lang w:val="en-US" w:eastAsia="zh-CN"/>
              </w:rPr>
              <w:t>4</w:t>
            </w:r>
            <w:r>
              <w:rPr>
                <w:sz w:val="20"/>
                <w:szCs w:val="20"/>
              </w:rPr>
              <w:t>°</w:t>
            </w:r>
            <w:r>
              <w:rPr>
                <w:rFonts w:hint="eastAsia" w:ascii="Times New Roman" w:hAnsi="Times New Roman"/>
                <w:sz w:val="20"/>
                <w:szCs w:val="20"/>
                <w:lang w:val="en-US" w:eastAsia="zh-CN"/>
              </w:rPr>
              <w:t>55</w:t>
            </w:r>
            <w:r>
              <w:rPr>
                <w:sz w:val="20"/>
                <w:szCs w:val="20"/>
              </w:rPr>
              <w:t>′</w:t>
            </w:r>
            <w:r>
              <w:rPr>
                <w:rFonts w:hint="eastAsia" w:ascii="Times New Roman" w:hAnsi="Times New Roman"/>
                <w:sz w:val="20"/>
                <w:szCs w:val="20"/>
                <w:lang w:val="en-US" w:eastAsia="zh-CN"/>
              </w:rPr>
              <w:t>29</w:t>
            </w:r>
            <w:r>
              <w:rPr>
                <w:rFonts w:hint="eastAsia"/>
                <w:sz w:val="20"/>
                <w:szCs w:val="20"/>
                <w:lang w:val="en-US" w:eastAsia="zh-CN"/>
              </w:rPr>
              <w:t>.</w:t>
            </w:r>
            <w:r>
              <w:rPr>
                <w:rFonts w:hint="eastAsia" w:ascii="Times New Roman" w:hAnsi="Times New Roman"/>
                <w:sz w:val="20"/>
                <w:szCs w:val="20"/>
                <w:lang w:val="en-US" w:eastAsia="zh-CN"/>
              </w:rPr>
              <w:t>49</w:t>
            </w:r>
            <w:r>
              <w:rPr>
                <w:sz w:val="20"/>
                <w:szCs w:val="20"/>
              </w:rPr>
              <w:t>″</w:t>
            </w:r>
            <w:r>
              <w:rPr>
                <w:rFonts w:hint="eastAsia" w:ascii="Times New Roman" w:hAnsi="Times New Roman"/>
                <w:sz w:val="20"/>
                <w:szCs w:val="20"/>
              </w:rPr>
              <w:t>E</w:t>
            </w:r>
          </w:p>
        </w:tc>
        <w:tc>
          <w:tcPr>
            <w:tcW w:w="650" w:type="pct"/>
            <w:noWrap w:val="0"/>
            <w:vAlign w:val="center"/>
          </w:tcPr>
          <w:p>
            <w:pPr>
              <w:pStyle w:val="199"/>
              <w:spacing w:line="240" w:lineRule="auto"/>
              <w:ind w:firstLine="0"/>
              <w:rPr>
                <w:rFonts w:hint="eastAsia" w:ascii="Times New Roman" w:hAnsi="Times New Roman"/>
                <w:sz w:val="20"/>
                <w:szCs w:val="20"/>
              </w:rPr>
            </w:pPr>
            <w:r>
              <w:rPr>
                <w:rFonts w:hint="eastAsia" w:ascii="Times New Roman" w:hAnsi="Times New Roman"/>
                <w:sz w:val="20"/>
                <w:szCs w:val="20"/>
                <w:lang w:val="en-US" w:eastAsia="zh-CN"/>
              </w:rPr>
              <w:t>SE</w:t>
            </w:r>
            <w:r>
              <w:rPr>
                <w:rFonts w:hint="eastAsia" w:ascii="Times New Roman" w:hAnsi="Times New Roman"/>
                <w:sz w:val="20"/>
                <w:szCs w:val="20"/>
              </w:rPr>
              <w:t>，</w:t>
            </w:r>
            <w:r>
              <w:rPr>
                <w:rFonts w:hint="eastAsia" w:ascii="Times New Roman" w:hAnsi="Times New Roman"/>
                <w:sz w:val="20"/>
                <w:szCs w:val="20"/>
                <w:lang w:val="en-US" w:eastAsia="zh-CN"/>
              </w:rPr>
              <w:t>2</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3k</w:t>
            </w:r>
            <w:r>
              <w:rPr>
                <w:rFonts w:hint="eastAsia" w:ascii="Times New Roman" w:hAnsi="Times New Roman"/>
                <w:sz w:val="20"/>
                <w:szCs w:val="20"/>
              </w:rPr>
              <w:t>m</w:t>
            </w:r>
          </w:p>
        </w:tc>
        <w:tc>
          <w:tcPr>
            <w:tcW w:w="1016" w:type="pct"/>
            <w:noWrap w:val="0"/>
            <w:vAlign w:val="center"/>
          </w:tcPr>
          <w:p>
            <w:pPr>
              <w:pStyle w:val="199"/>
              <w:spacing w:line="240" w:lineRule="auto"/>
              <w:ind w:firstLine="0"/>
              <w:rPr>
                <w:rFonts w:hint="eastAsia" w:eastAsia="宋体"/>
                <w:color w:val="000000"/>
                <w:sz w:val="20"/>
                <w:szCs w:val="20"/>
                <w:lang w:eastAsia="zh-CN"/>
              </w:rPr>
            </w:pPr>
            <w:r>
              <w:rPr>
                <w:rFonts w:hint="eastAsia"/>
                <w:color w:val="000000"/>
                <w:sz w:val="20"/>
                <w:szCs w:val="20"/>
                <w:lang w:eastAsia="zh-CN"/>
              </w:rPr>
              <w:t>上游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111" w:type="pct"/>
            <w:vMerge w:val="restart"/>
            <w:noWrap w:val="0"/>
            <w:vAlign w:val="center"/>
          </w:tcPr>
          <w:p>
            <w:pPr>
              <w:pStyle w:val="199"/>
              <w:spacing w:line="240" w:lineRule="auto"/>
              <w:ind w:firstLine="0" w:firstLineChars="0"/>
              <w:rPr>
                <w:rFonts w:hint="eastAsia" w:ascii="Times New Roman" w:hAnsi="Times New Roman" w:eastAsia="宋体" w:cs="宋体"/>
                <w:color w:val="000000"/>
                <w:kern w:val="0"/>
                <w:sz w:val="20"/>
                <w:szCs w:val="20"/>
                <w:lang w:val="en-US" w:eastAsia="zh-CN" w:bidi="ar-SA"/>
              </w:rPr>
            </w:pPr>
            <w:r>
              <w:rPr>
                <w:rFonts w:hint="eastAsia" w:ascii="Times New Roman" w:hAnsi="Times New Roman"/>
                <w:color w:val="000000"/>
                <w:sz w:val="20"/>
                <w:szCs w:val="20"/>
                <w:lang w:eastAsia="zh-CN"/>
              </w:rPr>
              <w:t>《凯赛（乌苏）生物材料有限公司废气废水监测项目》</w:t>
            </w:r>
            <w:r>
              <w:rPr>
                <w:rFonts w:hint="eastAsia" w:ascii="Times New Roman" w:hAnsi="Times New Roman"/>
                <w:color w:val="000000"/>
                <w:sz w:val="20"/>
                <w:szCs w:val="20"/>
                <w:lang w:val="en-US" w:eastAsia="zh-CN"/>
              </w:rPr>
              <w:t>2022</w:t>
            </w:r>
            <w:r>
              <w:rPr>
                <w:rFonts w:hint="eastAsia" w:ascii="Times New Roman" w:hAnsi="Times New Roman"/>
                <w:color w:val="000000"/>
                <w:sz w:val="20"/>
                <w:szCs w:val="20"/>
                <w:lang w:val="en-US" w:eastAsia="zh-CN"/>
              </w:rPr>
              <w:t>年第三季度例行</w:t>
            </w:r>
            <w:r>
              <w:rPr>
                <w:rFonts w:hint="eastAsia" w:ascii="Times New Roman" w:hAnsi="Times New Roman"/>
                <w:color w:val="000000"/>
                <w:sz w:val="20"/>
                <w:szCs w:val="20"/>
                <w:lang w:eastAsia="zh-CN"/>
              </w:rPr>
              <w:t>监测报告（编号</w:t>
            </w:r>
            <w:r>
              <w:rPr>
                <w:rFonts w:hint="eastAsia" w:ascii="Times New Roman" w:hAnsi="Times New Roman"/>
                <w:color w:val="000000"/>
                <w:sz w:val="20"/>
                <w:szCs w:val="20"/>
                <w:lang w:val="en-US" w:eastAsia="zh-CN"/>
              </w:rPr>
              <w:t>卓环检字</w:t>
            </w:r>
            <w:r>
              <w:rPr>
                <w:rFonts w:hint="eastAsia" w:ascii="Times New Roman" w:hAnsi="Times New Roman"/>
                <w:color w:val="000000"/>
                <w:sz w:val="20"/>
                <w:szCs w:val="20"/>
                <w:lang w:val="en-US" w:eastAsia="zh-CN"/>
              </w:rPr>
              <w:t>2022</w:t>
            </w:r>
            <w:r>
              <w:rPr>
                <w:rFonts w:hint="eastAsia" w:ascii="Times New Roman" w:hAnsi="Times New Roman"/>
                <w:color w:val="000000"/>
                <w:sz w:val="20"/>
                <w:szCs w:val="20"/>
                <w:lang w:val="en-US" w:eastAsia="zh-CN"/>
              </w:rPr>
              <w:t>-</w:t>
            </w:r>
            <w:r>
              <w:rPr>
                <w:rFonts w:hint="eastAsia" w:ascii="Times New Roman" w:hAnsi="Times New Roman"/>
                <w:color w:val="000000"/>
                <w:sz w:val="20"/>
                <w:szCs w:val="20"/>
                <w:lang w:val="en-US" w:eastAsia="zh-CN"/>
              </w:rPr>
              <w:t>WT</w:t>
            </w:r>
            <w:r>
              <w:rPr>
                <w:rFonts w:hint="eastAsia" w:ascii="Times New Roman" w:hAnsi="Times New Roman"/>
                <w:color w:val="000000"/>
                <w:sz w:val="20"/>
                <w:szCs w:val="20"/>
                <w:lang w:val="en-US" w:eastAsia="zh-CN"/>
              </w:rPr>
              <w:t>-</w:t>
            </w:r>
            <w:r>
              <w:rPr>
                <w:rFonts w:hint="eastAsia" w:ascii="Times New Roman" w:hAnsi="Times New Roman"/>
                <w:color w:val="000000"/>
                <w:sz w:val="20"/>
                <w:szCs w:val="20"/>
                <w:lang w:val="en-US" w:eastAsia="zh-CN"/>
              </w:rPr>
              <w:t>319</w:t>
            </w:r>
            <w:r>
              <w:rPr>
                <w:rFonts w:hint="eastAsia" w:ascii="Times New Roman" w:hAnsi="Times New Roman"/>
                <w:color w:val="000000"/>
                <w:sz w:val="20"/>
                <w:szCs w:val="20"/>
                <w:lang w:eastAsia="zh-CN"/>
              </w:rPr>
              <w:t>）</w:t>
            </w:r>
          </w:p>
        </w:tc>
        <w:tc>
          <w:tcPr>
            <w:tcW w:w="372" w:type="pct"/>
            <w:vMerge w:val="restart"/>
            <w:noWrap w:val="0"/>
            <w:vAlign w:val="center"/>
          </w:tcPr>
          <w:p>
            <w:pPr>
              <w:pStyle w:val="199"/>
              <w:spacing w:line="240" w:lineRule="auto"/>
              <w:ind w:firstLine="0" w:firstLineChars="0"/>
              <w:rPr>
                <w:rFonts w:hint="default" w:ascii="宋体" w:hAnsi="宋体" w:eastAsia="宋体" w:cs="宋体"/>
                <w:color w:val="000000"/>
                <w:kern w:val="0"/>
                <w:sz w:val="20"/>
                <w:szCs w:val="20"/>
                <w:lang w:val="en-US" w:eastAsia="zh-CN" w:bidi="ar-SA"/>
              </w:rPr>
            </w:pPr>
            <w:r>
              <w:rPr>
                <w:rFonts w:hint="eastAsia" w:ascii="Times New Roman" w:hAnsi="Times New Roman"/>
                <w:color w:val="000000"/>
                <w:sz w:val="20"/>
                <w:szCs w:val="20"/>
                <w:lang w:val="en-US" w:eastAsia="zh-CN"/>
              </w:rPr>
              <w:t>2022</w:t>
            </w:r>
            <w:r>
              <w:rPr>
                <w:rFonts w:hint="eastAsia" w:ascii="Times New Roman" w:hAnsi="Times New Roman"/>
                <w:color w:val="000000"/>
                <w:sz w:val="20"/>
                <w:szCs w:val="20"/>
                <w:lang w:val="en-US" w:eastAsia="zh-CN"/>
              </w:rPr>
              <w:t>.</w:t>
            </w:r>
            <w:r>
              <w:rPr>
                <w:rFonts w:hint="eastAsia" w:ascii="Times New Roman" w:hAnsi="Times New Roman"/>
                <w:color w:val="000000"/>
                <w:sz w:val="20"/>
                <w:szCs w:val="20"/>
                <w:lang w:val="en-US" w:eastAsia="zh-CN"/>
              </w:rPr>
              <w:t>8</w:t>
            </w:r>
            <w:r>
              <w:rPr>
                <w:rFonts w:hint="eastAsia" w:ascii="Times New Roman" w:hAnsi="Times New Roman"/>
                <w:color w:val="000000"/>
                <w:sz w:val="20"/>
                <w:szCs w:val="20"/>
                <w:lang w:val="en-US" w:eastAsia="zh-CN"/>
              </w:rPr>
              <w:t>.</w:t>
            </w:r>
            <w:r>
              <w:rPr>
                <w:rFonts w:hint="eastAsia" w:ascii="Times New Roman" w:hAnsi="Times New Roman"/>
                <w:color w:val="000000"/>
                <w:sz w:val="20"/>
                <w:szCs w:val="20"/>
                <w:lang w:val="en-US" w:eastAsia="zh-CN"/>
              </w:rPr>
              <w:t>4</w:t>
            </w:r>
          </w:p>
        </w:tc>
        <w:tc>
          <w:tcPr>
            <w:tcW w:w="597" w:type="pct"/>
            <w:vMerge w:val="restart"/>
            <w:noWrap w:val="0"/>
            <w:vAlign w:val="center"/>
          </w:tcPr>
          <w:p>
            <w:pPr>
              <w:pStyle w:val="199"/>
              <w:spacing w:line="240" w:lineRule="auto"/>
              <w:ind w:firstLine="0" w:firstLineChars="0"/>
              <w:rPr>
                <w:rFonts w:hint="eastAsia" w:ascii="宋体" w:hAnsi="宋体" w:eastAsia="宋体" w:cs="宋体"/>
                <w:kern w:val="0"/>
                <w:sz w:val="20"/>
                <w:szCs w:val="20"/>
                <w:lang w:val="en-US" w:eastAsia="zh-CN" w:bidi="ar-SA"/>
              </w:rPr>
            </w:pPr>
            <w:r>
              <w:rPr>
                <w:rFonts w:hint="eastAsia"/>
                <w:sz w:val="20"/>
                <w:szCs w:val="20"/>
                <w:lang w:eastAsia="zh-CN"/>
              </w:rPr>
              <w:t>新疆卓凯新环境科技有限公司</w:t>
            </w:r>
          </w:p>
        </w:tc>
        <w:tc>
          <w:tcPr>
            <w:tcW w:w="1251" w:type="pct"/>
            <w:noWrap w:val="0"/>
            <w:vAlign w:val="center"/>
          </w:tcPr>
          <w:p>
            <w:pPr>
              <w:pStyle w:val="199"/>
              <w:spacing w:line="240" w:lineRule="auto"/>
              <w:ind w:firstLine="0"/>
              <w:rPr>
                <w:rFonts w:hint="eastAsia"/>
                <w:sz w:val="20"/>
                <w:szCs w:val="20"/>
              </w:rPr>
            </w:pPr>
            <w:r>
              <w:rPr>
                <w:rFonts w:hint="eastAsia" w:ascii="Times New Roman" w:hAnsi="Times New Roman"/>
                <w:sz w:val="20"/>
                <w:szCs w:val="20"/>
                <w:lang w:val="en-US" w:eastAsia="zh-CN"/>
              </w:rPr>
              <w:t>4</w:t>
            </w:r>
            <w:r>
              <w:rPr>
                <w:rFonts w:hint="eastAsia" w:ascii="Times New Roman" w:hAnsi="Times New Roman"/>
                <w:sz w:val="20"/>
                <w:szCs w:val="20"/>
                <w:lang w:val="en-US" w:eastAsia="zh-CN"/>
              </w:rPr>
              <w:t>#：凯赛西北侧地下水井：</w:t>
            </w:r>
            <w:r>
              <w:rPr>
                <w:rFonts w:hint="eastAsia" w:ascii="Times New Roman" w:hAnsi="Times New Roman"/>
                <w:sz w:val="20"/>
                <w:szCs w:val="20"/>
              </w:rPr>
              <w:t>44</w:t>
            </w:r>
            <w:r>
              <w:rPr>
                <w:sz w:val="20"/>
                <w:szCs w:val="20"/>
              </w:rPr>
              <w:t>°</w:t>
            </w:r>
            <w:r>
              <w:rPr>
                <w:rFonts w:hint="eastAsia" w:ascii="Times New Roman" w:hAnsi="Times New Roman"/>
                <w:sz w:val="20"/>
                <w:szCs w:val="20"/>
                <w:lang w:val="en-US" w:eastAsia="zh-CN"/>
              </w:rPr>
              <w:t>20</w:t>
            </w:r>
            <w:r>
              <w:rPr>
                <w:sz w:val="20"/>
                <w:szCs w:val="20"/>
              </w:rPr>
              <w:t>′</w:t>
            </w:r>
            <w:r>
              <w:rPr>
                <w:rFonts w:hint="eastAsia" w:ascii="Times New Roman" w:hAnsi="Times New Roman"/>
                <w:sz w:val="20"/>
                <w:szCs w:val="20"/>
                <w:lang w:val="en-US" w:eastAsia="zh-CN"/>
              </w:rPr>
              <w:t>57</w:t>
            </w:r>
            <w:r>
              <w:rPr>
                <w:rFonts w:hint="eastAsia"/>
                <w:sz w:val="20"/>
                <w:szCs w:val="20"/>
                <w:lang w:val="en-US" w:eastAsia="zh-CN"/>
              </w:rPr>
              <w:t>.</w:t>
            </w:r>
            <w:r>
              <w:rPr>
                <w:rFonts w:hint="eastAsia" w:ascii="Times New Roman" w:hAnsi="Times New Roman"/>
                <w:sz w:val="20"/>
                <w:szCs w:val="20"/>
                <w:lang w:val="en-US" w:eastAsia="zh-CN"/>
              </w:rPr>
              <w:t>82</w:t>
            </w:r>
            <w:r>
              <w:rPr>
                <w:sz w:val="20"/>
                <w:szCs w:val="20"/>
              </w:rPr>
              <w:t>″</w:t>
            </w:r>
            <w:r>
              <w:rPr>
                <w:rFonts w:hint="eastAsia" w:ascii="Times New Roman" w:hAnsi="Times New Roman"/>
                <w:sz w:val="20"/>
                <w:szCs w:val="20"/>
              </w:rPr>
              <w:t>N</w:t>
            </w:r>
            <w:r>
              <w:rPr>
                <w:rFonts w:hint="eastAsia"/>
                <w:sz w:val="20"/>
                <w:szCs w:val="20"/>
              </w:rPr>
              <w:t>，</w:t>
            </w:r>
          </w:p>
          <w:p>
            <w:pPr>
              <w:pStyle w:val="199"/>
              <w:spacing w:line="240" w:lineRule="auto"/>
              <w:ind w:firstLine="0"/>
              <w:rPr>
                <w:rFonts w:hint="default" w:ascii="Times New Roman" w:hAnsi="Times New Roman" w:eastAsia="宋体"/>
                <w:sz w:val="20"/>
                <w:szCs w:val="20"/>
                <w:lang w:val="en-US" w:eastAsia="zh-CN"/>
              </w:rPr>
            </w:pPr>
            <w:r>
              <w:rPr>
                <w:rFonts w:hint="eastAsia" w:ascii="Times New Roman" w:hAnsi="Times New Roman"/>
                <w:sz w:val="20"/>
                <w:szCs w:val="20"/>
              </w:rPr>
              <w:t>8</w:t>
            </w:r>
            <w:r>
              <w:rPr>
                <w:rFonts w:hint="eastAsia" w:ascii="Times New Roman" w:hAnsi="Times New Roman"/>
                <w:sz w:val="20"/>
                <w:szCs w:val="20"/>
                <w:lang w:val="en-US" w:eastAsia="zh-CN"/>
              </w:rPr>
              <w:t>4</w:t>
            </w:r>
            <w:r>
              <w:rPr>
                <w:sz w:val="20"/>
                <w:szCs w:val="20"/>
              </w:rPr>
              <w:t>°</w:t>
            </w:r>
            <w:r>
              <w:rPr>
                <w:rFonts w:hint="eastAsia" w:ascii="Times New Roman" w:hAnsi="Times New Roman"/>
                <w:sz w:val="20"/>
                <w:szCs w:val="20"/>
                <w:lang w:val="en-US" w:eastAsia="zh-CN"/>
              </w:rPr>
              <w:t>15</w:t>
            </w:r>
            <w:r>
              <w:rPr>
                <w:sz w:val="20"/>
                <w:szCs w:val="20"/>
              </w:rPr>
              <w:t>′</w:t>
            </w:r>
            <w:r>
              <w:rPr>
                <w:rFonts w:hint="eastAsia" w:ascii="Times New Roman" w:hAnsi="Times New Roman"/>
                <w:sz w:val="20"/>
                <w:szCs w:val="20"/>
                <w:lang w:val="en-US" w:eastAsia="zh-CN"/>
              </w:rPr>
              <w:t>33</w:t>
            </w:r>
            <w:r>
              <w:rPr>
                <w:rFonts w:hint="eastAsia"/>
                <w:sz w:val="20"/>
                <w:szCs w:val="20"/>
                <w:lang w:val="en-US" w:eastAsia="zh-CN"/>
              </w:rPr>
              <w:t>.</w:t>
            </w:r>
            <w:r>
              <w:rPr>
                <w:rFonts w:hint="eastAsia" w:ascii="Times New Roman" w:hAnsi="Times New Roman"/>
                <w:sz w:val="20"/>
                <w:szCs w:val="20"/>
                <w:lang w:val="en-US" w:eastAsia="zh-CN"/>
              </w:rPr>
              <w:t>58</w:t>
            </w:r>
            <w:r>
              <w:rPr>
                <w:sz w:val="20"/>
                <w:szCs w:val="20"/>
              </w:rPr>
              <w:t>″</w:t>
            </w:r>
            <w:r>
              <w:rPr>
                <w:rFonts w:hint="eastAsia" w:ascii="Times New Roman" w:hAnsi="Times New Roman"/>
                <w:sz w:val="20"/>
                <w:szCs w:val="20"/>
              </w:rPr>
              <w:t>E</w:t>
            </w:r>
          </w:p>
        </w:tc>
        <w:tc>
          <w:tcPr>
            <w:tcW w:w="650" w:type="pct"/>
            <w:noWrap w:val="0"/>
            <w:vAlign w:val="center"/>
          </w:tcPr>
          <w:p>
            <w:pPr>
              <w:pStyle w:val="199"/>
              <w:spacing w:line="240" w:lineRule="auto"/>
              <w:ind w:firstLine="0"/>
              <w:rPr>
                <w:rFonts w:hint="eastAsia" w:ascii="Times New Roman" w:hAnsi="Times New Roman"/>
                <w:sz w:val="20"/>
                <w:szCs w:val="20"/>
                <w:lang w:val="en-US" w:eastAsia="zh-CN"/>
              </w:rPr>
            </w:pPr>
            <w:r>
              <w:rPr>
                <w:rFonts w:hint="eastAsia" w:ascii="Times New Roman" w:hAnsi="Times New Roman"/>
                <w:sz w:val="20"/>
                <w:szCs w:val="20"/>
                <w:lang w:val="en-US" w:eastAsia="zh-CN"/>
              </w:rPr>
              <w:t>NW</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1</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1km</w:t>
            </w:r>
          </w:p>
        </w:tc>
        <w:tc>
          <w:tcPr>
            <w:tcW w:w="1016" w:type="pct"/>
            <w:noWrap w:val="0"/>
            <w:vAlign w:val="center"/>
          </w:tcPr>
          <w:p>
            <w:pPr>
              <w:pStyle w:val="199"/>
              <w:spacing w:line="240" w:lineRule="auto"/>
              <w:ind w:firstLine="0"/>
              <w:rPr>
                <w:rFonts w:hint="eastAsia"/>
                <w:color w:val="000000"/>
                <w:sz w:val="20"/>
                <w:szCs w:val="20"/>
                <w:lang w:eastAsia="zh-CN"/>
              </w:rPr>
            </w:pPr>
            <w:r>
              <w:rPr>
                <w:rFonts w:hint="eastAsia"/>
                <w:color w:val="000000"/>
                <w:sz w:val="20"/>
                <w:szCs w:val="20"/>
                <w:lang w:eastAsia="zh-CN"/>
              </w:rPr>
              <w:t>下游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111" w:type="pct"/>
            <w:vMerge w:val="continue"/>
            <w:noWrap w:val="0"/>
            <w:vAlign w:val="center"/>
          </w:tcPr>
          <w:p>
            <w:pPr>
              <w:pStyle w:val="199"/>
              <w:spacing w:line="240" w:lineRule="auto"/>
              <w:ind w:firstLine="0" w:firstLineChars="0"/>
              <w:rPr>
                <w:rFonts w:hint="eastAsia" w:ascii="Times New Roman" w:hAnsi="Times New Roman"/>
                <w:color w:val="000000"/>
                <w:sz w:val="20"/>
                <w:szCs w:val="20"/>
                <w:lang w:eastAsia="zh-CN"/>
              </w:rPr>
            </w:pPr>
          </w:p>
        </w:tc>
        <w:tc>
          <w:tcPr>
            <w:tcW w:w="372" w:type="pct"/>
            <w:vMerge w:val="continue"/>
            <w:noWrap w:val="0"/>
            <w:vAlign w:val="center"/>
          </w:tcPr>
          <w:p>
            <w:pPr>
              <w:pStyle w:val="199"/>
              <w:spacing w:line="240" w:lineRule="auto"/>
              <w:ind w:firstLine="0" w:firstLineChars="0"/>
              <w:rPr>
                <w:rFonts w:hint="eastAsia" w:ascii="Times New Roman" w:hAnsi="Times New Roman"/>
                <w:color w:val="000000"/>
                <w:sz w:val="20"/>
                <w:szCs w:val="20"/>
                <w:lang w:val="en-US" w:eastAsia="zh-CN"/>
              </w:rPr>
            </w:pPr>
          </w:p>
        </w:tc>
        <w:tc>
          <w:tcPr>
            <w:tcW w:w="597" w:type="pct"/>
            <w:vMerge w:val="continue"/>
            <w:noWrap w:val="0"/>
            <w:vAlign w:val="center"/>
          </w:tcPr>
          <w:p>
            <w:pPr>
              <w:pStyle w:val="199"/>
              <w:spacing w:line="240" w:lineRule="auto"/>
              <w:ind w:firstLine="0" w:firstLineChars="0"/>
              <w:rPr>
                <w:rFonts w:hint="eastAsia"/>
                <w:sz w:val="20"/>
                <w:szCs w:val="20"/>
                <w:lang w:eastAsia="zh-CN"/>
              </w:rPr>
            </w:pPr>
          </w:p>
        </w:tc>
        <w:tc>
          <w:tcPr>
            <w:tcW w:w="1251" w:type="pct"/>
            <w:noWrap w:val="0"/>
            <w:vAlign w:val="center"/>
          </w:tcPr>
          <w:p>
            <w:pPr>
              <w:pStyle w:val="199"/>
              <w:spacing w:line="240" w:lineRule="auto"/>
              <w:ind w:firstLine="0"/>
              <w:rPr>
                <w:rFonts w:hint="eastAsia"/>
                <w:sz w:val="20"/>
                <w:szCs w:val="20"/>
              </w:rPr>
            </w:pPr>
            <w:r>
              <w:rPr>
                <w:rFonts w:hint="eastAsia" w:ascii="Times New Roman" w:hAnsi="Times New Roman"/>
                <w:sz w:val="20"/>
                <w:szCs w:val="20"/>
                <w:lang w:val="en-US" w:eastAsia="zh-CN"/>
              </w:rPr>
              <w:t>5</w:t>
            </w:r>
            <w:r>
              <w:rPr>
                <w:rFonts w:hint="eastAsia" w:ascii="Times New Roman" w:hAnsi="Times New Roman"/>
                <w:sz w:val="20"/>
                <w:szCs w:val="20"/>
                <w:lang w:val="en-US" w:eastAsia="zh-CN"/>
              </w:rPr>
              <w:t>#：凯赛东侧地下水井：</w:t>
            </w:r>
            <w:r>
              <w:rPr>
                <w:rFonts w:hint="eastAsia" w:ascii="Times New Roman" w:hAnsi="Times New Roman"/>
                <w:sz w:val="20"/>
                <w:szCs w:val="20"/>
              </w:rPr>
              <w:t>44</w:t>
            </w:r>
            <w:r>
              <w:rPr>
                <w:sz w:val="20"/>
                <w:szCs w:val="20"/>
              </w:rPr>
              <w:t>°</w:t>
            </w:r>
            <w:r>
              <w:rPr>
                <w:rFonts w:hint="eastAsia" w:ascii="Times New Roman" w:hAnsi="Times New Roman"/>
                <w:sz w:val="20"/>
                <w:szCs w:val="20"/>
                <w:lang w:val="en-US" w:eastAsia="zh-CN"/>
              </w:rPr>
              <w:t>20</w:t>
            </w:r>
            <w:r>
              <w:rPr>
                <w:sz w:val="20"/>
                <w:szCs w:val="20"/>
              </w:rPr>
              <w:t>′</w:t>
            </w:r>
            <w:r>
              <w:rPr>
                <w:rFonts w:hint="eastAsia" w:ascii="Times New Roman" w:hAnsi="Times New Roman"/>
                <w:sz w:val="20"/>
                <w:szCs w:val="20"/>
                <w:lang w:val="en-US" w:eastAsia="zh-CN"/>
              </w:rPr>
              <w:t>35</w:t>
            </w:r>
            <w:r>
              <w:rPr>
                <w:rFonts w:hint="eastAsia"/>
                <w:sz w:val="20"/>
                <w:szCs w:val="20"/>
                <w:lang w:val="en-US" w:eastAsia="zh-CN"/>
              </w:rPr>
              <w:t>.</w:t>
            </w:r>
            <w:r>
              <w:rPr>
                <w:rFonts w:hint="eastAsia" w:ascii="Times New Roman" w:hAnsi="Times New Roman"/>
                <w:sz w:val="20"/>
                <w:szCs w:val="20"/>
                <w:lang w:val="en-US" w:eastAsia="zh-CN"/>
              </w:rPr>
              <w:t>96</w:t>
            </w:r>
            <w:r>
              <w:rPr>
                <w:sz w:val="20"/>
                <w:szCs w:val="20"/>
              </w:rPr>
              <w:t>″</w:t>
            </w:r>
            <w:r>
              <w:rPr>
                <w:rFonts w:hint="eastAsia" w:ascii="Times New Roman" w:hAnsi="Times New Roman"/>
                <w:sz w:val="20"/>
                <w:szCs w:val="20"/>
              </w:rPr>
              <w:t>N</w:t>
            </w:r>
            <w:r>
              <w:rPr>
                <w:rFonts w:hint="eastAsia"/>
                <w:sz w:val="20"/>
                <w:szCs w:val="20"/>
              </w:rPr>
              <w:t>，</w:t>
            </w:r>
          </w:p>
          <w:p>
            <w:pPr>
              <w:pStyle w:val="199"/>
              <w:spacing w:line="240" w:lineRule="auto"/>
              <w:ind w:firstLine="0"/>
              <w:rPr>
                <w:rFonts w:hint="default" w:ascii="Times New Roman" w:hAnsi="Times New Roman" w:eastAsia="宋体"/>
                <w:sz w:val="20"/>
                <w:szCs w:val="20"/>
                <w:lang w:val="en-US" w:eastAsia="zh-CN"/>
              </w:rPr>
            </w:pPr>
            <w:r>
              <w:rPr>
                <w:rFonts w:hint="eastAsia" w:ascii="Times New Roman" w:hAnsi="Times New Roman"/>
                <w:sz w:val="20"/>
                <w:szCs w:val="20"/>
              </w:rPr>
              <w:t>8</w:t>
            </w:r>
            <w:r>
              <w:rPr>
                <w:rFonts w:hint="eastAsia" w:ascii="Times New Roman" w:hAnsi="Times New Roman"/>
                <w:sz w:val="20"/>
                <w:szCs w:val="20"/>
                <w:lang w:val="en-US" w:eastAsia="zh-CN"/>
              </w:rPr>
              <w:t>4</w:t>
            </w:r>
            <w:r>
              <w:rPr>
                <w:sz w:val="20"/>
                <w:szCs w:val="20"/>
              </w:rPr>
              <w:t>°</w:t>
            </w:r>
            <w:r>
              <w:rPr>
                <w:rFonts w:hint="eastAsia" w:ascii="Times New Roman" w:hAnsi="Times New Roman"/>
                <w:sz w:val="20"/>
                <w:szCs w:val="20"/>
                <w:lang w:val="en-US" w:eastAsia="zh-CN"/>
              </w:rPr>
              <w:t>16</w:t>
            </w:r>
            <w:r>
              <w:rPr>
                <w:sz w:val="20"/>
                <w:szCs w:val="20"/>
              </w:rPr>
              <w:t>′</w:t>
            </w:r>
            <w:r>
              <w:rPr>
                <w:rFonts w:hint="eastAsia" w:ascii="Times New Roman" w:hAnsi="Times New Roman"/>
                <w:sz w:val="20"/>
                <w:szCs w:val="20"/>
                <w:lang w:val="en-US" w:eastAsia="zh-CN"/>
              </w:rPr>
              <w:t>51</w:t>
            </w:r>
            <w:r>
              <w:rPr>
                <w:rFonts w:hint="eastAsia"/>
                <w:sz w:val="20"/>
                <w:szCs w:val="20"/>
                <w:lang w:val="en-US" w:eastAsia="zh-CN"/>
              </w:rPr>
              <w:t>.</w:t>
            </w:r>
            <w:r>
              <w:rPr>
                <w:rFonts w:hint="eastAsia" w:ascii="Times New Roman" w:hAnsi="Times New Roman"/>
                <w:sz w:val="20"/>
                <w:szCs w:val="20"/>
                <w:lang w:val="en-US" w:eastAsia="zh-CN"/>
              </w:rPr>
              <w:t>80</w:t>
            </w:r>
            <w:r>
              <w:rPr>
                <w:sz w:val="20"/>
                <w:szCs w:val="20"/>
              </w:rPr>
              <w:t>″</w:t>
            </w:r>
            <w:r>
              <w:rPr>
                <w:rFonts w:hint="eastAsia" w:ascii="Times New Roman" w:hAnsi="Times New Roman"/>
                <w:sz w:val="20"/>
                <w:szCs w:val="20"/>
              </w:rPr>
              <w:t>E</w:t>
            </w:r>
          </w:p>
        </w:tc>
        <w:tc>
          <w:tcPr>
            <w:tcW w:w="650" w:type="pct"/>
            <w:noWrap w:val="0"/>
            <w:vAlign w:val="center"/>
          </w:tcPr>
          <w:p>
            <w:pPr>
              <w:pStyle w:val="199"/>
              <w:spacing w:line="240" w:lineRule="auto"/>
              <w:ind w:firstLine="0"/>
              <w:rPr>
                <w:rFonts w:hint="default" w:ascii="Times New Roman" w:hAnsi="Times New Roman"/>
                <w:sz w:val="20"/>
                <w:szCs w:val="20"/>
                <w:lang w:val="en-US" w:eastAsia="zh-CN"/>
              </w:rPr>
            </w:pPr>
            <w:r>
              <w:rPr>
                <w:rFonts w:hint="eastAsia" w:ascii="Times New Roman" w:hAnsi="Times New Roman"/>
                <w:sz w:val="20"/>
                <w:szCs w:val="20"/>
                <w:lang w:val="en-US" w:eastAsia="zh-CN"/>
              </w:rPr>
              <w:t>E</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0</w:t>
            </w:r>
            <w:r>
              <w:rPr>
                <w:rFonts w:hint="eastAsia" w:ascii="Times New Roman" w:hAnsi="Times New Roman"/>
                <w:sz w:val="20"/>
                <w:szCs w:val="20"/>
                <w:lang w:val="en-US" w:eastAsia="zh-CN"/>
              </w:rPr>
              <w:t>.</w:t>
            </w:r>
            <w:r>
              <w:rPr>
                <w:rFonts w:hint="eastAsia" w:ascii="Times New Roman" w:hAnsi="Times New Roman"/>
                <w:sz w:val="20"/>
                <w:szCs w:val="20"/>
                <w:lang w:val="en-US" w:eastAsia="zh-CN"/>
              </w:rPr>
              <w:t>05km</w:t>
            </w:r>
          </w:p>
        </w:tc>
        <w:tc>
          <w:tcPr>
            <w:tcW w:w="1016" w:type="pct"/>
            <w:noWrap w:val="0"/>
            <w:vAlign w:val="center"/>
          </w:tcPr>
          <w:p>
            <w:pPr>
              <w:pStyle w:val="199"/>
              <w:spacing w:line="240" w:lineRule="auto"/>
              <w:ind w:firstLine="0"/>
              <w:rPr>
                <w:rFonts w:hint="eastAsia"/>
                <w:color w:val="000000"/>
                <w:sz w:val="20"/>
                <w:szCs w:val="20"/>
                <w:lang w:eastAsia="zh-CN"/>
              </w:rPr>
            </w:pPr>
            <w:r>
              <w:rPr>
                <w:rFonts w:hint="eastAsia"/>
                <w:color w:val="000000"/>
                <w:sz w:val="20"/>
                <w:szCs w:val="20"/>
                <w:lang w:eastAsia="zh-CN"/>
              </w:rPr>
              <w:t>侧向</w:t>
            </w:r>
          </w:p>
        </w:tc>
      </w:tr>
    </w:tbl>
    <w:p>
      <w:r>
        <w:rPr>
          <w:rFonts w:hint="eastAsia"/>
          <w:lang w:eastAsia="zh-CN"/>
        </w:rPr>
        <w:t>（</w:t>
      </w:r>
      <w:r>
        <w:rPr>
          <w:rFonts w:hint="eastAsia" w:ascii="Times New Roman" w:hAnsi="Times New Roman"/>
          <w:lang w:val="en-US" w:eastAsia="zh-CN"/>
        </w:rPr>
        <w:t>2</w:t>
      </w:r>
      <w:r>
        <w:rPr>
          <w:rFonts w:hint="eastAsia"/>
          <w:lang w:eastAsia="zh-CN"/>
        </w:rPr>
        <w:t>）</w:t>
      </w:r>
      <w:r>
        <w:t>评价方法</w:t>
      </w:r>
    </w:p>
    <w:p>
      <w:pPr>
        <w:rPr>
          <w:color w:val="000000"/>
          <w:szCs w:val="24"/>
        </w:rPr>
      </w:pPr>
      <w:r>
        <w:rPr>
          <w:rFonts w:hAnsi="宋体"/>
          <w:color w:val="000000"/>
          <w:szCs w:val="24"/>
        </w:rPr>
        <w:t>地下水水质现状评价采</w:t>
      </w:r>
      <w:r>
        <w:rPr>
          <w:rFonts w:hAnsi="宋体"/>
          <w:szCs w:val="24"/>
        </w:rPr>
        <w:t>用标准指数法。</w:t>
      </w:r>
    </w:p>
    <w:p>
      <w:pPr>
        <w:ind w:firstLine="480"/>
        <w:rPr>
          <w:color w:val="000000"/>
          <w:szCs w:val="24"/>
        </w:rPr>
      </w:pPr>
      <w:r>
        <w:rPr>
          <w:rFonts w:hint="eastAsia" w:hAnsi="宋体"/>
          <w:color w:val="000000"/>
          <w:szCs w:val="24"/>
        </w:rPr>
        <w:t>①</w:t>
      </w:r>
      <w:r>
        <w:rPr>
          <w:rFonts w:hAnsi="宋体"/>
          <w:color w:val="000000"/>
          <w:szCs w:val="24"/>
        </w:rPr>
        <w:t>对于评价标准为定值的水质因子，其标准指数计算公式：</w:t>
      </w:r>
    </w:p>
    <w:p>
      <w:pPr>
        <w:ind w:right="524" w:firstLine="480"/>
        <w:rPr>
          <w:rFonts w:hAnsi="宋体"/>
          <w:color w:val="000000"/>
        </w:rPr>
      </w:pPr>
      <w:r>
        <w:rPr>
          <w:rFonts w:hint="eastAsia" w:hAnsi="宋体"/>
          <w:color w:val="000000"/>
        </w:rPr>
        <w:t xml:space="preserve">               </w:t>
      </w:r>
      <w:r>
        <w:rPr>
          <w:rFonts w:hint="eastAsia"/>
          <w:color w:val="000000"/>
          <w:position w:val="-30"/>
        </w:rPr>
        <w:t xml:space="preserve">     </w:t>
      </w:r>
      <w:r>
        <w:rPr>
          <w:rFonts w:ascii="Times New Roman" w:hAnsi="Times New Roman"/>
          <w:color w:val="000000"/>
          <w:sz w:val="26"/>
          <w:szCs w:val="26"/>
        </w:rPr>
        <w:t>P</w:t>
      </w:r>
      <w:r>
        <w:rPr>
          <w:rFonts w:ascii="Times New Roman" w:hAnsi="Times New Roman"/>
          <w:color w:val="000000"/>
          <w:sz w:val="26"/>
          <w:szCs w:val="26"/>
          <w:vertAlign w:val="subscript"/>
        </w:rPr>
        <w:t>i</w:t>
      </w:r>
      <w:r>
        <w:rPr>
          <w:color w:val="000000"/>
          <w:sz w:val="26"/>
          <w:szCs w:val="26"/>
        </w:rPr>
        <w:t>=</w:t>
      </w:r>
      <w:r>
        <w:rPr>
          <w:rFonts w:ascii="Times New Roman" w:hAnsi="Times New Roman"/>
          <w:color w:val="000000"/>
          <w:sz w:val="26"/>
          <w:szCs w:val="26"/>
        </w:rPr>
        <w:t>C</w:t>
      </w:r>
      <w:r>
        <w:rPr>
          <w:rFonts w:ascii="Times New Roman" w:hAnsi="Times New Roman"/>
          <w:color w:val="000000"/>
          <w:sz w:val="26"/>
          <w:szCs w:val="26"/>
          <w:vertAlign w:val="subscript"/>
        </w:rPr>
        <w:t>i</w:t>
      </w:r>
      <w:r>
        <w:rPr>
          <w:color w:val="000000"/>
          <w:sz w:val="26"/>
          <w:szCs w:val="26"/>
        </w:rPr>
        <w:t>/</w:t>
      </w:r>
      <w:r>
        <w:rPr>
          <w:rFonts w:ascii="Times New Roman" w:hAnsi="Times New Roman"/>
          <w:color w:val="000000"/>
          <w:sz w:val="26"/>
          <w:szCs w:val="26"/>
        </w:rPr>
        <w:t>C</w:t>
      </w:r>
      <w:r>
        <w:rPr>
          <w:rFonts w:hint="eastAsia" w:ascii="Times New Roman" w:hAnsi="Times New Roman"/>
          <w:color w:val="000000"/>
          <w:sz w:val="26"/>
          <w:szCs w:val="26"/>
          <w:vertAlign w:val="subscript"/>
        </w:rPr>
        <w:t>s</w:t>
      </w:r>
      <w:r>
        <w:rPr>
          <w:rFonts w:ascii="Times New Roman" w:hAnsi="Times New Roman"/>
          <w:color w:val="000000"/>
          <w:sz w:val="26"/>
          <w:szCs w:val="26"/>
          <w:vertAlign w:val="subscript"/>
        </w:rPr>
        <w:t>i</w:t>
      </w:r>
    </w:p>
    <w:p>
      <w:pPr>
        <w:ind w:firstLine="480"/>
        <w:rPr>
          <w:color w:val="000000"/>
          <w:szCs w:val="24"/>
        </w:rPr>
      </w:pPr>
      <w:r>
        <w:rPr>
          <w:rFonts w:hAnsi="宋体"/>
          <w:color w:val="000000"/>
          <w:szCs w:val="24"/>
        </w:rPr>
        <w:t>式中：</w:t>
      </w:r>
      <w:r>
        <w:rPr>
          <w:rFonts w:ascii="Times New Roman" w:hAnsi="Times New Roman"/>
          <w:color w:val="000000"/>
          <w:szCs w:val="24"/>
        </w:rPr>
        <w:t>P</w:t>
      </w:r>
      <w:r>
        <w:rPr>
          <w:rFonts w:ascii="Times New Roman" w:hAnsi="Times New Roman"/>
          <w:color w:val="000000"/>
          <w:szCs w:val="24"/>
          <w:vertAlign w:val="subscript"/>
        </w:rPr>
        <w:t>i</w:t>
      </w:r>
      <w:r>
        <w:rPr>
          <w:color w:val="000000"/>
          <w:szCs w:val="24"/>
        </w:rPr>
        <w:t>——</w:t>
      </w:r>
      <w:r>
        <w:rPr>
          <w:rFonts w:hAnsi="宋体"/>
          <w:color w:val="000000"/>
          <w:szCs w:val="24"/>
        </w:rPr>
        <w:t>第</w:t>
      </w:r>
      <w:r>
        <w:rPr>
          <w:rFonts w:ascii="Times New Roman" w:hAnsi="Times New Roman"/>
          <w:color w:val="000000"/>
          <w:szCs w:val="24"/>
        </w:rPr>
        <w:t>i</w:t>
      </w:r>
      <w:r>
        <w:rPr>
          <w:rFonts w:hAnsi="宋体"/>
          <w:color w:val="000000"/>
          <w:szCs w:val="24"/>
        </w:rPr>
        <w:t>个水质因子的标准指数，无量纲；</w:t>
      </w:r>
    </w:p>
    <w:p>
      <w:pPr>
        <w:ind w:firstLine="1200" w:firstLineChars="500"/>
        <w:rPr>
          <w:color w:val="000000"/>
          <w:szCs w:val="24"/>
        </w:rPr>
      </w:pPr>
      <w:r>
        <w:rPr>
          <w:rFonts w:ascii="Times New Roman" w:hAnsi="Times New Roman"/>
          <w:color w:val="000000"/>
          <w:szCs w:val="24"/>
        </w:rPr>
        <w:t>C</w:t>
      </w:r>
      <w:r>
        <w:rPr>
          <w:rFonts w:ascii="Times New Roman" w:hAnsi="Times New Roman"/>
          <w:color w:val="000000"/>
          <w:szCs w:val="24"/>
          <w:vertAlign w:val="subscript"/>
        </w:rPr>
        <w:t>i</w:t>
      </w:r>
      <w:r>
        <w:rPr>
          <w:color w:val="000000"/>
          <w:szCs w:val="24"/>
        </w:rPr>
        <w:t>——</w:t>
      </w:r>
      <w:r>
        <w:rPr>
          <w:rFonts w:hAnsi="宋体"/>
          <w:color w:val="000000"/>
          <w:szCs w:val="24"/>
        </w:rPr>
        <w:t>第</w:t>
      </w:r>
      <w:r>
        <w:rPr>
          <w:rFonts w:ascii="Times New Roman" w:hAnsi="Times New Roman"/>
          <w:color w:val="000000"/>
          <w:szCs w:val="24"/>
        </w:rPr>
        <w:t>i</w:t>
      </w:r>
      <w:r>
        <w:rPr>
          <w:rFonts w:hAnsi="宋体"/>
          <w:color w:val="000000"/>
          <w:szCs w:val="24"/>
        </w:rPr>
        <w:t>个水质因子的监测浓度，</w:t>
      </w:r>
      <w:r>
        <w:rPr>
          <w:rFonts w:ascii="Times New Roman" w:hAnsi="Times New Roman"/>
          <w:color w:val="000000"/>
          <w:szCs w:val="24"/>
        </w:rPr>
        <w:t>mg</w:t>
      </w:r>
      <w:r>
        <w:rPr>
          <w:color w:val="000000"/>
          <w:szCs w:val="24"/>
        </w:rPr>
        <w:t>/</w:t>
      </w:r>
      <w:r>
        <w:rPr>
          <w:rFonts w:ascii="Times New Roman" w:hAnsi="Times New Roman"/>
          <w:color w:val="000000"/>
          <w:szCs w:val="24"/>
        </w:rPr>
        <w:t>L</w:t>
      </w:r>
      <w:r>
        <w:rPr>
          <w:rFonts w:hAnsi="宋体"/>
          <w:color w:val="000000"/>
          <w:szCs w:val="24"/>
        </w:rPr>
        <w:t>；</w:t>
      </w:r>
    </w:p>
    <w:p>
      <w:pPr>
        <w:ind w:firstLine="1200" w:firstLineChars="500"/>
        <w:rPr>
          <w:color w:val="000000"/>
          <w:szCs w:val="24"/>
        </w:rPr>
      </w:pPr>
      <w:r>
        <w:rPr>
          <w:rFonts w:ascii="Times New Roman" w:hAnsi="Times New Roman"/>
          <w:color w:val="000000"/>
          <w:szCs w:val="24"/>
        </w:rPr>
        <w:t>C</w:t>
      </w:r>
      <w:r>
        <w:rPr>
          <w:rFonts w:ascii="Times New Roman" w:hAnsi="Times New Roman"/>
          <w:color w:val="000000"/>
          <w:szCs w:val="24"/>
          <w:vertAlign w:val="subscript"/>
        </w:rPr>
        <w:t>si</w:t>
      </w:r>
      <w:r>
        <w:rPr>
          <w:color w:val="000000"/>
          <w:szCs w:val="24"/>
        </w:rPr>
        <w:t>——</w:t>
      </w:r>
      <w:r>
        <w:rPr>
          <w:rFonts w:hAnsi="宋体"/>
          <w:color w:val="000000"/>
          <w:szCs w:val="24"/>
        </w:rPr>
        <w:t>第</w:t>
      </w:r>
      <w:r>
        <w:rPr>
          <w:rFonts w:ascii="Times New Roman" w:hAnsi="Times New Roman"/>
          <w:color w:val="000000"/>
          <w:szCs w:val="24"/>
        </w:rPr>
        <w:t>i</w:t>
      </w:r>
      <w:r>
        <w:rPr>
          <w:rFonts w:hAnsi="宋体"/>
          <w:color w:val="000000"/>
          <w:szCs w:val="24"/>
        </w:rPr>
        <w:t>个水质因子的标准浓度，</w:t>
      </w:r>
      <w:r>
        <w:rPr>
          <w:rFonts w:ascii="Times New Roman" w:hAnsi="Times New Roman"/>
          <w:color w:val="000000"/>
          <w:szCs w:val="24"/>
        </w:rPr>
        <w:t>mg</w:t>
      </w:r>
      <w:r>
        <w:rPr>
          <w:color w:val="000000"/>
          <w:szCs w:val="24"/>
        </w:rPr>
        <w:t>/</w:t>
      </w:r>
      <w:r>
        <w:rPr>
          <w:rFonts w:ascii="Times New Roman" w:hAnsi="Times New Roman"/>
          <w:color w:val="000000"/>
          <w:szCs w:val="24"/>
        </w:rPr>
        <w:t>L</w:t>
      </w:r>
      <w:r>
        <w:rPr>
          <w:rFonts w:hAnsi="宋体"/>
          <w:color w:val="000000"/>
          <w:szCs w:val="24"/>
        </w:rPr>
        <w:t>。</w:t>
      </w:r>
    </w:p>
    <w:p>
      <w:pPr>
        <w:rPr>
          <w:rFonts w:hAnsi="宋体"/>
          <w:color w:val="000000"/>
          <w:szCs w:val="24"/>
        </w:rPr>
      </w:pPr>
      <w:r>
        <w:rPr>
          <w:rFonts w:hint="eastAsia" w:hAnsi="宋体"/>
          <w:color w:val="000000"/>
          <w:szCs w:val="24"/>
        </w:rPr>
        <w:t>②</w:t>
      </w:r>
      <w:r>
        <w:rPr>
          <w:rFonts w:hAnsi="宋体"/>
          <w:color w:val="000000"/>
          <w:szCs w:val="24"/>
        </w:rPr>
        <w:t>对于评价标准为区间值的水质因子</w:t>
      </w:r>
      <w:r>
        <w:rPr>
          <w:color w:val="000000"/>
          <w:szCs w:val="24"/>
        </w:rPr>
        <w:t>(</w:t>
      </w:r>
      <w:r>
        <w:rPr>
          <w:rFonts w:hAnsi="宋体"/>
          <w:color w:val="000000"/>
          <w:szCs w:val="24"/>
        </w:rPr>
        <w:t>如</w:t>
      </w:r>
      <w:r>
        <w:rPr>
          <w:rFonts w:ascii="Times New Roman" w:hAnsi="Times New Roman"/>
          <w:color w:val="000000"/>
          <w:szCs w:val="24"/>
        </w:rPr>
        <w:t>pH</w:t>
      </w:r>
      <w:r>
        <w:rPr>
          <w:rFonts w:hAnsi="宋体"/>
          <w:color w:val="000000"/>
          <w:szCs w:val="24"/>
        </w:rPr>
        <w:t>值</w:t>
      </w:r>
      <w:r>
        <w:rPr>
          <w:color w:val="000000"/>
          <w:szCs w:val="24"/>
        </w:rPr>
        <w:t>)</w:t>
      </w:r>
      <w:r>
        <w:rPr>
          <w:rFonts w:hAnsi="宋体"/>
          <w:color w:val="000000"/>
          <w:szCs w:val="24"/>
        </w:rPr>
        <w:t>，其标准指数计算公式</w:t>
      </w:r>
      <w:r>
        <w:rPr>
          <w:rFonts w:hint="eastAsia" w:hAnsi="宋体"/>
          <w:color w:val="000000"/>
          <w:szCs w:val="24"/>
        </w:rPr>
        <w:t>：</w:t>
      </w:r>
    </w:p>
    <w:p>
      <w:r>
        <w:rPr>
          <w:rFonts w:hint="eastAsia"/>
        </w:rPr>
        <w:t xml:space="preserve">    </w:t>
      </w:r>
      <w:r>
        <w:rPr>
          <w:rFonts w:ascii="Times New Roman" w:hAnsi="Times New Roman"/>
        </w:rPr>
        <w:t>pH</w:t>
      </w:r>
      <w:r>
        <w:rPr>
          <w:rFonts w:ascii="Times New Roman" w:hAnsi="Times New Roman"/>
          <w:vertAlign w:val="subscript"/>
        </w:rPr>
        <w:t>i</w:t>
      </w:r>
      <w:r>
        <w:rPr>
          <w:rFonts w:hint="eastAsia" w:hAnsi="宋体" w:cs="宋体"/>
          <w:color w:val="000000"/>
        </w:rPr>
        <w:t>≤</w:t>
      </w:r>
      <w:r>
        <w:rPr>
          <w:rFonts w:ascii="Times New Roman" w:hAnsi="Times New Roman"/>
        </w:rPr>
        <w:t>7</w:t>
      </w:r>
      <w:r>
        <w:t>.</w:t>
      </w:r>
      <w:r>
        <w:rPr>
          <w:rFonts w:ascii="Times New Roman" w:hAnsi="Times New Roman"/>
        </w:rPr>
        <w:t>0</w:t>
      </w:r>
      <w:r>
        <w:rPr>
          <w:rFonts w:hint="eastAsia"/>
        </w:rPr>
        <w:t xml:space="preserve">时；  </w:t>
      </w:r>
      <w:r>
        <w:rPr>
          <w:rFonts w:ascii="Times New Roman" w:hAnsi="Times New Roman"/>
        </w:rPr>
        <w:t>P</w:t>
      </w:r>
      <w:r>
        <w:rPr>
          <w:rFonts w:ascii="Times New Roman" w:hAnsi="Times New Roman"/>
          <w:vertAlign w:val="subscript"/>
        </w:rPr>
        <w:t>pH</w:t>
      </w:r>
      <w:r>
        <w:t>=</w:t>
      </w:r>
      <w:r>
        <w:rPr>
          <w:rFonts w:hint="eastAsia"/>
        </w:rPr>
        <w:t>（</w:t>
      </w:r>
      <w:r>
        <w:rPr>
          <w:rFonts w:ascii="Times New Roman" w:hAnsi="Times New Roman"/>
        </w:rPr>
        <w:t>7</w:t>
      </w:r>
      <w:r>
        <w:t>.</w:t>
      </w:r>
      <w:r>
        <w:rPr>
          <w:rFonts w:ascii="Times New Roman" w:hAnsi="Times New Roman"/>
        </w:rPr>
        <w:t>0</w:t>
      </w:r>
      <w:r>
        <w:t>-</w:t>
      </w:r>
      <w:r>
        <w:rPr>
          <w:rFonts w:ascii="Times New Roman" w:hAnsi="Times New Roman"/>
        </w:rPr>
        <w:t>pH</w:t>
      </w:r>
      <w:r>
        <w:rPr>
          <w:rFonts w:ascii="Times New Roman" w:hAnsi="Times New Roman"/>
          <w:vertAlign w:val="subscript"/>
        </w:rPr>
        <w:t>i</w:t>
      </w:r>
      <w:r>
        <w:rPr>
          <w:rFonts w:hint="eastAsia"/>
        </w:rPr>
        <w:t>）</w:t>
      </w:r>
      <w:r>
        <w:t>/</w:t>
      </w:r>
      <w:r>
        <w:rPr>
          <w:rFonts w:hint="eastAsia"/>
        </w:rPr>
        <w:t>（</w:t>
      </w:r>
      <w:r>
        <w:rPr>
          <w:rFonts w:ascii="Times New Roman" w:hAnsi="Times New Roman"/>
        </w:rPr>
        <w:t>7</w:t>
      </w:r>
      <w:r>
        <w:t>.</w:t>
      </w:r>
      <w:r>
        <w:rPr>
          <w:rFonts w:ascii="Times New Roman" w:hAnsi="Times New Roman"/>
        </w:rPr>
        <w:t>0</w:t>
      </w:r>
      <w:r>
        <w:t>-</w:t>
      </w:r>
      <w:r>
        <w:rPr>
          <w:rFonts w:ascii="Times New Roman" w:hAnsi="Times New Roman"/>
        </w:rPr>
        <w:t>pH</w:t>
      </w:r>
      <w:r>
        <w:rPr>
          <w:rFonts w:ascii="Times New Roman" w:hAnsi="Times New Roman"/>
          <w:vertAlign w:val="subscript"/>
        </w:rPr>
        <w:t>sd</w:t>
      </w:r>
      <w:r>
        <w:rPr>
          <w:rFonts w:hint="eastAsia"/>
        </w:rPr>
        <w:t>）</w:t>
      </w:r>
    </w:p>
    <w:p>
      <w:r>
        <w:rPr>
          <w:rFonts w:hint="eastAsia"/>
        </w:rPr>
        <w:t xml:space="preserve">    </w:t>
      </w:r>
      <w:r>
        <w:rPr>
          <w:rFonts w:ascii="Times New Roman" w:hAnsi="Times New Roman"/>
        </w:rPr>
        <w:t>pH</w:t>
      </w:r>
      <w:r>
        <w:rPr>
          <w:rFonts w:ascii="Times New Roman" w:hAnsi="Times New Roman"/>
          <w:vertAlign w:val="subscript"/>
        </w:rPr>
        <w:t>i</w:t>
      </w:r>
      <w:r>
        <w:t>&gt;</w:t>
      </w:r>
      <w:r>
        <w:rPr>
          <w:rFonts w:ascii="Times New Roman" w:hAnsi="Times New Roman"/>
        </w:rPr>
        <w:t>7</w:t>
      </w:r>
      <w:r>
        <w:t>.</w:t>
      </w:r>
      <w:r>
        <w:rPr>
          <w:rFonts w:ascii="Times New Roman" w:hAnsi="Times New Roman"/>
        </w:rPr>
        <w:t>0</w:t>
      </w:r>
      <w:r>
        <w:rPr>
          <w:rFonts w:hint="eastAsia"/>
        </w:rPr>
        <w:t xml:space="preserve">时；  </w:t>
      </w:r>
      <w:r>
        <w:rPr>
          <w:rFonts w:ascii="Times New Roman" w:hAnsi="Times New Roman"/>
        </w:rPr>
        <w:t>P</w:t>
      </w:r>
      <w:r>
        <w:rPr>
          <w:rFonts w:ascii="Times New Roman" w:hAnsi="Times New Roman"/>
          <w:vertAlign w:val="subscript"/>
        </w:rPr>
        <w:t>pH</w:t>
      </w:r>
      <w:r>
        <w:t>=</w:t>
      </w:r>
      <w:r>
        <w:rPr>
          <w:rFonts w:hint="eastAsia"/>
        </w:rPr>
        <w:t>（</w:t>
      </w:r>
      <w:r>
        <w:rPr>
          <w:rFonts w:ascii="Times New Roman" w:hAnsi="Times New Roman"/>
        </w:rPr>
        <w:t>pH</w:t>
      </w:r>
      <w:r>
        <w:rPr>
          <w:rFonts w:ascii="Times New Roman" w:hAnsi="Times New Roman"/>
          <w:vertAlign w:val="subscript"/>
        </w:rPr>
        <w:t>i</w:t>
      </w:r>
      <w:r>
        <w:t>-</w:t>
      </w:r>
      <w:r>
        <w:rPr>
          <w:rFonts w:ascii="Times New Roman" w:hAnsi="Times New Roman"/>
        </w:rPr>
        <w:t>7</w:t>
      </w:r>
      <w:r>
        <w:t>.</w:t>
      </w:r>
      <w:r>
        <w:rPr>
          <w:rFonts w:ascii="Times New Roman" w:hAnsi="Times New Roman"/>
        </w:rPr>
        <w:t>0</w:t>
      </w:r>
      <w:r>
        <w:rPr>
          <w:rFonts w:hint="eastAsia"/>
        </w:rPr>
        <w:t>）</w:t>
      </w:r>
      <w:r>
        <w:t>/</w:t>
      </w:r>
      <w:r>
        <w:rPr>
          <w:rFonts w:hint="eastAsia"/>
        </w:rPr>
        <w:t>（</w:t>
      </w:r>
      <w:r>
        <w:rPr>
          <w:rFonts w:ascii="Times New Roman" w:hAnsi="Times New Roman"/>
        </w:rPr>
        <w:t>pH</w:t>
      </w:r>
      <w:r>
        <w:rPr>
          <w:rFonts w:ascii="Times New Roman" w:hAnsi="Times New Roman"/>
          <w:vertAlign w:val="subscript"/>
        </w:rPr>
        <w:t>su</w:t>
      </w:r>
      <w:r>
        <w:t>-</w:t>
      </w:r>
      <w:r>
        <w:rPr>
          <w:rFonts w:ascii="Times New Roman" w:hAnsi="Times New Roman"/>
        </w:rPr>
        <w:t>7</w:t>
      </w:r>
      <w:r>
        <w:t>.</w:t>
      </w:r>
      <w:r>
        <w:rPr>
          <w:rFonts w:ascii="Times New Roman" w:hAnsi="Times New Roman"/>
        </w:rPr>
        <w:t>0</w:t>
      </w:r>
      <w:r>
        <w:rPr>
          <w:rFonts w:hint="eastAsia"/>
        </w:rPr>
        <w:t xml:space="preserve">）  </w:t>
      </w:r>
    </w:p>
    <w:p>
      <w:r>
        <w:rPr>
          <w:rFonts w:hAnsi="宋体"/>
        </w:rPr>
        <w:t>式中：</w:t>
      </w:r>
      <w:r>
        <w:rPr>
          <w:rFonts w:ascii="Times New Roman" w:hAnsi="Times New Roman"/>
        </w:rPr>
        <w:t>P</w:t>
      </w:r>
      <w:r>
        <w:t xml:space="preserve"> </w:t>
      </w:r>
      <w:r>
        <w:rPr>
          <w:rFonts w:ascii="Times New Roman" w:hAnsi="Times New Roman"/>
          <w:vertAlign w:val="subscript"/>
        </w:rPr>
        <w:t>pH</w:t>
      </w:r>
      <w:r>
        <w:t>—</w:t>
      </w:r>
      <w:r>
        <w:rPr>
          <w:rFonts w:ascii="Times New Roman" w:hAnsi="Times New Roman"/>
        </w:rPr>
        <w:t>i</w:t>
      </w:r>
      <w:r>
        <w:rPr>
          <w:rFonts w:hAnsi="宋体"/>
        </w:rPr>
        <w:t>监测点的</w:t>
      </w:r>
      <w:r>
        <w:rPr>
          <w:rFonts w:ascii="Times New Roman" w:hAnsi="Times New Roman"/>
        </w:rPr>
        <w:t>pH</w:t>
      </w:r>
      <w:r>
        <w:rPr>
          <w:rFonts w:hAnsi="宋体"/>
        </w:rPr>
        <w:t>评价指数；</w:t>
      </w:r>
    </w:p>
    <w:p>
      <w:r>
        <w:rPr>
          <w:rFonts w:hint="eastAsia"/>
        </w:rPr>
        <w:t xml:space="preserve">      </w:t>
      </w:r>
      <w:r>
        <w:rPr>
          <w:rFonts w:ascii="Times New Roman" w:hAnsi="Times New Roman"/>
        </w:rPr>
        <w:t>pH</w:t>
      </w:r>
      <w:r>
        <w:rPr>
          <w:rFonts w:ascii="Times New Roman" w:hAnsi="Times New Roman"/>
          <w:vertAlign w:val="subscript"/>
        </w:rPr>
        <w:t>i</w:t>
      </w:r>
      <w:r>
        <w:t>—</w:t>
      </w:r>
      <w:r>
        <w:rPr>
          <w:rFonts w:ascii="Times New Roman" w:hAnsi="Times New Roman"/>
        </w:rPr>
        <w:t>i</w:t>
      </w:r>
      <w:r>
        <w:rPr>
          <w:rFonts w:hAnsi="宋体"/>
        </w:rPr>
        <w:t>监测点的水样</w:t>
      </w:r>
      <w:r>
        <w:rPr>
          <w:rFonts w:ascii="Times New Roman" w:hAnsi="Times New Roman"/>
        </w:rPr>
        <w:t>pH</w:t>
      </w:r>
      <w:r>
        <w:rPr>
          <w:rFonts w:hAnsi="宋体"/>
        </w:rPr>
        <w:t>监测值；</w:t>
      </w:r>
    </w:p>
    <w:p>
      <w:r>
        <w:rPr>
          <w:rFonts w:hint="eastAsia"/>
        </w:rPr>
        <w:t xml:space="preserve">      </w:t>
      </w:r>
      <w:r>
        <w:rPr>
          <w:rFonts w:ascii="Times New Roman" w:hAnsi="Times New Roman"/>
        </w:rPr>
        <w:t>pH</w:t>
      </w:r>
      <w:r>
        <w:rPr>
          <w:rFonts w:ascii="Times New Roman" w:hAnsi="Times New Roman"/>
          <w:vertAlign w:val="subscript"/>
        </w:rPr>
        <w:t>sd</w:t>
      </w:r>
      <w:r>
        <w:t>—</w:t>
      </w:r>
      <w:r>
        <w:rPr>
          <w:rFonts w:hAnsi="宋体"/>
        </w:rPr>
        <w:t>评价标准值的下限值；</w:t>
      </w:r>
    </w:p>
    <w:p>
      <w:pPr>
        <w:rPr>
          <w:rFonts w:hAnsi="宋体"/>
        </w:rPr>
      </w:pPr>
      <w:r>
        <w:rPr>
          <w:rFonts w:hint="eastAsia"/>
        </w:rPr>
        <w:t xml:space="preserve">      </w:t>
      </w:r>
      <w:r>
        <w:rPr>
          <w:rFonts w:ascii="Times New Roman" w:hAnsi="Times New Roman"/>
        </w:rPr>
        <w:t>pH</w:t>
      </w:r>
      <w:r>
        <w:rPr>
          <w:rFonts w:ascii="Times New Roman" w:hAnsi="Times New Roman"/>
          <w:vertAlign w:val="subscript"/>
        </w:rPr>
        <w:t>su</w:t>
      </w:r>
      <w:r>
        <w:t>—</w:t>
      </w:r>
      <w:r>
        <w:rPr>
          <w:rFonts w:hAnsi="宋体"/>
        </w:rPr>
        <w:t>评价标准值的上限值。</w:t>
      </w:r>
    </w:p>
    <w:p>
      <w:r>
        <w:rPr>
          <w:rFonts w:hint="eastAsia"/>
        </w:rPr>
        <w:t>（</w:t>
      </w:r>
      <w:r>
        <w:rPr>
          <w:rFonts w:hint="eastAsia" w:ascii="Times New Roman" w:hAnsi="Times New Roman"/>
          <w:lang w:val="en-US" w:eastAsia="zh-CN"/>
        </w:rPr>
        <w:t>3</w:t>
      </w:r>
      <w:r>
        <w:rPr>
          <w:rFonts w:hint="eastAsia"/>
        </w:rPr>
        <w:t>）评价标准</w:t>
      </w:r>
    </w:p>
    <w:p>
      <w:r>
        <w:t>评价区地下水环境功能区划为Ⅲ类，水质现状评价选用《地下水质量标准》（</w:t>
      </w:r>
      <w:r>
        <w:rPr>
          <w:rFonts w:ascii="Times New Roman" w:hAnsi="Times New Roman"/>
        </w:rPr>
        <w:t>GB</w:t>
      </w:r>
      <w:r>
        <w:t>/</w:t>
      </w:r>
      <w:r>
        <w:rPr>
          <w:rFonts w:ascii="Times New Roman" w:hAnsi="Times New Roman"/>
        </w:rPr>
        <w:t>T14848</w:t>
      </w:r>
      <w:r>
        <w:t>-</w:t>
      </w:r>
      <w:r>
        <w:rPr>
          <w:rFonts w:hint="eastAsia" w:ascii="Times New Roman" w:hAnsi="Times New Roman"/>
        </w:rPr>
        <w:t>2017</w:t>
      </w:r>
      <w:r>
        <w:t>）中</w:t>
      </w:r>
      <w:r>
        <w:rPr>
          <w:rFonts w:hint="eastAsia"/>
        </w:rPr>
        <w:t>的</w:t>
      </w:r>
      <w:r>
        <w:t>Ⅲ类标准</w:t>
      </w:r>
      <w:r>
        <w:rPr>
          <w:rFonts w:hint="eastAsia"/>
        </w:rPr>
        <w:t>。</w:t>
      </w:r>
    </w:p>
    <w:p>
      <w:pPr>
        <w:spacing w:line="360" w:lineRule="auto"/>
        <w:ind w:firstLine="480" w:firstLineChars="200"/>
        <w:rPr>
          <w:rFonts w:hint="eastAsia" w:hAnsi="宋体" w:eastAsia="宋体" w:cs="宋体"/>
          <w:color w:val="auto"/>
          <w:szCs w:val="24"/>
          <w:highlight w:val="none"/>
          <w:lang w:eastAsia="zh-CN"/>
        </w:rPr>
      </w:pPr>
      <w:r>
        <w:rPr>
          <w:rFonts w:hint="eastAsia" w:hAnsi="宋体"/>
          <w:color w:val="000000"/>
          <w:szCs w:val="24"/>
        </w:rPr>
        <w:t>（</w:t>
      </w:r>
      <w:r>
        <w:rPr>
          <w:rFonts w:hint="eastAsia" w:ascii="Times New Roman" w:hAnsi="Times New Roman"/>
          <w:color w:val="000000"/>
          <w:szCs w:val="24"/>
          <w:lang w:val="en-US" w:eastAsia="zh-CN"/>
        </w:rPr>
        <w:t>4</w:t>
      </w:r>
      <w:r>
        <w:rPr>
          <w:rFonts w:hint="eastAsia" w:hAnsi="宋体"/>
          <w:color w:val="000000"/>
          <w:szCs w:val="24"/>
        </w:rPr>
        <w:t>）</w:t>
      </w:r>
      <w:r>
        <w:rPr>
          <w:rFonts w:hint="eastAsia" w:cs="宋体"/>
          <w:color w:val="auto"/>
          <w:szCs w:val="24"/>
          <w:highlight w:val="none"/>
          <w:lang w:eastAsia="zh-CN"/>
        </w:rPr>
        <w:t>监测与评价结果</w:t>
      </w:r>
    </w:p>
    <w:p>
      <w:pPr>
        <w:bidi w:val="0"/>
        <w:rPr>
          <w:rFonts w:hint="eastAsia"/>
        </w:rPr>
      </w:pPr>
      <w:r>
        <w:rPr>
          <w:rFonts w:hAnsi="宋体"/>
          <w:color w:val="000000"/>
          <w:szCs w:val="24"/>
        </w:rPr>
        <w:t>监测点地下水环境评价结果见表</w:t>
      </w:r>
      <w:r>
        <w:rPr>
          <w:rFonts w:hint="eastAsia" w:ascii="Times New Roman" w:hAnsi="Times New Roman"/>
          <w:color w:val="000000"/>
          <w:szCs w:val="24"/>
          <w:lang w:val="en-US" w:eastAsia="zh-CN"/>
        </w:rPr>
        <w:t>5</w:t>
      </w:r>
      <w:r>
        <w:rPr>
          <w:color w:val="000000"/>
          <w:szCs w:val="24"/>
        </w:rPr>
        <w:t>.</w:t>
      </w:r>
      <w:r>
        <w:rPr>
          <w:rFonts w:hint="eastAsia" w:ascii="Times New Roman" w:hAnsi="Times New Roman"/>
          <w:color w:val="000000"/>
          <w:szCs w:val="24"/>
          <w:lang w:val="en-US" w:eastAsia="zh-CN"/>
        </w:rPr>
        <w:t>5</w:t>
      </w:r>
      <w:r>
        <w:rPr>
          <w:rFonts w:hint="eastAsia" w:ascii="Times New Roman"/>
          <w:color w:val="000000"/>
          <w:szCs w:val="24"/>
          <w:lang w:val="en-US" w:eastAsia="zh-CN"/>
        </w:rPr>
        <w:t>-</w:t>
      </w:r>
      <w:r>
        <w:rPr>
          <w:rFonts w:hint="eastAsia" w:ascii="Times New Roman" w:hAnsi="Times New Roman"/>
          <w:color w:val="000000"/>
          <w:szCs w:val="24"/>
          <w:lang w:val="en-US" w:eastAsia="zh-CN"/>
        </w:rPr>
        <w:t>5</w:t>
      </w:r>
      <w:r>
        <w:rPr>
          <w:rFonts w:hint="eastAsia" w:hAnsi="宋体"/>
          <w:color w:val="000000"/>
          <w:szCs w:val="24"/>
        </w:rPr>
        <w:t>。</w:t>
      </w:r>
      <w:r>
        <w:rPr>
          <w:rFonts w:hint="eastAsia"/>
          <w:color w:val="auto"/>
          <w:lang w:val="en-US" w:eastAsia="zh-CN"/>
        </w:rPr>
        <w:t>区域地下水监测井水质检测结果显示，各项</w:t>
      </w:r>
      <w:r>
        <w:rPr>
          <w:rFonts w:hint="eastAsia"/>
          <w:color w:val="auto"/>
          <w:lang w:eastAsia="zh-CN"/>
        </w:rPr>
        <w:t>水质因子均</w:t>
      </w:r>
      <w:r>
        <w:rPr>
          <w:rFonts w:hint="eastAsia"/>
          <w:color w:val="auto"/>
        </w:rPr>
        <w:t>满足</w:t>
      </w:r>
      <w:r>
        <w:rPr>
          <w:color w:val="auto"/>
        </w:rPr>
        <w:t>《地下水质量标准》（</w:t>
      </w:r>
      <w:r>
        <w:rPr>
          <w:rFonts w:ascii="Times New Roman" w:hAnsi="Times New Roman" w:cs="Times New Roman"/>
          <w:color w:val="auto"/>
        </w:rPr>
        <w:t>GB</w:t>
      </w:r>
      <w:r>
        <w:rPr>
          <w:color w:val="auto"/>
        </w:rPr>
        <w:t>/</w:t>
      </w:r>
      <w:r>
        <w:rPr>
          <w:rFonts w:ascii="Times New Roman" w:hAnsi="Times New Roman" w:cs="Times New Roman"/>
          <w:color w:val="auto"/>
        </w:rPr>
        <w:t>T14848</w:t>
      </w:r>
      <w:r>
        <w:rPr>
          <w:color w:val="auto"/>
        </w:rPr>
        <w:t>-</w:t>
      </w:r>
      <w:r>
        <w:rPr>
          <w:rFonts w:hint="eastAsia" w:ascii="Times New Roman" w:hAnsi="Times New Roman" w:cs="Times New Roman"/>
          <w:color w:val="auto"/>
        </w:rPr>
        <w:t>2017</w:t>
      </w:r>
      <w:r>
        <w:rPr>
          <w:color w:val="auto"/>
        </w:rPr>
        <w:t>）Ⅲ类标准要求。</w:t>
      </w:r>
    </w:p>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Ansi="宋体"/>
          <w:b/>
          <w:szCs w:val="21"/>
        </w:rPr>
      </w:pPr>
      <w:r>
        <w:rPr>
          <w:rFonts w:hint="eastAsia" w:hAnsi="宋体"/>
          <w:b/>
          <w:szCs w:val="21"/>
        </w:rPr>
        <w:t>表</w:t>
      </w:r>
      <w:r>
        <w:rPr>
          <w:rFonts w:hint="eastAsia" w:ascii="Times New Roman" w:hAnsi="Times New Roman"/>
          <w:b/>
          <w:szCs w:val="21"/>
          <w:lang w:val="en-US" w:eastAsia="zh-CN"/>
        </w:rPr>
        <w:t>5</w:t>
      </w:r>
      <w:r>
        <w:rPr>
          <w:rFonts w:hAnsi="宋体"/>
          <w:b/>
          <w:szCs w:val="21"/>
        </w:rPr>
        <w:t>.</w:t>
      </w:r>
      <w:r>
        <w:rPr>
          <w:rFonts w:hint="eastAsia" w:ascii="Times New Roman" w:hAnsi="Times New Roman"/>
          <w:b/>
          <w:szCs w:val="21"/>
          <w:lang w:val="en-US" w:eastAsia="zh-CN"/>
        </w:rPr>
        <w:t>5</w:t>
      </w:r>
      <w:r>
        <w:rPr>
          <w:rFonts w:hAnsi="宋体"/>
          <w:b/>
          <w:szCs w:val="21"/>
        </w:rPr>
        <w:t>-</w:t>
      </w:r>
      <w:r>
        <w:rPr>
          <w:rFonts w:hint="eastAsia" w:ascii="Times New Roman" w:hAnsi="Times New Roman"/>
          <w:b/>
          <w:szCs w:val="21"/>
          <w:lang w:val="en-US" w:eastAsia="zh-CN"/>
        </w:rPr>
        <w:t>5</w:t>
      </w:r>
      <w:r>
        <w:rPr>
          <w:rFonts w:hAnsi="宋体"/>
          <w:b/>
          <w:szCs w:val="21"/>
        </w:rPr>
        <w:tab/>
      </w:r>
      <w:r>
        <w:rPr>
          <w:rFonts w:hAnsi="宋体"/>
          <w:b/>
          <w:szCs w:val="21"/>
        </w:rPr>
        <w:t xml:space="preserve"> </w:t>
      </w:r>
      <w:r>
        <w:rPr>
          <w:rFonts w:hint="eastAsia" w:hAnsi="宋体"/>
          <w:b/>
          <w:szCs w:val="21"/>
        </w:rPr>
        <w:t>地下水水质监测结果一览表</w:t>
      </w:r>
      <w:r>
        <w:rPr>
          <w:rFonts w:hAnsi="宋体"/>
          <w:b/>
          <w:szCs w:val="21"/>
        </w:rPr>
        <w:t xml:space="preserve">  </w:t>
      </w:r>
      <w:r>
        <w:rPr>
          <w:rFonts w:hint="eastAsia" w:hAnsi="宋体"/>
          <w:b/>
          <w:szCs w:val="21"/>
        </w:rPr>
        <w:t>单位：</w:t>
      </w:r>
      <w:r>
        <w:rPr>
          <w:rFonts w:ascii="Times New Roman" w:hAnsi="Times New Roman"/>
          <w:b/>
          <w:szCs w:val="21"/>
        </w:rPr>
        <w:t>mg</w:t>
      </w:r>
      <w:r>
        <w:rPr>
          <w:rFonts w:hAnsi="宋体"/>
          <w:b/>
          <w:szCs w:val="21"/>
        </w:rPr>
        <w:t>/</w:t>
      </w:r>
      <w:r>
        <w:rPr>
          <w:rFonts w:ascii="Times New Roman" w:hAnsi="Times New Roman"/>
          <w:b/>
          <w:szCs w:val="21"/>
        </w:rPr>
        <w:t>L</w:t>
      </w:r>
      <w:r>
        <w:rPr>
          <w:rFonts w:hAnsi="宋体"/>
          <w:b/>
          <w:szCs w:val="21"/>
        </w:rPr>
        <w:t>(</w:t>
      </w:r>
      <w:r>
        <w:rPr>
          <w:rFonts w:ascii="Times New Roman" w:hAnsi="Times New Roman"/>
          <w:b/>
          <w:szCs w:val="21"/>
        </w:rPr>
        <w:t>pH</w:t>
      </w:r>
      <w:r>
        <w:rPr>
          <w:rFonts w:hAnsi="宋体"/>
          <w:b/>
          <w:szCs w:val="21"/>
        </w:rPr>
        <w:t xml:space="preserve"> </w:t>
      </w:r>
      <w:r>
        <w:rPr>
          <w:rFonts w:hint="eastAsia" w:hAnsi="宋体"/>
          <w:b/>
          <w:szCs w:val="21"/>
        </w:rPr>
        <w:t>除外</w:t>
      </w:r>
      <w:r>
        <w:rPr>
          <w:rFonts w:hAnsi="宋体"/>
          <w:b/>
          <w:szCs w:val="21"/>
        </w:rPr>
        <w:t>)</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64"/>
        <w:gridCol w:w="1686"/>
        <w:gridCol w:w="791"/>
        <w:gridCol w:w="1008"/>
        <w:gridCol w:w="1302"/>
        <w:gridCol w:w="1106"/>
        <w:gridCol w:w="1427"/>
        <w:gridCol w:w="1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blHeade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rPr>
            </w:pPr>
            <w:r>
              <w:rPr>
                <w:spacing w:val="0"/>
                <w:w w:val="100"/>
                <w:sz w:val="21"/>
                <w:szCs w:val="21"/>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0"/>
                <w:w w:val="100"/>
                <w:sz w:val="21"/>
                <w:szCs w:val="21"/>
                <w:lang w:eastAsia="zh-CN"/>
              </w:rPr>
            </w:pPr>
            <w:r>
              <w:rPr>
                <w:rFonts w:hint="eastAsia"/>
                <w:spacing w:val="0"/>
                <w:w w:val="100"/>
                <w:sz w:val="21"/>
                <w:szCs w:val="21"/>
                <w:lang w:eastAsia="zh-CN"/>
              </w:rPr>
              <w:t>指标</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0"/>
                <w:w w:val="100"/>
                <w:sz w:val="21"/>
                <w:szCs w:val="21"/>
                <w:lang w:eastAsia="zh-CN"/>
              </w:rPr>
            </w:pPr>
            <w:r>
              <w:rPr>
                <w:spacing w:val="0"/>
                <w:w w:val="100"/>
                <w:sz w:val="21"/>
                <w:szCs w:val="21"/>
              </w:rPr>
              <w:t>标准值</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0"/>
                <w:w w:val="100"/>
                <w:sz w:val="21"/>
                <w:szCs w:val="21"/>
                <w:lang w:eastAsia="zh-CN"/>
              </w:rPr>
            </w:pPr>
            <w:r>
              <w:rPr>
                <w:rFonts w:hint="eastAsia" w:ascii="Times New Roman" w:hAnsi="Times New Roman"/>
                <w:spacing w:val="0"/>
                <w:w w:val="100"/>
                <w:sz w:val="21"/>
                <w:szCs w:val="21"/>
                <w:lang w:val="en-US" w:eastAsia="zh-CN"/>
              </w:rPr>
              <w:t>1</w:t>
            </w:r>
            <w:r>
              <w:rPr>
                <w:rFonts w:hint="eastAsia"/>
                <w:spacing w:val="0"/>
                <w:w w:val="100"/>
                <w:sz w:val="21"/>
                <w:szCs w:val="21"/>
                <w:lang w:val="en-US" w:eastAsia="zh-CN"/>
              </w:rPr>
              <w:t>#</w:t>
            </w:r>
            <w:r>
              <w:rPr>
                <w:rFonts w:hint="eastAsia"/>
                <w:spacing w:val="0"/>
                <w:w w:val="100"/>
                <w:sz w:val="21"/>
                <w:szCs w:val="21"/>
                <w:lang w:eastAsia="zh-CN"/>
              </w:rPr>
              <w:t>生活区宿舍</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0"/>
                <w:w w:val="100"/>
                <w:sz w:val="21"/>
                <w:szCs w:val="21"/>
                <w:lang w:eastAsia="zh-CN"/>
              </w:rPr>
            </w:pPr>
            <w:r>
              <w:rPr>
                <w:rFonts w:hint="eastAsia" w:ascii="Times New Roman" w:hAnsi="Times New Roman"/>
                <w:spacing w:val="0"/>
                <w:w w:val="100"/>
                <w:sz w:val="21"/>
                <w:szCs w:val="21"/>
                <w:lang w:val="en-US" w:eastAsia="zh-CN"/>
              </w:rPr>
              <w:t>2</w:t>
            </w:r>
            <w:r>
              <w:rPr>
                <w:rFonts w:hint="eastAsia"/>
                <w:spacing w:val="0"/>
                <w:w w:val="100"/>
                <w:sz w:val="21"/>
                <w:szCs w:val="21"/>
                <w:lang w:val="en-US" w:eastAsia="zh-CN"/>
              </w:rPr>
              <w:t>#</w:t>
            </w:r>
            <w:r>
              <w:rPr>
                <w:rFonts w:hint="eastAsia"/>
                <w:spacing w:val="0"/>
                <w:w w:val="100"/>
                <w:sz w:val="21"/>
                <w:szCs w:val="21"/>
                <w:lang w:eastAsia="zh-CN"/>
              </w:rPr>
              <w:t>厂区外北侧自建房</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0"/>
                <w:w w:val="100"/>
                <w:sz w:val="21"/>
                <w:szCs w:val="21"/>
                <w:lang w:eastAsia="zh-CN"/>
              </w:rPr>
            </w:pPr>
            <w:r>
              <w:rPr>
                <w:rFonts w:hint="eastAsia" w:ascii="Times New Roman" w:hAnsi="Times New Roman"/>
                <w:spacing w:val="0"/>
                <w:w w:val="100"/>
                <w:sz w:val="21"/>
                <w:szCs w:val="21"/>
                <w:lang w:val="en-US" w:eastAsia="zh-CN"/>
              </w:rPr>
              <w:t>3</w:t>
            </w:r>
            <w:r>
              <w:rPr>
                <w:rFonts w:hint="eastAsia"/>
                <w:spacing w:val="0"/>
                <w:w w:val="100"/>
                <w:sz w:val="21"/>
                <w:szCs w:val="21"/>
                <w:lang w:val="en-US" w:eastAsia="zh-CN"/>
              </w:rPr>
              <w:t>#</w:t>
            </w:r>
            <w:r>
              <w:rPr>
                <w:rFonts w:hint="eastAsia"/>
                <w:spacing w:val="0"/>
                <w:w w:val="100"/>
                <w:sz w:val="21"/>
                <w:szCs w:val="21"/>
                <w:lang w:eastAsia="zh-CN"/>
              </w:rPr>
              <w:t>项目南侧水井</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0"/>
                <w:w w:val="100"/>
                <w:sz w:val="21"/>
                <w:szCs w:val="21"/>
                <w:lang w:val="en-US" w:eastAsia="zh-CN"/>
              </w:rPr>
            </w:pPr>
            <w:r>
              <w:rPr>
                <w:rFonts w:hint="eastAsia" w:ascii="Times New Roman" w:hAnsi="Times New Roman"/>
                <w:spacing w:val="0"/>
                <w:w w:val="100"/>
                <w:sz w:val="21"/>
                <w:szCs w:val="21"/>
                <w:lang w:val="en-US" w:eastAsia="zh-CN"/>
              </w:rPr>
              <w:t>4</w:t>
            </w:r>
            <w:r>
              <w:rPr>
                <w:rFonts w:hint="eastAsia"/>
                <w:spacing w:val="0"/>
                <w:w w:val="100"/>
                <w:sz w:val="21"/>
                <w:szCs w:val="21"/>
                <w:lang w:val="en-US" w:eastAsia="zh-CN"/>
              </w:rPr>
              <w:t>#凯赛西北侧地下水井</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0"/>
                <w:w w:val="100"/>
                <w:sz w:val="21"/>
                <w:szCs w:val="21"/>
                <w:lang w:val="en-US" w:eastAsia="zh-CN"/>
              </w:rPr>
            </w:pPr>
            <w:r>
              <w:rPr>
                <w:rFonts w:hint="eastAsia" w:ascii="Times New Roman" w:hAnsi="Times New Roman"/>
                <w:spacing w:val="0"/>
                <w:w w:val="100"/>
                <w:sz w:val="21"/>
                <w:szCs w:val="21"/>
                <w:lang w:val="en-US" w:eastAsia="zh-CN"/>
              </w:rPr>
              <w:t>5</w:t>
            </w:r>
            <w:r>
              <w:rPr>
                <w:rFonts w:hint="eastAsia"/>
                <w:spacing w:val="0"/>
                <w:w w:val="100"/>
                <w:sz w:val="21"/>
                <w:szCs w:val="21"/>
                <w:lang w:val="en-US" w:eastAsia="zh-CN"/>
              </w:rPr>
              <w:t>#凯赛东侧地下水井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rPr>
            </w:pPr>
            <w:r>
              <w:rPr>
                <w:rFonts w:ascii="Times New Roman" w:hAnsi="Times New Roman"/>
                <w:spacing w:val="0"/>
                <w:w w:val="100"/>
                <w:sz w:val="21"/>
                <w:szCs w:val="21"/>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rPr>
            </w:pPr>
            <w:r>
              <w:rPr>
                <w:rFonts w:ascii="Times New Roman" w:hAnsi="Times New Roman"/>
                <w:spacing w:val="0"/>
                <w:w w:val="100"/>
                <w:sz w:val="21"/>
                <w:szCs w:val="21"/>
              </w:rPr>
              <w:t>pH</w:t>
            </w:r>
            <w:r>
              <w:rPr>
                <w:spacing w:val="0"/>
                <w:w w:val="100"/>
                <w:sz w:val="21"/>
                <w:szCs w:val="21"/>
              </w:rPr>
              <w:t>值</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rPr>
            </w:pPr>
            <w:r>
              <w:rPr>
                <w:rFonts w:ascii="Times New Roman" w:hAnsi="Times New Roman"/>
                <w:spacing w:val="0"/>
                <w:w w:val="100"/>
                <w:sz w:val="21"/>
                <w:szCs w:val="21"/>
              </w:rPr>
              <w:t>6</w:t>
            </w:r>
            <w:r>
              <w:rPr>
                <w:spacing w:val="0"/>
                <w:w w:val="100"/>
                <w:sz w:val="21"/>
                <w:szCs w:val="21"/>
              </w:rPr>
              <w:t>.</w:t>
            </w:r>
            <w:r>
              <w:rPr>
                <w:rFonts w:ascii="Times New Roman" w:hAnsi="Times New Roman"/>
                <w:spacing w:val="0"/>
                <w:w w:val="100"/>
                <w:sz w:val="21"/>
                <w:szCs w:val="21"/>
              </w:rPr>
              <w:t>5</w:t>
            </w:r>
            <w:r>
              <w:rPr>
                <w:spacing w:val="0"/>
                <w:w w:val="100"/>
                <w:sz w:val="21"/>
                <w:szCs w:val="21"/>
              </w:rPr>
              <w:t>-</w:t>
            </w:r>
            <w:r>
              <w:rPr>
                <w:rFonts w:ascii="Times New Roman" w:hAnsi="Times New Roman"/>
                <w:spacing w:val="0"/>
                <w:w w:val="100"/>
                <w:sz w:val="21"/>
                <w:szCs w:val="21"/>
              </w:rPr>
              <w:t>8</w:t>
            </w:r>
            <w:r>
              <w:rPr>
                <w:spacing w:val="0"/>
                <w:w w:val="100"/>
                <w:sz w:val="21"/>
                <w:szCs w:val="21"/>
              </w:rPr>
              <w:t>.</w:t>
            </w:r>
            <w:r>
              <w:rPr>
                <w:rFonts w:ascii="Times New Roman" w:hAnsi="Times New Roman"/>
                <w:spacing w:val="0"/>
                <w:w w:val="100"/>
                <w:sz w:val="21"/>
                <w:szCs w:val="21"/>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7</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7</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7</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8</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8</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总硬度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450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158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157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156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344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硝酸盐</w:t>
            </w:r>
            <w:r>
              <w:rPr>
                <w:rFonts w:hint="eastAsia"/>
                <w:spacing w:val="0"/>
                <w:w w:val="100"/>
                <w:sz w:val="21"/>
                <w:szCs w:val="21"/>
                <w:lang w:eastAsia="zh-CN"/>
              </w:rPr>
              <w:t>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20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85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84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82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亚硝酸盐</w:t>
            </w:r>
            <w:r>
              <w:rPr>
                <w:rFonts w:hint="eastAsia"/>
                <w:spacing w:val="0"/>
                <w:w w:val="100"/>
                <w:sz w:val="21"/>
                <w:szCs w:val="21"/>
                <w:lang w:eastAsia="zh-CN"/>
              </w:rPr>
              <w:t>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1</w:t>
            </w:r>
            <w:r>
              <w:rPr>
                <w:spacing w:val="0"/>
                <w:w w:val="100"/>
                <w:sz w:val="21"/>
                <w:szCs w:val="21"/>
              </w:rPr>
              <w:t>.</w:t>
            </w:r>
            <w:r>
              <w:rPr>
                <w:rFonts w:ascii="Times New Roman" w:hAnsi="Times New Roman"/>
                <w:spacing w:val="0"/>
                <w:w w:val="100"/>
                <w:sz w:val="21"/>
                <w:szCs w:val="21"/>
              </w:rPr>
              <w:t>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cs="Times New Roman"/>
                <w:color w:val="auto"/>
                <w:spacing w:val="0"/>
                <w:w w:val="100"/>
                <w:kern w:val="2"/>
                <w:sz w:val="21"/>
                <w:szCs w:val="21"/>
                <w:lang w:val="en-US" w:eastAsia="zh-CN" w:bidi="ar-SA"/>
              </w:rPr>
              <w:t>0</w:t>
            </w:r>
            <w:r>
              <w:rPr>
                <w:rFonts w:hint="eastAsia" w:cs="Times New Roman"/>
                <w:color w:val="auto"/>
                <w:spacing w:val="0"/>
                <w:w w:val="100"/>
                <w:kern w:val="2"/>
                <w:sz w:val="21"/>
                <w:szCs w:val="21"/>
                <w:lang w:val="en-US" w:eastAsia="zh-CN" w:bidi="ar-SA"/>
              </w:rPr>
              <w:t>.</w:t>
            </w:r>
            <w:r>
              <w:rPr>
                <w:rFonts w:hint="eastAsia" w:ascii="Times New Roman" w:hAnsi="Times New Roman" w:cs="Times New Roman"/>
                <w:color w:val="auto"/>
                <w:spacing w:val="0"/>
                <w:w w:val="100"/>
                <w:kern w:val="2"/>
                <w:sz w:val="21"/>
                <w:szCs w:val="21"/>
                <w:lang w:val="en-US" w:eastAsia="zh-CN" w:bidi="ar-SA"/>
              </w:rPr>
              <w:t>003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s="Times New Roman"/>
                <w:color w:val="auto"/>
                <w:spacing w:val="0"/>
                <w:w w:val="100"/>
                <w:kern w:val="2"/>
                <w:sz w:val="21"/>
                <w:szCs w:val="21"/>
                <w:lang w:val="en-US" w:eastAsia="zh-CN" w:bidi="ar-SA"/>
              </w:rPr>
              <w:t>0</w:t>
            </w:r>
            <w:r>
              <w:rPr>
                <w:rFonts w:hint="eastAsia" w:cs="Times New Roman"/>
                <w:color w:val="auto"/>
                <w:spacing w:val="0"/>
                <w:w w:val="100"/>
                <w:kern w:val="2"/>
                <w:sz w:val="21"/>
                <w:szCs w:val="21"/>
                <w:lang w:val="en-US" w:eastAsia="zh-CN" w:bidi="ar-SA"/>
              </w:rPr>
              <w:t>.</w:t>
            </w:r>
            <w:r>
              <w:rPr>
                <w:rFonts w:hint="eastAsia" w:ascii="Times New Roman" w:hAnsi="Times New Roman" w:cs="Times New Roman"/>
                <w:color w:val="auto"/>
                <w:spacing w:val="0"/>
                <w:w w:val="100"/>
                <w:kern w:val="2"/>
                <w:sz w:val="21"/>
                <w:szCs w:val="21"/>
                <w:lang w:val="en-US" w:eastAsia="zh-CN" w:bidi="ar-SA"/>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s="Times New Roman"/>
                <w:color w:val="auto"/>
                <w:spacing w:val="0"/>
                <w:w w:val="100"/>
                <w:kern w:val="2"/>
                <w:sz w:val="21"/>
                <w:szCs w:val="21"/>
                <w:lang w:val="en-US" w:eastAsia="zh-CN" w:bidi="ar-SA"/>
              </w:rPr>
              <w:t>0</w:t>
            </w:r>
            <w:r>
              <w:rPr>
                <w:rFonts w:hint="eastAsia" w:cs="Times New Roman"/>
                <w:color w:val="auto"/>
                <w:spacing w:val="0"/>
                <w:w w:val="100"/>
                <w:kern w:val="2"/>
                <w:sz w:val="21"/>
                <w:szCs w:val="21"/>
                <w:lang w:val="en-US" w:eastAsia="zh-CN" w:bidi="ar-SA"/>
              </w:rPr>
              <w:t>.</w:t>
            </w:r>
            <w:r>
              <w:rPr>
                <w:rFonts w:hint="eastAsia" w:ascii="Times New Roman" w:hAnsi="Times New Roman" w:cs="Times New Roman"/>
                <w:color w:val="auto"/>
                <w:spacing w:val="0"/>
                <w:w w:val="100"/>
                <w:kern w:val="2"/>
                <w:sz w:val="21"/>
                <w:szCs w:val="21"/>
                <w:lang w:val="en-US" w:eastAsia="zh-CN" w:bidi="ar-SA"/>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pacing w:val="0"/>
                <w:w w:val="100"/>
                <w:kern w:val="2"/>
                <w:sz w:val="21"/>
                <w:szCs w:val="21"/>
                <w:lang w:val="en-US" w:eastAsia="zh-CN" w:bidi="ar-SA"/>
              </w:rPr>
            </w:pPr>
            <w:r>
              <w:rPr>
                <w:rFonts w:hint="eastAsia" w:cs="Times New Roman"/>
                <w:color w:val="auto"/>
                <w:spacing w:val="0"/>
                <w:w w:val="100"/>
                <w:kern w:val="2"/>
                <w:sz w:val="21"/>
                <w:szCs w:val="21"/>
                <w:lang w:val="en-US" w:eastAsia="zh-CN" w:bidi="ar-SA"/>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pacing w:val="0"/>
                <w:w w:val="100"/>
                <w:kern w:val="2"/>
                <w:sz w:val="21"/>
                <w:szCs w:val="21"/>
                <w:lang w:val="en-US" w:eastAsia="zh-CN" w:bidi="ar-SA"/>
              </w:rPr>
            </w:pPr>
            <w:r>
              <w:rPr>
                <w:rFonts w:hint="eastAsia" w:cs="Times New Roman"/>
                <w:color w:val="auto"/>
                <w:spacing w:val="0"/>
                <w:w w:val="100"/>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氟化物</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1</w:t>
            </w:r>
            <w:r>
              <w:rPr>
                <w:spacing w:val="0"/>
                <w:w w:val="100"/>
                <w:sz w:val="21"/>
                <w:szCs w:val="21"/>
              </w:rPr>
              <w:t>.</w:t>
            </w:r>
            <w:r>
              <w:rPr>
                <w:rFonts w:ascii="Times New Roman" w:hAnsi="Times New Roman"/>
                <w:spacing w:val="0"/>
                <w:w w:val="100"/>
                <w:sz w:val="21"/>
                <w:szCs w:val="21"/>
              </w:rPr>
              <w:t>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29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26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32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氯化物</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250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67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70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70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spacing w:val="0"/>
                <w:w w:val="100"/>
                <w:sz w:val="21"/>
                <w:szCs w:val="21"/>
              </w:rPr>
              <w:t>溶解性总固体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1000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380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381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383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952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940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氨氮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240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248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240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066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铬(六价)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spacing w:val="0"/>
                <w:w w:val="100"/>
                <w:sz w:val="21"/>
                <w:szCs w:val="21"/>
              </w:rPr>
              <w:t>挥发性酚类</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002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0017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汞</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00008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lang w:val="en-US" w:eastAsia="zh-CN"/>
              </w:rPr>
            </w:pPr>
            <w:r>
              <w:rPr>
                <w:rFonts w:hint="eastAsia"/>
                <w:spacing w:val="0"/>
                <w:w w:val="100"/>
                <w:sz w:val="21"/>
                <w:szCs w:val="21"/>
                <w:lang w:val="en-US" w:eastAsia="zh-CN"/>
              </w:rPr>
              <w:t>硒</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lang w:val="en-US" w:eastAsia="zh-CN"/>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0036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0034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0034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氰化物</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spacing w:val="0"/>
                <w:w w:val="100"/>
                <w:sz w:val="21"/>
                <w:szCs w:val="21"/>
              </w:rPr>
              <w:t>硫酸盐</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250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46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59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46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16</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spacing w:val="0"/>
                <w:w w:val="100"/>
                <w:sz w:val="21"/>
                <w:szCs w:val="21"/>
              </w:rPr>
              <w:t>铁</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17</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spacing w:val="0"/>
                <w:w w:val="100"/>
                <w:sz w:val="21"/>
                <w:szCs w:val="21"/>
                <w:lang w:eastAsia="zh-CN"/>
              </w:rPr>
              <w:t>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spacing w:val="0"/>
                <w:w w:val="100"/>
                <w:sz w:val="21"/>
                <w:szCs w:val="21"/>
              </w:rPr>
              <w:t>≤</w:t>
            </w:r>
            <w:r>
              <w:rPr>
                <w:rFonts w:hint="eastAsia" w:ascii="Times New Roman" w:hAnsi="Times New Roman"/>
                <w:spacing w:val="0"/>
                <w:w w:val="100"/>
                <w:sz w:val="21"/>
                <w:szCs w:val="21"/>
                <w:lang w:val="en-US" w:eastAsia="zh-CN"/>
              </w:rPr>
              <w:t>0</w:t>
            </w:r>
            <w:r>
              <w:rPr>
                <w:rFonts w:hint="eastAsia"/>
                <w:spacing w:val="0"/>
                <w:w w:val="100"/>
                <w:sz w:val="21"/>
                <w:szCs w:val="21"/>
                <w:lang w:val="en-US" w:eastAsia="zh-CN"/>
              </w:rPr>
              <w:t>.</w:t>
            </w:r>
            <w:r>
              <w:rPr>
                <w:rFonts w:hint="eastAsia" w:ascii="Times New Roman" w:hAnsi="Times New Roman"/>
                <w:spacing w:val="0"/>
                <w:w w:val="100"/>
                <w:sz w:val="21"/>
                <w:szCs w:val="21"/>
                <w:lang w:val="en-US" w:eastAsia="zh-CN"/>
              </w:rPr>
              <w:t>10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spacing w:val="0"/>
                <w:w w:val="100"/>
                <w:sz w:val="21"/>
                <w:szCs w:val="21"/>
                <w:lang w:eastAsia="zh-CN"/>
              </w:rPr>
              <w:t>耗氧量</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3</w:t>
            </w:r>
            <w:r>
              <w:rPr>
                <w:spacing w:val="0"/>
                <w:w w:val="100"/>
                <w:sz w:val="21"/>
                <w:szCs w:val="21"/>
              </w:rPr>
              <w:t>.</w:t>
            </w:r>
            <w:r>
              <w:rPr>
                <w:rFonts w:ascii="Times New Roman" w:hAnsi="Times New Roman"/>
                <w:spacing w:val="0"/>
                <w:w w:val="100"/>
                <w:sz w:val="21"/>
                <w:szCs w:val="21"/>
              </w:rPr>
              <w:t>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1</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19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铅</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010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20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0"/>
                <w:w w:val="100"/>
                <w:sz w:val="21"/>
                <w:szCs w:val="21"/>
                <w:lang w:val="en-US" w:eastAsia="zh-CN"/>
              </w:rPr>
            </w:pPr>
            <w:r>
              <w:rPr>
                <w:spacing w:val="0"/>
                <w:w w:val="100"/>
                <w:sz w:val="21"/>
                <w:szCs w:val="21"/>
              </w:rPr>
              <w:t>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lang w:val="en-US" w:eastAsia="zh-CN"/>
              </w:rPr>
            </w:pPr>
            <w:r>
              <w:rPr>
                <w:spacing w:val="0"/>
                <w:w w:val="100"/>
                <w:sz w:val="21"/>
                <w:szCs w:val="21"/>
              </w:rPr>
              <w:t>≤</w:t>
            </w:r>
            <w:r>
              <w:rPr>
                <w:rFonts w:ascii="Times New Roman" w:hAnsi="Times New Roman"/>
                <w:spacing w:val="0"/>
                <w:w w:val="100"/>
                <w:sz w:val="21"/>
                <w:szCs w:val="21"/>
              </w:rPr>
              <w:t>0</w:t>
            </w:r>
            <w:r>
              <w:rPr>
                <w:spacing w:val="0"/>
                <w:w w:val="100"/>
                <w:sz w:val="21"/>
                <w:szCs w:val="21"/>
              </w:rPr>
              <w:t>.</w:t>
            </w:r>
            <w:r>
              <w:rPr>
                <w:rFonts w:ascii="Times New Roman" w:hAnsi="Times New Roman"/>
                <w:spacing w:val="0"/>
                <w:w w:val="100"/>
                <w:sz w:val="21"/>
                <w:szCs w:val="21"/>
              </w:rPr>
              <w:t>005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0008</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0</w:t>
            </w:r>
            <w:r>
              <w:rPr>
                <w:rFonts w:hint="eastAsia" w:ascii="Times New Roman" w:hAnsi="Times New Roman" w:eastAsia="宋体" w:cs="Times New Roman"/>
                <w:color w:val="auto"/>
                <w:spacing w:val="0"/>
                <w:w w:val="100"/>
                <w:kern w:val="2"/>
                <w:sz w:val="21"/>
                <w:szCs w:val="21"/>
                <w:lang w:val="en-US" w:eastAsia="zh-CN" w:bidi="ar-SA"/>
              </w:rPr>
              <w:t>.</w:t>
            </w:r>
            <w:r>
              <w:rPr>
                <w:rFonts w:hint="eastAsia" w:ascii="Times New Roman" w:hAnsi="Times New Roman" w:eastAsia="宋体" w:cs="Times New Roman"/>
                <w:color w:val="auto"/>
                <w:spacing w:val="0"/>
                <w:w w:val="100"/>
                <w:kern w:val="2"/>
                <w:sz w:val="21"/>
                <w:szCs w:val="21"/>
                <w:lang w:val="en-US" w:eastAsia="zh-CN" w:bidi="ar-SA"/>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eastAsia" w:ascii="Times New Roman" w:hAnsi="Times New Roman"/>
                <w:spacing w:val="0"/>
                <w:w w:val="100"/>
                <w:sz w:val="21"/>
                <w:szCs w:val="21"/>
                <w:lang w:val="en-US" w:eastAsia="zh-CN"/>
              </w:rPr>
              <w:t>21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rPr>
            </w:pPr>
            <w:r>
              <w:rPr>
                <w:spacing w:val="0"/>
                <w:w w:val="100"/>
                <w:sz w:val="21"/>
                <w:szCs w:val="21"/>
              </w:rPr>
              <w:t>总大肠菌群</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spacing w:val="0"/>
                <w:w w:val="100"/>
                <w:sz w:val="21"/>
                <w:szCs w:val="21"/>
                <w:lang w:eastAsia="zh-CN"/>
              </w:rPr>
              <w:t>（</w:t>
            </w:r>
            <w:r>
              <w:rPr>
                <w:rFonts w:hint="eastAsia" w:ascii="Times New Roman" w:hAnsi="Times New Roman"/>
                <w:spacing w:val="0"/>
                <w:w w:val="100"/>
                <w:sz w:val="21"/>
                <w:szCs w:val="21"/>
                <w:lang w:val="en-US" w:eastAsia="zh-CN"/>
              </w:rPr>
              <w:t>MPN</w:t>
            </w:r>
            <w:r>
              <w:rPr>
                <w:rFonts w:hint="eastAsia"/>
                <w:spacing w:val="0"/>
                <w:w w:val="100"/>
                <w:sz w:val="21"/>
                <w:szCs w:val="21"/>
                <w:lang w:val="en-US" w:eastAsia="zh-CN"/>
              </w:rPr>
              <w:t>/</w:t>
            </w:r>
            <w:r>
              <w:rPr>
                <w:rFonts w:hint="eastAsia" w:ascii="Times New Roman" w:hAnsi="Times New Roman"/>
                <w:spacing w:val="0"/>
                <w:w w:val="100"/>
                <w:sz w:val="21"/>
                <w:szCs w:val="21"/>
                <w:lang w:val="en-US" w:eastAsia="zh-CN"/>
              </w:rPr>
              <w:t>100mL</w:t>
            </w:r>
            <w:r>
              <w:rPr>
                <w:rFonts w:hint="eastAsia"/>
                <w:spacing w:val="0"/>
                <w:w w:val="100"/>
                <w:sz w:val="21"/>
                <w:szCs w:val="21"/>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pacing w:val="0"/>
                <w:w w:val="100"/>
                <w:kern w:val="2"/>
                <w:sz w:val="21"/>
                <w:szCs w:val="21"/>
                <w:lang w:val="en-US" w:eastAsia="zh-CN" w:bidi="ar-SA"/>
              </w:rPr>
            </w:pPr>
            <w:r>
              <w:rPr>
                <w:spacing w:val="0"/>
                <w:w w:val="100"/>
                <w:sz w:val="21"/>
                <w:szCs w:val="21"/>
              </w:rPr>
              <w:t>≤</w:t>
            </w:r>
            <w:r>
              <w:rPr>
                <w:rFonts w:hint="eastAsia" w:ascii="Times New Roman" w:hAnsi="Times New Roman"/>
                <w:spacing w:val="0"/>
                <w:w w:val="100"/>
                <w:sz w:val="21"/>
                <w:szCs w:val="21"/>
                <w:lang w:val="en-US" w:eastAsia="zh-CN"/>
              </w:rPr>
              <w:t>3</w:t>
            </w:r>
            <w:r>
              <w:rPr>
                <w:rFonts w:hint="eastAsia"/>
                <w:spacing w:val="0"/>
                <w:w w:val="100"/>
                <w:sz w:val="21"/>
                <w:szCs w:val="21"/>
                <w:lang w:val="en-US" w:eastAsia="zh-CN"/>
              </w:rPr>
              <w:t>.</w:t>
            </w:r>
            <w:r>
              <w:rPr>
                <w:rFonts w:hint="eastAsia" w:ascii="Times New Roman" w:hAnsi="Times New Roman"/>
                <w:spacing w:val="0"/>
                <w:w w:val="100"/>
                <w:sz w:val="21"/>
                <w:szCs w:val="21"/>
                <w:lang w:val="en-US" w:eastAsia="zh-CN"/>
              </w:rPr>
              <w:t>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未检出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未检出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color w:val="auto"/>
                <w:spacing w:val="0"/>
                <w:w w:val="100"/>
                <w:sz w:val="21"/>
                <w:szCs w:val="21"/>
                <w:lang w:val="en-US" w:eastAsia="zh-CN"/>
              </w:rPr>
              <w:t>未检出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0"/>
                <w:w w:val="100"/>
                <w:sz w:val="21"/>
                <w:szCs w:val="21"/>
                <w:lang w:val="en-US" w:eastAsia="zh-CN"/>
              </w:rPr>
            </w:pPr>
            <w:r>
              <w:rPr>
                <w:rFonts w:hint="eastAsia" w:ascii="Times New Roman" w:hAnsi="Times New Roman"/>
                <w:spacing w:val="0"/>
                <w:w w:val="100"/>
                <w:sz w:val="21"/>
                <w:szCs w:val="21"/>
                <w:lang w:val="en-US" w:eastAsia="zh-CN"/>
              </w:rPr>
              <w:t>22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pacing w:val="0"/>
                <w:w w:val="100"/>
                <w:sz w:val="21"/>
                <w:szCs w:val="21"/>
              </w:rPr>
            </w:pPr>
            <w:r>
              <w:rPr>
                <w:spacing w:val="0"/>
                <w:w w:val="100"/>
                <w:sz w:val="21"/>
                <w:szCs w:val="21"/>
              </w:rPr>
              <w:t>细菌总数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0"/>
                <w:w w:val="100"/>
                <w:kern w:val="2"/>
                <w:sz w:val="21"/>
                <w:szCs w:val="21"/>
                <w:lang w:val="en-US" w:eastAsia="zh-CN" w:bidi="ar-SA"/>
              </w:rPr>
            </w:pPr>
            <w:r>
              <w:rPr>
                <w:rFonts w:hint="eastAsia"/>
                <w:spacing w:val="0"/>
                <w:w w:val="100"/>
                <w:sz w:val="21"/>
                <w:szCs w:val="21"/>
                <w:lang w:eastAsia="zh-CN"/>
              </w:rPr>
              <w:t>（</w:t>
            </w:r>
            <w:r>
              <w:rPr>
                <w:rFonts w:hint="eastAsia" w:ascii="Times New Roman" w:hAnsi="Times New Roman"/>
                <w:spacing w:val="0"/>
                <w:w w:val="100"/>
                <w:sz w:val="21"/>
                <w:szCs w:val="21"/>
                <w:lang w:val="en-US" w:eastAsia="zh-CN"/>
              </w:rPr>
              <w:t>CFU</w:t>
            </w:r>
            <w:r>
              <w:rPr>
                <w:rFonts w:hint="eastAsia"/>
                <w:spacing w:val="0"/>
                <w:w w:val="100"/>
                <w:sz w:val="21"/>
                <w:szCs w:val="21"/>
                <w:lang w:val="en-US" w:eastAsia="zh-CN"/>
              </w:rPr>
              <w:t>/</w:t>
            </w:r>
            <w:r>
              <w:rPr>
                <w:rFonts w:hint="eastAsia" w:ascii="Times New Roman" w:hAnsi="Times New Roman"/>
                <w:spacing w:val="0"/>
                <w:w w:val="100"/>
                <w:sz w:val="21"/>
                <w:szCs w:val="21"/>
                <w:lang w:val="en-US" w:eastAsia="zh-CN"/>
              </w:rPr>
              <w:t>mL</w:t>
            </w:r>
            <w:r>
              <w:rPr>
                <w:rFonts w:hint="eastAsia"/>
                <w:spacing w:val="0"/>
                <w:w w:val="100"/>
                <w:sz w:val="21"/>
                <w:szCs w:val="21"/>
                <w:lang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spacing w:val="0"/>
                <w:w w:val="100"/>
                <w:sz w:val="21"/>
                <w:szCs w:val="21"/>
              </w:rPr>
              <w:t>≤</w:t>
            </w:r>
            <w:r>
              <w:rPr>
                <w:rFonts w:hint="eastAsia" w:ascii="Times New Roman" w:hAnsi="Times New Roman"/>
                <w:spacing w:val="0"/>
                <w:w w:val="100"/>
                <w:sz w:val="21"/>
                <w:szCs w:val="21"/>
                <w:lang w:val="en-US" w:eastAsia="zh-CN"/>
              </w:rPr>
              <w:t>100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12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49</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color w:val="auto"/>
                <w:spacing w:val="0"/>
                <w:w w:val="100"/>
                <w:sz w:val="21"/>
                <w:szCs w:val="21"/>
                <w:lang w:val="en-US" w:eastAsia="zh-CN"/>
              </w:rPr>
              <w:t>20</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0"/>
                <w:w w:val="100"/>
                <w:sz w:val="21"/>
                <w:szCs w:val="21"/>
                <w:lang w:val="en-US" w:eastAsia="zh-CN"/>
              </w:rPr>
            </w:pPr>
            <w:r>
              <w:rPr>
                <w:rFonts w:hint="eastAsia" w:ascii="Times New Roman" w:hAnsi="Times New Roman"/>
                <w:spacing w:val="0"/>
                <w:w w:val="100"/>
                <w:sz w:val="21"/>
                <w:szCs w:val="21"/>
                <w:lang w:val="en-US" w:eastAsia="zh-CN"/>
              </w:rPr>
              <w:t>23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0"/>
                <w:w w:val="100"/>
                <w:sz w:val="21"/>
                <w:szCs w:val="21"/>
                <w:lang w:eastAsia="zh-CN"/>
              </w:rPr>
            </w:pPr>
            <w:r>
              <w:rPr>
                <w:rFonts w:hint="eastAsia"/>
                <w:spacing w:val="0"/>
                <w:w w:val="100"/>
                <w:sz w:val="21"/>
                <w:szCs w:val="21"/>
                <w:lang w:eastAsia="zh-CN"/>
              </w:rPr>
              <w:t>阴离子表面活性剂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0"/>
                <w:w w:val="100"/>
                <w:sz w:val="21"/>
                <w:szCs w:val="21"/>
                <w:lang w:val="en-US" w:eastAsia="zh-CN"/>
              </w:rPr>
            </w:pPr>
            <w:r>
              <w:rPr>
                <w:rFonts w:hint="eastAsia"/>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0"/>
                <w:w w:val="100"/>
                <w:sz w:val="21"/>
                <w:szCs w:val="21"/>
                <w:lang w:val="en-US" w:eastAsia="zh-CN"/>
              </w:rPr>
            </w:pPr>
            <w:r>
              <w:rPr>
                <w:rFonts w:hint="eastAsia" w:ascii="Times New Roman" w:hAnsi="Times New Roman"/>
                <w:spacing w:val="0"/>
                <w:w w:val="100"/>
                <w:sz w:val="21"/>
                <w:szCs w:val="21"/>
                <w:lang w:val="en-US" w:eastAsia="zh-CN"/>
              </w:rPr>
              <w:t>24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0"/>
                <w:w w:val="100"/>
                <w:sz w:val="21"/>
                <w:szCs w:val="21"/>
                <w:lang w:eastAsia="zh-CN"/>
              </w:rPr>
            </w:pPr>
            <w:r>
              <w:rPr>
                <w:rFonts w:hint="eastAsia"/>
                <w:spacing w:val="0"/>
                <w:w w:val="100"/>
                <w:sz w:val="21"/>
                <w:szCs w:val="21"/>
                <w:lang w:eastAsia="zh-CN"/>
              </w:rPr>
              <w:t>铜</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0"/>
                <w:w w:val="100"/>
                <w:sz w:val="21"/>
                <w:szCs w:val="21"/>
                <w:lang w:val="en-US" w:eastAsia="zh-CN"/>
              </w:rPr>
            </w:pPr>
            <w:r>
              <w:rPr>
                <w:rFonts w:hint="eastAsia"/>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0"/>
                <w:w w:val="100"/>
                <w:sz w:val="21"/>
                <w:szCs w:val="21"/>
                <w:lang w:val="en-US" w:eastAsia="zh-CN"/>
              </w:rPr>
            </w:pPr>
            <w:r>
              <w:rPr>
                <w:rFonts w:hint="eastAsia" w:ascii="Times New Roman" w:hAnsi="Times New Roman"/>
                <w:spacing w:val="0"/>
                <w:w w:val="100"/>
                <w:sz w:val="21"/>
                <w:szCs w:val="21"/>
                <w:lang w:val="en-US" w:eastAsia="zh-CN"/>
              </w:rPr>
              <w:t>25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0"/>
                <w:w w:val="100"/>
                <w:sz w:val="21"/>
                <w:szCs w:val="21"/>
                <w:lang w:eastAsia="zh-CN"/>
              </w:rPr>
            </w:pPr>
            <w:r>
              <w:rPr>
                <w:rFonts w:hint="eastAsia"/>
                <w:spacing w:val="0"/>
                <w:w w:val="100"/>
                <w:sz w:val="21"/>
                <w:szCs w:val="21"/>
                <w:lang w:eastAsia="zh-CN"/>
              </w:rPr>
              <w:t>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0"/>
                <w:w w:val="100"/>
                <w:sz w:val="21"/>
                <w:szCs w:val="21"/>
                <w:lang w:val="en-US" w:eastAsia="zh-CN"/>
              </w:rPr>
            </w:pPr>
            <w:r>
              <w:rPr>
                <w:rFonts w:hint="eastAsia"/>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pacing w:val="0"/>
                <w:w w:val="100"/>
                <w:sz w:val="21"/>
                <w:szCs w:val="21"/>
                <w:lang w:val="en-US" w:eastAsia="zh-CN"/>
              </w:rPr>
            </w:pP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w:t>
            </w:r>
            <w:r>
              <w:rPr>
                <w:rFonts w:hint="eastAsia"/>
                <w:color w:val="auto"/>
                <w:spacing w:val="0"/>
                <w:w w:val="100"/>
                <w:sz w:val="21"/>
                <w:szCs w:val="21"/>
                <w:lang w:val="en-US" w:eastAsia="zh-CN"/>
              </w:rPr>
              <w:t>.</w:t>
            </w:r>
            <w:r>
              <w:rPr>
                <w:rFonts w:hint="eastAsia" w:ascii="Times New Roman" w:hAnsi="Times New Roman"/>
                <w:color w:val="auto"/>
                <w:spacing w:val="0"/>
                <w:w w:val="100"/>
                <w:sz w:val="21"/>
                <w:szCs w:val="21"/>
                <w:lang w:val="en-US" w:eastAsia="zh-CN"/>
              </w:rPr>
              <w:t>05</w:t>
            </w:r>
          </w:p>
        </w:tc>
      </w:tr>
    </w:tbl>
    <w:p>
      <w:pPr>
        <w:bidi w:val="0"/>
        <w:rPr>
          <w:rFonts w:hint="default"/>
          <w:lang w:val="en-US" w:eastAsia="zh-CN"/>
        </w:rPr>
      </w:pPr>
      <w:r>
        <w:rPr>
          <w:rFonts w:hint="eastAsia"/>
          <w:lang w:val="en-US" w:eastAsia="zh-CN"/>
        </w:rPr>
        <w:t>由表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可知，区域地下水水质中，各项污染物指标能满足《地下水质量标准》（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T14848</w:t>
      </w:r>
      <w:r>
        <w:rPr>
          <w:rFonts w:hint="eastAsia"/>
          <w:lang w:val="en-US" w:eastAsia="zh-CN"/>
        </w:rPr>
        <w:t>-</w:t>
      </w:r>
      <w:r>
        <w:rPr>
          <w:rFonts w:hint="eastAsia" w:ascii="Times New Roman" w:hAnsi="Times New Roman"/>
          <w:lang w:val="en-US" w:eastAsia="zh-CN"/>
        </w:rPr>
        <w:t>2017</w:t>
      </w:r>
      <w:r>
        <w:rPr>
          <w:rFonts w:hint="eastAsia"/>
          <w:lang w:val="en-US" w:eastAsia="zh-CN"/>
        </w:rPr>
        <w:t>）Ⅲ类标准要求</w:t>
      </w:r>
    </w:p>
    <w:p>
      <w:pPr>
        <w:pStyle w:val="5"/>
        <w:spacing w:before="169"/>
      </w:pP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rPr>
        <w:t>声环境质量现状</w:t>
      </w:r>
      <w:r>
        <w:rPr>
          <w:rFonts w:hint="eastAsia"/>
          <w:lang w:eastAsia="zh-CN"/>
        </w:rPr>
        <w:t>调查</w:t>
      </w:r>
      <w:r>
        <w:rPr>
          <w:rFonts w:hint="eastAsia"/>
        </w:rPr>
        <w:t>与评价</w:t>
      </w:r>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）监测因子与监测点位</w:t>
      </w:r>
    </w:p>
    <w:p>
      <w:pPr>
        <w:bidi w:val="0"/>
      </w:pPr>
      <w:r>
        <w:rPr>
          <w:rFonts w:hint="eastAsia"/>
          <w:lang w:eastAsia="zh-CN"/>
        </w:rPr>
        <w:t>本次声环境质量现状评价引用</w:t>
      </w:r>
      <w:r>
        <w:rPr>
          <w:rFonts w:hint="eastAsia" w:ascii="Times New Roman" w:hAnsi="Times New Roman"/>
          <w:lang w:val="en-US" w:eastAsia="zh-CN"/>
        </w:rPr>
        <w:t>2023</w:t>
      </w:r>
      <w:r>
        <w:rPr>
          <w:rFonts w:hint="eastAsia"/>
          <w:lang w:val="en-US" w:eastAsia="zh-CN"/>
        </w:rPr>
        <w:t>年第二季度建设单位厂界噪声监测数据。</w:t>
      </w:r>
      <w:r>
        <w:rPr>
          <w:rFonts w:hint="eastAsia"/>
          <w:lang w:eastAsia="zh-CN"/>
        </w:rPr>
        <w:t>新疆卓凯新环境科技</w:t>
      </w:r>
      <w:r>
        <w:rPr>
          <w:rFonts w:hint="default" w:ascii="Times New Roman" w:hAnsi="Times New Roman" w:cs="Times New Roman"/>
          <w:color w:val="000000"/>
          <w:szCs w:val="22"/>
        </w:rPr>
        <w:t>有限公司</w:t>
      </w:r>
      <w:r>
        <w:rPr>
          <w:rFonts w:hint="eastAsia" w:ascii="Times New Roman" w:hAnsi="Times New Roman" w:cs="Times New Roman"/>
          <w:color w:val="000000"/>
          <w:szCs w:val="22"/>
          <w:lang w:eastAsia="zh-CN"/>
        </w:rPr>
        <w:t>于</w:t>
      </w:r>
      <w:r>
        <w:rPr>
          <w:rFonts w:hint="default" w:ascii="Times New Roman" w:hAnsi="Times New Roman" w:cs="Times New Roman"/>
          <w:color w:val="000000"/>
          <w:szCs w:val="22"/>
        </w:rPr>
        <w:t>202</w:t>
      </w:r>
      <w:r>
        <w:rPr>
          <w:rFonts w:hint="eastAsia" w:ascii="Times New Roman" w:hAnsi="Times New Roman" w:cs="Times New Roman"/>
          <w:color w:val="000000"/>
          <w:szCs w:val="22"/>
          <w:lang w:val="en-US" w:eastAsia="zh-CN"/>
        </w:rPr>
        <w:t>3</w:t>
      </w:r>
      <w:r>
        <w:rPr>
          <w:rFonts w:hint="default" w:ascii="Times New Roman" w:hAnsi="Times New Roman" w:cs="Times New Roman"/>
          <w:color w:val="000000"/>
          <w:szCs w:val="22"/>
        </w:rPr>
        <w:t>年</w:t>
      </w:r>
      <w:r>
        <w:rPr>
          <w:rFonts w:hint="eastAsia" w:ascii="Times New Roman" w:hAnsi="Times New Roman" w:cs="Times New Roman"/>
          <w:color w:val="000000"/>
          <w:szCs w:val="22"/>
          <w:lang w:val="en-US" w:eastAsia="zh-CN"/>
        </w:rPr>
        <w:t>5</w:t>
      </w:r>
      <w:r>
        <w:rPr>
          <w:rFonts w:hint="default" w:ascii="Times New Roman" w:hAnsi="Times New Roman" w:cs="Times New Roman"/>
          <w:color w:val="000000"/>
          <w:szCs w:val="22"/>
        </w:rPr>
        <w:t>月</w:t>
      </w:r>
      <w:r>
        <w:rPr>
          <w:rFonts w:hint="eastAsia" w:ascii="Times New Roman" w:hAnsi="Times New Roman" w:cs="Times New Roman"/>
          <w:color w:val="000000"/>
          <w:szCs w:val="22"/>
          <w:lang w:val="en-US" w:eastAsia="zh-CN"/>
        </w:rPr>
        <w:t>16</w:t>
      </w:r>
      <w:r>
        <w:rPr>
          <w:rFonts w:hint="default" w:ascii="Times New Roman" w:hAnsi="Times New Roman" w:cs="Times New Roman"/>
          <w:color w:val="000000"/>
          <w:szCs w:val="22"/>
        </w:rPr>
        <w:t>日</w:t>
      </w:r>
      <w:r>
        <w:rPr>
          <w:rFonts w:hint="eastAsia" w:ascii="Times New Roman" w:hAnsi="Times New Roman" w:cs="Times New Roman"/>
          <w:color w:val="000000"/>
          <w:szCs w:val="22"/>
          <w:lang w:eastAsia="zh-CN"/>
        </w:rPr>
        <w:t>对厂界周边开展了声环境质量现状监测。监测因子为昼间等效</w:t>
      </w:r>
      <w:r>
        <w:rPr>
          <w:rFonts w:hint="eastAsia" w:ascii="Times New Roman" w:hAnsi="Times New Roman" w:cs="Times New Roman"/>
          <w:color w:val="000000"/>
          <w:szCs w:val="22"/>
          <w:lang w:val="en-US" w:eastAsia="zh-CN"/>
        </w:rPr>
        <w:t>A</w:t>
      </w:r>
      <w:r>
        <w:rPr>
          <w:rFonts w:hint="eastAsia" w:ascii="Times New Roman" w:hAnsi="Times New Roman" w:cs="Times New Roman"/>
          <w:color w:val="000000"/>
          <w:szCs w:val="22"/>
          <w:lang w:val="en-US" w:eastAsia="zh-CN"/>
        </w:rPr>
        <w:t>声级（</w:t>
      </w:r>
      <w:r>
        <w:rPr>
          <w:rFonts w:hint="eastAsia" w:ascii="Times New Roman" w:hAnsi="Times New Roman" w:cs="Times New Roman"/>
          <w:color w:val="000000"/>
          <w:szCs w:val="22"/>
          <w:lang w:val="en-US" w:eastAsia="zh-CN"/>
        </w:rPr>
        <w:t>Ld</w:t>
      </w:r>
      <w:r>
        <w:rPr>
          <w:rFonts w:hint="eastAsia" w:ascii="Times New Roman" w:hAnsi="Times New Roman" w:cs="Times New Roman"/>
          <w:color w:val="000000"/>
          <w:szCs w:val="22"/>
          <w:lang w:val="en-US" w:eastAsia="zh-CN"/>
        </w:rPr>
        <w:t>）、夜间等效</w:t>
      </w:r>
      <w:r>
        <w:rPr>
          <w:rFonts w:hint="eastAsia" w:ascii="Times New Roman" w:hAnsi="Times New Roman" w:cs="Times New Roman"/>
          <w:color w:val="000000"/>
          <w:szCs w:val="22"/>
          <w:lang w:val="en-US" w:eastAsia="zh-CN"/>
        </w:rPr>
        <w:t>A</w:t>
      </w:r>
      <w:r>
        <w:rPr>
          <w:rFonts w:hint="eastAsia" w:ascii="Times New Roman" w:hAnsi="Times New Roman" w:cs="Times New Roman"/>
          <w:color w:val="000000"/>
          <w:szCs w:val="22"/>
          <w:lang w:val="en-US" w:eastAsia="zh-CN"/>
        </w:rPr>
        <w:t>声级（</w:t>
      </w:r>
      <w:r>
        <w:rPr>
          <w:rFonts w:hint="eastAsia" w:ascii="Times New Roman" w:hAnsi="Times New Roman" w:cs="Times New Roman"/>
          <w:color w:val="000000"/>
          <w:szCs w:val="22"/>
          <w:lang w:val="en-US" w:eastAsia="zh-CN"/>
        </w:rPr>
        <w:t>Ln</w:t>
      </w:r>
      <w:r>
        <w:rPr>
          <w:rFonts w:hint="eastAsia" w:ascii="Times New Roman" w:hAnsi="Times New Roman" w:cs="Times New Roman"/>
          <w:color w:val="000000"/>
          <w:szCs w:val="22"/>
          <w:lang w:val="en-US" w:eastAsia="zh-CN"/>
        </w:rPr>
        <w:t>），项目厂界共设</w:t>
      </w:r>
      <w:r>
        <w:rPr>
          <w:rFonts w:hint="eastAsia" w:ascii="Times New Roman" w:hAnsi="Times New Roman" w:cs="Times New Roman"/>
          <w:color w:val="000000"/>
          <w:szCs w:val="22"/>
          <w:lang w:val="en-US" w:eastAsia="zh-CN"/>
        </w:rPr>
        <w:t>4</w:t>
      </w:r>
      <w:r>
        <w:rPr>
          <w:rFonts w:hint="eastAsia" w:ascii="Times New Roman" w:hAnsi="Times New Roman" w:cs="Times New Roman"/>
          <w:color w:val="000000"/>
          <w:szCs w:val="22"/>
          <w:lang w:val="en-US" w:eastAsia="zh-CN"/>
        </w:rPr>
        <w:t>个监测点，监测点位信息与分布情况见表</w:t>
      </w:r>
      <w:r>
        <w:rPr>
          <w:rFonts w:hint="eastAsia" w:ascii="Times New Roman" w:hAnsi="Times New Roman" w:cs="Times New Roman"/>
          <w:color w:val="000000"/>
          <w:szCs w:val="22"/>
          <w:lang w:val="en-US" w:eastAsia="zh-CN"/>
        </w:rPr>
        <w:t>5</w:t>
      </w:r>
      <w:r>
        <w:rPr>
          <w:rFonts w:hint="eastAsia" w:ascii="Times New Roman" w:hAnsi="Times New Roman" w:cs="Times New Roman"/>
          <w:color w:val="000000"/>
          <w:szCs w:val="22"/>
          <w:lang w:val="en-US" w:eastAsia="zh-CN"/>
        </w:rPr>
        <w:t>.</w:t>
      </w:r>
      <w:r>
        <w:rPr>
          <w:rFonts w:hint="eastAsia" w:ascii="Times New Roman" w:hAnsi="Times New Roman" w:cs="Times New Roman"/>
          <w:color w:val="000000"/>
          <w:szCs w:val="22"/>
          <w:lang w:val="en-US" w:eastAsia="zh-CN"/>
        </w:rPr>
        <w:t>5</w:t>
      </w:r>
      <w:r>
        <w:rPr>
          <w:rFonts w:hint="eastAsia" w:ascii="Times New Roman" w:hAnsi="Times New Roman" w:cs="Times New Roman"/>
          <w:color w:val="000000"/>
          <w:szCs w:val="22"/>
          <w:lang w:val="en-US" w:eastAsia="zh-CN"/>
        </w:rPr>
        <w:t>-</w:t>
      </w:r>
      <w:r>
        <w:rPr>
          <w:rFonts w:hint="eastAsia" w:ascii="Times New Roman" w:hAnsi="Times New Roman" w:cs="Times New Roman"/>
          <w:color w:val="000000"/>
          <w:szCs w:val="22"/>
          <w:lang w:val="en-US" w:eastAsia="zh-CN"/>
        </w:rPr>
        <w:t>6</w:t>
      </w:r>
      <w:r>
        <w:rPr>
          <w:rFonts w:hint="eastAsia" w:ascii="Times New Roman" w:hAnsi="Times New Roman" w:cs="Times New Roman"/>
          <w:color w:val="000000"/>
          <w:szCs w:val="22"/>
          <w:lang w:val="en-US" w:eastAsia="zh-CN"/>
        </w:rPr>
        <w:t>。监测资料见附件。</w:t>
      </w:r>
    </w:p>
    <w:p>
      <w:pPr>
        <w:snapToGrid w:val="0"/>
        <w:spacing w:before="169" w:beforeLines="50"/>
        <w:ind w:firstLine="420"/>
        <w:jc w:val="center"/>
        <w:rPr>
          <w:rFonts w:hint="eastAsia" w:hAnsi="宋体" w:cs="宋体"/>
          <w:b/>
          <w:bCs/>
          <w:color w:val="000000"/>
          <w:sz w:val="21"/>
          <w:szCs w:val="21"/>
        </w:rPr>
      </w:pPr>
      <w:r>
        <w:rPr>
          <w:rFonts w:hint="eastAsia" w:hAnsi="宋体" w:cs="宋体"/>
          <w:b/>
          <w:bCs/>
          <w:color w:val="000000"/>
          <w:sz w:val="21"/>
          <w:szCs w:val="21"/>
        </w:rPr>
        <w:t>表</w:t>
      </w:r>
      <w:r>
        <w:rPr>
          <w:rFonts w:hint="eastAsia" w:ascii="Times New Roman" w:hAnsi="Times New Roman"/>
          <w:b/>
          <w:bCs/>
          <w:color w:val="000000"/>
          <w:sz w:val="21"/>
          <w:szCs w:val="21"/>
          <w:lang w:val="en-US" w:eastAsia="zh-CN"/>
        </w:rPr>
        <w:t>5</w:t>
      </w:r>
      <w:r>
        <w:rPr>
          <w:rFonts w:hint="eastAsia" w:ascii="Times New Roman"/>
          <w:b/>
          <w:bCs/>
          <w:color w:val="000000"/>
          <w:sz w:val="21"/>
          <w:szCs w:val="21"/>
          <w:lang w:val="en-US" w:eastAsia="zh-CN"/>
        </w:rPr>
        <w:t>.</w:t>
      </w:r>
      <w:r>
        <w:rPr>
          <w:rFonts w:hint="eastAsia" w:ascii="Times New Roman" w:hAnsi="Times New Roman"/>
          <w:b/>
          <w:bCs/>
          <w:color w:val="000000"/>
          <w:sz w:val="21"/>
          <w:szCs w:val="21"/>
          <w:lang w:val="en-US" w:eastAsia="zh-CN"/>
        </w:rPr>
        <w:t>5</w:t>
      </w:r>
      <w:r>
        <w:rPr>
          <w:rFonts w:hint="eastAsia" w:ascii="Times New Roman"/>
          <w:b/>
          <w:bCs/>
          <w:color w:val="000000"/>
          <w:sz w:val="21"/>
          <w:szCs w:val="21"/>
          <w:lang w:val="en-US" w:eastAsia="zh-CN"/>
        </w:rPr>
        <w:t>-</w:t>
      </w:r>
      <w:r>
        <w:rPr>
          <w:rFonts w:hint="eastAsia" w:ascii="Times New Roman" w:hAnsi="Times New Roman"/>
          <w:b/>
          <w:bCs/>
          <w:color w:val="000000"/>
          <w:sz w:val="21"/>
          <w:szCs w:val="21"/>
          <w:lang w:val="en-US" w:eastAsia="zh-CN"/>
        </w:rPr>
        <w:t>6</w:t>
      </w:r>
      <w:r>
        <w:rPr>
          <w:rFonts w:hint="eastAsia" w:hAnsi="宋体" w:cs="宋体"/>
          <w:b/>
          <w:bCs/>
          <w:color w:val="000000"/>
          <w:sz w:val="21"/>
          <w:szCs w:val="21"/>
        </w:rPr>
        <w:t xml:space="preserve">  声环境现状监测及评价结果  单位：</w:t>
      </w:r>
      <w:r>
        <w:rPr>
          <w:rFonts w:hint="eastAsia" w:ascii="Times New Roman" w:hAnsi="Times New Roman"/>
          <w:b/>
          <w:bCs/>
          <w:color w:val="000000"/>
          <w:sz w:val="21"/>
          <w:szCs w:val="21"/>
        </w:rPr>
        <w:t>dB</w:t>
      </w:r>
      <w:r>
        <w:rPr>
          <w:rFonts w:hint="eastAsia" w:hAnsi="宋体" w:cs="宋体"/>
          <w:b/>
          <w:bCs/>
          <w:color w:val="000000"/>
          <w:sz w:val="21"/>
          <w:szCs w:val="21"/>
        </w:rPr>
        <w:t>(</w:t>
      </w:r>
      <w:r>
        <w:rPr>
          <w:rFonts w:hint="eastAsia" w:ascii="Times New Roman" w:hAnsi="Times New Roman"/>
          <w:b/>
          <w:bCs/>
          <w:color w:val="000000"/>
          <w:sz w:val="21"/>
          <w:szCs w:val="21"/>
        </w:rPr>
        <w:t>A</w:t>
      </w:r>
      <w:r>
        <w:rPr>
          <w:rFonts w:hint="eastAsia" w:hAnsi="宋体" w:cs="宋体"/>
          <w:b/>
          <w:bCs/>
          <w:color w:val="000000"/>
          <w:sz w:val="21"/>
          <w:szCs w:val="21"/>
        </w:rPr>
        <w:t>)</w:t>
      </w:r>
    </w:p>
    <w:tbl>
      <w:tblPr>
        <w:tblStyle w:val="8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524"/>
        <w:gridCol w:w="1525"/>
        <w:gridCol w:w="1525"/>
        <w:gridCol w:w="1527"/>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restar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序号</w:t>
            </w:r>
          </w:p>
        </w:tc>
        <w:tc>
          <w:tcPr>
            <w:tcW w:w="831" w:type="pct"/>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监测点位</w:t>
            </w:r>
          </w:p>
        </w:tc>
        <w:tc>
          <w:tcPr>
            <w:tcW w:w="832" w:type="pct"/>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方位</w:t>
            </w:r>
          </w:p>
        </w:tc>
        <w:tc>
          <w:tcPr>
            <w:tcW w:w="2505" w:type="pct"/>
            <w:gridSpan w:val="3"/>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空间相对位置/</w:t>
            </w:r>
            <w:r>
              <w:rPr>
                <w:rFonts w:hint="eastAsia" w:ascii="Times New Roman" w:hAnsi="Times New Roman"/>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p>
        </w:tc>
        <w:tc>
          <w:tcPr>
            <w:tcW w:w="83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p>
        </w:tc>
        <w:tc>
          <w:tcPr>
            <w:tcW w:w="83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X</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Y</w:t>
            </w:r>
          </w:p>
        </w:tc>
        <w:tc>
          <w:tcPr>
            <w:tcW w:w="839"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hint="eastAsia" w:ascii="Times New Roman" w:hAnsi="Times New Roman"/>
                <w:sz w:val="21"/>
                <w:szCs w:val="21"/>
                <w:vertAlign w:val="baseline"/>
                <w:lang w:val="en-US" w:eastAsia="zh-CN"/>
              </w:rPr>
              <w:t>1</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hint="eastAsia" w:ascii="Times New Roman" w:hAnsi="Times New Roman"/>
                <w:sz w:val="21"/>
                <w:szCs w:val="21"/>
                <w:vertAlign w:val="baseline"/>
                <w:lang w:val="en-US" w:eastAsia="zh-CN"/>
              </w:rPr>
              <w:t>1</w:t>
            </w:r>
            <w:r>
              <w:rPr>
                <w:rFonts w:hint="eastAsia"/>
                <w:sz w:val="21"/>
                <w:szCs w:val="21"/>
                <w:vertAlign w:val="baseline"/>
                <w:lang w:val="en-US" w:eastAsia="zh-CN"/>
              </w:rPr>
              <w:t>#监测点</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hint="eastAsia"/>
                <w:sz w:val="21"/>
                <w:szCs w:val="21"/>
                <w:vertAlign w:val="baseline"/>
                <w:lang w:val="en-US" w:eastAsia="zh-CN"/>
              </w:rPr>
              <w:t>东</w:t>
            </w:r>
          </w:p>
        </w:tc>
        <w:tc>
          <w:tcPr>
            <w:tcW w:w="15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370</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9</w:t>
            </w: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306</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9</w:t>
            </w:r>
          </w:p>
        </w:tc>
        <w:tc>
          <w:tcPr>
            <w:tcW w:w="1544"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606</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2</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2</w:t>
            </w:r>
            <w:r>
              <w:rPr>
                <w:rFonts w:hint="eastAsia"/>
                <w:sz w:val="21"/>
                <w:szCs w:val="21"/>
                <w:vertAlign w:val="baseline"/>
                <w:lang w:val="en-US" w:eastAsia="zh-CN"/>
              </w:rPr>
              <w:t>#监测点</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w:t>
            </w:r>
          </w:p>
        </w:tc>
        <w:tc>
          <w:tcPr>
            <w:tcW w:w="15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342</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8</w:t>
            </w: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591</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3</w:t>
            </w:r>
          </w:p>
        </w:tc>
        <w:tc>
          <w:tcPr>
            <w:tcW w:w="1544"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621</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3</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3</w:t>
            </w:r>
            <w:r>
              <w:rPr>
                <w:rFonts w:hint="eastAsia"/>
                <w:sz w:val="21"/>
                <w:szCs w:val="21"/>
                <w:vertAlign w:val="baseline"/>
                <w:lang w:val="en-US" w:eastAsia="zh-CN"/>
              </w:rPr>
              <w:t>#监测点</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西</w:t>
            </w:r>
          </w:p>
        </w:tc>
        <w:tc>
          <w:tcPr>
            <w:tcW w:w="15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453</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4</w:t>
            </w: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115</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1</w:t>
            </w:r>
          </w:p>
        </w:tc>
        <w:tc>
          <w:tcPr>
            <w:tcW w:w="1544"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606</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4</w:t>
            </w:r>
          </w:p>
        </w:tc>
        <w:tc>
          <w:tcPr>
            <w:tcW w:w="83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ascii="Times New Roman" w:hAnsi="Times New Roman"/>
                <w:sz w:val="21"/>
                <w:szCs w:val="21"/>
                <w:vertAlign w:val="baseline"/>
                <w:lang w:val="en-US" w:eastAsia="zh-CN"/>
              </w:rPr>
              <w:t>4</w:t>
            </w:r>
            <w:r>
              <w:rPr>
                <w:rFonts w:hint="eastAsia"/>
                <w:sz w:val="21"/>
                <w:szCs w:val="21"/>
                <w:vertAlign w:val="baseline"/>
                <w:lang w:val="en-US" w:eastAsia="zh-CN"/>
              </w:rPr>
              <w:t>#监测点</w:t>
            </w:r>
          </w:p>
        </w:tc>
        <w:tc>
          <w:tcPr>
            <w:tcW w:w="83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北</w:t>
            </w:r>
          </w:p>
        </w:tc>
        <w:tc>
          <w:tcPr>
            <w:tcW w:w="15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221</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5</w:t>
            </w:r>
          </w:p>
        </w:tc>
        <w:tc>
          <w:tcPr>
            <w:tcW w:w="15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637</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9</w:t>
            </w:r>
          </w:p>
        </w:tc>
        <w:tc>
          <w:tcPr>
            <w:tcW w:w="1544"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FF0000"/>
                <w:sz w:val="21"/>
                <w:szCs w:val="21"/>
                <w:vertAlign w:val="baseline"/>
                <w:lang w:val="en-US" w:eastAsia="zh-CN"/>
              </w:rPr>
            </w:pPr>
            <w:r>
              <w:rPr>
                <w:rFonts w:hint="eastAsia" w:ascii="Times New Roman" w:hAnsi="Times New Roman"/>
                <w:color w:val="auto"/>
                <w:sz w:val="21"/>
                <w:szCs w:val="21"/>
                <w:vertAlign w:val="baseline"/>
                <w:lang w:val="en-US" w:eastAsia="zh-CN"/>
              </w:rPr>
              <w:t>592</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注：坐标原点为项目厂界中心，东向为</w:t>
            </w:r>
            <w:r>
              <w:rPr>
                <w:rFonts w:hint="eastAsia" w:ascii="Times New Roman" w:hAnsi="Times New Roman"/>
                <w:sz w:val="21"/>
                <w:szCs w:val="21"/>
                <w:vertAlign w:val="baseline"/>
                <w:lang w:val="en-US" w:eastAsia="zh-CN"/>
              </w:rPr>
              <w:t>X</w:t>
            </w:r>
            <w:r>
              <w:rPr>
                <w:rFonts w:hint="eastAsia"/>
                <w:sz w:val="21"/>
                <w:szCs w:val="21"/>
                <w:vertAlign w:val="baseline"/>
                <w:lang w:val="en-US" w:eastAsia="zh-CN"/>
              </w:rPr>
              <w:t>轴正方向，北向为</w:t>
            </w:r>
            <w:r>
              <w:rPr>
                <w:rFonts w:hint="eastAsia" w:ascii="Times New Roman" w:hAnsi="Times New Roman"/>
                <w:sz w:val="21"/>
                <w:szCs w:val="21"/>
                <w:vertAlign w:val="baseline"/>
                <w:lang w:val="en-US" w:eastAsia="zh-CN"/>
              </w:rPr>
              <w:t>Y</w:t>
            </w:r>
            <w:r>
              <w:rPr>
                <w:rFonts w:hint="eastAsia"/>
                <w:sz w:val="21"/>
                <w:szCs w:val="21"/>
                <w:vertAlign w:val="baseline"/>
                <w:lang w:val="en-US" w:eastAsia="zh-CN"/>
              </w:rPr>
              <w:t>轴正方向</w:t>
            </w:r>
          </w:p>
        </w:tc>
      </w:tr>
    </w:tbl>
    <w:p>
      <w:pPr>
        <w:bidi w:val="0"/>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）监测时间与频次</w:t>
      </w:r>
    </w:p>
    <w:p>
      <w:pPr>
        <w:keepNext w:val="0"/>
        <w:keepLines w:val="0"/>
        <w:widowControl/>
        <w:suppressLineNumbers w:val="0"/>
        <w:jc w:val="left"/>
        <w:rPr>
          <w:rFonts w:hint="default" w:eastAsia="宋体"/>
          <w:lang w:val="en-US" w:eastAsia="zh-CN"/>
        </w:rPr>
      </w:pPr>
      <w:r>
        <w:rPr>
          <w:rFonts w:hint="eastAsia"/>
          <w:lang w:eastAsia="zh-CN"/>
        </w:rPr>
        <w:t>监测时间为</w:t>
      </w:r>
      <w:r>
        <w:rPr>
          <w:rFonts w:hint="eastAsia" w:ascii="Times New Roman" w:hAnsi="Times New Roman"/>
          <w:lang w:val="en-US" w:eastAsia="zh-CN"/>
        </w:rPr>
        <w:t>2023</w:t>
      </w:r>
      <w:r>
        <w:rPr>
          <w:rFonts w:hint="eastAsia"/>
          <w:lang w:val="en-US" w:eastAsia="zh-CN"/>
        </w:rPr>
        <w:t>年</w:t>
      </w:r>
      <w:r>
        <w:rPr>
          <w:rFonts w:hint="eastAsia" w:ascii="Times New Roman" w:hAnsi="Times New Roman"/>
          <w:lang w:val="en-US" w:eastAsia="zh-CN"/>
        </w:rPr>
        <w:t>5</w:t>
      </w:r>
      <w:r>
        <w:rPr>
          <w:rFonts w:hint="eastAsia"/>
          <w:lang w:val="en-US" w:eastAsia="zh-CN"/>
        </w:rPr>
        <w:t>月</w:t>
      </w:r>
      <w:r>
        <w:rPr>
          <w:rFonts w:hint="eastAsia" w:ascii="Times New Roman" w:hAnsi="Times New Roman"/>
          <w:lang w:val="en-US" w:eastAsia="zh-CN"/>
        </w:rPr>
        <w:t>9</w:t>
      </w:r>
      <w:r>
        <w:rPr>
          <w:rFonts w:hint="eastAsia"/>
          <w:lang w:val="en-US" w:eastAsia="zh-CN"/>
        </w:rPr>
        <w:t>日～</w:t>
      </w:r>
      <w:r>
        <w:rPr>
          <w:rFonts w:hint="eastAsia" w:ascii="Times New Roman" w:hAnsi="Times New Roman"/>
          <w:lang w:val="en-US" w:eastAsia="zh-CN"/>
        </w:rPr>
        <w:t>10</w:t>
      </w:r>
      <w:r>
        <w:rPr>
          <w:rFonts w:hint="eastAsia"/>
          <w:lang w:val="en-US" w:eastAsia="zh-CN"/>
        </w:rPr>
        <w:t>日，连续监测</w:t>
      </w:r>
      <w:r>
        <w:rPr>
          <w:rFonts w:hint="eastAsia" w:ascii="Times New Roman" w:hAnsi="Times New Roman"/>
          <w:lang w:val="en-US" w:eastAsia="zh-CN"/>
        </w:rPr>
        <w:t>1</w:t>
      </w:r>
      <w:r>
        <w:rPr>
          <w:rFonts w:hint="eastAsia"/>
          <w:lang w:val="en-US" w:eastAsia="zh-CN"/>
        </w:rPr>
        <w:t>天，昼夜各一次。</w:t>
      </w:r>
    </w:p>
    <w:p>
      <w:pPr>
        <w:keepNext w:val="0"/>
        <w:keepLines w:val="0"/>
        <w:widowControl/>
        <w:suppressLineNumbers w:val="0"/>
        <w:jc w:val="left"/>
        <w:rPr>
          <w:rFonts w:hint="eastAsia" w:eastAsia="宋体"/>
          <w:lang w:eastAsia="zh-CN"/>
        </w:rPr>
      </w:pPr>
      <w:r>
        <w:rPr>
          <w:rFonts w:hint="eastAsia"/>
          <w:lang w:eastAsia="zh-CN"/>
        </w:rPr>
        <w:t>（</w:t>
      </w:r>
      <w:r>
        <w:rPr>
          <w:rFonts w:hint="eastAsia" w:ascii="Times New Roman" w:hAnsi="Times New Roman"/>
          <w:lang w:val="en-US" w:eastAsia="zh-CN"/>
        </w:rPr>
        <w:t>3</w:t>
      </w:r>
      <w:r>
        <w:rPr>
          <w:rFonts w:hint="eastAsia"/>
          <w:lang w:eastAsia="zh-CN"/>
        </w:rPr>
        <w:t>）评价标准</w:t>
      </w:r>
    </w:p>
    <w:p>
      <w:pPr>
        <w:bidi w:val="0"/>
        <w:rPr>
          <w:rFonts w:hint="default" w:eastAsia="宋体"/>
          <w:lang w:val="en-US" w:eastAsia="zh-CN"/>
        </w:rPr>
      </w:pPr>
      <w:r>
        <w:rPr>
          <w:rFonts w:hint="eastAsia"/>
          <w:lang w:eastAsia="zh-CN"/>
        </w:rPr>
        <w:t>项目执行《声环境质量标准》（</w:t>
      </w:r>
      <w:r>
        <w:rPr>
          <w:rFonts w:hint="eastAsia" w:ascii="Times New Roman" w:hAnsi="Times New Roman"/>
          <w:lang w:val="en-US" w:eastAsia="zh-CN"/>
        </w:rPr>
        <w:t>GB3096</w:t>
      </w:r>
      <w:r>
        <w:rPr>
          <w:rFonts w:hint="eastAsia"/>
          <w:lang w:val="en-US" w:eastAsia="zh-CN"/>
        </w:rPr>
        <w:t>-</w:t>
      </w:r>
      <w:r>
        <w:rPr>
          <w:rFonts w:hint="eastAsia" w:ascii="Times New Roman" w:hAnsi="Times New Roman"/>
          <w:lang w:val="en-US" w:eastAsia="zh-CN"/>
        </w:rPr>
        <w:t>2008</w:t>
      </w:r>
      <w:r>
        <w:rPr>
          <w:rFonts w:hint="eastAsia"/>
          <w:lang w:eastAsia="zh-CN"/>
        </w:rPr>
        <w:t>）</w:t>
      </w:r>
      <w:r>
        <w:rPr>
          <w:rFonts w:hint="eastAsia" w:ascii="Times New Roman" w:hAnsi="Times New Roman"/>
          <w:lang w:val="en-US" w:eastAsia="zh-CN"/>
        </w:rPr>
        <w:t>3</w:t>
      </w:r>
      <w:r>
        <w:rPr>
          <w:rFonts w:hint="eastAsia"/>
          <w:lang w:val="en-US" w:eastAsia="zh-CN"/>
        </w:rPr>
        <w:t>类标准，具体标准值见表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7</w:t>
      </w:r>
      <w:r>
        <w:rPr>
          <w:rFonts w:hint="eastAsia"/>
          <w:lang w:val="en-US" w:eastAsia="zh-CN"/>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7</w:t>
      </w:r>
      <w:r>
        <w:rPr>
          <w:rFonts w:hint="eastAsia"/>
          <w:lang w:val="en-US" w:eastAsia="zh-CN"/>
        </w:rPr>
        <w:t xml:space="preserve">  声环境质量标准  单位：</w:t>
      </w:r>
      <w:r>
        <w:rPr>
          <w:rFonts w:hint="eastAsia" w:ascii="Times New Roman" w:hAnsi="Times New Roman"/>
          <w:lang w:val="en-US" w:eastAsia="zh-CN"/>
        </w:rPr>
        <w:t>dB</w:t>
      </w:r>
      <w:r>
        <w:rPr>
          <w:rFonts w:hint="eastAsia"/>
          <w:lang w:val="en-US" w:eastAsia="zh-CN"/>
        </w:rPr>
        <w:t>（</w:t>
      </w:r>
      <w:r>
        <w:rPr>
          <w:rFonts w:hint="eastAsia" w:ascii="Times New Roman" w:hAnsi="Times New Roman"/>
          <w:lang w:val="en-US" w:eastAsia="zh-CN"/>
        </w:rPr>
        <w:t>A</w:t>
      </w:r>
      <w:r>
        <w:rPr>
          <w:rFonts w:hint="eastAsia"/>
          <w:lang w:val="en-US" w:eastAsia="zh-CN"/>
        </w:rPr>
        <w:t>）</w:t>
      </w:r>
    </w:p>
    <w:tbl>
      <w:tblPr>
        <w:tblStyle w:val="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6"/>
        <w:gridCol w:w="3057"/>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sz w:val="21"/>
                <w:szCs w:val="16"/>
                <w:vertAlign w:val="baseline"/>
                <w:lang w:val="en-US" w:eastAsia="zh-CN"/>
              </w:rPr>
              <w:t>声环境功能区类别</w:t>
            </w:r>
          </w:p>
        </w:tc>
        <w:tc>
          <w:tcPr>
            <w:tcW w:w="3333" w:type="pct"/>
            <w:gridSpan w:val="2"/>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sz w:val="21"/>
                <w:szCs w:val="16"/>
                <w:vertAlign w:val="baseline"/>
                <w:lang w:val="en-US" w:eastAsia="zh-CN"/>
              </w:rPr>
              <w:t>环境噪声限值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p>
        </w:tc>
        <w:tc>
          <w:tcPr>
            <w:tcW w:w="166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sz w:val="21"/>
                <w:szCs w:val="16"/>
                <w:vertAlign w:val="baseline"/>
                <w:lang w:val="en-US" w:eastAsia="zh-CN"/>
              </w:rPr>
              <w:t>昼间</w:t>
            </w:r>
          </w:p>
        </w:tc>
        <w:tc>
          <w:tcPr>
            <w:tcW w:w="1666"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sz w:val="21"/>
                <w:szCs w:val="16"/>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3</w:t>
            </w:r>
            <w:r>
              <w:rPr>
                <w:rFonts w:hint="eastAsia"/>
                <w:sz w:val="21"/>
                <w:szCs w:val="16"/>
                <w:vertAlign w:val="baseline"/>
                <w:lang w:val="en-US" w:eastAsia="zh-CN"/>
              </w:rPr>
              <w:t>类</w:t>
            </w:r>
          </w:p>
        </w:tc>
        <w:tc>
          <w:tcPr>
            <w:tcW w:w="1666"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65</w:t>
            </w:r>
          </w:p>
        </w:tc>
        <w:tc>
          <w:tcPr>
            <w:tcW w:w="1666"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16"/>
                <w:vertAlign w:val="baseline"/>
                <w:lang w:val="en-US" w:eastAsia="zh-CN"/>
              </w:rPr>
            </w:pPr>
            <w:r>
              <w:rPr>
                <w:rFonts w:hint="eastAsia" w:ascii="Times New Roman" w:hAnsi="Times New Roman"/>
                <w:sz w:val="21"/>
                <w:szCs w:val="16"/>
                <w:vertAlign w:val="baseline"/>
                <w:lang w:val="en-US" w:eastAsia="zh-CN"/>
              </w:rPr>
              <w:t>55</w:t>
            </w:r>
          </w:p>
        </w:tc>
      </w:tr>
    </w:tbl>
    <w:p>
      <w:pPr>
        <w:bidi w:val="0"/>
        <w:rPr>
          <w:rFonts w:hint="eastAsia" w:eastAsia="宋体"/>
          <w:lang w:eastAsia="zh-CN"/>
        </w:rPr>
      </w:pPr>
      <w:r>
        <w:rPr>
          <w:rFonts w:hint="eastAsia"/>
          <w:lang w:eastAsia="zh-CN"/>
        </w:rPr>
        <w:t>（</w:t>
      </w:r>
      <w:r>
        <w:rPr>
          <w:rFonts w:hint="eastAsia" w:ascii="Times New Roman" w:hAnsi="Times New Roman"/>
          <w:lang w:val="en-US" w:eastAsia="zh-CN"/>
        </w:rPr>
        <w:t>4</w:t>
      </w:r>
      <w:r>
        <w:rPr>
          <w:rFonts w:hint="eastAsia"/>
          <w:lang w:eastAsia="zh-CN"/>
        </w:rPr>
        <w:t>）监测结果统计与评价</w:t>
      </w:r>
    </w:p>
    <w:p>
      <w:pPr>
        <w:bidi w:val="0"/>
        <w:rPr>
          <w:rFonts w:hint="eastAsia"/>
        </w:rPr>
      </w:pPr>
      <w:r>
        <w:rPr>
          <w:rFonts w:hint="default"/>
          <w:lang w:val="en-US" w:eastAsia="zh-CN"/>
        </w:rPr>
        <w:t>监测数据统计结果见表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8</w:t>
      </w:r>
      <w:r>
        <w:rPr>
          <w:rFonts w:hint="default"/>
          <w:lang w:val="en-US" w:eastAsia="zh-CN"/>
        </w:rPr>
        <w:t>。</w:t>
      </w:r>
    </w:p>
    <w:p>
      <w:pPr>
        <w:pStyle w:val="20"/>
        <w:bidi w:val="0"/>
      </w:pPr>
      <w:r>
        <w:rPr>
          <w:rFonts w:hint="default"/>
          <w:lang w:val="en-US" w:eastAsia="zh-CN"/>
        </w:rPr>
        <w:t>表</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8</w:t>
      </w:r>
      <w:r>
        <w:rPr>
          <w:rFonts w:hint="eastAsia"/>
          <w:lang w:val="en-US" w:eastAsia="zh-CN"/>
        </w:rPr>
        <w:t xml:space="preserve">  </w:t>
      </w:r>
      <w:r>
        <w:rPr>
          <w:rFonts w:hint="default"/>
          <w:lang w:val="en-US" w:eastAsia="zh-CN"/>
        </w:rPr>
        <w:t>噪声监测数据统计</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1"/>
        <w:gridCol w:w="2819"/>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pct"/>
            <w:vMerge w:val="restar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监测点位</w:t>
            </w:r>
          </w:p>
        </w:tc>
        <w:tc>
          <w:tcPr>
            <w:tcW w:w="3074" w:type="pct"/>
            <w:gridSpan w:val="2"/>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r>
              <w:rPr>
                <w:rFonts w:hint="eastAsia"/>
                <w:sz w:val="21"/>
                <w:szCs w:val="21"/>
                <w:vertAlign w:val="baseline"/>
                <w:lang w:eastAsia="zh-CN"/>
              </w:rPr>
              <w:t>监测结果（</w:t>
            </w:r>
            <w:r>
              <w:rPr>
                <w:rFonts w:hint="eastAsia" w:ascii="Times New Roman" w:hAnsi="Times New Roman"/>
                <w:sz w:val="21"/>
                <w:szCs w:val="21"/>
                <w:vertAlign w:val="baseline"/>
                <w:lang w:val="en-US" w:eastAsia="zh-CN"/>
              </w:rPr>
              <w:t>dB</w:t>
            </w:r>
            <w:r>
              <w:rPr>
                <w:rFonts w:hint="eastAsia"/>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vertAlign w:val="baseline"/>
              </w:rPr>
            </w:pPr>
          </w:p>
        </w:tc>
        <w:tc>
          <w:tcPr>
            <w:tcW w:w="153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昼间</w:t>
            </w:r>
          </w:p>
        </w:tc>
        <w:tc>
          <w:tcPr>
            <w:tcW w:w="1537"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厂界东</w:t>
            </w:r>
          </w:p>
        </w:tc>
        <w:tc>
          <w:tcPr>
            <w:tcW w:w="153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1537"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厂界南</w:t>
            </w:r>
          </w:p>
        </w:tc>
        <w:tc>
          <w:tcPr>
            <w:tcW w:w="153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1537"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厂界西</w:t>
            </w:r>
          </w:p>
        </w:tc>
        <w:tc>
          <w:tcPr>
            <w:tcW w:w="153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1537"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厂界北</w:t>
            </w:r>
          </w:p>
        </w:tc>
        <w:tc>
          <w:tcPr>
            <w:tcW w:w="1537"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57</w:t>
            </w:r>
          </w:p>
        </w:tc>
        <w:tc>
          <w:tcPr>
            <w:tcW w:w="1537"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45</w:t>
            </w:r>
          </w:p>
        </w:tc>
      </w:tr>
    </w:tbl>
    <w:p>
      <w:pPr>
        <w:ind w:firstLine="480"/>
        <w:rPr>
          <w:szCs w:val="24"/>
        </w:rPr>
      </w:pPr>
      <w:r>
        <w:rPr>
          <w:rFonts w:hAnsi="宋体"/>
          <w:color w:val="000000"/>
          <w:szCs w:val="24"/>
        </w:rPr>
        <w:t>本项目</w:t>
      </w:r>
      <w:r>
        <w:rPr>
          <w:rFonts w:hAnsi="宋体"/>
          <w:szCs w:val="24"/>
        </w:rPr>
        <w:t>厂界噪声监测值昼间为</w:t>
      </w:r>
      <w:r>
        <w:rPr>
          <w:rFonts w:hint="eastAsia" w:ascii="Times New Roman" w:hAnsi="Times New Roman"/>
          <w:szCs w:val="24"/>
          <w:lang w:val="en-US" w:eastAsia="zh-CN"/>
        </w:rPr>
        <w:t>54</w:t>
      </w:r>
      <w:r>
        <w:rPr>
          <w:rFonts w:ascii="Times New Roman" w:hAnsi="Times New Roman"/>
          <w:szCs w:val="24"/>
        </w:rPr>
        <w:t>dB</w:t>
      </w:r>
      <w:r>
        <w:rPr>
          <w:szCs w:val="24"/>
        </w:rPr>
        <w:t>(</w:t>
      </w:r>
      <w:r>
        <w:rPr>
          <w:rFonts w:ascii="Times New Roman" w:hAnsi="Times New Roman"/>
          <w:szCs w:val="24"/>
        </w:rPr>
        <w:t>A</w:t>
      </w:r>
      <w:r>
        <w:rPr>
          <w:szCs w:val="24"/>
        </w:rPr>
        <w:t>)</w:t>
      </w:r>
      <w:r>
        <w:rPr>
          <w:rFonts w:hint="eastAsia" w:hAnsi="宋体"/>
          <w:szCs w:val="24"/>
        </w:rPr>
        <w:t>～</w:t>
      </w:r>
      <w:r>
        <w:rPr>
          <w:rFonts w:hint="eastAsia" w:ascii="Times New Roman" w:hAnsi="Times New Roman"/>
          <w:szCs w:val="24"/>
          <w:lang w:val="en-US" w:eastAsia="zh-CN"/>
        </w:rPr>
        <w:t>57</w:t>
      </w:r>
      <w:r>
        <w:rPr>
          <w:rFonts w:ascii="Times New Roman" w:hAnsi="Times New Roman"/>
          <w:szCs w:val="24"/>
        </w:rPr>
        <w:t>dB</w:t>
      </w:r>
      <w:r>
        <w:rPr>
          <w:szCs w:val="24"/>
        </w:rPr>
        <w:t>(</w:t>
      </w:r>
      <w:r>
        <w:rPr>
          <w:rFonts w:ascii="Times New Roman" w:hAnsi="Times New Roman"/>
          <w:szCs w:val="24"/>
        </w:rPr>
        <w:t>A</w:t>
      </w:r>
      <w:r>
        <w:rPr>
          <w:szCs w:val="24"/>
        </w:rPr>
        <w:t>)</w:t>
      </w:r>
      <w:r>
        <w:rPr>
          <w:rFonts w:hint="eastAsia" w:hAnsi="宋体"/>
          <w:szCs w:val="24"/>
        </w:rPr>
        <w:t>，</w:t>
      </w:r>
      <w:r>
        <w:rPr>
          <w:rFonts w:hAnsi="宋体"/>
          <w:szCs w:val="24"/>
        </w:rPr>
        <w:t>夜间为</w:t>
      </w:r>
      <w:r>
        <w:rPr>
          <w:rFonts w:hint="eastAsia" w:ascii="Times New Roman" w:hAnsi="Times New Roman"/>
          <w:szCs w:val="24"/>
          <w:lang w:val="en-US" w:eastAsia="zh-CN"/>
        </w:rPr>
        <w:t>45</w:t>
      </w:r>
      <w:r>
        <w:rPr>
          <w:rFonts w:ascii="Times New Roman" w:hAnsi="Times New Roman"/>
          <w:szCs w:val="24"/>
        </w:rPr>
        <w:t>dB</w:t>
      </w:r>
      <w:r>
        <w:rPr>
          <w:szCs w:val="24"/>
        </w:rPr>
        <w:t>(</w:t>
      </w:r>
      <w:r>
        <w:rPr>
          <w:rFonts w:ascii="Times New Roman" w:hAnsi="Times New Roman"/>
          <w:szCs w:val="24"/>
        </w:rPr>
        <w:t>A</w:t>
      </w:r>
      <w:r>
        <w:rPr>
          <w:szCs w:val="24"/>
        </w:rPr>
        <w:t>)</w:t>
      </w:r>
      <w:r>
        <w:rPr>
          <w:rFonts w:hint="eastAsia" w:hAnsi="宋体"/>
          <w:szCs w:val="24"/>
        </w:rPr>
        <w:t>～</w:t>
      </w:r>
      <w:r>
        <w:rPr>
          <w:rFonts w:hint="eastAsia" w:ascii="Times New Roman" w:hAnsi="Times New Roman"/>
          <w:szCs w:val="24"/>
        </w:rPr>
        <w:t>4</w:t>
      </w:r>
      <w:r>
        <w:rPr>
          <w:rFonts w:hint="eastAsia" w:ascii="Times New Roman" w:hAnsi="Times New Roman"/>
          <w:szCs w:val="24"/>
          <w:lang w:val="en-US" w:eastAsia="zh-CN"/>
        </w:rPr>
        <w:t>8</w:t>
      </w:r>
      <w:r>
        <w:rPr>
          <w:rFonts w:ascii="Times New Roman" w:hAnsi="Times New Roman"/>
          <w:szCs w:val="24"/>
        </w:rPr>
        <w:t>dB</w:t>
      </w:r>
      <w:r>
        <w:rPr>
          <w:szCs w:val="24"/>
        </w:rPr>
        <w:t>(</w:t>
      </w:r>
      <w:r>
        <w:rPr>
          <w:rFonts w:ascii="Times New Roman" w:hAnsi="Times New Roman"/>
          <w:szCs w:val="24"/>
        </w:rPr>
        <w:t>A</w:t>
      </w:r>
      <w:r>
        <w:rPr>
          <w:szCs w:val="24"/>
        </w:rPr>
        <w:t>)</w:t>
      </w:r>
      <w:r>
        <w:rPr>
          <w:rFonts w:hAnsi="宋体"/>
          <w:szCs w:val="24"/>
        </w:rPr>
        <w:t>，满足《声环境质量标准》（</w:t>
      </w:r>
      <w:r>
        <w:rPr>
          <w:rFonts w:ascii="Times New Roman" w:hAnsi="Times New Roman"/>
          <w:szCs w:val="24"/>
        </w:rPr>
        <w:t>GB3096</w:t>
      </w:r>
      <w:r>
        <w:rPr>
          <w:szCs w:val="24"/>
        </w:rPr>
        <w:t>-</w:t>
      </w:r>
      <w:r>
        <w:rPr>
          <w:rFonts w:ascii="Times New Roman" w:hAnsi="Times New Roman"/>
          <w:szCs w:val="24"/>
        </w:rPr>
        <w:t>2008</w:t>
      </w:r>
      <w:r>
        <w:rPr>
          <w:rFonts w:hAnsi="宋体"/>
          <w:szCs w:val="24"/>
        </w:rPr>
        <w:t>）中</w:t>
      </w:r>
      <w:r>
        <w:rPr>
          <w:rFonts w:ascii="Times New Roman" w:hAnsi="Times New Roman"/>
          <w:szCs w:val="24"/>
        </w:rPr>
        <w:t>3</w:t>
      </w:r>
      <w:r>
        <w:rPr>
          <w:rFonts w:hAnsi="宋体"/>
          <w:szCs w:val="24"/>
        </w:rPr>
        <w:t>类区标准要求。</w:t>
      </w:r>
    </w:p>
    <w:p>
      <w:pPr>
        <w:pStyle w:val="5"/>
        <w:spacing w:before="169"/>
        <w:rPr>
          <w:rFonts w:hint="eastAsia" w:eastAsia="华文楷体"/>
          <w:lang w:eastAsia="zh-CN"/>
        </w:rPr>
      </w:pPr>
      <w:r>
        <w:rPr>
          <w:rFonts w:hint="eastAsia" w:ascii="Times New Roman" w:hAnsi="Times New Roman"/>
          <w:lang w:val="en-US" w:eastAsia="zh-CN"/>
        </w:rPr>
        <w:t>5</w:t>
      </w:r>
      <w:r>
        <w:rPr>
          <w:rFonts w:hint="eastAsia"/>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rPr>
        <w:t>土壤环境质量调查</w:t>
      </w:r>
      <w:r>
        <w:rPr>
          <w:rFonts w:hint="eastAsia"/>
          <w:lang w:eastAsia="zh-CN"/>
        </w:rPr>
        <w:t>与评价</w:t>
      </w:r>
    </w:p>
    <w:p>
      <w:r>
        <w:rPr>
          <w:rFonts w:hint="eastAsia" w:ascii="Times New Roman" w:cs="宋体"/>
          <w:kern w:val="2"/>
          <w:szCs w:val="22"/>
          <w:lang w:bidi="ar"/>
        </w:rPr>
        <w:t>（</w:t>
      </w:r>
      <w:r>
        <w:rPr>
          <w:rFonts w:ascii="Times New Roman" w:hAnsi="Times New Roman"/>
          <w:kern w:val="2"/>
          <w:szCs w:val="22"/>
          <w:lang w:bidi="ar"/>
        </w:rPr>
        <w:t>1</w:t>
      </w:r>
      <w:r>
        <w:rPr>
          <w:rFonts w:hint="eastAsia" w:ascii="Times New Roman" w:cs="宋体"/>
          <w:kern w:val="2"/>
          <w:szCs w:val="22"/>
          <w:lang w:bidi="ar"/>
        </w:rPr>
        <w:t>）监测布点</w:t>
      </w:r>
    </w:p>
    <w:p>
      <w:pPr>
        <w:rPr>
          <w:rFonts w:hint="default" w:eastAsia="宋体"/>
          <w:lang w:val="en-US" w:eastAsia="zh-CN"/>
        </w:rPr>
      </w:pPr>
      <w:r>
        <w:rPr>
          <w:rFonts w:hint="eastAsia" w:ascii="Times New Roman" w:cs="宋体"/>
          <w:kern w:val="2"/>
          <w:szCs w:val="22"/>
          <w:lang w:eastAsia="zh-CN" w:bidi="ar"/>
        </w:rPr>
        <w:t>本项目占地范围仅</w:t>
      </w:r>
      <w:r>
        <w:rPr>
          <w:rFonts w:hint="eastAsia" w:ascii="Times New Roman" w:hAnsi="Times New Roman" w:cs="宋体"/>
          <w:kern w:val="2"/>
          <w:szCs w:val="22"/>
          <w:lang w:val="en-US" w:eastAsia="zh-CN" w:bidi="ar"/>
        </w:rPr>
        <w:t>3400</w:t>
      </w:r>
      <w:r>
        <w:rPr>
          <w:rFonts w:hint="eastAsia" w:ascii="Times New Roman" w:cs="宋体"/>
          <w:kern w:val="2"/>
          <w:szCs w:val="22"/>
          <w:lang w:val="en-US" w:eastAsia="zh-CN" w:bidi="ar"/>
        </w:rPr>
        <w:t>.</w:t>
      </w:r>
      <w:r>
        <w:rPr>
          <w:rFonts w:hint="eastAsia" w:ascii="Times New Roman" w:hAnsi="Times New Roman" w:cs="宋体"/>
          <w:kern w:val="2"/>
          <w:szCs w:val="22"/>
          <w:lang w:val="en-US" w:eastAsia="zh-CN" w:bidi="ar"/>
        </w:rPr>
        <w:t>1</w:t>
      </w:r>
      <w:r>
        <w:rPr>
          <w:rFonts w:hint="eastAsia" w:ascii="Times New Roman" w:cs="宋体"/>
          <w:kern w:val="2"/>
          <w:szCs w:val="22"/>
          <w:lang w:val="en-US" w:eastAsia="zh-CN" w:bidi="ar"/>
        </w:rPr>
        <w:t>㎡，而依托工程包括厂内动力站、危险废物贮存间、污水站等工程，因此本次土壤污染现状根据导则均布性与代表性相结合原则，</w:t>
      </w:r>
      <w:r>
        <w:rPr>
          <w:rFonts w:hint="eastAsia" w:ascii="Times New Roman" w:cs="宋体"/>
          <w:kern w:val="2"/>
          <w:szCs w:val="22"/>
          <w:lang w:eastAsia="zh-CN" w:bidi="ar"/>
        </w:rPr>
        <w:t>引用《凯赛（乌苏）生物材料有限公司年产</w:t>
      </w:r>
      <w:r>
        <w:rPr>
          <w:rFonts w:hint="eastAsia" w:ascii="Times New Roman" w:hAnsi="Times New Roman" w:cs="宋体"/>
          <w:kern w:val="2"/>
          <w:szCs w:val="22"/>
          <w:lang w:val="en-US" w:eastAsia="zh-CN" w:bidi="ar"/>
        </w:rPr>
        <w:t>10</w:t>
      </w:r>
      <w:r>
        <w:rPr>
          <w:rFonts w:hint="eastAsia" w:ascii="Times New Roman" w:cs="宋体"/>
          <w:kern w:val="2"/>
          <w:szCs w:val="22"/>
          <w:lang w:val="en-US" w:eastAsia="zh-CN" w:bidi="ar"/>
        </w:rPr>
        <w:t>万吨生物基聚酰胺项目环境影响后评价</w:t>
      </w:r>
      <w:r>
        <w:rPr>
          <w:rFonts w:hint="eastAsia" w:ascii="Times New Roman" w:cs="宋体"/>
          <w:kern w:val="2"/>
          <w:szCs w:val="22"/>
          <w:lang w:eastAsia="zh-CN" w:bidi="ar"/>
        </w:rPr>
        <w:t>》监测报告数据进行评价，该次监测采样</w:t>
      </w:r>
      <w:r>
        <w:rPr>
          <w:rFonts w:hint="eastAsia" w:ascii="Times New Roman" w:cs="宋体"/>
          <w:kern w:val="2"/>
          <w:szCs w:val="22"/>
          <w:lang w:bidi="ar"/>
        </w:rPr>
        <w:t>在厂区布设</w:t>
      </w:r>
      <w:r>
        <w:rPr>
          <w:rFonts w:hint="eastAsia" w:ascii="Times New Roman" w:hAnsi="Times New Roman"/>
          <w:kern w:val="2"/>
          <w:szCs w:val="22"/>
          <w:lang w:bidi="ar"/>
        </w:rPr>
        <w:t>3</w:t>
      </w:r>
      <w:r>
        <w:rPr>
          <w:rFonts w:hint="eastAsia" w:ascii="Times New Roman" w:cs="宋体"/>
          <w:kern w:val="2"/>
          <w:szCs w:val="22"/>
          <w:lang w:bidi="ar"/>
        </w:rPr>
        <w:t>个</w:t>
      </w:r>
      <w:r>
        <w:rPr>
          <w:rFonts w:hint="eastAsia" w:ascii="Times New Roman" w:cs="宋体"/>
          <w:kern w:val="2"/>
          <w:szCs w:val="22"/>
          <w:lang w:eastAsia="zh-CN" w:bidi="ar"/>
        </w:rPr>
        <w:t>柱状样点，</w:t>
      </w:r>
      <w:r>
        <w:rPr>
          <w:rFonts w:hint="eastAsia" w:ascii="Times New Roman" w:hAnsi="Times New Roman" w:cs="宋体"/>
          <w:kern w:val="2"/>
          <w:szCs w:val="22"/>
          <w:lang w:val="en-US" w:eastAsia="zh-CN" w:bidi="ar"/>
        </w:rPr>
        <w:t>1</w:t>
      </w:r>
      <w:r>
        <w:rPr>
          <w:rFonts w:hint="eastAsia" w:ascii="Times New Roman" w:cs="宋体"/>
          <w:kern w:val="2"/>
          <w:szCs w:val="22"/>
          <w:lang w:val="en-US" w:eastAsia="zh-CN" w:bidi="ar"/>
        </w:rPr>
        <w:t>个表层样点</w:t>
      </w:r>
      <w:r>
        <w:rPr>
          <w:rFonts w:hint="eastAsia" w:ascii="Times New Roman" w:cs="宋体"/>
          <w:kern w:val="2"/>
          <w:szCs w:val="22"/>
          <w:lang w:bidi="ar"/>
        </w:rPr>
        <w:t>，</w:t>
      </w:r>
      <w:r>
        <w:rPr>
          <w:rFonts w:hint="eastAsia" w:ascii="Times New Roman" w:cs="宋体"/>
          <w:kern w:val="2"/>
          <w:szCs w:val="22"/>
          <w:lang w:eastAsia="zh-CN" w:bidi="ar"/>
        </w:rPr>
        <w:t>占地外</w:t>
      </w:r>
      <w:r>
        <w:rPr>
          <w:rFonts w:hint="eastAsia" w:ascii="Times New Roman" w:hAnsi="Times New Roman" w:cs="宋体"/>
          <w:kern w:val="2"/>
          <w:szCs w:val="22"/>
          <w:lang w:val="en-US" w:eastAsia="zh-CN" w:bidi="ar"/>
        </w:rPr>
        <w:t>2</w:t>
      </w:r>
      <w:r>
        <w:rPr>
          <w:rFonts w:hint="eastAsia" w:ascii="Times New Roman" w:cs="宋体"/>
          <w:kern w:val="2"/>
          <w:szCs w:val="22"/>
          <w:lang w:val="en-US" w:eastAsia="zh-CN" w:bidi="ar"/>
        </w:rPr>
        <w:t>个表层样点数据，</w:t>
      </w:r>
      <w:r>
        <w:rPr>
          <w:rFonts w:hint="eastAsia" w:cs="宋体"/>
          <w:kern w:val="2"/>
          <w:szCs w:val="22"/>
          <w:lang w:bidi="ar"/>
        </w:rPr>
        <w:t>土壤采样</w:t>
      </w:r>
      <w:r>
        <w:rPr>
          <w:rFonts w:hint="eastAsia" w:cs="宋体"/>
          <w:kern w:val="2"/>
          <w:szCs w:val="22"/>
          <w:lang w:eastAsia="zh-CN" w:bidi="ar"/>
        </w:rPr>
        <w:t>和检测</w:t>
      </w:r>
      <w:r>
        <w:rPr>
          <w:rFonts w:hint="eastAsia" w:cs="宋体"/>
          <w:kern w:val="2"/>
          <w:szCs w:val="22"/>
          <w:lang w:bidi="ar"/>
        </w:rPr>
        <w:t>由新疆锡水金山环境科技有限公司负责</w:t>
      </w:r>
      <w:r>
        <w:rPr>
          <w:rFonts w:hint="eastAsia" w:cs="宋体"/>
          <w:kern w:val="2"/>
          <w:szCs w:val="22"/>
          <w:lang w:eastAsia="zh-CN" w:bidi="ar"/>
        </w:rPr>
        <w:t>，检测时间为</w:t>
      </w:r>
      <w:r>
        <w:rPr>
          <w:rFonts w:hint="eastAsia" w:ascii="Times New Roman" w:hAnsi="Times New Roman" w:cs="宋体"/>
          <w:kern w:val="2"/>
          <w:szCs w:val="22"/>
          <w:lang w:val="en-US" w:eastAsia="zh-CN" w:bidi="ar"/>
        </w:rPr>
        <w:t>2021</w:t>
      </w:r>
      <w:r>
        <w:rPr>
          <w:rFonts w:hint="eastAsia" w:cs="宋体"/>
          <w:kern w:val="2"/>
          <w:szCs w:val="22"/>
          <w:lang w:val="en-US" w:eastAsia="zh-CN" w:bidi="ar"/>
        </w:rPr>
        <w:t>年</w:t>
      </w:r>
      <w:r>
        <w:rPr>
          <w:rFonts w:hint="eastAsia" w:ascii="Times New Roman" w:hAnsi="Times New Roman" w:cs="宋体"/>
          <w:kern w:val="2"/>
          <w:szCs w:val="22"/>
          <w:lang w:val="en-US" w:eastAsia="zh-CN" w:bidi="ar"/>
        </w:rPr>
        <w:t>11</w:t>
      </w:r>
      <w:r>
        <w:rPr>
          <w:rFonts w:hint="eastAsia" w:cs="宋体"/>
          <w:kern w:val="2"/>
          <w:szCs w:val="22"/>
          <w:lang w:val="en-US" w:eastAsia="zh-CN" w:bidi="ar"/>
        </w:rPr>
        <w:t>月</w:t>
      </w:r>
      <w:r>
        <w:rPr>
          <w:rFonts w:hint="eastAsia" w:ascii="Times New Roman" w:hAnsi="Times New Roman" w:cs="宋体"/>
          <w:kern w:val="2"/>
          <w:szCs w:val="22"/>
          <w:lang w:val="en-US" w:eastAsia="zh-CN" w:bidi="ar"/>
        </w:rPr>
        <w:t>16</w:t>
      </w:r>
      <w:r>
        <w:rPr>
          <w:rFonts w:hint="eastAsia" w:cs="宋体"/>
          <w:kern w:val="2"/>
          <w:szCs w:val="22"/>
          <w:lang w:val="en-US" w:eastAsia="zh-CN" w:bidi="ar"/>
        </w:rPr>
        <w:t>日</w:t>
      </w:r>
      <w:r>
        <w:rPr>
          <w:rFonts w:hint="eastAsia" w:cs="宋体"/>
          <w:kern w:val="2"/>
          <w:szCs w:val="22"/>
          <w:lang w:eastAsia="zh-CN" w:bidi="ar"/>
        </w:rPr>
        <w:t>。</w:t>
      </w:r>
      <w:r>
        <w:rPr>
          <w:rFonts w:hint="eastAsia" w:ascii="Times New Roman" w:cs="宋体"/>
          <w:kern w:val="2"/>
          <w:szCs w:val="22"/>
          <w:lang w:bidi="ar"/>
        </w:rPr>
        <w:t>具体见表</w:t>
      </w:r>
      <w:r>
        <w:rPr>
          <w:rFonts w:hint="eastAsia" w:ascii="Times New Roman" w:hAnsi="Times New Roman"/>
          <w:kern w:val="2"/>
          <w:szCs w:val="22"/>
          <w:lang w:val="en-US" w:eastAsia="zh-CN" w:bidi="ar"/>
        </w:rPr>
        <w:t>5</w:t>
      </w:r>
      <w:r>
        <w:rPr>
          <w:rFonts w:hint="eastAsia" w:ascii="Times New Roman"/>
          <w:kern w:val="2"/>
          <w:szCs w:val="22"/>
          <w:lang w:val="en-US" w:eastAsia="zh-CN" w:bidi="ar"/>
        </w:rPr>
        <w:t>.</w:t>
      </w:r>
      <w:r>
        <w:rPr>
          <w:rFonts w:hint="eastAsia" w:ascii="Times New Roman" w:hAnsi="Times New Roman"/>
          <w:kern w:val="2"/>
          <w:szCs w:val="22"/>
          <w:lang w:val="en-US" w:eastAsia="zh-CN" w:bidi="ar"/>
        </w:rPr>
        <w:t>5</w:t>
      </w:r>
      <w:r>
        <w:rPr>
          <w:rFonts w:hint="eastAsia" w:ascii="Times New Roman"/>
          <w:kern w:val="2"/>
          <w:szCs w:val="22"/>
          <w:lang w:val="en-US" w:eastAsia="zh-CN" w:bidi="ar"/>
        </w:rPr>
        <w:t>-</w:t>
      </w:r>
      <w:r>
        <w:rPr>
          <w:rFonts w:hint="eastAsia" w:ascii="Times New Roman" w:hAnsi="Times New Roman"/>
          <w:kern w:val="2"/>
          <w:szCs w:val="22"/>
          <w:lang w:val="en-US" w:eastAsia="zh-CN" w:bidi="ar"/>
        </w:rPr>
        <w:t>9</w:t>
      </w:r>
      <w:r>
        <w:rPr>
          <w:rFonts w:hint="eastAsia" w:ascii="Times New Roman" w:cs="宋体"/>
          <w:kern w:val="2"/>
          <w:szCs w:val="22"/>
          <w:lang w:bidi="ar"/>
        </w:rPr>
        <w:t>。</w:t>
      </w:r>
      <w:r>
        <w:rPr>
          <w:rFonts w:hint="eastAsia" w:ascii="Times New Roman" w:cs="宋体"/>
          <w:kern w:val="2"/>
          <w:szCs w:val="22"/>
          <w:lang w:val="en-US" w:eastAsia="zh-CN" w:bidi="ar"/>
        </w:rPr>
        <w:t xml:space="preserve">  </w:t>
      </w:r>
    </w:p>
    <w:p>
      <w:pPr>
        <w:pStyle w:val="20"/>
        <w:spacing w:before="169"/>
        <w:rPr>
          <w:rFonts w:hint="eastAsia" w:ascii="Times New Roman" w:hAnsi="宋体" w:cs="宋体"/>
          <w:lang w:bidi="ar"/>
        </w:rPr>
      </w:pPr>
      <w:r>
        <w:rPr>
          <w:rFonts w:hint="eastAsia" w:ascii="Times New Roman" w:hAnsi="宋体" w:cs="宋体"/>
          <w:lang w:bidi="ar"/>
        </w:rPr>
        <w:t>表</w:t>
      </w:r>
      <w:r>
        <w:rPr>
          <w:rFonts w:hint="eastAsia" w:ascii="Times New Roman" w:hAnsi="Times New Roman" w:cs="宋体"/>
          <w:lang w:val="en-US" w:eastAsia="zh-CN" w:bidi="ar"/>
        </w:rPr>
        <w:t>5</w:t>
      </w:r>
      <w:r>
        <w:rPr>
          <w:rFonts w:ascii="Times New Roman" w:hAnsi="Times New Roman"/>
          <w:lang w:bidi="ar"/>
        </w:rPr>
        <w:t>.</w:t>
      </w:r>
      <w:r>
        <w:rPr>
          <w:rFonts w:hint="eastAsia" w:ascii="Times New Roman" w:hAnsi="Times New Roman"/>
          <w:lang w:val="en-US" w:eastAsia="zh-CN" w:bidi="ar"/>
        </w:rPr>
        <w:t>5</w:t>
      </w:r>
      <w:r>
        <w:rPr>
          <w:rFonts w:hint="eastAsia" w:ascii="Times New Roman" w:hAnsi="Times New Roman"/>
          <w:lang w:val="en-US" w:eastAsia="zh-CN" w:bidi="ar"/>
        </w:rPr>
        <w:t>-</w:t>
      </w:r>
      <w:r>
        <w:rPr>
          <w:rFonts w:hint="eastAsia" w:ascii="Times New Roman" w:hAnsi="Times New Roman"/>
          <w:lang w:val="en-US" w:eastAsia="zh-CN" w:bidi="ar"/>
        </w:rPr>
        <w:t>9</w:t>
      </w:r>
      <w:r>
        <w:rPr>
          <w:rFonts w:ascii="Times New Roman" w:hAnsi="Times New Roman"/>
          <w:lang w:bidi="ar"/>
        </w:rPr>
        <w:t xml:space="preserve">  </w:t>
      </w:r>
      <w:r>
        <w:rPr>
          <w:rFonts w:hint="eastAsia" w:ascii="Times New Roman" w:hAnsi="宋体" w:cs="宋体"/>
          <w:lang w:bidi="ar"/>
        </w:rPr>
        <w:t>土壤监测点位一览表</w:t>
      </w:r>
    </w:p>
    <w:tbl>
      <w:tblPr>
        <w:tblStyle w:val="80"/>
        <w:tblW w:w="8931"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714"/>
        <w:gridCol w:w="3664"/>
        <w:gridCol w:w="15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12"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hint="eastAsia"/>
                <w:sz w:val="21"/>
                <w:szCs w:val="20"/>
              </w:rPr>
              <w:t>编号</w:t>
            </w:r>
          </w:p>
        </w:tc>
        <w:tc>
          <w:tcPr>
            <w:tcW w:w="271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hint="eastAsia"/>
                <w:sz w:val="21"/>
                <w:szCs w:val="20"/>
              </w:rPr>
              <w:t>监测点位</w:t>
            </w:r>
          </w:p>
        </w:tc>
        <w:tc>
          <w:tcPr>
            <w:tcW w:w="366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坐标</w:t>
            </w:r>
          </w:p>
        </w:tc>
        <w:tc>
          <w:tcPr>
            <w:tcW w:w="1560"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0"/>
                <w:lang w:eastAsia="zh-CN"/>
              </w:rPr>
            </w:pPr>
            <w:r>
              <w:rPr>
                <w:rFonts w:hint="eastAsia"/>
                <w:sz w:val="21"/>
                <w:szCs w:val="20"/>
                <w:lang w:eastAsia="zh-CN"/>
              </w:rPr>
              <w:t>点位属性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ascii="Times New Roman" w:hAnsi="Times New Roman"/>
                <w:sz w:val="21"/>
                <w:szCs w:val="20"/>
              </w:rPr>
              <w:t>T1</w:t>
            </w:r>
          </w:p>
        </w:tc>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煤棚门口附近</w:t>
            </w:r>
          </w:p>
        </w:tc>
        <w:tc>
          <w:tcPr>
            <w:tcW w:w="3664" w:type="dxa"/>
            <w:tcBorders>
              <w:top w:val="single" w:color="auto" w:sz="4" w:space="0"/>
              <w:left w:val="single" w:color="auto" w:sz="4" w:space="0"/>
              <w:right w:val="single" w:color="auto" w:sz="4" w:space="0"/>
            </w:tcBorders>
            <w:noWrap w:val="0"/>
            <w:vAlign w:val="center"/>
          </w:tcPr>
          <w:p>
            <w:pPr>
              <w:jc w:val="center"/>
              <w:rPr>
                <w:sz w:val="21"/>
                <w:szCs w:val="20"/>
              </w:rPr>
            </w:pPr>
            <w:r>
              <w:rPr>
                <w:rFonts w:hint="default" w:ascii="Times New Roman" w:hAnsi="Times New Roman" w:cs="Times New Roman"/>
                <w:color w:val="auto"/>
                <w:spacing w:val="-6"/>
                <w:sz w:val="21"/>
                <w:szCs w:val="21"/>
                <w:highlight w:val="none"/>
                <w:lang w:val="en-US" w:eastAsia="zh-CN"/>
              </w:rPr>
              <w:t>E</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84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16</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26</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96</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lang w:val="en-US" w:eastAsia="zh-CN"/>
              </w:rPr>
              <w:t>N</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44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20</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26</w:t>
            </w:r>
            <w:r>
              <w:rPr>
                <w:rFonts w:hint="eastAsia"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44</w:t>
            </w:r>
            <w:r>
              <w:rPr>
                <w:rFonts w:hint="default" w:ascii="Times New Roman" w:hAnsi="Times New Roman" w:cs="Times New Roman"/>
                <w:color w:val="auto"/>
                <w:spacing w:val="-6"/>
                <w:sz w:val="21"/>
                <w:szCs w:val="21"/>
                <w:highlight w:val="none"/>
                <w:lang w:val="en-US" w:eastAsia="zh-CN"/>
              </w:rPr>
              <w:t>″</w:t>
            </w:r>
          </w:p>
        </w:tc>
        <w:tc>
          <w:tcPr>
            <w:tcW w:w="156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val="en-US" w:eastAsia="zh-CN"/>
              </w:rPr>
            </w:pPr>
            <w:r>
              <w:rPr>
                <w:rFonts w:hint="eastAsia"/>
                <w:sz w:val="21"/>
                <w:szCs w:val="20"/>
                <w:lang w:val="en-US" w:eastAsia="zh-CN"/>
              </w:rPr>
              <w:t>厂内柱状样点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ascii="Times New Roman" w:hAnsi="Times New Roman"/>
                <w:sz w:val="21"/>
                <w:szCs w:val="20"/>
              </w:rPr>
              <w:t>T2</w:t>
            </w:r>
          </w:p>
        </w:tc>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危险废物贮存库门口附近</w:t>
            </w:r>
          </w:p>
        </w:tc>
        <w:tc>
          <w:tcPr>
            <w:tcW w:w="3664"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hint="default" w:ascii="Times New Roman" w:hAnsi="Times New Roman" w:cs="Times New Roman"/>
                <w:color w:val="auto"/>
                <w:spacing w:val="-6"/>
                <w:sz w:val="21"/>
                <w:szCs w:val="21"/>
                <w:highlight w:val="none"/>
                <w:lang w:val="en-US" w:eastAsia="zh-CN"/>
              </w:rPr>
              <w:t>E</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84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16</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29</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lang w:val="en-US" w:eastAsia="zh-CN"/>
              </w:rPr>
              <w:t>N</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44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20</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23</w:t>
            </w:r>
            <w:r>
              <w:rPr>
                <w:rFonts w:hint="default" w:ascii="Times New Roman" w:hAnsi="Times New Roman" w:cs="Times New Roman"/>
                <w:color w:val="auto"/>
                <w:spacing w:val="-6"/>
                <w:sz w:val="21"/>
                <w:szCs w:val="21"/>
                <w:highlight w:val="none"/>
                <w:lang w:val="en-US" w:eastAsia="zh-CN"/>
              </w:rPr>
              <w:t>″</w:t>
            </w:r>
          </w:p>
        </w:tc>
        <w:tc>
          <w:tcPr>
            <w:tcW w:w="1560" w:type="dxa"/>
            <w:tcBorders>
              <w:top w:val="single" w:color="auto" w:sz="4" w:space="0"/>
              <w:left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厂内柱状样点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ascii="Times New Roman" w:hAnsi="Times New Roman"/>
                <w:sz w:val="21"/>
                <w:szCs w:val="20"/>
              </w:rPr>
              <w:t>T3</w:t>
            </w:r>
          </w:p>
        </w:tc>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一般固废暂存库门口</w:t>
            </w:r>
          </w:p>
        </w:tc>
        <w:tc>
          <w:tcPr>
            <w:tcW w:w="3664"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hint="default" w:ascii="Times New Roman" w:hAnsi="Times New Roman" w:cs="Times New Roman"/>
                <w:color w:val="auto"/>
                <w:spacing w:val="-6"/>
                <w:sz w:val="21"/>
                <w:szCs w:val="21"/>
                <w:highlight w:val="none"/>
                <w:lang w:val="en-US" w:eastAsia="zh-CN"/>
              </w:rPr>
              <w:t>E</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84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16</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36</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37</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lang w:val="en-US" w:eastAsia="zh-CN"/>
              </w:rPr>
              <w:t>N</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44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20</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22</w:t>
            </w:r>
            <w:r>
              <w:rPr>
                <w:rFonts w:hint="eastAsia"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51</w:t>
            </w:r>
            <w:r>
              <w:rPr>
                <w:rFonts w:hint="default" w:ascii="Times New Roman" w:hAnsi="Times New Roman" w:cs="Times New Roman"/>
                <w:color w:val="auto"/>
                <w:spacing w:val="-6"/>
                <w:sz w:val="21"/>
                <w:szCs w:val="21"/>
                <w:highlight w:val="none"/>
                <w:lang w:val="en-US" w:eastAsia="zh-CN"/>
              </w:rPr>
              <w:t>″</w:t>
            </w:r>
          </w:p>
        </w:tc>
        <w:tc>
          <w:tcPr>
            <w:tcW w:w="156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厂内柱状样点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ascii="Times New Roman" w:hAnsi="Times New Roman"/>
                <w:sz w:val="21"/>
                <w:szCs w:val="20"/>
              </w:rPr>
              <w:t>T4</w:t>
            </w:r>
          </w:p>
        </w:tc>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0"/>
                <w:lang w:val="en-US" w:eastAsia="zh-CN" w:bidi="ar-SA"/>
              </w:rPr>
            </w:pPr>
            <w:r>
              <w:rPr>
                <w:rFonts w:hint="eastAsia"/>
                <w:sz w:val="21"/>
                <w:szCs w:val="20"/>
                <w:lang w:eastAsia="zh-CN"/>
              </w:rPr>
              <w:t>一般固废暂存库门口</w:t>
            </w:r>
          </w:p>
        </w:tc>
        <w:tc>
          <w:tcPr>
            <w:tcW w:w="36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kern w:val="2"/>
                <w:sz w:val="21"/>
                <w:szCs w:val="20"/>
                <w:lang w:val="en-US" w:eastAsia="zh-CN" w:bidi="ar-SA"/>
              </w:rPr>
            </w:pPr>
            <w:r>
              <w:rPr>
                <w:rFonts w:hint="default" w:ascii="Times New Roman" w:hAnsi="Times New Roman" w:cs="Times New Roman"/>
                <w:color w:val="auto"/>
                <w:spacing w:val="-6"/>
                <w:sz w:val="21"/>
                <w:szCs w:val="21"/>
                <w:highlight w:val="none"/>
                <w:lang w:val="en-US" w:eastAsia="zh-CN"/>
              </w:rPr>
              <w:t>E</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84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16</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36</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37</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lang w:val="en-US" w:eastAsia="zh-CN"/>
              </w:rPr>
              <w:t>N</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44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20</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22</w:t>
            </w:r>
            <w:r>
              <w:rPr>
                <w:rFonts w:hint="eastAsia"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51</w:t>
            </w:r>
            <w:r>
              <w:rPr>
                <w:rFonts w:hint="default" w:ascii="Times New Roman" w:hAnsi="Times New Roman" w:cs="Times New Roman"/>
                <w:color w:val="auto"/>
                <w:spacing w:val="-6"/>
                <w:sz w:val="21"/>
                <w:szCs w:val="21"/>
                <w:highlight w:val="none"/>
                <w:lang w:val="en-US" w:eastAsia="zh-CN"/>
              </w:rPr>
              <w:t>″</w:t>
            </w:r>
          </w:p>
        </w:tc>
        <w:tc>
          <w:tcPr>
            <w:tcW w:w="156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厂内表层样点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lang w:val="en-US" w:eastAsia="zh-CN"/>
              </w:rPr>
            </w:pPr>
            <w:r>
              <w:rPr>
                <w:rFonts w:hint="eastAsia" w:ascii="Times New Roman" w:hAnsi="Times New Roman"/>
                <w:sz w:val="21"/>
                <w:szCs w:val="20"/>
                <w:lang w:val="en-US" w:eastAsia="zh-CN"/>
              </w:rPr>
              <w:t>T5</w:t>
            </w:r>
          </w:p>
        </w:tc>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0"/>
                <w:lang w:val="en-US" w:eastAsia="zh-CN"/>
              </w:rPr>
            </w:pPr>
            <w:r>
              <w:rPr>
                <w:rFonts w:hint="eastAsia"/>
                <w:sz w:val="21"/>
                <w:szCs w:val="20"/>
                <w:lang w:eastAsia="zh-CN"/>
              </w:rPr>
              <w:t>厂西门口路北</w:t>
            </w:r>
          </w:p>
        </w:tc>
        <w:tc>
          <w:tcPr>
            <w:tcW w:w="36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hint="default" w:ascii="Times New Roman" w:hAnsi="Times New Roman" w:cs="Times New Roman"/>
                <w:color w:val="auto"/>
                <w:spacing w:val="-6"/>
                <w:sz w:val="21"/>
                <w:szCs w:val="21"/>
                <w:highlight w:val="none"/>
                <w:lang w:val="en-US" w:eastAsia="zh-CN"/>
              </w:rPr>
              <w:t>E</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84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17</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6</w:t>
            </w:r>
            <w:r>
              <w:rPr>
                <w:rFonts w:hint="eastAsia"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32</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lang w:val="en-US" w:eastAsia="zh-CN"/>
              </w:rPr>
              <w:t>N</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44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20</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20</w:t>
            </w:r>
            <w:r>
              <w:rPr>
                <w:rFonts w:hint="eastAsia"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94</w:t>
            </w:r>
            <w:r>
              <w:rPr>
                <w:rFonts w:hint="default" w:ascii="Times New Roman" w:hAnsi="Times New Roman" w:cs="Times New Roman"/>
                <w:color w:val="auto"/>
                <w:spacing w:val="-6"/>
                <w:sz w:val="21"/>
                <w:szCs w:val="21"/>
                <w:highlight w:val="none"/>
                <w:lang w:val="en-US" w:eastAsia="zh-CN"/>
              </w:rPr>
              <w:t>″</w:t>
            </w:r>
          </w:p>
        </w:tc>
        <w:tc>
          <w:tcPr>
            <w:tcW w:w="156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厂外表层样点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0"/>
                <w:lang w:val="en-US" w:eastAsia="zh-CN"/>
              </w:rPr>
            </w:pPr>
            <w:r>
              <w:rPr>
                <w:rFonts w:hint="eastAsia" w:ascii="Times New Roman" w:hAnsi="Times New Roman"/>
                <w:sz w:val="21"/>
                <w:szCs w:val="20"/>
                <w:lang w:val="en-US" w:eastAsia="zh-CN"/>
              </w:rPr>
              <w:t>T6</w:t>
            </w:r>
          </w:p>
        </w:tc>
        <w:tc>
          <w:tcPr>
            <w:tcW w:w="2714"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厂西门口路南</w:t>
            </w:r>
          </w:p>
        </w:tc>
        <w:tc>
          <w:tcPr>
            <w:tcW w:w="3664"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0"/>
              </w:rPr>
            </w:pPr>
            <w:r>
              <w:rPr>
                <w:rFonts w:hint="default" w:ascii="Times New Roman" w:hAnsi="Times New Roman" w:cs="Times New Roman"/>
                <w:color w:val="auto"/>
                <w:spacing w:val="-6"/>
                <w:sz w:val="21"/>
                <w:szCs w:val="21"/>
                <w:highlight w:val="none"/>
                <w:lang w:val="en-US" w:eastAsia="zh-CN"/>
              </w:rPr>
              <w:t>E</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84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17</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7</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34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cs="Times New Roman"/>
                <w:color w:val="auto"/>
                <w:spacing w:val="-6"/>
                <w:sz w:val="21"/>
                <w:szCs w:val="21"/>
                <w:highlight w:val="none"/>
                <w:lang w:val="en-US" w:eastAsia="zh-CN"/>
              </w:rPr>
              <w:t>N</w:t>
            </w:r>
            <w:r>
              <w:rPr>
                <w:rFonts w:hint="eastAsia"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44</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20</w:t>
            </w:r>
            <w:r>
              <w:rPr>
                <w:rFonts w:hint="default"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17</w:t>
            </w:r>
            <w:r>
              <w:rPr>
                <w:rFonts w:hint="eastAsia" w:ascii="Times New Roman" w:hAnsi="Times New Roman" w:cs="Times New Roman"/>
                <w:color w:val="auto"/>
                <w:spacing w:val="-6"/>
                <w:sz w:val="21"/>
                <w:szCs w:val="21"/>
                <w:highlight w:val="none"/>
                <w:lang w:val="en-US" w:eastAsia="zh-CN"/>
              </w:rPr>
              <w:t>.</w:t>
            </w:r>
            <w:r>
              <w:rPr>
                <w:rFonts w:hint="eastAsia" w:ascii="Times New Roman" w:hAnsi="Times New Roman" w:cs="Times New Roman"/>
                <w:color w:val="auto"/>
                <w:spacing w:val="-6"/>
                <w:sz w:val="21"/>
                <w:szCs w:val="21"/>
                <w:highlight w:val="none"/>
                <w:lang w:val="en-US" w:eastAsia="zh-CN"/>
              </w:rPr>
              <w:t>93</w:t>
            </w:r>
            <w:r>
              <w:rPr>
                <w:rFonts w:hint="default" w:ascii="Times New Roman" w:hAnsi="Times New Roman" w:cs="Times New Roman"/>
                <w:color w:val="auto"/>
                <w:spacing w:val="-6"/>
                <w:sz w:val="21"/>
                <w:szCs w:val="21"/>
                <w:highlight w:val="none"/>
                <w:lang w:val="en-US" w:eastAsia="zh-CN"/>
              </w:rPr>
              <w:t>″</w:t>
            </w:r>
          </w:p>
        </w:tc>
        <w:tc>
          <w:tcPr>
            <w:tcW w:w="1560"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0"/>
                <w:lang w:eastAsia="zh-CN"/>
              </w:rPr>
            </w:pPr>
            <w:r>
              <w:rPr>
                <w:rFonts w:hint="eastAsia"/>
                <w:sz w:val="21"/>
                <w:szCs w:val="20"/>
                <w:lang w:eastAsia="zh-CN"/>
              </w:rPr>
              <w:t>厂外表层样点</w:t>
            </w:r>
          </w:p>
        </w:tc>
      </w:tr>
    </w:tbl>
    <w:p>
      <w:r>
        <w:rPr>
          <w:rFonts w:hint="eastAsia"/>
        </w:rPr>
        <w:t>（</w:t>
      </w:r>
      <w:r>
        <w:rPr>
          <w:rFonts w:ascii="Times New Roman" w:hAnsi="Times New Roman"/>
        </w:rPr>
        <w:t>2</w:t>
      </w:r>
      <w:r>
        <w:rPr>
          <w:rFonts w:hint="eastAsia"/>
        </w:rPr>
        <w:t>）监测项目</w:t>
      </w:r>
    </w:p>
    <w:p>
      <w:r>
        <w:rPr>
          <w:rFonts w:hint="eastAsia"/>
        </w:rPr>
        <w:t>①重金属和无机物：砷、镉、铬（六价）、铜、铅、汞、镍；</w:t>
      </w:r>
    </w:p>
    <w:p>
      <w:r>
        <w:rPr>
          <w:rFonts w:hint="eastAsia"/>
        </w:rPr>
        <w:t>②挥发性有机物：四氯化碳、氯仿、氯甲烷、</w:t>
      </w:r>
      <w:r>
        <w:rPr>
          <w:rFonts w:ascii="Times New Roman" w:hAnsi="Times New Roman"/>
        </w:rPr>
        <w:t>1</w:t>
      </w:r>
      <w:r>
        <w:t>,</w:t>
      </w:r>
      <w:r>
        <w:rPr>
          <w:rFonts w:ascii="Times New Roman" w:hAnsi="Times New Roman"/>
        </w:rPr>
        <w:t>1</w:t>
      </w:r>
      <w:r>
        <w:t>-</w:t>
      </w:r>
      <w:r>
        <w:rPr>
          <w:rFonts w:hint="eastAsia"/>
        </w:rPr>
        <w:t>二氯乙烷、</w:t>
      </w:r>
      <w:r>
        <w:rPr>
          <w:rFonts w:ascii="Times New Roman" w:hAnsi="Times New Roman"/>
        </w:rPr>
        <w:t>1</w:t>
      </w:r>
      <w:r>
        <w:t>,</w:t>
      </w:r>
      <w:r>
        <w:rPr>
          <w:rFonts w:ascii="Times New Roman" w:hAnsi="Times New Roman"/>
        </w:rPr>
        <w:t>2</w:t>
      </w:r>
      <w:r>
        <w:t>-</w:t>
      </w:r>
      <w:r>
        <w:rPr>
          <w:rFonts w:hint="eastAsia"/>
        </w:rPr>
        <w:t>二氯乙烷、</w:t>
      </w:r>
      <w:r>
        <w:rPr>
          <w:rFonts w:ascii="Times New Roman" w:hAnsi="Times New Roman"/>
        </w:rPr>
        <w:t>1</w:t>
      </w:r>
      <w:r>
        <w:t>,</w:t>
      </w:r>
      <w:r>
        <w:rPr>
          <w:rFonts w:ascii="Times New Roman" w:hAnsi="Times New Roman"/>
        </w:rPr>
        <w:t>1</w:t>
      </w:r>
      <w:r>
        <w:t>-</w:t>
      </w:r>
      <w:r>
        <w:rPr>
          <w:rFonts w:hint="eastAsia"/>
        </w:rPr>
        <w:t>二氯乙烯、顺</w:t>
      </w:r>
      <w:r>
        <w:t>-</w:t>
      </w:r>
      <w:r>
        <w:rPr>
          <w:rFonts w:ascii="Times New Roman" w:hAnsi="Times New Roman"/>
        </w:rPr>
        <w:t>1</w:t>
      </w:r>
      <w:r>
        <w:t>,</w:t>
      </w:r>
      <w:r>
        <w:rPr>
          <w:rFonts w:ascii="Times New Roman" w:hAnsi="Times New Roman"/>
        </w:rPr>
        <w:t>2</w:t>
      </w:r>
      <w:r>
        <w:t>-</w:t>
      </w:r>
      <w:r>
        <w:rPr>
          <w:rFonts w:hint="eastAsia"/>
        </w:rPr>
        <w:t>二氯乙烯、反</w:t>
      </w:r>
      <w:r>
        <w:t>-</w:t>
      </w:r>
      <w:r>
        <w:rPr>
          <w:rFonts w:ascii="Times New Roman" w:hAnsi="Times New Roman"/>
        </w:rPr>
        <w:t>1</w:t>
      </w:r>
      <w:r>
        <w:t>,</w:t>
      </w:r>
      <w:r>
        <w:rPr>
          <w:rFonts w:ascii="Times New Roman" w:hAnsi="Times New Roman"/>
        </w:rPr>
        <w:t>2</w:t>
      </w:r>
      <w:r>
        <w:t>-</w:t>
      </w:r>
      <w:r>
        <w:rPr>
          <w:rFonts w:hint="eastAsia"/>
        </w:rPr>
        <w:t>二氯乙烯、二氯甲烷、</w:t>
      </w:r>
      <w:r>
        <w:rPr>
          <w:rFonts w:ascii="Times New Roman" w:hAnsi="Times New Roman"/>
        </w:rPr>
        <w:t>1</w:t>
      </w:r>
      <w:r>
        <w:t>,</w:t>
      </w:r>
      <w:r>
        <w:rPr>
          <w:rFonts w:ascii="Times New Roman" w:hAnsi="Times New Roman"/>
        </w:rPr>
        <w:t>2</w:t>
      </w:r>
      <w:r>
        <w:t>-</w:t>
      </w:r>
      <w:r>
        <w:rPr>
          <w:rFonts w:hint="eastAsia"/>
        </w:rPr>
        <w:t>二氯丙烷、</w:t>
      </w:r>
      <w:r>
        <w:rPr>
          <w:rFonts w:ascii="Times New Roman" w:hAnsi="Times New Roman"/>
        </w:rPr>
        <w:t>1</w:t>
      </w:r>
      <w:r>
        <w:t>,</w:t>
      </w:r>
      <w:r>
        <w:rPr>
          <w:rFonts w:ascii="Times New Roman" w:hAnsi="Times New Roman"/>
        </w:rPr>
        <w:t>1</w:t>
      </w:r>
      <w:r>
        <w:t>,</w:t>
      </w:r>
      <w:r>
        <w:rPr>
          <w:rFonts w:ascii="Times New Roman" w:hAnsi="Times New Roman"/>
        </w:rPr>
        <w:t>1</w:t>
      </w:r>
      <w:r>
        <w:t>,</w:t>
      </w:r>
      <w:r>
        <w:rPr>
          <w:rFonts w:ascii="Times New Roman" w:hAnsi="Times New Roman"/>
        </w:rPr>
        <w:t>2</w:t>
      </w:r>
      <w:r>
        <w:t>-</w:t>
      </w:r>
      <w:r>
        <w:rPr>
          <w:rFonts w:hint="eastAsia"/>
        </w:rPr>
        <w:t>四氯乙烷、</w:t>
      </w:r>
      <w:r>
        <w:rPr>
          <w:rFonts w:ascii="Times New Roman" w:hAnsi="Times New Roman"/>
        </w:rPr>
        <w:t>1</w:t>
      </w:r>
      <w:r>
        <w:t>,</w:t>
      </w:r>
      <w:r>
        <w:rPr>
          <w:rFonts w:ascii="Times New Roman" w:hAnsi="Times New Roman"/>
        </w:rPr>
        <w:t>1</w:t>
      </w:r>
      <w:r>
        <w:t>,</w:t>
      </w:r>
      <w:r>
        <w:rPr>
          <w:rFonts w:ascii="Times New Roman" w:hAnsi="Times New Roman"/>
        </w:rPr>
        <w:t>2</w:t>
      </w:r>
      <w:r>
        <w:t>,</w:t>
      </w:r>
      <w:r>
        <w:rPr>
          <w:rFonts w:ascii="Times New Roman" w:hAnsi="Times New Roman"/>
        </w:rPr>
        <w:t>2</w:t>
      </w:r>
      <w:r>
        <w:t>-</w:t>
      </w:r>
      <w:r>
        <w:rPr>
          <w:rFonts w:hint="eastAsia"/>
        </w:rPr>
        <w:t>四氯乙烷、四氯乙烯、</w:t>
      </w:r>
      <w:r>
        <w:rPr>
          <w:rFonts w:ascii="Times New Roman" w:hAnsi="Times New Roman"/>
        </w:rPr>
        <w:t>1</w:t>
      </w:r>
      <w:r>
        <w:t>,</w:t>
      </w:r>
      <w:r>
        <w:rPr>
          <w:rFonts w:ascii="Times New Roman" w:hAnsi="Times New Roman"/>
        </w:rPr>
        <w:t>1</w:t>
      </w:r>
      <w:r>
        <w:t>,</w:t>
      </w:r>
      <w:r>
        <w:rPr>
          <w:rFonts w:ascii="Times New Roman" w:hAnsi="Times New Roman"/>
        </w:rPr>
        <w:t>1</w:t>
      </w:r>
      <w:r>
        <w:t>-</w:t>
      </w:r>
      <w:r>
        <w:rPr>
          <w:rFonts w:hint="eastAsia"/>
        </w:rPr>
        <w:t>三氯乙烷、</w:t>
      </w:r>
      <w:r>
        <w:rPr>
          <w:rFonts w:ascii="Times New Roman" w:hAnsi="Times New Roman"/>
        </w:rPr>
        <w:t>1</w:t>
      </w:r>
      <w:r>
        <w:t>,</w:t>
      </w:r>
      <w:r>
        <w:rPr>
          <w:rFonts w:ascii="Times New Roman" w:hAnsi="Times New Roman"/>
        </w:rPr>
        <w:t>1</w:t>
      </w:r>
      <w:r>
        <w:t>,</w:t>
      </w:r>
      <w:r>
        <w:rPr>
          <w:rFonts w:ascii="Times New Roman" w:hAnsi="Times New Roman"/>
        </w:rPr>
        <w:t>2</w:t>
      </w:r>
      <w:r>
        <w:t>-</w:t>
      </w:r>
      <w:r>
        <w:rPr>
          <w:rFonts w:hint="eastAsia"/>
        </w:rPr>
        <w:t>三氯乙烷、三氯乙烯、</w:t>
      </w:r>
      <w:r>
        <w:rPr>
          <w:rFonts w:ascii="Times New Roman" w:hAnsi="Times New Roman"/>
        </w:rPr>
        <w:t>1</w:t>
      </w:r>
      <w:r>
        <w:t>,</w:t>
      </w:r>
      <w:r>
        <w:rPr>
          <w:rFonts w:ascii="Times New Roman" w:hAnsi="Times New Roman"/>
        </w:rPr>
        <w:t>2</w:t>
      </w:r>
      <w:r>
        <w:t>,</w:t>
      </w:r>
      <w:r>
        <w:rPr>
          <w:rFonts w:ascii="Times New Roman" w:hAnsi="Times New Roman"/>
        </w:rPr>
        <w:t>3</w:t>
      </w:r>
      <w:r>
        <w:t>-</w:t>
      </w:r>
      <w:r>
        <w:rPr>
          <w:rFonts w:hint="eastAsia"/>
        </w:rPr>
        <w:t>三氯丙烷、氯乙烯、苯、氯苯、</w:t>
      </w:r>
      <w:r>
        <w:rPr>
          <w:rFonts w:ascii="Times New Roman" w:hAnsi="Times New Roman"/>
        </w:rPr>
        <w:t>1</w:t>
      </w:r>
      <w:r>
        <w:t>,</w:t>
      </w:r>
      <w:r>
        <w:rPr>
          <w:rFonts w:ascii="Times New Roman" w:hAnsi="Times New Roman"/>
        </w:rPr>
        <w:t>2</w:t>
      </w:r>
      <w:r>
        <w:t>-</w:t>
      </w:r>
      <w:r>
        <w:rPr>
          <w:rFonts w:hint="eastAsia"/>
        </w:rPr>
        <w:t>二氯苯、</w:t>
      </w:r>
      <w:r>
        <w:rPr>
          <w:rFonts w:ascii="Times New Roman" w:hAnsi="Times New Roman"/>
        </w:rPr>
        <w:t>1</w:t>
      </w:r>
      <w:r>
        <w:t>,</w:t>
      </w:r>
      <w:r>
        <w:rPr>
          <w:rFonts w:ascii="Times New Roman" w:hAnsi="Times New Roman"/>
        </w:rPr>
        <w:t>4</w:t>
      </w:r>
      <w:r>
        <w:t>-</w:t>
      </w:r>
      <w:r>
        <w:rPr>
          <w:rFonts w:hint="eastAsia"/>
        </w:rPr>
        <w:t>二氯苯、乙苯、苯乙烯、甲苯、间二甲苯</w:t>
      </w:r>
      <w:r>
        <w:t>+</w:t>
      </w:r>
      <w:r>
        <w:rPr>
          <w:rFonts w:hint="eastAsia"/>
        </w:rPr>
        <w:t>对二甲苯、邻二甲苯；</w:t>
      </w:r>
    </w:p>
    <w:p>
      <w:pPr>
        <w:rPr>
          <w:rFonts w:hint="eastAsia"/>
        </w:rPr>
      </w:pPr>
      <w:r>
        <w:rPr>
          <w:rFonts w:hint="eastAsia"/>
        </w:rPr>
        <w:t>③半挥发性有机物：硝基苯、苯胺、</w:t>
      </w:r>
      <w:r>
        <w:rPr>
          <w:rFonts w:ascii="Times New Roman" w:hAnsi="Times New Roman"/>
        </w:rPr>
        <w:t>2</w:t>
      </w:r>
      <w:r>
        <w:t>-</w:t>
      </w:r>
      <w:r>
        <w:rPr>
          <w:rFonts w:hint="eastAsia"/>
        </w:rPr>
        <w:t>氯酚、苯并</w:t>
      </w:r>
      <w:r>
        <w:t>[</w:t>
      </w:r>
      <w:r>
        <w:rPr>
          <w:rFonts w:ascii="Times New Roman" w:hAnsi="Times New Roman"/>
        </w:rPr>
        <w:t>a</w:t>
      </w:r>
      <w:r>
        <w:t>]</w:t>
      </w:r>
      <w:r>
        <w:rPr>
          <w:rFonts w:hint="eastAsia"/>
        </w:rPr>
        <w:t>蒽、苯并</w:t>
      </w:r>
      <w:r>
        <w:t>[</w:t>
      </w:r>
      <w:r>
        <w:rPr>
          <w:rFonts w:ascii="Times New Roman" w:hAnsi="Times New Roman"/>
        </w:rPr>
        <w:t>a</w:t>
      </w:r>
      <w:r>
        <w:t>]</w:t>
      </w:r>
      <w:r>
        <w:rPr>
          <w:rFonts w:hint="eastAsia"/>
        </w:rPr>
        <w:t>芘、苯并</w:t>
      </w:r>
      <w:r>
        <w:t>[</w:t>
      </w:r>
      <w:r>
        <w:rPr>
          <w:rFonts w:ascii="Times New Roman" w:hAnsi="Times New Roman"/>
        </w:rPr>
        <w:t>b</w:t>
      </w:r>
      <w:r>
        <w:t>]</w:t>
      </w:r>
      <w:r>
        <w:rPr>
          <w:rFonts w:hint="eastAsia"/>
        </w:rPr>
        <w:t>荧蒽、苯并</w:t>
      </w:r>
      <w:r>
        <w:t>[</w:t>
      </w:r>
      <w:r>
        <w:rPr>
          <w:rFonts w:ascii="Times New Roman" w:hAnsi="Times New Roman"/>
        </w:rPr>
        <w:t>k</w:t>
      </w:r>
      <w:r>
        <w:t>]</w:t>
      </w:r>
      <w:r>
        <w:rPr>
          <w:rFonts w:hint="eastAsia"/>
        </w:rPr>
        <w:t>荧蒽、䓛、二苯并</w:t>
      </w:r>
      <w:r>
        <w:t>[</w:t>
      </w:r>
      <w:r>
        <w:rPr>
          <w:rFonts w:ascii="Times New Roman" w:hAnsi="Times New Roman"/>
        </w:rPr>
        <w:t>a</w:t>
      </w:r>
      <w:r>
        <w:t>,</w:t>
      </w:r>
      <w:r>
        <w:rPr>
          <w:rFonts w:ascii="Times New Roman" w:hAnsi="Times New Roman"/>
        </w:rPr>
        <w:t>h</w:t>
      </w:r>
      <w:r>
        <w:t>]</w:t>
      </w:r>
      <w:r>
        <w:rPr>
          <w:rFonts w:hint="eastAsia"/>
        </w:rPr>
        <w:t>蒽、茚并</w:t>
      </w:r>
      <w:r>
        <w:t>[</w:t>
      </w:r>
      <w:r>
        <w:rPr>
          <w:rFonts w:ascii="Times New Roman" w:hAnsi="Times New Roman"/>
        </w:rPr>
        <w:t>1</w:t>
      </w:r>
      <w:r>
        <w:t>,</w:t>
      </w:r>
      <w:r>
        <w:rPr>
          <w:rFonts w:ascii="Times New Roman" w:hAnsi="Times New Roman"/>
        </w:rPr>
        <w:t>2</w:t>
      </w:r>
      <w:r>
        <w:t>,</w:t>
      </w:r>
      <w:r>
        <w:rPr>
          <w:rFonts w:ascii="Times New Roman" w:hAnsi="Times New Roman"/>
        </w:rPr>
        <w:t>3</w:t>
      </w:r>
      <w:r>
        <w:t>,-</w:t>
      </w:r>
      <w:r>
        <w:rPr>
          <w:rFonts w:ascii="Times New Roman" w:hAnsi="Times New Roman"/>
        </w:rPr>
        <w:t>cd</w:t>
      </w:r>
      <w:r>
        <w:t>]</w:t>
      </w:r>
      <w:r>
        <w:rPr>
          <w:rFonts w:hint="eastAsia"/>
        </w:rPr>
        <w:t>芘、萘。</w:t>
      </w:r>
    </w:p>
    <w:p>
      <w:r>
        <w:rPr>
          <w:rFonts w:hint="eastAsia"/>
        </w:rPr>
        <w:t>（</w:t>
      </w:r>
      <w:r>
        <w:rPr>
          <w:rFonts w:ascii="Times New Roman" w:hAnsi="Times New Roman"/>
        </w:rPr>
        <w:t>3</w:t>
      </w:r>
      <w:r>
        <w:rPr>
          <w:rFonts w:hint="eastAsia"/>
        </w:rPr>
        <w:t>）监测方法</w:t>
      </w:r>
    </w:p>
    <w:p>
      <w:pPr>
        <w:bidi w:val="0"/>
      </w:pPr>
      <w:r>
        <w:rPr>
          <w:rFonts w:hint="eastAsia"/>
          <w:lang w:val="en-US" w:eastAsia="zh-CN"/>
        </w:rPr>
        <w:t>采样及分析方法根据《土壤元素近代分析方法》，《土壤环境质量</w:t>
      </w:r>
      <w:r>
        <w:rPr>
          <w:rFonts w:hint="default"/>
          <w:lang w:val="en-US" w:eastAsia="zh-CN"/>
        </w:rPr>
        <w:t xml:space="preserve"> </w:t>
      </w:r>
      <w:r>
        <w:rPr>
          <w:rFonts w:hint="eastAsia"/>
          <w:lang w:val="en-US" w:eastAsia="zh-CN"/>
        </w:rPr>
        <w:t>建设用地土壤污染风险管控标准（试行）》（</w:t>
      </w:r>
      <w:r>
        <w:rPr>
          <w:rFonts w:hint="default" w:ascii="Times New Roman" w:hAnsi="Times New Roman"/>
          <w:lang w:val="en-US" w:eastAsia="zh-CN"/>
        </w:rPr>
        <w:t>GB36600</w:t>
      </w:r>
      <w:r>
        <w:rPr>
          <w:rFonts w:hint="default"/>
          <w:lang w:val="en-US" w:eastAsia="zh-CN"/>
        </w:rPr>
        <w:t>-</w:t>
      </w:r>
      <w:r>
        <w:rPr>
          <w:rFonts w:hint="default" w:ascii="Times New Roman" w:hAnsi="Times New Roman"/>
          <w:lang w:val="en-US" w:eastAsia="zh-CN"/>
        </w:rPr>
        <w:t>2018</w:t>
      </w:r>
      <w:r>
        <w:rPr>
          <w:rFonts w:hint="eastAsia"/>
          <w:lang w:val="en-US" w:eastAsia="zh-CN"/>
        </w:rPr>
        <w:t>）的要求进行，</w:t>
      </w:r>
      <w:r>
        <w:rPr>
          <w:rFonts w:hint="eastAsia"/>
        </w:rPr>
        <w:t>表层样</w:t>
      </w:r>
      <w:r>
        <w:rPr>
          <w:rFonts w:hint="eastAsia"/>
          <w:lang w:eastAsia="zh-CN"/>
        </w:rPr>
        <w:t>取样深度</w:t>
      </w:r>
      <w:r>
        <w:rPr>
          <w:rFonts w:hint="eastAsia"/>
        </w:rPr>
        <w:t>：</w:t>
      </w:r>
      <w:r>
        <w:rPr>
          <w:rFonts w:hint="eastAsia" w:ascii="Times New Roman" w:hAnsi="Times New Roman"/>
        </w:rPr>
        <w:t>0</w:t>
      </w:r>
      <w:r>
        <w:rPr>
          <w:rFonts w:hint="eastAsia"/>
        </w:rPr>
        <w:t>～</w:t>
      </w:r>
      <w:r>
        <w:rPr>
          <w:rFonts w:ascii="Times New Roman" w:hAnsi="Times New Roman"/>
        </w:rPr>
        <w:t>0</w:t>
      </w:r>
      <w:r>
        <w:t>.</w:t>
      </w:r>
      <w:r>
        <w:rPr>
          <w:rFonts w:ascii="Times New Roman" w:hAnsi="Times New Roman"/>
        </w:rPr>
        <w:t>2</w:t>
      </w:r>
      <w:r>
        <w:rPr>
          <w:rFonts w:hint="eastAsia" w:ascii="Times New Roman" w:hAnsi="Times New Roman"/>
        </w:rPr>
        <w:t>m</w:t>
      </w:r>
      <w:r>
        <w:rPr>
          <w:rFonts w:hint="eastAsia"/>
        </w:rPr>
        <w:t>；柱状样点</w:t>
      </w:r>
      <w:r>
        <w:rPr>
          <w:rFonts w:hint="eastAsia"/>
          <w:lang w:eastAsia="zh-CN"/>
        </w:rPr>
        <w:t>取样深度</w:t>
      </w:r>
      <w:r>
        <w:rPr>
          <w:rFonts w:hint="eastAsia"/>
        </w:rPr>
        <w:t>：</w:t>
      </w:r>
      <w:r>
        <w:rPr>
          <w:rFonts w:hint="eastAsia" w:ascii="Times New Roman" w:hAnsi="Times New Roman"/>
        </w:rPr>
        <w:t>0</w:t>
      </w:r>
      <w:r>
        <w:rPr>
          <w:rFonts w:hint="eastAsia"/>
        </w:rPr>
        <w:t>～</w:t>
      </w:r>
      <w:r>
        <w:rPr>
          <w:rFonts w:hint="eastAsia" w:ascii="Times New Roman" w:hAnsi="Times New Roman"/>
        </w:rPr>
        <w:t>0</w:t>
      </w:r>
      <w:r>
        <w:rPr>
          <w:rFonts w:hint="eastAsia"/>
        </w:rPr>
        <w:t>.</w:t>
      </w:r>
      <w:r>
        <w:rPr>
          <w:rFonts w:hint="eastAsia" w:ascii="Times New Roman" w:hAnsi="Times New Roman"/>
        </w:rPr>
        <w:t>5m</w:t>
      </w:r>
      <w:r>
        <w:rPr>
          <w:rFonts w:hint="eastAsia"/>
        </w:rPr>
        <w:t>、</w:t>
      </w:r>
      <w:r>
        <w:rPr>
          <w:rFonts w:hint="eastAsia" w:ascii="Times New Roman" w:hAnsi="Times New Roman"/>
        </w:rPr>
        <w:t>0</w:t>
      </w:r>
      <w:r>
        <w:rPr>
          <w:rFonts w:hint="eastAsia"/>
        </w:rPr>
        <w:t>.</w:t>
      </w:r>
      <w:r>
        <w:rPr>
          <w:rFonts w:hint="eastAsia" w:ascii="Times New Roman" w:hAnsi="Times New Roman"/>
        </w:rPr>
        <w:t>5</w:t>
      </w:r>
      <w:r>
        <w:rPr>
          <w:rFonts w:hint="eastAsia"/>
        </w:rPr>
        <w:t>～</w:t>
      </w:r>
      <w:r>
        <w:rPr>
          <w:rFonts w:hint="eastAsia" w:ascii="Times New Roman" w:hAnsi="Times New Roman"/>
        </w:rPr>
        <w:t>1</w:t>
      </w:r>
      <w:r>
        <w:rPr>
          <w:rFonts w:hint="eastAsia"/>
        </w:rPr>
        <w:t>.</w:t>
      </w:r>
      <w:r>
        <w:rPr>
          <w:rFonts w:hint="eastAsia" w:ascii="Times New Roman" w:hAnsi="Times New Roman"/>
        </w:rPr>
        <w:t>5m</w:t>
      </w:r>
      <w:r>
        <w:rPr>
          <w:rFonts w:hint="eastAsia"/>
        </w:rPr>
        <w:t>、</w:t>
      </w:r>
      <w:r>
        <w:rPr>
          <w:rFonts w:hint="eastAsia" w:ascii="Times New Roman" w:hAnsi="Times New Roman"/>
        </w:rPr>
        <w:t>1</w:t>
      </w:r>
      <w:r>
        <w:rPr>
          <w:rFonts w:hint="eastAsia"/>
        </w:rPr>
        <w:t>.</w:t>
      </w:r>
      <w:r>
        <w:rPr>
          <w:rFonts w:hint="eastAsia" w:ascii="Times New Roman" w:hAnsi="Times New Roman"/>
        </w:rPr>
        <w:t>5</w:t>
      </w:r>
      <w:r>
        <w:rPr>
          <w:rFonts w:hint="eastAsia"/>
        </w:rPr>
        <w:t>～</w:t>
      </w:r>
      <w:r>
        <w:rPr>
          <w:rFonts w:hint="eastAsia" w:ascii="Times New Roman" w:hAnsi="Times New Roman"/>
        </w:rPr>
        <w:t>3m</w:t>
      </w:r>
      <w:r>
        <w:rPr>
          <w:rFonts w:hint="eastAsia"/>
        </w:rPr>
        <w:t>分别取一个样。</w:t>
      </w:r>
      <w:r>
        <w:t xml:space="preserve"> </w:t>
      </w:r>
    </w:p>
    <w:p>
      <w:r>
        <w:rPr>
          <w:rFonts w:hint="eastAsia"/>
        </w:rPr>
        <w:t>（</w:t>
      </w:r>
      <w:r>
        <w:rPr>
          <w:rFonts w:ascii="Times New Roman" w:hAnsi="Times New Roman"/>
        </w:rPr>
        <w:t>4</w:t>
      </w:r>
      <w:r>
        <w:rPr>
          <w:rFonts w:hint="eastAsia"/>
        </w:rPr>
        <w:t>）监测结果</w:t>
      </w:r>
    </w:p>
    <w:p>
      <w:pPr>
        <w:rPr>
          <w:rFonts w:hint="eastAsia"/>
        </w:rPr>
      </w:pPr>
      <w:r>
        <w:rPr>
          <w:rFonts w:hint="eastAsia"/>
        </w:rPr>
        <w:t>土壤监测结果具体见表</w:t>
      </w:r>
      <w:r>
        <w:rPr>
          <w:rFonts w:hint="eastAsia" w:ascii="Times New Roman" w:hAnsi="Times New Roman"/>
          <w:lang w:val="en-US" w:eastAsia="zh-CN"/>
        </w:rPr>
        <w:t>5</w:t>
      </w:r>
      <w:r>
        <w:t>.</w:t>
      </w:r>
      <w:r>
        <w:rPr>
          <w:rFonts w:hint="eastAsia" w:ascii="Times New Roman" w:hAnsi="Times New Roman"/>
          <w:lang w:val="en-US" w:eastAsia="zh-CN"/>
        </w:rPr>
        <w:t>5</w:t>
      </w:r>
      <w:r>
        <w:rPr>
          <w:rFonts w:hint="eastAsia" w:ascii="Times New Roman"/>
          <w:lang w:val="en-US" w:eastAsia="zh-CN"/>
        </w:rPr>
        <w:t>-</w:t>
      </w:r>
      <w:r>
        <w:rPr>
          <w:rFonts w:hint="eastAsia" w:ascii="Times New Roman" w:hAnsi="Times New Roman"/>
          <w:lang w:val="en-US" w:eastAsia="zh-CN"/>
        </w:rPr>
        <w:t>10</w:t>
      </w:r>
      <w:r>
        <w:rPr>
          <w:rFonts w:hint="eastAsia" w:ascii="Times New Roman"/>
          <w:lang w:val="en-US" w:eastAsia="zh-CN"/>
        </w:rPr>
        <w:t>表</w:t>
      </w:r>
      <w:r>
        <w:rPr>
          <w:rFonts w:hint="eastAsia" w:ascii="Times New Roman" w:hAnsi="Times New Roman"/>
          <w:lang w:val="en-US" w:eastAsia="zh-CN"/>
        </w:rPr>
        <w:t>5</w:t>
      </w:r>
      <w:r>
        <w:rPr>
          <w:rFonts w:hint="eastAsia" w:ascii="Times New Roman"/>
          <w:lang w:val="en-US" w:eastAsia="zh-CN"/>
        </w:rPr>
        <w:t>.</w:t>
      </w:r>
      <w:r>
        <w:rPr>
          <w:rFonts w:hint="eastAsia" w:ascii="Times New Roman" w:hAnsi="Times New Roman"/>
          <w:lang w:val="en-US" w:eastAsia="zh-CN"/>
        </w:rPr>
        <w:t>5</w:t>
      </w:r>
      <w:r>
        <w:rPr>
          <w:rFonts w:hint="eastAsia" w:ascii="Times New Roman"/>
          <w:lang w:val="en-US" w:eastAsia="zh-CN"/>
        </w:rPr>
        <w:t>-</w:t>
      </w:r>
      <w:r>
        <w:rPr>
          <w:rFonts w:hint="eastAsia" w:ascii="Times New Roman" w:hAnsi="Times New Roman"/>
          <w:lang w:val="en-US" w:eastAsia="zh-CN"/>
        </w:rPr>
        <w:t>11</w:t>
      </w:r>
      <w:r>
        <w:rPr>
          <w:rFonts w:hint="eastAsia"/>
        </w:rPr>
        <w:t>。</w:t>
      </w:r>
    </w:p>
    <w:p>
      <w:pPr>
        <w:bidi w:val="0"/>
        <w:rPr>
          <w:rFonts w:hint="eastAsia"/>
        </w:rPr>
      </w:pPr>
    </w:p>
    <w:p>
      <w:pPr>
        <w:bidi w:val="0"/>
        <w:rPr>
          <w:rFonts w:hint="eastAsia"/>
        </w:rPr>
      </w:pPr>
    </w:p>
    <w:p>
      <w:pPr>
        <w:bidi w:val="0"/>
        <w:rPr>
          <w:rFonts w:hint="eastAsia"/>
        </w:rPr>
      </w:pPr>
    </w:p>
    <w:p>
      <w:pPr>
        <w:bidi w:val="0"/>
        <w:rPr>
          <w:rFonts w:hint="eastAsia"/>
        </w:rPr>
        <w:sectPr>
          <w:pgSz w:w="11906" w:h="16838"/>
          <w:pgMar w:top="1474" w:right="1474" w:bottom="1474" w:left="1474" w:header="850" w:footer="992" w:gutter="0"/>
          <w:pgBorders>
            <w:top w:val="none" w:sz="0" w:space="0"/>
            <w:left w:val="none" w:sz="0" w:space="0"/>
            <w:bottom w:val="none" w:sz="0" w:space="0"/>
            <w:right w:val="none" w:sz="0" w:space="0"/>
          </w:pgBorders>
          <w:cols w:space="720" w:num="1"/>
          <w:docGrid w:type="lines" w:linePitch="338" w:charSpace="0"/>
        </w:sectPr>
      </w:pPr>
    </w:p>
    <w:p>
      <w:pPr>
        <w:pStyle w:val="20"/>
        <w:spacing w:before="0" w:beforeLines="0"/>
        <w:rPr>
          <w:rFonts w:ascii="Times New Roman" w:hAnsi="Times New Roman"/>
        </w:rPr>
      </w:pPr>
      <w:r>
        <w:rPr>
          <w:rFonts w:hint="eastAsia" w:ascii="Times New Roman" w:hAnsi="宋体" w:cs="宋体"/>
          <w:lang w:bidi="ar"/>
        </w:rPr>
        <w:t>表</w:t>
      </w:r>
      <w:r>
        <w:rPr>
          <w:rFonts w:hint="eastAsia" w:ascii="Times New Roman" w:hAnsi="Times New Roman"/>
          <w:lang w:val="en-US" w:eastAsia="zh-CN" w:bidi="ar"/>
        </w:rPr>
        <w:t>5</w:t>
      </w:r>
      <w:r>
        <w:rPr>
          <w:rFonts w:hint="eastAsia" w:ascii="Times New Roman" w:hAnsi="Times New Roman"/>
          <w:lang w:val="en-US" w:eastAsia="zh-CN" w:bidi="ar"/>
        </w:rPr>
        <w:t>.</w:t>
      </w:r>
      <w:r>
        <w:rPr>
          <w:rFonts w:hint="eastAsia" w:ascii="Times New Roman" w:hAnsi="Times New Roman"/>
          <w:lang w:val="en-US" w:eastAsia="zh-CN" w:bidi="ar"/>
        </w:rPr>
        <w:t>5</w:t>
      </w:r>
      <w:r>
        <w:rPr>
          <w:rFonts w:hint="eastAsia" w:ascii="Times New Roman" w:hAnsi="Times New Roman"/>
          <w:lang w:val="en-US" w:eastAsia="zh-CN" w:bidi="ar"/>
        </w:rPr>
        <w:t>-</w:t>
      </w:r>
      <w:r>
        <w:rPr>
          <w:rFonts w:hint="eastAsia" w:ascii="Times New Roman" w:hAnsi="Times New Roman"/>
          <w:lang w:val="en-US" w:eastAsia="zh-CN" w:bidi="ar"/>
        </w:rPr>
        <w:t>10</w:t>
      </w:r>
      <w:r>
        <w:rPr>
          <w:rFonts w:ascii="Times New Roman" w:hAnsi="Times New Roman"/>
          <w:lang w:bidi="ar"/>
        </w:rPr>
        <w:t xml:space="preserve">  </w:t>
      </w:r>
      <w:r>
        <w:rPr>
          <w:rFonts w:hint="eastAsia" w:ascii="Times New Roman" w:hAnsi="宋体" w:cs="宋体"/>
          <w:lang w:bidi="ar"/>
        </w:rPr>
        <w:t>土壤重金属和无机物检测结果一览表</w:t>
      </w:r>
      <w:r>
        <w:rPr>
          <w:rFonts w:ascii="Times New Roman" w:hAnsi="Times New Roman"/>
          <w:lang w:bidi="ar"/>
        </w:rPr>
        <w:t xml:space="preserve">  </w:t>
      </w:r>
      <w:r>
        <w:rPr>
          <w:rFonts w:hint="eastAsia" w:ascii="Times New Roman" w:hAnsi="宋体" w:cs="宋体"/>
          <w:lang w:bidi="ar"/>
        </w:rPr>
        <w:t>单位：</w:t>
      </w:r>
      <w:r>
        <w:rPr>
          <w:rFonts w:ascii="Times New Roman" w:hAnsi="Times New Roman"/>
          <w:lang w:bidi="ar"/>
        </w:rPr>
        <w:t>mg</w:t>
      </w:r>
      <w:r>
        <w:rPr>
          <w:rFonts w:ascii="Times New Roman" w:hAnsi="Times New Roman"/>
          <w:lang w:bidi="ar"/>
        </w:rPr>
        <w:t>/</w:t>
      </w:r>
      <w:r>
        <w:rPr>
          <w:rFonts w:ascii="Times New Roman" w:hAnsi="Times New Roman"/>
          <w:lang w:bidi="ar"/>
        </w:rPr>
        <w:t>kg</w:t>
      </w:r>
    </w:p>
    <w:tbl>
      <w:tblPr>
        <w:tblStyle w:val="80"/>
        <w:tblW w:w="141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045"/>
        <w:gridCol w:w="968"/>
        <w:gridCol w:w="968"/>
        <w:gridCol w:w="870"/>
        <w:gridCol w:w="961"/>
        <w:gridCol w:w="968"/>
        <w:gridCol w:w="835"/>
        <w:gridCol w:w="969"/>
        <w:gridCol w:w="969"/>
        <w:gridCol w:w="853"/>
        <w:gridCol w:w="836"/>
        <w:gridCol w:w="836"/>
        <w:gridCol w:w="1009"/>
        <w:gridCol w:w="1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560" w:type="dxa"/>
            <w:vMerge w:val="restart"/>
            <w:noWrap w:val="0"/>
            <w:vAlign w:val="center"/>
          </w:tcPr>
          <w:p>
            <w:pPr>
              <w:spacing w:line="240" w:lineRule="auto"/>
              <w:ind w:firstLine="0"/>
              <w:jc w:val="center"/>
              <w:rPr>
                <w:rFonts w:hint="eastAsia" w:ascii="Times New Roman" w:hAnsi="宋体" w:cs="宋体"/>
                <w:kern w:val="2"/>
                <w:sz w:val="21"/>
                <w:szCs w:val="21"/>
                <w:lang w:bidi="ar"/>
              </w:rPr>
            </w:pPr>
            <w:r>
              <w:rPr>
                <w:rFonts w:hint="eastAsia" w:ascii="Times New Roman" w:hAnsi="宋体" w:cs="宋体"/>
                <w:kern w:val="2"/>
                <w:sz w:val="21"/>
                <w:szCs w:val="21"/>
                <w:lang w:bidi="ar"/>
              </w:rPr>
              <w:t>序号</w:t>
            </w:r>
          </w:p>
        </w:tc>
        <w:tc>
          <w:tcPr>
            <w:tcW w:w="1045" w:type="dxa"/>
            <w:vMerge w:val="restart"/>
            <w:noWrap w:val="0"/>
            <w:vAlign w:val="center"/>
          </w:tcPr>
          <w:p>
            <w:pPr>
              <w:spacing w:line="240" w:lineRule="auto"/>
              <w:ind w:firstLine="0"/>
              <w:jc w:val="center"/>
              <w:rPr>
                <w:rFonts w:hint="eastAsia" w:ascii="Times New Roman" w:hAnsi="宋体" w:cs="宋体"/>
                <w:kern w:val="2"/>
                <w:sz w:val="21"/>
                <w:szCs w:val="21"/>
                <w:lang w:bidi="ar"/>
              </w:rPr>
            </w:pPr>
            <w:r>
              <w:rPr>
                <w:rFonts w:hint="eastAsia" w:ascii="Times New Roman" w:hAnsi="宋体" w:cs="宋体"/>
                <w:kern w:val="2"/>
                <w:sz w:val="21"/>
                <w:szCs w:val="21"/>
                <w:lang w:bidi="ar"/>
              </w:rPr>
              <w:t>污染物</w:t>
            </w:r>
          </w:p>
        </w:tc>
        <w:tc>
          <w:tcPr>
            <w:tcW w:w="8361" w:type="dxa"/>
            <w:gridSpan w:val="9"/>
            <w:noWrap w:val="0"/>
            <w:vAlign w:val="center"/>
          </w:tcPr>
          <w:p>
            <w:pPr>
              <w:spacing w:line="240" w:lineRule="auto"/>
              <w:ind w:firstLine="0"/>
              <w:jc w:val="center"/>
              <w:rPr>
                <w:rFonts w:hint="eastAsia" w:ascii="Times New Roman"/>
                <w:kern w:val="2"/>
                <w:sz w:val="21"/>
                <w:szCs w:val="21"/>
                <w:lang w:bidi="ar"/>
              </w:rPr>
            </w:pPr>
            <w:r>
              <w:rPr>
                <w:rFonts w:hint="eastAsia" w:ascii="Times New Roman"/>
                <w:kern w:val="2"/>
                <w:sz w:val="21"/>
                <w:szCs w:val="21"/>
                <w:lang w:bidi="ar"/>
              </w:rPr>
              <w:t>柱状样</w:t>
            </w:r>
          </w:p>
        </w:tc>
        <w:tc>
          <w:tcPr>
            <w:tcW w:w="2681" w:type="dxa"/>
            <w:gridSpan w:val="3"/>
            <w:noWrap w:val="0"/>
            <w:vAlign w:val="center"/>
          </w:tcPr>
          <w:p>
            <w:pPr>
              <w:spacing w:line="240" w:lineRule="auto"/>
              <w:ind w:firstLine="0"/>
              <w:jc w:val="center"/>
              <w:rPr>
                <w:rFonts w:hint="eastAsia" w:ascii="Times New Roman"/>
                <w:kern w:val="2"/>
                <w:sz w:val="21"/>
                <w:szCs w:val="21"/>
                <w:lang w:bidi="ar"/>
              </w:rPr>
            </w:pPr>
            <w:r>
              <w:rPr>
                <w:rFonts w:hint="eastAsia" w:ascii="Times New Roman"/>
                <w:kern w:val="2"/>
                <w:sz w:val="21"/>
                <w:szCs w:val="21"/>
                <w:lang w:bidi="ar"/>
              </w:rPr>
              <w:t>表层样</w:t>
            </w:r>
          </w:p>
        </w:tc>
        <w:tc>
          <w:tcPr>
            <w:tcW w:w="1524" w:type="dxa"/>
            <w:vMerge w:val="restart"/>
            <w:noWrap w:val="0"/>
            <w:vAlign w:val="center"/>
          </w:tcPr>
          <w:p>
            <w:pPr>
              <w:spacing w:line="240" w:lineRule="auto"/>
              <w:ind w:firstLine="0"/>
              <w:jc w:val="center"/>
              <w:rPr>
                <w:rFonts w:hint="eastAsia" w:ascii="Times New Roman"/>
                <w:kern w:val="2"/>
                <w:sz w:val="21"/>
                <w:szCs w:val="21"/>
                <w:lang w:bidi="ar"/>
              </w:rPr>
            </w:pPr>
            <w:r>
              <w:rPr>
                <w:rFonts w:hint="eastAsia" w:ascii="Times New Roman" w:hAnsi="Times New Roman"/>
                <w:kern w:val="2"/>
                <w:sz w:val="21"/>
                <w:szCs w:val="21"/>
                <w:lang w:bidi="ar"/>
              </w:rPr>
              <w:t>GB36600</w:t>
            </w:r>
            <w:r>
              <w:rPr>
                <w:rFonts w:hint="eastAsia" w:ascii="Times New Roman" w:hAnsi="宋体" w:cs="宋体"/>
                <w:kern w:val="2"/>
                <w:sz w:val="21"/>
                <w:szCs w:val="21"/>
                <w:lang w:bidi="ar"/>
              </w:rPr>
              <w:t>-</w:t>
            </w:r>
            <w:r>
              <w:rPr>
                <w:rFonts w:hint="eastAsia" w:ascii="Times New Roman" w:hAnsi="Times New Roman"/>
                <w:kern w:val="2"/>
                <w:sz w:val="21"/>
                <w:szCs w:val="21"/>
                <w:lang w:bidi="ar"/>
              </w:rPr>
              <w:t>2018</w:t>
            </w:r>
          </w:p>
          <w:p>
            <w:pPr>
              <w:spacing w:line="240" w:lineRule="auto"/>
              <w:ind w:firstLine="0"/>
              <w:jc w:val="center"/>
              <w:rPr>
                <w:sz w:val="21"/>
                <w:szCs w:val="21"/>
              </w:rPr>
            </w:pPr>
            <w:r>
              <w:rPr>
                <w:rFonts w:hint="eastAsia" w:ascii="Times New Roman" w:hAnsi="宋体" w:cs="宋体"/>
                <w:kern w:val="2"/>
                <w:sz w:val="21"/>
                <w:szCs w:val="21"/>
                <w:lang w:bidi="ar"/>
              </w:rPr>
              <w:t>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60" w:type="dxa"/>
            <w:vMerge w:val="continue"/>
            <w:noWrap w:val="0"/>
            <w:vAlign w:val="center"/>
          </w:tcPr>
          <w:p>
            <w:pPr>
              <w:spacing w:line="240" w:lineRule="auto"/>
              <w:ind w:firstLine="0"/>
              <w:jc w:val="center"/>
              <w:rPr>
                <w:sz w:val="21"/>
                <w:szCs w:val="21"/>
              </w:rPr>
            </w:pPr>
          </w:p>
        </w:tc>
        <w:tc>
          <w:tcPr>
            <w:tcW w:w="1045" w:type="dxa"/>
            <w:vMerge w:val="continue"/>
            <w:noWrap w:val="0"/>
            <w:vAlign w:val="center"/>
          </w:tcPr>
          <w:p>
            <w:pPr>
              <w:spacing w:line="240" w:lineRule="auto"/>
              <w:ind w:firstLine="0"/>
              <w:jc w:val="center"/>
              <w:rPr>
                <w:sz w:val="21"/>
                <w:szCs w:val="21"/>
              </w:rPr>
            </w:pPr>
          </w:p>
        </w:tc>
        <w:tc>
          <w:tcPr>
            <w:tcW w:w="968" w:type="dxa"/>
            <w:noWrap w:val="0"/>
            <w:vAlign w:val="center"/>
          </w:tcPr>
          <w:p>
            <w:pPr>
              <w:spacing w:line="240" w:lineRule="auto"/>
              <w:ind w:firstLine="0"/>
              <w:jc w:val="center"/>
              <w:rPr>
                <w:rFonts w:hAnsi="宋体"/>
                <w:sz w:val="21"/>
                <w:szCs w:val="21"/>
              </w:rPr>
            </w:pPr>
            <w:r>
              <w:rPr>
                <w:rFonts w:hint="eastAsia" w:ascii="Times New Roman" w:hAnsi="Times New Roman"/>
                <w:kern w:val="2"/>
                <w:sz w:val="21"/>
                <w:szCs w:val="21"/>
                <w:lang w:bidi="ar"/>
              </w:rPr>
              <w:t>T1</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0</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5m</w:t>
            </w:r>
          </w:p>
        </w:tc>
        <w:tc>
          <w:tcPr>
            <w:tcW w:w="968" w:type="dxa"/>
            <w:noWrap w:val="0"/>
            <w:vAlign w:val="center"/>
          </w:tcPr>
          <w:p>
            <w:pPr>
              <w:spacing w:line="240" w:lineRule="auto"/>
              <w:ind w:firstLine="0"/>
              <w:jc w:val="center"/>
              <w:rPr>
                <w:rFonts w:ascii="Times New Roman" w:hAnsi="宋体" w:cs="宋体"/>
                <w:kern w:val="2"/>
                <w:sz w:val="21"/>
                <w:szCs w:val="21"/>
                <w:lang w:bidi="ar"/>
              </w:rPr>
            </w:pPr>
            <w:r>
              <w:rPr>
                <w:rFonts w:hint="eastAsia" w:ascii="Times New Roman" w:hAnsi="Times New Roman"/>
                <w:kern w:val="2"/>
                <w:sz w:val="21"/>
                <w:szCs w:val="21"/>
                <w:lang w:bidi="ar"/>
              </w:rPr>
              <w:t>T1</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1m</w:t>
            </w:r>
          </w:p>
        </w:tc>
        <w:tc>
          <w:tcPr>
            <w:tcW w:w="870" w:type="dxa"/>
            <w:noWrap w:val="0"/>
            <w:vAlign w:val="center"/>
          </w:tcPr>
          <w:p>
            <w:pPr>
              <w:spacing w:line="240" w:lineRule="auto"/>
              <w:ind w:firstLine="0"/>
              <w:jc w:val="center"/>
              <w:rPr>
                <w:rFonts w:ascii="Times New Roman" w:hAnsi="宋体" w:cs="宋体"/>
                <w:kern w:val="2"/>
                <w:sz w:val="21"/>
                <w:szCs w:val="21"/>
                <w:lang w:bidi="ar"/>
              </w:rPr>
            </w:pPr>
            <w:r>
              <w:rPr>
                <w:rFonts w:hint="eastAsia" w:ascii="Times New Roman" w:hAnsi="Times New Roman"/>
                <w:kern w:val="2"/>
                <w:sz w:val="21"/>
                <w:szCs w:val="21"/>
                <w:lang w:bidi="ar"/>
              </w:rPr>
              <w:t>T1</w:t>
            </w:r>
            <w:r>
              <w:rPr>
                <w:rFonts w:hint="eastAsia" w:ascii="Times New Roman" w:hAnsi="宋体" w:cs="宋体"/>
                <w:kern w:val="2"/>
                <w:sz w:val="21"/>
                <w:szCs w:val="21"/>
                <w:lang w:bidi="ar"/>
              </w:rPr>
              <w:t>-</w:t>
            </w:r>
            <w:r>
              <w:rPr>
                <w:rFonts w:hint="eastAsia" w:ascii="Times New Roman" w:hAnsi="Times New Roman" w:cs="宋体"/>
                <w:kern w:val="2"/>
                <w:sz w:val="21"/>
                <w:szCs w:val="21"/>
                <w:lang w:val="en-US" w:eastAsia="zh-CN" w:bidi="ar"/>
              </w:rPr>
              <w:t>2</w:t>
            </w:r>
            <w:r>
              <w:rPr>
                <w:rFonts w:hint="eastAsia" w:ascii="Times New Roman" w:hAnsi="Times New Roman" w:cs="宋体"/>
                <w:kern w:val="2"/>
                <w:sz w:val="21"/>
                <w:szCs w:val="21"/>
                <w:lang w:bidi="ar"/>
              </w:rPr>
              <w:t>m</w:t>
            </w:r>
          </w:p>
        </w:tc>
        <w:tc>
          <w:tcPr>
            <w:tcW w:w="961" w:type="dxa"/>
            <w:noWrap w:val="0"/>
            <w:vAlign w:val="center"/>
          </w:tcPr>
          <w:p>
            <w:pPr>
              <w:spacing w:line="240" w:lineRule="auto"/>
              <w:ind w:firstLine="0"/>
              <w:jc w:val="center"/>
              <w:rPr>
                <w:rFonts w:hint="eastAsia" w:ascii="Times New Roman"/>
                <w:kern w:val="2"/>
                <w:sz w:val="21"/>
                <w:szCs w:val="21"/>
                <w:lang w:bidi="ar"/>
              </w:rPr>
            </w:pPr>
            <w:r>
              <w:rPr>
                <w:rFonts w:hint="eastAsia" w:ascii="Times New Roman" w:hAnsi="Times New Roman"/>
                <w:kern w:val="2"/>
                <w:sz w:val="21"/>
                <w:szCs w:val="21"/>
                <w:lang w:bidi="ar"/>
              </w:rPr>
              <w:t>T2</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0</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5m</w:t>
            </w:r>
          </w:p>
        </w:tc>
        <w:tc>
          <w:tcPr>
            <w:tcW w:w="968" w:type="dxa"/>
            <w:noWrap w:val="0"/>
            <w:vAlign w:val="center"/>
          </w:tcPr>
          <w:p>
            <w:pPr>
              <w:spacing w:line="240" w:lineRule="auto"/>
              <w:ind w:firstLine="0"/>
              <w:jc w:val="center"/>
              <w:rPr>
                <w:rFonts w:hint="eastAsia" w:ascii="Times New Roman"/>
                <w:kern w:val="2"/>
                <w:sz w:val="21"/>
                <w:szCs w:val="21"/>
                <w:lang w:bidi="ar"/>
              </w:rPr>
            </w:pPr>
            <w:r>
              <w:rPr>
                <w:rFonts w:hint="eastAsia" w:ascii="Times New Roman" w:hAnsi="Times New Roman"/>
                <w:kern w:val="2"/>
                <w:sz w:val="21"/>
                <w:szCs w:val="21"/>
                <w:lang w:bidi="ar"/>
              </w:rPr>
              <w:t>T2</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1m</w:t>
            </w:r>
          </w:p>
        </w:tc>
        <w:tc>
          <w:tcPr>
            <w:tcW w:w="835" w:type="dxa"/>
            <w:noWrap w:val="0"/>
            <w:vAlign w:val="center"/>
          </w:tcPr>
          <w:p>
            <w:pPr>
              <w:spacing w:line="240" w:lineRule="auto"/>
              <w:ind w:firstLine="0"/>
              <w:jc w:val="center"/>
              <w:rPr>
                <w:rFonts w:hint="eastAsia" w:ascii="Times New Roman"/>
                <w:kern w:val="2"/>
                <w:sz w:val="21"/>
                <w:szCs w:val="21"/>
                <w:lang w:bidi="ar"/>
              </w:rPr>
            </w:pPr>
            <w:r>
              <w:rPr>
                <w:rFonts w:hint="eastAsia" w:ascii="Times New Roman" w:hAnsi="Times New Roman"/>
                <w:kern w:val="2"/>
                <w:sz w:val="21"/>
                <w:szCs w:val="21"/>
                <w:lang w:bidi="ar"/>
              </w:rPr>
              <w:t>T2</w:t>
            </w:r>
            <w:r>
              <w:rPr>
                <w:rFonts w:hint="eastAsia" w:ascii="Times New Roman" w:hAnsi="宋体" w:cs="宋体"/>
                <w:kern w:val="2"/>
                <w:sz w:val="21"/>
                <w:szCs w:val="21"/>
                <w:lang w:bidi="ar"/>
              </w:rPr>
              <w:t>-</w:t>
            </w:r>
            <w:r>
              <w:rPr>
                <w:rFonts w:hint="eastAsia" w:ascii="Times New Roman" w:hAnsi="Times New Roman" w:cs="宋体"/>
                <w:kern w:val="2"/>
                <w:sz w:val="21"/>
                <w:szCs w:val="21"/>
                <w:lang w:val="en-US" w:eastAsia="zh-CN" w:bidi="ar"/>
              </w:rPr>
              <w:t>2</w:t>
            </w:r>
            <w:r>
              <w:rPr>
                <w:rFonts w:hint="eastAsia" w:ascii="Times New Roman" w:hAnsi="Times New Roman" w:cs="宋体"/>
                <w:kern w:val="2"/>
                <w:sz w:val="21"/>
                <w:szCs w:val="21"/>
                <w:lang w:bidi="ar"/>
              </w:rPr>
              <w:t>m</w:t>
            </w:r>
          </w:p>
        </w:tc>
        <w:tc>
          <w:tcPr>
            <w:tcW w:w="969" w:type="dxa"/>
            <w:noWrap w:val="0"/>
            <w:vAlign w:val="center"/>
          </w:tcPr>
          <w:p>
            <w:pPr>
              <w:spacing w:line="240" w:lineRule="auto"/>
              <w:ind w:firstLine="0"/>
              <w:jc w:val="center"/>
              <w:rPr>
                <w:rFonts w:hint="eastAsia" w:ascii="Times New Roman"/>
                <w:kern w:val="2"/>
                <w:sz w:val="21"/>
                <w:szCs w:val="21"/>
                <w:lang w:bidi="ar"/>
              </w:rPr>
            </w:pPr>
            <w:r>
              <w:rPr>
                <w:rFonts w:hint="eastAsia" w:ascii="Times New Roman" w:hAnsi="Times New Roman"/>
                <w:kern w:val="2"/>
                <w:sz w:val="21"/>
                <w:szCs w:val="21"/>
                <w:lang w:bidi="ar"/>
              </w:rPr>
              <w:t>T3</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0</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5m</w:t>
            </w:r>
          </w:p>
        </w:tc>
        <w:tc>
          <w:tcPr>
            <w:tcW w:w="969" w:type="dxa"/>
            <w:noWrap w:val="0"/>
            <w:vAlign w:val="center"/>
          </w:tcPr>
          <w:p>
            <w:pPr>
              <w:spacing w:line="240" w:lineRule="auto"/>
              <w:ind w:firstLine="0"/>
              <w:jc w:val="center"/>
              <w:rPr>
                <w:rFonts w:hint="eastAsia" w:ascii="Times New Roman"/>
                <w:kern w:val="2"/>
                <w:sz w:val="21"/>
                <w:szCs w:val="21"/>
                <w:lang w:bidi="ar"/>
              </w:rPr>
            </w:pPr>
            <w:r>
              <w:rPr>
                <w:rFonts w:hint="eastAsia" w:ascii="Times New Roman" w:hAnsi="Times New Roman"/>
                <w:kern w:val="2"/>
                <w:sz w:val="21"/>
                <w:szCs w:val="21"/>
                <w:lang w:bidi="ar"/>
              </w:rPr>
              <w:t>T3</w:t>
            </w:r>
            <w:r>
              <w:rPr>
                <w:rFonts w:hint="eastAsia" w:ascii="Times New Roman" w:hAnsi="宋体" w:cs="宋体"/>
                <w:kern w:val="2"/>
                <w:sz w:val="21"/>
                <w:szCs w:val="21"/>
                <w:lang w:bidi="ar"/>
              </w:rPr>
              <w:t>-</w:t>
            </w:r>
            <w:r>
              <w:rPr>
                <w:rFonts w:hint="eastAsia" w:ascii="Times New Roman" w:hAnsi="Times New Roman" w:cs="宋体"/>
                <w:kern w:val="2"/>
                <w:sz w:val="21"/>
                <w:szCs w:val="21"/>
                <w:lang w:bidi="ar"/>
              </w:rPr>
              <w:t>1m</w:t>
            </w:r>
          </w:p>
        </w:tc>
        <w:tc>
          <w:tcPr>
            <w:tcW w:w="853" w:type="dxa"/>
            <w:noWrap w:val="0"/>
            <w:vAlign w:val="center"/>
          </w:tcPr>
          <w:p>
            <w:pPr>
              <w:spacing w:line="240" w:lineRule="auto"/>
              <w:ind w:firstLine="0"/>
              <w:jc w:val="center"/>
              <w:rPr>
                <w:rFonts w:hint="eastAsia" w:ascii="Times New Roman"/>
                <w:kern w:val="2"/>
                <w:sz w:val="21"/>
                <w:szCs w:val="21"/>
                <w:lang w:bidi="ar"/>
              </w:rPr>
            </w:pPr>
            <w:r>
              <w:rPr>
                <w:rFonts w:hint="eastAsia" w:ascii="Times New Roman" w:hAnsi="Times New Roman"/>
                <w:kern w:val="2"/>
                <w:sz w:val="21"/>
                <w:szCs w:val="21"/>
                <w:lang w:bidi="ar"/>
              </w:rPr>
              <w:t>T3</w:t>
            </w:r>
            <w:r>
              <w:rPr>
                <w:rFonts w:hint="eastAsia" w:ascii="Times New Roman" w:hAnsi="宋体" w:cs="宋体"/>
                <w:kern w:val="2"/>
                <w:sz w:val="21"/>
                <w:szCs w:val="21"/>
                <w:lang w:bidi="ar"/>
              </w:rPr>
              <w:t>-</w:t>
            </w:r>
            <w:r>
              <w:rPr>
                <w:rFonts w:hint="eastAsia" w:ascii="Times New Roman" w:hAnsi="Times New Roman" w:cs="宋体"/>
                <w:kern w:val="2"/>
                <w:sz w:val="21"/>
                <w:szCs w:val="21"/>
                <w:lang w:val="en-US" w:eastAsia="zh-CN" w:bidi="ar"/>
              </w:rPr>
              <w:t>2</w:t>
            </w:r>
            <w:r>
              <w:rPr>
                <w:rFonts w:hint="eastAsia" w:ascii="Times New Roman" w:hAnsi="Times New Roman" w:cs="宋体"/>
                <w:kern w:val="2"/>
                <w:sz w:val="21"/>
                <w:szCs w:val="21"/>
                <w:lang w:bidi="ar"/>
              </w:rPr>
              <w:t>m</w:t>
            </w:r>
          </w:p>
        </w:tc>
        <w:tc>
          <w:tcPr>
            <w:tcW w:w="836" w:type="dxa"/>
            <w:noWrap w:val="0"/>
            <w:vAlign w:val="center"/>
          </w:tcPr>
          <w:p>
            <w:pPr>
              <w:spacing w:line="240" w:lineRule="auto"/>
              <w:ind w:firstLine="0"/>
              <w:jc w:val="center"/>
              <w:rPr>
                <w:rFonts w:ascii="Times New Roman"/>
                <w:kern w:val="2"/>
                <w:sz w:val="21"/>
                <w:szCs w:val="21"/>
                <w:lang w:bidi="ar"/>
              </w:rPr>
            </w:pPr>
            <w:r>
              <w:rPr>
                <w:rFonts w:hint="eastAsia" w:ascii="Times New Roman" w:hAnsi="Times New Roman"/>
                <w:kern w:val="2"/>
                <w:sz w:val="21"/>
                <w:szCs w:val="21"/>
                <w:lang w:bidi="ar"/>
              </w:rPr>
              <w:t>T4</w:t>
            </w:r>
          </w:p>
        </w:tc>
        <w:tc>
          <w:tcPr>
            <w:tcW w:w="836" w:type="dxa"/>
            <w:noWrap w:val="0"/>
            <w:vAlign w:val="center"/>
          </w:tcPr>
          <w:p>
            <w:pPr>
              <w:spacing w:line="240" w:lineRule="auto"/>
              <w:ind w:firstLine="0"/>
              <w:jc w:val="center"/>
              <w:rPr>
                <w:rFonts w:ascii="Times New Roman"/>
                <w:kern w:val="2"/>
                <w:sz w:val="21"/>
                <w:szCs w:val="21"/>
                <w:lang w:bidi="ar"/>
              </w:rPr>
            </w:pPr>
            <w:r>
              <w:rPr>
                <w:rFonts w:hint="eastAsia" w:ascii="Times New Roman" w:hAnsi="Times New Roman"/>
                <w:kern w:val="2"/>
                <w:sz w:val="21"/>
                <w:szCs w:val="21"/>
                <w:lang w:bidi="ar"/>
              </w:rPr>
              <w:t>T5</w:t>
            </w:r>
          </w:p>
        </w:tc>
        <w:tc>
          <w:tcPr>
            <w:tcW w:w="1009" w:type="dxa"/>
            <w:noWrap w:val="0"/>
            <w:vAlign w:val="center"/>
          </w:tcPr>
          <w:p>
            <w:pPr>
              <w:spacing w:line="240" w:lineRule="auto"/>
              <w:ind w:firstLine="0"/>
              <w:jc w:val="center"/>
              <w:rPr>
                <w:rFonts w:ascii="Times New Roman"/>
                <w:kern w:val="2"/>
                <w:sz w:val="21"/>
                <w:szCs w:val="21"/>
                <w:lang w:bidi="ar"/>
              </w:rPr>
            </w:pPr>
            <w:r>
              <w:rPr>
                <w:rFonts w:hint="eastAsia" w:ascii="Times New Roman" w:hAnsi="Times New Roman"/>
                <w:kern w:val="2"/>
                <w:sz w:val="21"/>
                <w:szCs w:val="21"/>
                <w:lang w:bidi="ar"/>
              </w:rPr>
              <w:t>T6</w:t>
            </w:r>
          </w:p>
        </w:tc>
        <w:tc>
          <w:tcPr>
            <w:tcW w:w="1524" w:type="dxa"/>
            <w:vMerge w:val="continue"/>
            <w:noWrap w:val="0"/>
            <w:vAlign w:val="center"/>
          </w:tcPr>
          <w:p>
            <w:pPr>
              <w:spacing w:line="240" w:lineRule="auto"/>
              <w:ind w:firstLine="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60" w:type="dxa"/>
            <w:noWrap w:val="0"/>
            <w:vAlign w:val="center"/>
          </w:tcPr>
          <w:p>
            <w:pPr>
              <w:spacing w:line="240" w:lineRule="auto"/>
              <w:ind w:firstLine="0"/>
              <w:jc w:val="center"/>
              <w:rPr>
                <w:sz w:val="21"/>
                <w:szCs w:val="21"/>
              </w:rPr>
            </w:pPr>
            <w:r>
              <w:rPr>
                <w:rFonts w:ascii="Times New Roman" w:hAnsi="Times New Roman"/>
                <w:kern w:val="2"/>
                <w:sz w:val="21"/>
                <w:szCs w:val="21"/>
                <w:lang w:bidi="ar"/>
              </w:rPr>
              <w:t>1</w:t>
            </w:r>
          </w:p>
        </w:tc>
        <w:tc>
          <w:tcPr>
            <w:tcW w:w="1045" w:type="dxa"/>
            <w:noWrap w:val="0"/>
            <w:vAlign w:val="center"/>
          </w:tcPr>
          <w:p>
            <w:pPr>
              <w:spacing w:line="240" w:lineRule="auto"/>
              <w:ind w:firstLine="0"/>
              <w:jc w:val="center"/>
              <w:rPr>
                <w:sz w:val="21"/>
                <w:szCs w:val="21"/>
              </w:rPr>
            </w:pPr>
            <w:r>
              <w:rPr>
                <w:rFonts w:hint="eastAsia" w:ascii="Times New Roman" w:hAnsi="宋体" w:cs="宋体"/>
                <w:sz w:val="21"/>
                <w:szCs w:val="21"/>
                <w:lang w:bidi="ar"/>
              </w:rPr>
              <w:t>砷</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13</w:t>
            </w:r>
            <w:r>
              <w:rPr>
                <w:rFonts w:hint="eastAsia"/>
                <w:sz w:val="21"/>
                <w:szCs w:val="21"/>
                <w:lang w:val="en-US" w:eastAsia="zh-CN"/>
              </w:rPr>
              <w:t>.</w:t>
            </w:r>
            <w:r>
              <w:rPr>
                <w:rFonts w:hint="eastAsia" w:ascii="Times New Roman" w:hAnsi="Times New Roman"/>
                <w:sz w:val="21"/>
                <w:szCs w:val="21"/>
                <w:lang w:val="en-US" w:eastAsia="zh-CN"/>
              </w:rPr>
              <w:t>7</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8</w:t>
            </w:r>
            <w:r>
              <w:rPr>
                <w:rFonts w:hint="eastAsia"/>
                <w:sz w:val="21"/>
                <w:szCs w:val="21"/>
                <w:lang w:val="en-US" w:eastAsia="zh-CN"/>
              </w:rPr>
              <w:t>.</w:t>
            </w:r>
            <w:r>
              <w:rPr>
                <w:rFonts w:hint="eastAsia" w:ascii="Times New Roman" w:hAnsi="Times New Roman"/>
                <w:sz w:val="21"/>
                <w:szCs w:val="21"/>
                <w:lang w:val="en-US" w:eastAsia="zh-CN"/>
              </w:rPr>
              <w:t>70</w:t>
            </w:r>
          </w:p>
        </w:tc>
        <w:tc>
          <w:tcPr>
            <w:tcW w:w="870"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62</w:t>
            </w:r>
          </w:p>
        </w:tc>
        <w:tc>
          <w:tcPr>
            <w:tcW w:w="96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12</w:t>
            </w:r>
            <w:r>
              <w:rPr>
                <w:rFonts w:hint="eastAsia"/>
                <w:sz w:val="21"/>
                <w:szCs w:val="21"/>
                <w:lang w:val="en-US" w:eastAsia="zh-CN"/>
              </w:rPr>
              <w:t>.</w:t>
            </w:r>
            <w:r>
              <w:rPr>
                <w:rFonts w:hint="eastAsia" w:ascii="Times New Roman" w:hAnsi="Times New Roman"/>
                <w:sz w:val="21"/>
                <w:szCs w:val="21"/>
                <w:lang w:val="en-US" w:eastAsia="zh-CN"/>
              </w:rPr>
              <w:t>9</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8</w:t>
            </w:r>
            <w:r>
              <w:rPr>
                <w:rFonts w:hint="eastAsia"/>
                <w:sz w:val="21"/>
                <w:szCs w:val="21"/>
                <w:lang w:val="en-US" w:eastAsia="zh-CN"/>
              </w:rPr>
              <w:t>.</w:t>
            </w:r>
            <w:r>
              <w:rPr>
                <w:rFonts w:hint="eastAsia" w:ascii="Times New Roman" w:hAnsi="Times New Roman"/>
                <w:sz w:val="21"/>
                <w:szCs w:val="21"/>
                <w:lang w:val="en-US" w:eastAsia="zh-CN"/>
              </w:rPr>
              <w:t>02</w:t>
            </w:r>
          </w:p>
        </w:tc>
        <w:tc>
          <w:tcPr>
            <w:tcW w:w="835"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41</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13</w:t>
            </w:r>
            <w:r>
              <w:rPr>
                <w:rFonts w:hint="eastAsia"/>
                <w:sz w:val="21"/>
                <w:szCs w:val="21"/>
                <w:lang w:val="en-US" w:eastAsia="zh-CN"/>
              </w:rPr>
              <w:t>.</w:t>
            </w:r>
            <w:r>
              <w:rPr>
                <w:rFonts w:hint="eastAsia" w:ascii="Times New Roman" w:hAnsi="Times New Roman"/>
                <w:sz w:val="21"/>
                <w:szCs w:val="21"/>
                <w:lang w:val="en-US" w:eastAsia="zh-CN"/>
              </w:rPr>
              <w:t>5</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7</w:t>
            </w:r>
            <w:r>
              <w:rPr>
                <w:rFonts w:hint="eastAsia"/>
                <w:sz w:val="21"/>
                <w:szCs w:val="21"/>
                <w:lang w:val="en-US" w:eastAsia="zh-CN"/>
              </w:rPr>
              <w:t>.</w:t>
            </w:r>
            <w:r>
              <w:rPr>
                <w:rFonts w:hint="eastAsia" w:ascii="Times New Roman" w:hAnsi="Times New Roman"/>
                <w:sz w:val="21"/>
                <w:szCs w:val="21"/>
                <w:lang w:val="en-US" w:eastAsia="zh-CN"/>
              </w:rPr>
              <w:t>89</w:t>
            </w:r>
          </w:p>
        </w:tc>
        <w:tc>
          <w:tcPr>
            <w:tcW w:w="853"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w:t>
            </w:r>
            <w:r>
              <w:rPr>
                <w:rFonts w:hint="eastAsia"/>
                <w:sz w:val="21"/>
                <w:szCs w:val="21"/>
                <w:lang w:val="en-US" w:eastAsia="zh-CN"/>
              </w:rPr>
              <w:t>.</w:t>
            </w:r>
            <w:r>
              <w:rPr>
                <w:rFonts w:hint="eastAsia" w:ascii="Times New Roman" w:hAnsi="Times New Roman"/>
                <w:sz w:val="21"/>
                <w:szCs w:val="21"/>
                <w:lang w:val="en-US" w:eastAsia="zh-CN"/>
              </w:rPr>
              <w:t>05</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15</w:t>
            </w:r>
            <w:r>
              <w:rPr>
                <w:rFonts w:hint="eastAsia"/>
                <w:sz w:val="21"/>
                <w:szCs w:val="21"/>
                <w:lang w:val="en-US" w:eastAsia="zh-CN"/>
              </w:rPr>
              <w:t>.</w:t>
            </w:r>
            <w:r>
              <w:rPr>
                <w:rFonts w:hint="eastAsia" w:ascii="Times New Roman" w:hAnsi="Times New Roman"/>
                <w:sz w:val="21"/>
                <w:szCs w:val="21"/>
                <w:lang w:val="en-US" w:eastAsia="zh-CN"/>
              </w:rPr>
              <w:t>3</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15</w:t>
            </w:r>
            <w:r>
              <w:rPr>
                <w:rFonts w:hint="eastAsia"/>
                <w:sz w:val="21"/>
                <w:szCs w:val="21"/>
                <w:lang w:val="en-US" w:eastAsia="zh-CN"/>
              </w:rPr>
              <w:t>.</w:t>
            </w:r>
            <w:r>
              <w:rPr>
                <w:rFonts w:hint="eastAsia" w:ascii="Times New Roman" w:hAnsi="Times New Roman"/>
                <w:sz w:val="21"/>
                <w:szCs w:val="21"/>
                <w:lang w:val="en-US" w:eastAsia="zh-CN"/>
              </w:rPr>
              <w:t>2</w:t>
            </w:r>
          </w:p>
        </w:tc>
        <w:tc>
          <w:tcPr>
            <w:tcW w:w="100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14</w:t>
            </w:r>
            <w:r>
              <w:rPr>
                <w:rFonts w:hint="eastAsia"/>
                <w:sz w:val="21"/>
                <w:szCs w:val="21"/>
                <w:lang w:val="en-US" w:eastAsia="zh-CN"/>
              </w:rPr>
              <w:t>.</w:t>
            </w:r>
            <w:r>
              <w:rPr>
                <w:rFonts w:hint="eastAsia" w:ascii="Times New Roman" w:hAnsi="Times New Roman"/>
                <w:sz w:val="21"/>
                <w:szCs w:val="21"/>
                <w:lang w:val="en-US" w:eastAsia="zh-CN"/>
              </w:rPr>
              <w:t>5</w:t>
            </w:r>
          </w:p>
        </w:tc>
        <w:tc>
          <w:tcPr>
            <w:tcW w:w="1524" w:type="dxa"/>
            <w:noWrap w:val="0"/>
            <w:vAlign w:val="center"/>
          </w:tcPr>
          <w:p>
            <w:pPr>
              <w:spacing w:line="240" w:lineRule="auto"/>
              <w:ind w:firstLine="0"/>
              <w:jc w:val="center"/>
              <w:rPr>
                <w:rFonts w:hint="eastAsia" w:hAnsi="宋体" w:cs="宋体"/>
                <w:sz w:val="21"/>
                <w:szCs w:val="21"/>
              </w:rPr>
            </w:pPr>
            <w:r>
              <w:rPr>
                <w:rFonts w:hint="eastAsia" w:hAnsi="宋体" w:cs="宋体"/>
                <w:kern w:val="2"/>
                <w:sz w:val="21"/>
                <w:szCs w:val="21"/>
                <w:lang w:bidi="ar"/>
              </w:rPr>
              <w:t>≤</w:t>
            </w:r>
            <w:r>
              <w:rPr>
                <w:rFonts w:hint="eastAsia" w:ascii="Times New Roman" w:hAnsi="Times New Roman"/>
                <w:kern w:val="2"/>
                <w:sz w:val="21"/>
                <w:szCs w:val="21"/>
                <w:lang w:bidi="ar"/>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60" w:type="dxa"/>
            <w:noWrap w:val="0"/>
            <w:vAlign w:val="center"/>
          </w:tcPr>
          <w:p>
            <w:pPr>
              <w:spacing w:line="240" w:lineRule="auto"/>
              <w:ind w:firstLine="0"/>
              <w:jc w:val="center"/>
              <w:rPr>
                <w:sz w:val="21"/>
                <w:szCs w:val="21"/>
              </w:rPr>
            </w:pPr>
            <w:r>
              <w:rPr>
                <w:rFonts w:ascii="Times New Roman" w:hAnsi="Times New Roman"/>
                <w:kern w:val="2"/>
                <w:sz w:val="21"/>
                <w:szCs w:val="21"/>
                <w:lang w:bidi="ar"/>
              </w:rPr>
              <w:t>2</w:t>
            </w:r>
          </w:p>
        </w:tc>
        <w:tc>
          <w:tcPr>
            <w:tcW w:w="1045" w:type="dxa"/>
            <w:noWrap w:val="0"/>
            <w:vAlign w:val="center"/>
          </w:tcPr>
          <w:p>
            <w:pPr>
              <w:spacing w:line="240" w:lineRule="auto"/>
              <w:ind w:firstLine="0"/>
              <w:jc w:val="center"/>
              <w:rPr>
                <w:sz w:val="21"/>
                <w:szCs w:val="21"/>
              </w:rPr>
            </w:pPr>
            <w:r>
              <w:rPr>
                <w:rFonts w:hint="eastAsia" w:ascii="Times New Roman" w:hAnsi="宋体" w:cs="宋体"/>
                <w:sz w:val="21"/>
                <w:szCs w:val="21"/>
                <w:lang w:bidi="ar"/>
              </w:rPr>
              <w:t>镉</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16</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14</w:t>
            </w:r>
          </w:p>
        </w:tc>
        <w:tc>
          <w:tcPr>
            <w:tcW w:w="870"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05</w:t>
            </w:r>
          </w:p>
        </w:tc>
        <w:tc>
          <w:tcPr>
            <w:tcW w:w="96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17</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10</w:t>
            </w:r>
          </w:p>
        </w:tc>
        <w:tc>
          <w:tcPr>
            <w:tcW w:w="835"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10</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17</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15</w:t>
            </w:r>
          </w:p>
        </w:tc>
        <w:tc>
          <w:tcPr>
            <w:tcW w:w="853"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09</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30</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26</w:t>
            </w:r>
          </w:p>
        </w:tc>
        <w:tc>
          <w:tcPr>
            <w:tcW w:w="100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30</w:t>
            </w:r>
          </w:p>
        </w:tc>
        <w:tc>
          <w:tcPr>
            <w:tcW w:w="1524" w:type="dxa"/>
            <w:noWrap w:val="0"/>
            <w:vAlign w:val="center"/>
          </w:tcPr>
          <w:p>
            <w:pPr>
              <w:spacing w:line="240" w:lineRule="auto"/>
              <w:ind w:firstLine="0"/>
              <w:jc w:val="center"/>
              <w:rPr>
                <w:rFonts w:hint="eastAsia" w:hAnsi="宋体" w:cs="宋体"/>
                <w:sz w:val="21"/>
                <w:szCs w:val="21"/>
              </w:rPr>
            </w:pPr>
            <w:r>
              <w:rPr>
                <w:rFonts w:hint="eastAsia" w:hAnsi="宋体" w:cs="宋体"/>
                <w:kern w:val="2"/>
                <w:sz w:val="21"/>
                <w:szCs w:val="21"/>
                <w:lang w:bidi="ar"/>
              </w:rPr>
              <w:t>≤</w:t>
            </w:r>
            <w:r>
              <w:rPr>
                <w:rFonts w:hint="eastAsia" w:ascii="Times New Roman" w:hAnsi="Times New Roman"/>
                <w:kern w:val="2"/>
                <w:sz w:val="21"/>
                <w:szCs w:val="21"/>
                <w:lang w:bidi="ar"/>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60" w:type="dxa"/>
            <w:noWrap w:val="0"/>
            <w:vAlign w:val="center"/>
          </w:tcPr>
          <w:p>
            <w:pPr>
              <w:spacing w:line="240" w:lineRule="auto"/>
              <w:ind w:firstLine="0"/>
              <w:jc w:val="center"/>
              <w:rPr>
                <w:sz w:val="21"/>
                <w:szCs w:val="21"/>
              </w:rPr>
            </w:pPr>
            <w:r>
              <w:rPr>
                <w:rFonts w:ascii="Times New Roman" w:hAnsi="Times New Roman"/>
                <w:kern w:val="2"/>
                <w:sz w:val="21"/>
                <w:szCs w:val="21"/>
                <w:lang w:bidi="ar"/>
              </w:rPr>
              <w:t>3</w:t>
            </w:r>
          </w:p>
        </w:tc>
        <w:tc>
          <w:tcPr>
            <w:tcW w:w="1045" w:type="dxa"/>
            <w:noWrap w:val="0"/>
            <w:vAlign w:val="center"/>
          </w:tcPr>
          <w:p>
            <w:pPr>
              <w:spacing w:line="240" w:lineRule="auto"/>
              <w:ind w:firstLine="0"/>
              <w:jc w:val="center"/>
              <w:rPr>
                <w:sz w:val="21"/>
                <w:szCs w:val="21"/>
              </w:rPr>
            </w:pPr>
            <w:r>
              <w:rPr>
                <w:rFonts w:hint="eastAsia" w:ascii="Times New Roman" w:hAnsi="宋体" w:cs="宋体"/>
                <w:sz w:val="21"/>
                <w:szCs w:val="21"/>
                <w:lang w:bidi="ar"/>
              </w:rPr>
              <w:t>铬（六价）</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5</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4</w:t>
            </w:r>
          </w:p>
        </w:tc>
        <w:tc>
          <w:tcPr>
            <w:tcW w:w="870"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1</w:t>
            </w:r>
            <w:r>
              <w:rPr>
                <w:rFonts w:hint="eastAsia"/>
                <w:sz w:val="21"/>
                <w:szCs w:val="21"/>
                <w:lang w:val="en-US" w:eastAsia="zh-CN"/>
              </w:rPr>
              <w:t>.</w:t>
            </w:r>
            <w:r>
              <w:rPr>
                <w:rFonts w:hint="eastAsia" w:ascii="Times New Roman" w:hAnsi="Times New Roman"/>
                <w:sz w:val="21"/>
                <w:szCs w:val="21"/>
                <w:lang w:val="en-US" w:eastAsia="zh-CN"/>
              </w:rPr>
              <w:t>7</w:t>
            </w:r>
          </w:p>
        </w:tc>
        <w:tc>
          <w:tcPr>
            <w:tcW w:w="96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6</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3</w:t>
            </w:r>
          </w:p>
        </w:tc>
        <w:tc>
          <w:tcPr>
            <w:tcW w:w="835"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w:t>
            </w:r>
            <w:r>
              <w:rPr>
                <w:rFonts w:hint="eastAsia"/>
                <w:sz w:val="21"/>
                <w:szCs w:val="21"/>
                <w:lang w:val="en-US" w:eastAsia="zh-CN"/>
              </w:rPr>
              <w:t>.</w:t>
            </w:r>
            <w:r>
              <w:rPr>
                <w:rFonts w:hint="eastAsia" w:ascii="Times New Roman" w:hAnsi="Times New Roman"/>
                <w:sz w:val="21"/>
                <w:szCs w:val="21"/>
                <w:lang w:val="en-US" w:eastAsia="zh-CN"/>
              </w:rPr>
              <w:t>6</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6</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w:t>
            </w:r>
            <w:r>
              <w:rPr>
                <w:rFonts w:hint="eastAsia"/>
                <w:sz w:val="21"/>
                <w:szCs w:val="21"/>
                <w:lang w:val="en-US" w:eastAsia="zh-CN"/>
              </w:rPr>
              <w:t>.</w:t>
            </w:r>
            <w:r>
              <w:rPr>
                <w:rFonts w:hint="eastAsia" w:ascii="Times New Roman" w:hAnsi="Times New Roman"/>
                <w:sz w:val="21"/>
                <w:szCs w:val="21"/>
                <w:lang w:val="en-US" w:eastAsia="zh-CN"/>
              </w:rPr>
              <w:t>4</w:t>
            </w:r>
          </w:p>
        </w:tc>
        <w:tc>
          <w:tcPr>
            <w:tcW w:w="853"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w:t>
            </w:r>
            <w:r>
              <w:rPr>
                <w:rFonts w:hint="eastAsia"/>
                <w:sz w:val="21"/>
                <w:szCs w:val="21"/>
                <w:lang w:val="en-US" w:eastAsia="zh-CN"/>
              </w:rPr>
              <w:t>.</w:t>
            </w:r>
            <w:r>
              <w:rPr>
                <w:rFonts w:hint="eastAsia" w:ascii="Times New Roman" w:hAnsi="Times New Roman"/>
                <w:sz w:val="21"/>
                <w:szCs w:val="21"/>
                <w:lang w:val="en-US" w:eastAsia="zh-CN"/>
              </w:rPr>
              <w:t>5</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w:t>
            </w:r>
            <w:r>
              <w:rPr>
                <w:rFonts w:hint="eastAsia"/>
                <w:sz w:val="21"/>
                <w:szCs w:val="21"/>
                <w:lang w:val="en-US" w:eastAsia="zh-CN"/>
              </w:rPr>
              <w:t>.</w:t>
            </w:r>
            <w:r>
              <w:rPr>
                <w:rFonts w:hint="eastAsia" w:ascii="Times New Roman" w:hAnsi="Times New Roman"/>
                <w:sz w:val="21"/>
                <w:szCs w:val="21"/>
                <w:lang w:val="en-US" w:eastAsia="zh-CN"/>
              </w:rPr>
              <w:t>2</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w:t>
            </w:r>
            <w:r>
              <w:rPr>
                <w:rFonts w:hint="eastAsia"/>
                <w:sz w:val="21"/>
                <w:szCs w:val="21"/>
                <w:lang w:val="en-US" w:eastAsia="zh-CN"/>
              </w:rPr>
              <w:t>.</w:t>
            </w:r>
            <w:r>
              <w:rPr>
                <w:rFonts w:hint="eastAsia" w:ascii="Times New Roman" w:hAnsi="Times New Roman"/>
                <w:sz w:val="21"/>
                <w:szCs w:val="21"/>
                <w:lang w:val="en-US" w:eastAsia="zh-CN"/>
              </w:rPr>
              <w:t>3</w:t>
            </w:r>
          </w:p>
        </w:tc>
        <w:tc>
          <w:tcPr>
            <w:tcW w:w="100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w:t>
            </w:r>
            <w:r>
              <w:rPr>
                <w:rFonts w:hint="eastAsia"/>
                <w:sz w:val="21"/>
                <w:szCs w:val="21"/>
                <w:lang w:val="en-US" w:eastAsia="zh-CN"/>
              </w:rPr>
              <w:t>.</w:t>
            </w:r>
            <w:r>
              <w:rPr>
                <w:rFonts w:hint="eastAsia" w:ascii="Times New Roman" w:hAnsi="Times New Roman"/>
                <w:sz w:val="21"/>
                <w:szCs w:val="21"/>
                <w:lang w:val="en-US" w:eastAsia="zh-CN"/>
              </w:rPr>
              <w:t>2</w:t>
            </w:r>
          </w:p>
        </w:tc>
        <w:tc>
          <w:tcPr>
            <w:tcW w:w="1524" w:type="dxa"/>
            <w:noWrap w:val="0"/>
            <w:vAlign w:val="center"/>
          </w:tcPr>
          <w:p>
            <w:pPr>
              <w:spacing w:line="240" w:lineRule="auto"/>
              <w:ind w:firstLine="0"/>
              <w:jc w:val="center"/>
              <w:rPr>
                <w:rFonts w:hint="eastAsia" w:hAnsi="宋体" w:cs="宋体"/>
                <w:sz w:val="21"/>
                <w:szCs w:val="21"/>
              </w:rPr>
            </w:pPr>
            <w:r>
              <w:rPr>
                <w:rFonts w:hint="eastAsia" w:hAnsi="宋体" w:cs="宋体"/>
                <w:kern w:val="2"/>
                <w:sz w:val="21"/>
                <w:szCs w:val="21"/>
                <w:lang w:bidi="ar"/>
              </w:rPr>
              <w:t>≤</w:t>
            </w:r>
            <w:r>
              <w:rPr>
                <w:rFonts w:hint="eastAsia" w:ascii="Times New Roman" w:hAnsi="Times New Roman"/>
                <w:kern w:val="2"/>
                <w:sz w:val="21"/>
                <w:szCs w:val="21"/>
                <w:lang w:bidi="ar"/>
              </w:rPr>
              <w:t>5</w:t>
            </w:r>
            <w:r>
              <w:rPr>
                <w:rFonts w:hint="eastAsia" w:hAnsi="宋体" w:cs="宋体"/>
                <w:kern w:val="2"/>
                <w:sz w:val="21"/>
                <w:szCs w:val="21"/>
                <w:lang w:bidi="ar"/>
              </w:rPr>
              <w:t>.</w:t>
            </w:r>
            <w:r>
              <w:rPr>
                <w:rFonts w:hint="eastAsia" w:ascii="Times New Roman" w:hAnsi="Times New Roman"/>
                <w:kern w:val="2"/>
                <w:sz w:val="21"/>
                <w:szCs w:val="21"/>
                <w:lang w:bidi="ar"/>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60" w:type="dxa"/>
            <w:noWrap w:val="0"/>
            <w:vAlign w:val="center"/>
          </w:tcPr>
          <w:p>
            <w:pPr>
              <w:spacing w:line="240" w:lineRule="auto"/>
              <w:ind w:firstLine="0"/>
              <w:jc w:val="center"/>
              <w:rPr>
                <w:sz w:val="21"/>
                <w:szCs w:val="21"/>
              </w:rPr>
            </w:pPr>
            <w:r>
              <w:rPr>
                <w:rFonts w:ascii="Times New Roman" w:hAnsi="Times New Roman"/>
                <w:kern w:val="2"/>
                <w:sz w:val="21"/>
                <w:szCs w:val="21"/>
                <w:lang w:bidi="ar"/>
              </w:rPr>
              <w:t>4</w:t>
            </w:r>
          </w:p>
        </w:tc>
        <w:tc>
          <w:tcPr>
            <w:tcW w:w="1045" w:type="dxa"/>
            <w:noWrap w:val="0"/>
            <w:vAlign w:val="center"/>
          </w:tcPr>
          <w:p>
            <w:pPr>
              <w:spacing w:line="240" w:lineRule="auto"/>
              <w:ind w:firstLine="0"/>
              <w:jc w:val="center"/>
              <w:rPr>
                <w:sz w:val="21"/>
                <w:szCs w:val="21"/>
              </w:rPr>
            </w:pPr>
            <w:r>
              <w:rPr>
                <w:rFonts w:hint="eastAsia" w:ascii="Times New Roman" w:hAnsi="宋体" w:cs="宋体"/>
                <w:sz w:val="21"/>
                <w:szCs w:val="21"/>
                <w:lang w:bidi="ar"/>
              </w:rPr>
              <w:t>铜</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33</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30</w:t>
            </w:r>
          </w:p>
        </w:tc>
        <w:tc>
          <w:tcPr>
            <w:tcW w:w="870"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29</w:t>
            </w:r>
          </w:p>
        </w:tc>
        <w:tc>
          <w:tcPr>
            <w:tcW w:w="96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35</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28</w:t>
            </w:r>
          </w:p>
        </w:tc>
        <w:tc>
          <w:tcPr>
            <w:tcW w:w="835"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23</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35</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28</w:t>
            </w:r>
          </w:p>
        </w:tc>
        <w:tc>
          <w:tcPr>
            <w:tcW w:w="853"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26</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37</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36</w:t>
            </w:r>
          </w:p>
        </w:tc>
        <w:tc>
          <w:tcPr>
            <w:tcW w:w="100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38</w:t>
            </w:r>
          </w:p>
        </w:tc>
        <w:tc>
          <w:tcPr>
            <w:tcW w:w="1524" w:type="dxa"/>
            <w:noWrap w:val="0"/>
            <w:vAlign w:val="center"/>
          </w:tcPr>
          <w:p>
            <w:pPr>
              <w:spacing w:line="240" w:lineRule="auto"/>
              <w:ind w:firstLine="0"/>
              <w:jc w:val="center"/>
              <w:rPr>
                <w:rFonts w:hint="eastAsia" w:hAnsi="宋体" w:cs="宋体"/>
                <w:sz w:val="21"/>
                <w:szCs w:val="21"/>
              </w:rPr>
            </w:pPr>
            <w:r>
              <w:rPr>
                <w:rFonts w:hint="eastAsia" w:hAnsi="宋体" w:cs="宋体"/>
                <w:kern w:val="2"/>
                <w:sz w:val="21"/>
                <w:szCs w:val="21"/>
                <w:lang w:bidi="ar"/>
              </w:rPr>
              <w:t>≤</w:t>
            </w:r>
            <w:r>
              <w:rPr>
                <w:rFonts w:hint="eastAsia" w:ascii="Times New Roman" w:hAnsi="Times New Roman"/>
                <w:kern w:val="2"/>
                <w:sz w:val="21"/>
                <w:szCs w:val="21"/>
                <w:lang w:bidi="ar"/>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60" w:type="dxa"/>
            <w:noWrap w:val="0"/>
            <w:vAlign w:val="center"/>
          </w:tcPr>
          <w:p>
            <w:pPr>
              <w:spacing w:line="240" w:lineRule="auto"/>
              <w:ind w:firstLine="0"/>
              <w:jc w:val="center"/>
              <w:rPr>
                <w:sz w:val="21"/>
                <w:szCs w:val="21"/>
              </w:rPr>
            </w:pPr>
            <w:r>
              <w:rPr>
                <w:rFonts w:ascii="Times New Roman" w:hAnsi="Times New Roman"/>
                <w:kern w:val="2"/>
                <w:sz w:val="21"/>
                <w:szCs w:val="21"/>
                <w:lang w:bidi="ar"/>
              </w:rPr>
              <w:t>5</w:t>
            </w:r>
          </w:p>
        </w:tc>
        <w:tc>
          <w:tcPr>
            <w:tcW w:w="1045" w:type="dxa"/>
            <w:noWrap w:val="0"/>
            <w:vAlign w:val="center"/>
          </w:tcPr>
          <w:p>
            <w:pPr>
              <w:spacing w:line="240" w:lineRule="auto"/>
              <w:ind w:firstLine="0"/>
              <w:jc w:val="center"/>
              <w:rPr>
                <w:sz w:val="21"/>
                <w:szCs w:val="21"/>
              </w:rPr>
            </w:pPr>
            <w:r>
              <w:rPr>
                <w:rFonts w:hint="eastAsia" w:ascii="Times New Roman" w:hAnsi="宋体" w:cs="宋体"/>
                <w:sz w:val="21"/>
                <w:szCs w:val="21"/>
                <w:lang w:bidi="ar"/>
              </w:rPr>
              <w:t>铅</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24</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18</w:t>
            </w:r>
          </w:p>
        </w:tc>
        <w:tc>
          <w:tcPr>
            <w:tcW w:w="870"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13</w:t>
            </w:r>
          </w:p>
        </w:tc>
        <w:tc>
          <w:tcPr>
            <w:tcW w:w="96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21</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20</w:t>
            </w:r>
          </w:p>
        </w:tc>
        <w:tc>
          <w:tcPr>
            <w:tcW w:w="835"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16</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23</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20</w:t>
            </w:r>
          </w:p>
        </w:tc>
        <w:tc>
          <w:tcPr>
            <w:tcW w:w="853"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18</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25</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26</w:t>
            </w:r>
          </w:p>
        </w:tc>
        <w:tc>
          <w:tcPr>
            <w:tcW w:w="100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26</w:t>
            </w:r>
          </w:p>
        </w:tc>
        <w:tc>
          <w:tcPr>
            <w:tcW w:w="1524" w:type="dxa"/>
            <w:noWrap w:val="0"/>
            <w:vAlign w:val="center"/>
          </w:tcPr>
          <w:p>
            <w:pPr>
              <w:spacing w:line="240" w:lineRule="auto"/>
              <w:ind w:firstLine="0"/>
              <w:jc w:val="center"/>
              <w:rPr>
                <w:rFonts w:hint="eastAsia" w:hAnsi="宋体" w:cs="宋体"/>
                <w:sz w:val="21"/>
                <w:szCs w:val="21"/>
              </w:rPr>
            </w:pPr>
            <w:r>
              <w:rPr>
                <w:rFonts w:hint="eastAsia" w:hAnsi="宋体" w:cs="宋体"/>
                <w:kern w:val="2"/>
                <w:sz w:val="21"/>
                <w:szCs w:val="21"/>
                <w:lang w:bidi="ar"/>
              </w:rPr>
              <w:t>≤</w:t>
            </w:r>
            <w:r>
              <w:rPr>
                <w:rFonts w:hint="eastAsia" w:ascii="Times New Roman" w:hAnsi="Times New Roman"/>
                <w:kern w:val="2"/>
                <w:sz w:val="21"/>
                <w:szCs w:val="21"/>
                <w:lang w:bidi="ar"/>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60" w:type="dxa"/>
            <w:noWrap w:val="0"/>
            <w:vAlign w:val="center"/>
          </w:tcPr>
          <w:p>
            <w:pPr>
              <w:spacing w:line="240" w:lineRule="auto"/>
              <w:ind w:firstLine="0"/>
              <w:jc w:val="center"/>
              <w:rPr>
                <w:sz w:val="21"/>
                <w:szCs w:val="21"/>
              </w:rPr>
            </w:pPr>
            <w:r>
              <w:rPr>
                <w:rFonts w:ascii="Times New Roman" w:hAnsi="Times New Roman"/>
                <w:kern w:val="2"/>
                <w:sz w:val="21"/>
                <w:szCs w:val="21"/>
                <w:lang w:bidi="ar"/>
              </w:rPr>
              <w:t>6</w:t>
            </w:r>
          </w:p>
        </w:tc>
        <w:tc>
          <w:tcPr>
            <w:tcW w:w="1045" w:type="dxa"/>
            <w:noWrap w:val="0"/>
            <w:vAlign w:val="center"/>
          </w:tcPr>
          <w:p>
            <w:pPr>
              <w:spacing w:line="240" w:lineRule="auto"/>
              <w:ind w:firstLine="0"/>
              <w:jc w:val="center"/>
              <w:rPr>
                <w:sz w:val="21"/>
                <w:szCs w:val="21"/>
              </w:rPr>
            </w:pPr>
            <w:r>
              <w:rPr>
                <w:rFonts w:hint="eastAsia" w:ascii="Times New Roman" w:hAnsi="宋体" w:cs="宋体"/>
                <w:sz w:val="21"/>
                <w:szCs w:val="21"/>
                <w:lang w:bidi="ar"/>
              </w:rPr>
              <w:t>汞</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302</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211</w:t>
            </w:r>
          </w:p>
        </w:tc>
        <w:tc>
          <w:tcPr>
            <w:tcW w:w="870"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093</w:t>
            </w:r>
          </w:p>
        </w:tc>
        <w:tc>
          <w:tcPr>
            <w:tcW w:w="96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223</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100</w:t>
            </w:r>
          </w:p>
        </w:tc>
        <w:tc>
          <w:tcPr>
            <w:tcW w:w="835"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310</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310</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192</w:t>
            </w:r>
          </w:p>
        </w:tc>
        <w:tc>
          <w:tcPr>
            <w:tcW w:w="853"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101</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321</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304</w:t>
            </w:r>
          </w:p>
        </w:tc>
        <w:tc>
          <w:tcPr>
            <w:tcW w:w="100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356</w:t>
            </w:r>
          </w:p>
        </w:tc>
        <w:tc>
          <w:tcPr>
            <w:tcW w:w="1524" w:type="dxa"/>
            <w:noWrap w:val="0"/>
            <w:vAlign w:val="center"/>
          </w:tcPr>
          <w:p>
            <w:pPr>
              <w:spacing w:line="240" w:lineRule="auto"/>
              <w:ind w:firstLine="0"/>
              <w:jc w:val="center"/>
              <w:rPr>
                <w:rFonts w:hint="eastAsia" w:hAnsi="宋体" w:cs="宋体"/>
                <w:sz w:val="21"/>
                <w:szCs w:val="21"/>
              </w:rPr>
            </w:pPr>
            <w:r>
              <w:rPr>
                <w:rFonts w:hint="eastAsia" w:hAnsi="宋体" w:cs="宋体"/>
                <w:kern w:val="2"/>
                <w:sz w:val="21"/>
                <w:szCs w:val="21"/>
                <w:lang w:bidi="ar"/>
              </w:rPr>
              <w:t>≤</w:t>
            </w:r>
            <w:r>
              <w:rPr>
                <w:rFonts w:hint="eastAsia" w:ascii="Times New Roman" w:hAnsi="Times New Roman"/>
                <w:kern w:val="2"/>
                <w:sz w:val="21"/>
                <w:szCs w:val="21"/>
                <w:lang w:bidi="ar"/>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60" w:type="dxa"/>
            <w:noWrap w:val="0"/>
            <w:vAlign w:val="center"/>
          </w:tcPr>
          <w:p>
            <w:pPr>
              <w:spacing w:line="240" w:lineRule="auto"/>
              <w:ind w:firstLine="0"/>
              <w:jc w:val="center"/>
              <w:rPr>
                <w:sz w:val="21"/>
                <w:szCs w:val="21"/>
              </w:rPr>
            </w:pPr>
            <w:r>
              <w:rPr>
                <w:rFonts w:ascii="Times New Roman" w:hAnsi="Times New Roman"/>
                <w:kern w:val="2"/>
                <w:sz w:val="21"/>
                <w:szCs w:val="21"/>
                <w:lang w:bidi="ar"/>
              </w:rPr>
              <w:t>7</w:t>
            </w:r>
          </w:p>
        </w:tc>
        <w:tc>
          <w:tcPr>
            <w:tcW w:w="1045" w:type="dxa"/>
            <w:noWrap w:val="0"/>
            <w:vAlign w:val="center"/>
          </w:tcPr>
          <w:p>
            <w:pPr>
              <w:spacing w:line="240" w:lineRule="auto"/>
              <w:ind w:firstLine="0"/>
              <w:jc w:val="center"/>
              <w:rPr>
                <w:sz w:val="21"/>
                <w:szCs w:val="21"/>
              </w:rPr>
            </w:pPr>
            <w:r>
              <w:rPr>
                <w:rFonts w:hint="eastAsia" w:ascii="Times New Roman" w:hAnsi="宋体" w:cs="宋体"/>
                <w:sz w:val="21"/>
                <w:szCs w:val="21"/>
                <w:lang w:bidi="ar"/>
              </w:rPr>
              <w:t>镍</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40</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27</w:t>
            </w:r>
          </w:p>
        </w:tc>
        <w:tc>
          <w:tcPr>
            <w:tcW w:w="870" w:type="dxa"/>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26</w:t>
            </w:r>
          </w:p>
        </w:tc>
        <w:tc>
          <w:tcPr>
            <w:tcW w:w="96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41</w:t>
            </w:r>
          </w:p>
        </w:tc>
        <w:tc>
          <w:tcPr>
            <w:tcW w:w="968"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27</w:t>
            </w:r>
          </w:p>
        </w:tc>
        <w:tc>
          <w:tcPr>
            <w:tcW w:w="835"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25</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38</w:t>
            </w:r>
          </w:p>
        </w:tc>
        <w:tc>
          <w:tcPr>
            <w:tcW w:w="96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25</w:t>
            </w:r>
          </w:p>
        </w:tc>
        <w:tc>
          <w:tcPr>
            <w:tcW w:w="853"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22</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48</w:t>
            </w:r>
          </w:p>
        </w:tc>
        <w:tc>
          <w:tcPr>
            <w:tcW w:w="83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48</w:t>
            </w:r>
          </w:p>
        </w:tc>
        <w:tc>
          <w:tcPr>
            <w:tcW w:w="1009"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43</w:t>
            </w:r>
          </w:p>
        </w:tc>
        <w:tc>
          <w:tcPr>
            <w:tcW w:w="1524" w:type="dxa"/>
            <w:noWrap w:val="0"/>
            <w:vAlign w:val="center"/>
          </w:tcPr>
          <w:p>
            <w:pPr>
              <w:spacing w:line="240" w:lineRule="auto"/>
              <w:ind w:firstLine="0"/>
              <w:jc w:val="center"/>
              <w:rPr>
                <w:rFonts w:hint="eastAsia" w:hAnsi="宋体" w:cs="宋体"/>
                <w:sz w:val="21"/>
                <w:szCs w:val="21"/>
              </w:rPr>
            </w:pPr>
            <w:r>
              <w:rPr>
                <w:rFonts w:hint="eastAsia" w:hAnsi="宋体" w:cs="宋体"/>
                <w:kern w:val="2"/>
                <w:sz w:val="21"/>
                <w:szCs w:val="21"/>
                <w:lang w:bidi="ar"/>
              </w:rPr>
              <w:t>≤</w:t>
            </w:r>
            <w:r>
              <w:rPr>
                <w:rFonts w:hint="eastAsia" w:ascii="Times New Roman" w:hAnsi="Times New Roman"/>
                <w:kern w:val="2"/>
                <w:sz w:val="21"/>
                <w:szCs w:val="21"/>
                <w:lang w:bidi="ar"/>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05" w:type="dxa"/>
            <w:gridSpan w:val="2"/>
            <w:noWrap w:val="0"/>
            <w:vAlign w:val="center"/>
          </w:tcPr>
          <w:p>
            <w:pPr>
              <w:spacing w:line="240" w:lineRule="auto"/>
              <w:ind w:firstLine="0"/>
              <w:jc w:val="center"/>
              <w:rPr>
                <w:rFonts w:hint="eastAsia" w:ascii="Times New Roman" w:hAnsi="宋体" w:eastAsia="宋体" w:cs="宋体"/>
                <w:sz w:val="21"/>
                <w:szCs w:val="21"/>
                <w:lang w:eastAsia="zh-CN" w:bidi="ar"/>
              </w:rPr>
            </w:pPr>
            <w:r>
              <w:rPr>
                <w:rFonts w:hint="eastAsia" w:hAnsi="宋体" w:cs="宋体"/>
                <w:sz w:val="21"/>
                <w:szCs w:val="21"/>
                <w:lang w:eastAsia="zh-CN" w:bidi="ar"/>
              </w:rPr>
              <w:t>达标情况</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sz w:val="21"/>
                <w:szCs w:val="21"/>
                <w:lang w:val="en-US" w:eastAsia="zh-CN"/>
              </w:rPr>
              <w:t>达标</w:t>
            </w:r>
          </w:p>
        </w:tc>
        <w:tc>
          <w:tcPr>
            <w:tcW w:w="968" w:type="dxa"/>
            <w:noWrap w:val="0"/>
            <w:vAlign w:val="center"/>
          </w:tcPr>
          <w:p>
            <w:pPr>
              <w:spacing w:line="240" w:lineRule="auto"/>
              <w:ind w:firstLine="0"/>
              <w:jc w:val="center"/>
              <w:rPr>
                <w:rFonts w:hint="default" w:eastAsia="宋体"/>
                <w:sz w:val="21"/>
                <w:szCs w:val="21"/>
                <w:lang w:val="en-US" w:eastAsia="zh-CN"/>
              </w:rPr>
            </w:pPr>
            <w:r>
              <w:rPr>
                <w:rFonts w:hint="eastAsia"/>
                <w:sz w:val="21"/>
                <w:szCs w:val="21"/>
                <w:lang w:val="en-US" w:eastAsia="zh-CN"/>
              </w:rPr>
              <w:t>达标</w:t>
            </w:r>
          </w:p>
        </w:tc>
        <w:tc>
          <w:tcPr>
            <w:tcW w:w="870" w:type="dxa"/>
            <w:noWrap w:val="0"/>
            <w:vAlign w:val="center"/>
          </w:tcPr>
          <w:p>
            <w:pPr>
              <w:spacing w:line="240" w:lineRule="auto"/>
              <w:ind w:firstLine="0"/>
              <w:jc w:val="center"/>
              <w:rPr>
                <w:rFonts w:hint="default" w:eastAsia="宋体"/>
                <w:sz w:val="21"/>
                <w:szCs w:val="21"/>
                <w:lang w:val="en-US" w:eastAsia="zh-CN"/>
              </w:rPr>
            </w:pPr>
            <w:r>
              <w:rPr>
                <w:rFonts w:hint="eastAsia"/>
                <w:sz w:val="21"/>
                <w:szCs w:val="21"/>
                <w:lang w:val="en-US" w:eastAsia="zh-CN"/>
              </w:rPr>
              <w:t>达标</w:t>
            </w:r>
          </w:p>
        </w:tc>
        <w:tc>
          <w:tcPr>
            <w:tcW w:w="961"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968"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835"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969"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969"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853"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836"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836"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1009"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达标</w:t>
            </w:r>
          </w:p>
        </w:tc>
        <w:tc>
          <w:tcPr>
            <w:tcW w:w="1524" w:type="dxa"/>
            <w:noWrap w:val="0"/>
            <w:vAlign w:val="center"/>
          </w:tcPr>
          <w:p>
            <w:pPr>
              <w:spacing w:line="240" w:lineRule="auto"/>
              <w:ind w:firstLine="0"/>
              <w:jc w:val="center"/>
              <w:rPr>
                <w:rFonts w:hint="eastAsia" w:hAnsi="宋体" w:eastAsia="宋体" w:cs="宋体"/>
                <w:kern w:val="2"/>
                <w:sz w:val="21"/>
                <w:szCs w:val="21"/>
                <w:lang w:val="en-US" w:eastAsia="zh-CN" w:bidi="ar"/>
              </w:rPr>
            </w:pPr>
            <w:r>
              <w:rPr>
                <w:rFonts w:hint="eastAsia" w:hAnsi="宋体" w:cs="宋体"/>
                <w:kern w:val="2"/>
                <w:sz w:val="21"/>
                <w:szCs w:val="21"/>
                <w:lang w:val="en-US" w:eastAsia="zh-CN" w:bidi="ar"/>
              </w:rPr>
              <w:t>/</w:t>
            </w:r>
          </w:p>
        </w:tc>
      </w:tr>
    </w:tbl>
    <w:p>
      <w:pPr>
        <w:pStyle w:val="2"/>
        <w:rPr>
          <w:rFonts w:hint="eastAsia"/>
        </w:rPr>
        <w:sectPr>
          <w:pgSz w:w="16838" w:h="11906" w:orient="landscape"/>
          <w:pgMar w:top="1474" w:right="1474" w:bottom="1474" w:left="1474" w:header="850" w:footer="992" w:gutter="0"/>
          <w:pgBorders>
            <w:top w:val="none" w:sz="0" w:space="0"/>
            <w:left w:val="none" w:sz="0" w:space="0"/>
            <w:bottom w:val="none" w:sz="0" w:space="0"/>
            <w:right w:val="none" w:sz="0" w:space="0"/>
          </w:pgBorders>
          <w:cols w:space="720" w:num="1"/>
          <w:docGrid w:type="lines" w:linePitch="338" w:charSpace="0"/>
        </w:sectPr>
      </w:pPr>
      <w:r>
        <w:rPr>
          <w:rFonts w:hint="eastAsia"/>
        </w:rPr>
        <w:t>从土壤包气带监测结果看，项目选址区域土壤重金属含量均能满足《土壤环境质量标准 建设用地土壤污染风险管控标准</w:t>
      </w:r>
      <w:r>
        <w:rPr>
          <w:rFonts w:hint="eastAsia"/>
          <w:lang w:eastAsia="zh-CN"/>
        </w:rPr>
        <w:t>（试行）</w:t>
      </w:r>
      <w:r>
        <w:rPr>
          <w:rFonts w:hint="eastAsia"/>
        </w:rPr>
        <w:t>》（</w:t>
      </w:r>
      <w:r>
        <w:rPr>
          <w:rFonts w:hint="eastAsia" w:ascii="Times New Roman" w:hAnsi="Times New Roman"/>
        </w:rPr>
        <w:t>GB36600</w:t>
      </w:r>
      <w:r>
        <w:rPr>
          <w:rFonts w:hint="eastAsia"/>
        </w:rPr>
        <w:t>-</w:t>
      </w:r>
      <w:r>
        <w:rPr>
          <w:rFonts w:hint="eastAsia" w:ascii="Times New Roman" w:hAnsi="Times New Roman"/>
        </w:rPr>
        <w:t>2018</w:t>
      </w:r>
      <w:r>
        <w:rPr>
          <w:rFonts w:hint="eastAsia"/>
        </w:rPr>
        <w:t>）第二类用地筛选限值。</w:t>
      </w:r>
    </w:p>
    <w:p>
      <w:pPr>
        <w:pStyle w:val="20"/>
        <w:spacing w:before="163"/>
      </w:pPr>
      <w:r>
        <w:rPr>
          <w:rFonts w:hint="eastAsia"/>
        </w:rPr>
        <w:t>表</w:t>
      </w:r>
      <w:r>
        <w:rPr>
          <w:rFonts w:hint="eastAsia" w:ascii="Times New Roman" w:hAnsi="Times New Roman"/>
          <w:lang w:val="en-US" w:eastAsia="zh-CN"/>
        </w:rPr>
        <w:t>5</w:t>
      </w:r>
      <w:r>
        <w:rPr>
          <w:rFonts w:hint="eastAsia" w:ascii="Times New Roman" w:hAnsi="Times New Roman"/>
          <w:lang w:val="en-US" w:eastAsia="zh-CN"/>
        </w:rPr>
        <w:t>.</w:t>
      </w:r>
      <w:r>
        <w:rPr>
          <w:rFonts w:hint="eastAsia" w:ascii="Times New Roman" w:hAnsi="Times New Roman"/>
          <w:lang w:val="en-US" w:eastAsia="zh-CN"/>
        </w:rPr>
        <w:t>5</w:t>
      </w:r>
      <w:r>
        <w:rPr>
          <w:rFonts w:hint="eastAsia" w:ascii="Times New Roman" w:hAnsi="Times New Roman"/>
          <w:lang w:val="en-US" w:eastAsia="zh-CN"/>
        </w:rPr>
        <w:t>-</w:t>
      </w:r>
      <w:r>
        <w:rPr>
          <w:rFonts w:hint="eastAsia" w:ascii="Times New Roman" w:hAnsi="Times New Roman"/>
          <w:lang w:val="en-US" w:eastAsia="zh-CN"/>
        </w:rPr>
        <w:t>11</w:t>
      </w:r>
      <w:r>
        <w:t xml:space="preserve">  </w:t>
      </w:r>
      <w:r>
        <w:rPr>
          <w:rFonts w:hint="eastAsia"/>
        </w:rPr>
        <w:t>土壤挥发性有机物、半挥发性有机物检测结果一览表</w:t>
      </w:r>
      <w:r>
        <w:t xml:space="preserve">  </w:t>
      </w:r>
      <w:r>
        <w:rPr>
          <w:rFonts w:hint="eastAsia"/>
        </w:rPr>
        <w:t>单位：</w:t>
      </w:r>
      <w:r>
        <w:rPr>
          <w:rFonts w:ascii="Times New Roman" w:hAnsi="Times New Roman"/>
        </w:rPr>
        <w:t>mg</w:t>
      </w:r>
      <w:r>
        <w:t>/</w:t>
      </w:r>
      <w:r>
        <w:rPr>
          <w:rFonts w:ascii="Times New Roman" w:hAnsi="Times New Roman"/>
        </w:rPr>
        <w:t>kg</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120"/>
        <w:gridCol w:w="2315"/>
        <w:gridCol w:w="36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sz w:val="21"/>
                <w:szCs w:val="21"/>
              </w:rPr>
            </w:pPr>
            <w:r>
              <w:rPr>
                <w:rFonts w:hint="eastAsia" w:ascii="Times New Roman" w:hAnsi="宋体" w:cs="宋体"/>
                <w:kern w:val="2"/>
                <w:sz w:val="21"/>
                <w:szCs w:val="21"/>
                <w:lang w:bidi="ar"/>
              </w:rPr>
              <w:t>序号</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sz w:val="21"/>
                <w:szCs w:val="21"/>
              </w:rPr>
            </w:pPr>
            <w:r>
              <w:rPr>
                <w:rFonts w:hint="eastAsia" w:ascii="Times New Roman" w:hAnsi="宋体" w:cs="宋体"/>
                <w:kern w:val="2"/>
                <w:sz w:val="21"/>
                <w:szCs w:val="21"/>
                <w:lang w:bidi="ar"/>
              </w:rPr>
              <w:t>污染物项目</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Ansi="宋体"/>
                <w:sz w:val="21"/>
                <w:szCs w:val="21"/>
              </w:rPr>
            </w:pPr>
            <w:r>
              <w:rPr>
                <w:rFonts w:hint="eastAsia" w:ascii="Times New Roman" w:hAnsi="宋体" w:cs="宋体"/>
                <w:kern w:val="2"/>
                <w:sz w:val="21"/>
                <w:szCs w:val="21"/>
                <w:lang w:bidi="ar"/>
              </w:rPr>
              <w:t>监测结果</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sz w:val="21"/>
                <w:szCs w:val="21"/>
              </w:rPr>
            </w:pPr>
            <w:r>
              <w:rPr>
                <w:rFonts w:hint="eastAsia" w:ascii="Times New Roman" w:hAnsi="Times New Roman"/>
                <w:kern w:val="2"/>
                <w:sz w:val="21"/>
                <w:szCs w:val="21"/>
                <w:lang w:bidi="ar"/>
              </w:rPr>
              <w:t>GB36600</w:t>
            </w:r>
            <w:r>
              <w:rPr>
                <w:rFonts w:hint="eastAsia" w:ascii="Times New Roman" w:hAnsi="宋体" w:cs="宋体"/>
                <w:kern w:val="2"/>
                <w:sz w:val="21"/>
                <w:szCs w:val="21"/>
                <w:lang w:bidi="ar"/>
              </w:rPr>
              <w:t>-</w:t>
            </w:r>
            <w:r>
              <w:rPr>
                <w:rFonts w:hint="eastAsia" w:ascii="Times New Roman" w:hAnsi="Times New Roman"/>
                <w:kern w:val="2"/>
                <w:sz w:val="21"/>
                <w:szCs w:val="21"/>
                <w:lang w:bidi="ar"/>
              </w:rPr>
              <w:t>2018</w:t>
            </w:r>
            <w:r>
              <w:rPr>
                <w:rFonts w:hint="eastAsia" w:ascii="Times New Roman" w:hAnsi="宋体" w:cs="宋体"/>
                <w:kern w:val="2"/>
                <w:sz w:val="21"/>
                <w:szCs w:val="21"/>
                <w:lang w:bidi="ar"/>
              </w:rPr>
              <w:t>第二类用地筛选值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挥发性有机物现状监测结果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四氯化碳</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cs="宋体"/>
                <w:kern w:val="2"/>
                <w:sz w:val="21"/>
                <w:szCs w:val="21"/>
                <w:lang w:val="en-US" w:eastAsia="zh-CN" w:bidi="ar"/>
              </w:rPr>
              <w:t>21</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w:t>
            </w:r>
            <w:r>
              <w:rPr>
                <w:rFonts w:hint="eastAsia" w:hAnsi="宋体" w:cs="宋体"/>
                <w:kern w:val="2"/>
                <w:sz w:val="21"/>
                <w:szCs w:val="21"/>
                <w:lang w:bidi="ar"/>
              </w:rPr>
              <w:t>.</w:t>
            </w:r>
            <w:r>
              <w:rPr>
                <w:rFonts w:hint="eastAsia" w:ascii="Times New Roman" w:hAnsi="Times New Roman"/>
                <w:kern w:val="2"/>
                <w:sz w:val="21"/>
                <w:szCs w:val="21"/>
                <w:lang w:bidi="ar"/>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氯仿</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eastAsia="zh-CN"/>
              </w:rPr>
            </w:pPr>
            <w:r>
              <w:rPr>
                <w:rFonts w:hint="eastAsia" w:ascii="Times New Roman" w:cs="宋体"/>
                <w:kern w:val="2"/>
                <w:sz w:val="21"/>
                <w:szCs w:val="21"/>
                <w:lang w:bidi="ar"/>
              </w:rPr>
              <w:t>＜</w:t>
            </w:r>
            <w:r>
              <w:rPr>
                <w:rFonts w:hint="eastAsia" w:ascii="Times New Roman" w:hAnsi="Times New Roman"/>
                <w:kern w:val="2"/>
                <w:sz w:val="21"/>
                <w:szCs w:val="21"/>
                <w:lang w:bidi="ar"/>
              </w:rPr>
              <w:t>0</w:t>
            </w:r>
            <w:r>
              <w:rPr>
                <w:rFonts w:hint="eastAsia" w:ascii="Times New Roman"/>
                <w:kern w:val="2"/>
                <w:sz w:val="21"/>
                <w:szCs w:val="21"/>
                <w:lang w:bidi="ar"/>
              </w:rPr>
              <w:t>.</w:t>
            </w:r>
            <w:r>
              <w:rPr>
                <w:rFonts w:hint="eastAsia" w:ascii="Times New Roman" w:hAnsi="Times New Roman"/>
                <w:kern w:val="2"/>
                <w:sz w:val="21"/>
                <w:szCs w:val="21"/>
                <w:lang w:bidi="ar"/>
              </w:rPr>
              <w:t>001</w:t>
            </w:r>
            <w:r>
              <w:rPr>
                <w:rFonts w:hint="eastAsia" w:ascii="Times New Roman" w:hAnsi="Times New Roman"/>
                <w:kern w:val="2"/>
                <w:sz w:val="21"/>
                <w:szCs w:val="21"/>
                <w:lang w:val="en-US" w:eastAsia="zh-CN" w:bidi="ar"/>
              </w:rPr>
              <w:t>5</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0</w:t>
            </w:r>
            <w:r>
              <w:rPr>
                <w:rFonts w:hint="eastAsia" w:hAnsi="宋体" w:cs="宋体"/>
                <w:kern w:val="2"/>
                <w:sz w:val="21"/>
                <w:szCs w:val="21"/>
                <w:lang w:bidi="ar"/>
              </w:rPr>
              <w:t>.</w:t>
            </w:r>
            <w:r>
              <w:rPr>
                <w:rFonts w:hint="eastAsia" w:ascii="Times New Roman" w:hAnsi="Times New Roman"/>
                <w:kern w:val="2"/>
                <w:sz w:val="21"/>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3</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氯甲烷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val="en-US" w:eastAsia="zh-CN" w:bidi="ar"/>
              </w:rPr>
              <w:t>3</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4</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hint="eastAsia" w:ascii="Times New Roman" w:hAnsi="宋体" w:cs="宋体"/>
                <w:sz w:val="21"/>
                <w:szCs w:val="21"/>
                <w:lang w:bidi="ar"/>
              </w:rPr>
              <w:t>二氯乙烷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val="en-US" w:eastAsia="zh-CN" w:bidi="ar"/>
              </w:rPr>
              <w:t>08</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5</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二氯乙烷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sz w:val="21"/>
                <w:szCs w:val="21"/>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bidi="ar"/>
              </w:rPr>
              <w:t>13</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6</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hint="eastAsia" w:ascii="Times New Roman" w:hAnsi="宋体" w:cs="宋体"/>
                <w:sz w:val="21"/>
                <w:szCs w:val="21"/>
                <w:lang w:bidi="ar"/>
              </w:rPr>
              <w:t>二氯乙烯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val="en-US" w:eastAsia="zh-CN" w:bidi="ar"/>
              </w:rPr>
              <w:t>08</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7</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顺</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二氯乙烯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val="en-US" w:eastAsia="zh-CN" w:bidi="ar"/>
              </w:rPr>
              <w:t>09</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8</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反</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二氯乙烯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val="en-US" w:eastAsia="zh-CN" w:bidi="ar"/>
              </w:rPr>
              <w:t>09</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9</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二氯甲烷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hAnsi="Times New Roman" w:cs="宋体"/>
                <w:kern w:val="2"/>
                <w:sz w:val="21"/>
                <w:szCs w:val="21"/>
                <w:lang w:val="en-US" w:eastAsia="zh-CN" w:bidi="ar"/>
              </w:rPr>
              <w:t>026</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10</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二氯丙烷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val="en-US" w:eastAsia="zh-CN" w:bidi="ar"/>
              </w:rPr>
              <w:t>19</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11</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四氯乙烷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bidi="ar"/>
              </w:rPr>
              <w:t>1</w:t>
            </w:r>
            <w:r>
              <w:rPr>
                <w:rFonts w:hint="eastAsia" w:ascii="Times New Roman" w:hAnsi="Times New Roman"/>
                <w:kern w:val="2"/>
                <w:sz w:val="21"/>
                <w:szCs w:val="21"/>
                <w:lang w:val="en-US" w:eastAsia="zh-CN" w:bidi="ar"/>
              </w:rPr>
              <w:t>0</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12</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四氯乙烷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bidi="ar"/>
              </w:rPr>
              <w:t>1</w:t>
            </w:r>
            <w:r>
              <w:rPr>
                <w:rFonts w:hint="eastAsia" w:ascii="Times New Roman" w:hAnsi="Times New Roman"/>
                <w:kern w:val="2"/>
                <w:sz w:val="21"/>
                <w:szCs w:val="21"/>
                <w:lang w:val="en-US" w:eastAsia="zh-CN" w:bidi="ar"/>
              </w:rPr>
              <w:t>0</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6</w:t>
            </w:r>
            <w:r>
              <w:rPr>
                <w:rFonts w:hint="eastAsia" w:hAnsi="宋体" w:cs="宋体"/>
                <w:kern w:val="2"/>
                <w:sz w:val="21"/>
                <w:szCs w:val="21"/>
                <w:lang w:bidi="ar"/>
              </w:rPr>
              <w:t>.</w:t>
            </w:r>
            <w:r>
              <w:rPr>
                <w:rFonts w:hint="eastAsia" w:ascii="Times New Roman" w:hAnsi="Times New Roman"/>
                <w:kern w:val="2"/>
                <w:sz w:val="21"/>
                <w:szCs w:val="21"/>
                <w:lang w:bidi="ar"/>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13</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四氯乙烯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val="en-US" w:eastAsia="zh-CN" w:bidi="ar"/>
              </w:rPr>
              <w:t>08</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14</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hint="eastAsia" w:ascii="Times New Roman" w:hAnsi="宋体" w:cs="宋体"/>
                <w:sz w:val="21"/>
                <w:szCs w:val="21"/>
                <w:lang w:bidi="ar"/>
              </w:rPr>
              <w:t>三氯乙烷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bidi="ar"/>
              </w:rPr>
              <w:t>1</w:t>
            </w:r>
            <w:r>
              <w:rPr>
                <w:rFonts w:hint="eastAsia" w:ascii="Times New Roman" w:hAnsi="Times New Roman"/>
                <w:kern w:val="2"/>
                <w:sz w:val="21"/>
                <w:szCs w:val="21"/>
                <w:lang w:val="en-US" w:eastAsia="zh-CN" w:bidi="ar"/>
              </w:rPr>
              <w:t>1</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15</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三氯乙烷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bidi="ar"/>
              </w:rPr>
              <w:t>1</w:t>
            </w:r>
            <w:r>
              <w:rPr>
                <w:rFonts w:hint="eastAsia" w:ascii="Times New Roman" w:hAnsi="Times New Roman"/>
                <w:kern w:val="2"/>
                <w:sz w:val="21"/>
                <w:szCs w:val="21"/>
                <w:lang w:val="en-US" w:eastAsia="zh-CN" w:bidi="ar"/>
              </w:rPr>
              <w:t>4</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w:t>
            </w:r>
            <w:r>
              <w:rPr>
                <w:rFonts w:hint="eastAsia" w:hAnsi="宋体" w:cs="宋体"/>
                <w:kern w:val="2"/>
                <w:sz w:val="21"/>
                <w:szCs w:val="21"/>
                <w:lang w:bidi="ar"/>
              </w:rPr>
              <w:t>.</w:t>
            </w:r>
            <w:r>
              <w:rPr>
                <w:rFonts w:hint="eastAsia" w:ascii="Times New Roman" w:hAnsi="Times New Roman"/>
                <w:kern w:val="2"/>
                <w:sz w:val="21"/>
                <w:szCs w:val="21"/>
                <w:lang w:bidi="ar"/>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16</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三氯乙烯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cs="宋体"/>
                <w:kern w:val="2"/>
                <w:sz w:val="21"/>
                <w:szCs w:val="21"/>
                <w:lang w:val="en-US" w:eastAsia="zh-CN" w:bidi="ar"/>
              </w:rPr>
              <w:t>09</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w:t>
            </w:r>
            <w:r>
              <w:rPr>
                <w:rFonts w:hint="eastAsia" w:hAnsi="宋体" w:cs="宋体"/>
                <w:kern w:val="2"/>
                <w:sz w:val="21"/>
                <w:szCs w:val="21"/>
                <w:lang w:bidi="ar"/>
              </w:rPr>
              <w:t>.</w:t>
            </w:r>
            <w:r>
              <w:rPr>
                <w:rFonts w:hint="eastAsia" w:ascii="Times New Roman" w:hAnsi="Times New Roman"/>
                <w:kern w:val="2"/>
                <w:sz w:val="21"/>
                <w:szCs w:val="21"/>
                <w:lang w:bidi="ar"/>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17</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ascii="Times New Roman" w:hAnsi="Times New Roman"/>
                <w:sz w:val="21"/>
                <w:szCs w:val="21"/>
                <w:lang w:bidi="ar"/>
              </w:rPr>
              <w:t>3</w:t>
            </w:r>
            <w:r>
              <w:rPr>
                <w:rFonts w:ascii="Times New Roman"/>
                <w:sz w:val="21"/>
                <w:szCs w:val="21"/>
                <w:lang w:bidi="ar"/>
              </w:rPr>
              <w:t>-</w:t>
            </w:r>
            <w:r>
              <w:rPr>
                <w:rFonts w:hint="eastAsia" w:ascii="Times New Roman" w:hAnsi="宋体" w:cs="宋体"/>
                <w:sz w:val="21"/>
                <w:szCs w:val="21"/>
                <w:lang w:bidi="ar"/>
              </w:rPr>
              <w:t>三氯丙烷</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w:t>
            </w:r>
            <w:r>
              <w:rPr>
                <w:rFonts w:hint="eastAsia" w:ascii="Times New Roman" w:hAnsi="Times New Roman"/>
                <w:kern w:val="2"/>
                <w:sz w:val="21"/>
                <w:szCs w:val="21"/>
                <w:lang w:bidi="ar"/>
              </w:rPr>
              <w:t>1</w:t>
            </w:r>
            <w:r>
              <w:rPr>
                <w:rFonts w:hint="eastAsia" w:ascii="Times New Roman" w:hAnsi="Times New Roman"/>
                <w:kern w:val="2"/>
                <w:sz w:val="21"/>
                <w:szCs w:val="21"/>
                <w:lang w:val="en-US" w:eastAsia="zh-CN" w:bidi="ar"/>
              </w:rPr>
              <w:t>0</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0</w:t>
            </w:r>
            <w:r>
              <w:rPr>
                <w:rFonts w:hint="eastAsia" w:hAnsi="宋体" w:cs="宋体"/>
                <w:kern w:val="2"/>
                <w:sz w:val="21"/>
                <w:szCs w:val="21"/>
                <w:lang w:bidi="ar"/>
              </w:rPr>
              <w:t>.</w:t>
            </w:r>
            <w:r>
              <w:rPr>
                <w:rFonts w:hint="eastAsia" w:ascii="Times New Roman" w:hAnsi="Times New Roman"/>
                <w:kern w:val="2"/>
                <w:sz w:val="21"/>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18</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氯乙烯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001</w:t>
            </w:r>
            <w:r>
              <w:rPr>
                <w:rFonts w:hint="eastAsia" w:ascii="Times New Roman" w:hAnsi="Times New Roman" w:cs="宋体"/>
                <w:kern w:val="2"/>
                <w:sz w:val="21"/>
                <w:szCs w:val="21"/>
                <w:lang w:val="en-US" w:eastAsia="zh-CN" w:bidi="ar"/>
              </w:rPr>
              <w:t>5</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0</w:t>
            </w:r>
            <w:r>
              <w:rPr>
                <w:rFonts w:hint="eastAsia" w:hAnsi="宋体" w:cs="宋体"/>
                <w:kern w:val="2"/>
                <w:sz w:val="21"/>
                <w:szCs w:val="21"/>
                <w:lang w:bidi="ar"/>
              </w:rPr>
              <w:t>.</w:t>
            </w:r>
            <w:r>
              <w:rPr>
                <w:rFonts w:hint="eastAsia" w:ascii="Times New Roman" w:hAnsi="Times New Roman"/>
                <w:kern w:val="2"/>
                <w:sz w:val="21"/>
                <w:szCs w:val="21"/>
                <w:lang w:bidi="ar"/>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19</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001</w:t>
            </w:r>
            <w:r>
              <w:rPr>
                <w:rFonts w:hint="eastAsia" w:ascii="Times New Roman" w:hAnsi="Times New Roman" w:cs="宋体"/>
                <w:kern w:val="2"/>
                <w:sz w:val="21"/>
                <w:szCs w:val="21"/>
                <w:lang w:val="en-US" w:eastAsia="zh-CN" w:bidi="ar"/>
              </w:rPr>
              <w:t>6</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20</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氯苯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001</w:t>
            </w:r>
            <w:r>
              <w:rPr>
                <w:rFonts w:hint="eastAsia" w:ascii="Times New Roman" w:hAnsi="Times New Roman" w:cs="宋体"/>
                <w:kern w:val="2"/>
                <w:sz w:val="21"/>
                <w:szCs w:val="21"/>
                <w:lang w:val="en-US" w:eastAsia="zh-CN" w:bidi="ar"/>
              </w:rPr>
              <w:t>1</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21</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二氯苯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hint="eastAsia" w:ascii="Times New Roman"/>
                <w:kern w:val="2"/>
                <w:sz w:val="21"/>
                <w:szCs w:val="21"/>
                <w:lang w:bidi="ar"/>
              </w:rPr>
              <w:t>.</w:t>
            </w:r>
            <w:r>
              <w:rPr>
                <w:rFonts w:hint="eastAsia" w:ascii="Times New Roman" w:hAnsi="Times New Roman"/>
                <w:kern w:val="2"/>
                <w:sz w:val="21"/>
                <w:szCs w:val="21"/>
                <w:lang w:bidi="ar"/>
              </w:rPr>
              <w:t>001</w:t>
            </w:r>
            <w:r>
              <w:rPr>
                <w:rFonts w:hint="eastAsia" w:ascii="Times New Roman" w:hAnsi="Times New Roman"/>
                <w:kern w:val="2"/>
                <w:sz w:val="21"/>
                <w:szCs w:val="21"/>
                <w:lang w:val="en-US" w:eastAsia="zh-CN" w:bidi="ar"/>
              </w:rPr>
              <w:t>0</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22</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4</w:t>
            </w:r>
            <w:r>
              <w:rPr>
                <w:rFonts w:ascii="Times New Roman"/>
                <w:sz w:val="21"/>
                <w:szCs w:val="21"/>
                <w:lang w:bidi="ar"/>
              </w:rPr>
              <w:t>-</w:t>
            </w:r>
            <w:r>
              <w:rPr>
                <w:rFonts w:hint="eastAsia" w:ascii="Times New Roman" w:hAnsi="宋体" w:cs="宋体"/>
                <w:sz w:val="21"/>
                <w:szCs w:val="21"/>
                <w:lang w:bidi="ar"/>
              </w:rPr>
              <w:t>二氯苯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kern w:val="2"/>
                <w:sz w:val="21"/>
                <w:szCs w:val="21"/>
                <w:lang w:bidi="ar"/>
              </w:rPr>
              <w:t>0</w:t>
            </w:r>
            <w:r>
              <w:rPr>
                <w:rFonts w:hint="eastAsia" w:ascii="Times New Roman"/>
                <w:kern w:val="2"/>
                <w:sz w:val="21"/>
                <w:szCs w:val="21"/>
                <w:lang w:bidi="ar"/>
              </w:rPr>
              <w:t>.</w:t>
            </w:r>
            <w:r>
              <w:rPr>
                <w:rFonts w:hint="eastAsia" w:ascii="Times New Roman" w:hAnsi="Times New Roman"/>
                <w:kern w:val="2"/>
                <w:sz w:val="21"/>
                <w:szCs w:val="21"/>
                <w:lang w:bidi="ar"/>
              </w:rPr>
              <w:t>001</w:t>
            </w:r>
            <w:r>
              <w:rPr>
                <w:rFonts w:hint="eastAsia" w:ascii="Times New Roman" w:hAnsi="Times New Roman"/>
                <w:kern w:val="2"/>
                <w:sz w:val="21"/>
                <w:szCs w:val="21"/>
                <w:lang w:val="en-US" w:eastAsia="zh-CN" w:bidi="ar"/>
              </w:rPr>
              <w:t>2</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23</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乙苯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sz w:val="21"/>
                <w:szCs w:val="21"/>
              </w:rPr>
            </w:pPr>
            <w:r>
              <w:rPr>
                <w:rFonts w:hint="eastAsia" w:ascii="Times New Roman" w:cs="宋体"/>
                <w:kern w:val="2"/>
                <w:sz w:val="21"/>
                <w:szCs w:val="21"/>
                <w:lang w:bidi="ar"/>
              </w:rPr>
              <w:t>＜</w:t>
            </w:r>
            <w:r>
              <w:rPr>
                <w:rFonts w:hint="eastAsia" w:ascii="Times New Roman" w:hAnsi="Times New Roman" w:cs="宋体"/>
                <w:kern w:val="2"/>
                <w:sz w:val="21"/>
                <w:szCs w:val="21"/>
                <w:lang w:bidi="ar"/>
              </w:rPr>
              <w:t>0</w:t>
            </w:r>
            <w:r>
              <w:rPr>
                <w:rFonts w:hint="eastAsia" w:ascii="Times New Roman" w:cs="宋体"/>
                <w:kern w:val="2"/>
                <w:sz w:val="21"/>
                <w:szCs w:val="21"/>
                <w:lang w:bidi="ar"/>
              </w:rPr>
              <w:t>.</w:t>
            </w:r>
            <w:r>
              <w:rPr>
                <w:rFonts w:hint="eastAsia" w:ascii="Times New Roman" w:hAnsi="Times New Roman" w:cs="宋体"/>
                <w:kern w:val="2"/>
                <w:sz w:val="21"/>
                <w:szCs w:val="21"/>
                <w:lang w:bidi="ar"/>
              </w:rPr>
              <w:t>0012</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24</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苯乙烯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hint="eastAsia" w:ascii="Times New Roman"/>
                <w:kern w:val="2"/>
                <w:sz w:val="21"/>
                <w:szCs w:val="21"/>
                <w:lang w:bidi="ar"/>
              </w:rPr>
              <w:t>.</w:t>
            </w:r>
            <w:r>
              <w:rPr>
                <w:rFonts w:hint="eastAsia" w:ascii="Times New Roman" w:hAnsi="Times New Roman"/>
                <w:kern w:val="2"/>
                <w:sz w:val="21"/>
                <w:szCs w:val="21"/>
                <w:lang w:bidi="ar"/>
              </w:rPr>
              <w:t>001</w:t>
            </w:r>
            <w:r>
              <w:rPr>
                <w:rFonts w:hint="eastAsia" w:ascii="Times New Roman" w:hAnsi="Times New Roman"/>
                <w:kern w:val="2"/>
                <w:sz w:val="21"/>
                <w:szCs w:val="21"/>
                <w:lang w:val="en-US" w:eastAsia="zh-CN" w:bidi="ar"/>
              </w:rPr>
              <w:t>6</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25</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甲苯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00</w:t>
            </w:r>
            <w:r>
              <w:rPr>
                <w:rFonts w:hint="eastAsia" w:ascii="Times New Roman" w:hAnsi="Times New Roman"/>
                <w:kern w:val="2"/>
                <w:sz w:val="21"/>
                <w:szCs w:val="21"/>
                <w:lang w:val="en-US" w:eastAsia="zh-CN" w:bidi="ar"/>
              </w:rPr>
              <w:t>20</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26</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间二甲苯</w:t>
            </w:r>
            <w:r>
              <w:rPr>
                <w:rFonts w:ascii="Times New Roman"/>
                <w:sz w:val="21"/>
                <w:szCs w:val="21"/>
                <w:lang w:bidi="ar"/>
              </w:rPr>
              <w:t>+</w:t>
            </w:r>
            <w:r>
              <w:rPr>
                <w:rFonts w:hint="eastAsia" w:ascii="Times New Roman" w:hAnsi="宋体" w:cs="宋体"/>
                <w:sz w:val="21"/>
                <w:szCs w:val="21"/>
                <w:lang w:bidi="ar"/>
              </w:rPr>
              <w:t>对二甲苯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00</w:t>
            </w:r>
            <w:r>
              <w:rPr>
                <w:rFonts w:hint="eastAsia" w:ascii="Times New Roman" w:hAnsi="Times New Roman"/>
                <w:kern w:val="2"/>
                <w:sz w:val="21"/>
                <w:szCs w:val="21"/>
                <w:lang w:val="en-US" w:eastAsia="zh-CN" w:bidi="ar"/>
              </w:rPr>
              <w:t>36</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27</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邻二甲苯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val="en-US"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0</w:t>
            </w:r>
            <w:r>
              <w:rPr>
                <w:rFonts w:hint="eastAsia" w:ascii="Times New Roman" w:hAnsi="Times New Roman"/>
                <w:kern w:val="2"/>
                <w:sz w:val="21"/>
                <w:szCs w:val="21"/>
                <w:lang w:bidi="ar"/>
              </w:rPr>
              <w:t>01</w:t>
            </w:r>
            <w:r>
              <w:rPr>
                <w:rFonts w:hint="eastAsia" w:ascii="Times New Roman" w:hAnsi="Times New Roman"/>
                <w:kern w:val="2"/>
                <w:sz w:val="21"/>
                <w:szCs w:val="21"/>
                <w:lang w:val="en-US" w:eastAsia="zh-CN" w:bidi="ar"/>
              </w:rPr>
              <w:t>3</w:t>
            </w:r>
          </w:p>
        </w:tc>
        <w:tc>
          <w:tcPr>
            <w:tcW w:w="36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hAnsi="宋体" w:eastAsia="宋体" w:cs="宋体"/>
                <w:kern w:val="2"/>
                <w:sz w:val="21"/>
                <w:szCs w:val="21"/>
                <w:lang w:val="en-US" w:eastAsia="zh-CN" w:bidi="ar"/>
              </w:rPr>
            </w:pPr>
            <w:r>
              <w:rPr>
                <w:rFonts w:hint="eastAsia" w:hAnsi="宋体" w:cs="宋体"/>
                <w:kern w:val="2"/>
                <w:sz w:val="21"/>
                <w:szCs w:val="21"/>
                <w:lang w:bidi="ar"/>
              </w:rPr>
              <w:t>半挥发性有机物现状监测结果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硝基苯</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sz w:val="21"/>
                <w:szCs w:val="21"/>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0</w:t>
            </w:r>
            <w:r>
              <w:rPr>
                <w:rFonts w:hint="eastAsia" w:ascii="Times New Roman" w:hAnsi="Times New Roman"/>
                <w:kern w:val="2"/>
                <w:sz w:val="21"/>
                <w:szCs w:val="21"/>
                <w:lang w:bidi="ar"/>
              </w:rPr>
              <w:t>9</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2</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苯胺</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hint="eastAsia" w:ascii="Times New Roman" w:hAnsi="Times New Roman"/>
                <w:kern w:val="2"/>
                <w:sz w:val="21"/>
                <w:szCs w:val="21"/>
                <w:lang w:val="en-US" w:eastAsia="zh-CN" w:bidi="ar"/>
              </w:rPr>
              <w:t>3</w:t>
            </w:r>
            <w:r>
              <w:rPr>
                <w:rFonts w:hint="eastAsia" w:ascii="Times New Roman" w:hAnsi="Times New Roman"/>
                <w:kern w:val="2"/>
                <w:sz w:val="21"/>
                <w:szCs w:val="21"/>
                <w:lang w:val="en-US" w:eastAsia="zh-CN" w:bidi="ar"/>
              </w:rPr>
              <w:t>.</w:t>
            </w:r>
            <w:r>
              <w:rPr>
                <w:rFonts w:hint="eastAsia" w:ascii="Times New Roman" w:hAnsi="Times New Roman"/>
                <w:kern w:val="2"/>
                <w:sz w:val="21"/>
                <w:szCs w:val="21"/>
                <w:lang w:val="en-US" w:eastAsia="zh-CN" w:bidi="ar"/>
              </w:rPr>
              <w:t>78</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3</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ascii="Times New Roman" w:hAnsi="Times New Roman"/>
                <w:sz w:val="21"/>
                <w:szCs w:val="21"/>
                <w:lang w:bidi="ar"/>
              </w:rPr>
              <w:t>2</w:t>
            </w:r>
            <w:r>
              <w:rPr>
                <w:rFonts w:ascii="Times New Roman"/>
                <w:sz w:val="21"/>
                <w:szCs w:val="21"/>
                <w:lang w:bidi="ar"/>
              </w:rPr>
              <w:t>-</w:t>
            </w:r>
            <w:r>
              <w:rPr>
                <w:rFonts w:hint="eastAsia" w:ascii="Times New Roman" w:hAnsi="宋体" w:cs="宋体"/>
                <w:sz w:val="21"/>
                <w:szCs w:val="21"/>
                <w:lang w:bidi="ar"/>
              </w:rPr>
              <w:t>氯酚</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eastAsia="宋体"/>
                <w:sz w:val="21"/>
                <w:szCs w:val="21"/>
                <w:lang w:val="en-US"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hint="eastAsia" w:ascii="Times New Roman" w:hAnsi="Times New Roman"/>
                <w:kern w:val="2"/>
                <w:sz w:val="21"/>
                <w:szCs w:val="21"/>
                <w:lang w:val="en-US" w:eastAsia="zh-CN" w:bidi="ar"/>
              </w:rPr>
              <w:t>06</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4</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苯并</w:t>
            </w:r>
            <w:r>
              <w:rPr>
                <w:rFonts w:ascii="Times New Roman"/>
                <w:sz w:val="21"/>
                <w:szCs w:val="21"/>
                <w:lang w:bidi="ar"/>
              </w:rPr>
              <w:t>[</w:t>
            </w:r>
            <w:r>
              <w:rPr>
                <w:rFonts w:ascii="Times New Roman" w:hAnsi="Times New Roman"/>
                <w:sz w:val="21"/>
                <w:szCs w:val="21"/>
                <w:lang w:bidi="ar"/>
              </w:rPr>
              <w:t>a</w:t>
            </w:r>
            <w:r>
              <w:rPr>
                <w:rFonts w:ascii="Times New Roman"/>
                <w:sz w:val="21"/>
                <w:szCs w:val="21"/>
                <w:lang w:bidi="ar"/>
              </w:rPr>
              <w:t>]</w:t>
            </w:r>
            <w:r>
              <w:rPr>
                <w:rFonts w:hint="eastAsia" w:ascii="Times New Roman" w:hAnsi="宋体" w:cs="宋体"/>
                <w:sz w:val="21"/>
                <w:szCs w:val="21"/>
                <w:lang w:bidi="ar"/>
              </w:rPr>
              <w:t>蒽</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sz w:val="21"/>
                <w:szCs w:val="21"/>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1</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5</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苯并</w:t>
            </w:r>
            <w:r>
              <w:rPr>
                <w:rFonts w:ascii="Times New Roman"/>
                <w:sz w:val="21"/>
                <w:szCs w:val="21"/>
                <w:lang w:bidi="ar"/>
              </w:rPr>
              <w:t>[</w:t>
            </w:r>
            <w:r>
              <w:rPr>
                <w:rFonts w:ascii="Times New Roman" w:hAnsi="Times New Roman"/>
                <w:sz w:val="21"/>
                <w:szCs w:val="21"/>
                <w:lang w:bidi="ar"/>
              </w:rPr>
              <w:t>a</w:t>
            </w:r>
            <w:r>
              <w:rPr>
                <w:rFonts w:ascii="Times New Roman"/>
                <w:sz w:val="21"/>
                <w:szCs w:val="21"/>
                <w:lang w:bidi="ar"/>
              </w:rPr>
              <w:t>]</w:t>
            </w:r>
            <w:r>
              <w:rPr>
                <w:rFonts w:hint="eastAsia" w:ascii="Times New Roman" w:hAnsi="宋体" w:cs="宋体"/>
                <w:sz w:val="21"/>
                <w:szCs w:val="21"/>
                <w:lang w:bidi="ar"/>
              </w:rPr>
              <w:t>芘</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hint="eastAsia" w:ascii="Times New Roman" w:hAnsi="Times New Roman"/>
                <w:kern w:val="2"/>
                <w:sz w:val="21"/>
                <w:szCs w:val="21"/>
                <w:lang w:val="en-US" w:eastAsia="zh-CN" w:bidi="ar"/>
              </w:rPr>
              <w:t>1</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w:t>
            </w:r>
            <w:r>
              <w:rPr>
                <w:rFonts w:hint="eastAsia" w:hAnsi="宋体" w:cs="宋体"/>
                <w:kern w:val="2"/>
                <w:sz w:val="21"/>
                <w:szCs w:val="21"/>
                <w:lang w:bidi="ar"/>
              </w:rPr>
              <w:t>.</w:t>
            </w:r>
            <w:r>
              <w:rPr>
                <w:rFonts w:hint="eastAsia" w:ascii="Times New Roman" w:hAnsi="Times New Roman"/>
                <w:kern w:val="2"/>
                <w:sz w:val="21"/>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6</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苯并</w:t>
            </w:r>
            <w:r>
              <w:rPr>
                <w:rFonts w:ascii="Times New Roman"/>
                <w:sz w:val="21"/>
                <w:szCs w:val="21"/>
                <w:lang w:bidi="ar"/>
              </w:rPr>
              <w:t>[</w:t>
            </w:r>
            <w:r>
              <w:rPr>
                <w:rFonts w:ascii="Times New Roman" w:hAnsi="Times New Roman"/>
                <w:sz w:val="21"/>
                <w:szCs w:val="21"/>
                <w:lang w:bidi="ar"/>
              </w:rPr>
              <w:t>b</w:t>
            </w:r>
            <w:r>
              <w:rPr>
                <w:rFonts w:ascii="Times New Roman"/>
                <w:sz w:val="21"/>
                <w:szCs w:val="21"/>
                <w:lang w:bidi="ar"/>
              </w:rPr>
              <w:t>]</w:t>
            </w:r>
            <w:r>
              <w:rPr>
                <w:rFonts w:hint="eastAsia" w:ascii="Times New Roman" w:hAnsi="宋体" w:cs="宋体"/>
                <w:sz w:val="21"/>
                <w:szCs w:val="21"/>
                <w:lang w:bidi="ar"/>
              </w:rPr>
              <w:t>荧蒽</w:t>
            </w:r>
          </w:p>
        </w:tc>
        <w:tc>
          <w:tcPr>
            <w:tcW w:w="231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sz w:val="21"/>
                <w:szCs w:val="21"/>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hint="eastAsia" w:ascii="Times New Roman" w:hAnsi="Times New Roman"/>
                <w:kern w:val="2"/>
                <w:sz w:val="21"/>
                <w:szCs w:val="21"/>
                <w:lang w:bidi="ar"/>
              </w:rPr>
              <w:t>2</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7</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苯并</w:t>
            </w:r>
            <w:r>
              <w:rPr>
                <w:rFonts w:ascii="Times New Roman"/>
                <w:sz w:val="21"/>
                <w:szCs w:val="21"/>
                <w:lang w:bidi="ar"/>
              </w:rPr>
              <w:t>[</w:t>
            </w:r>
            <w:r>
              <w:rPr>
                <w:rFonts w:ascii="Times New Roman" w:hAnsi="Times New Roman"/>
                <w:sz w:val="21"/>
                <w:szCs w:val="21"/>
                <w:lang w:bidi="ar"/>
              </w:rPr>
              <w:t>k</w:t>
            </w:r>
            <w:r>
              <w:rPr>
                <w:rFonts w:ascii="Times New Roman"/>
                <w:sz w:val="21"/>
                <w:szCs w:val="21"/>
                <w:lang w:bidi="ar"/>
              </w:rPr>
              <w:t>]</w:t>
            </w:r>
            <w:r>
              <w:rPr>
                <w:rFonts w:hint="eastAsia" w:ascii="Times New Roman" w:hAnsi="宋体" w:cs="宋体"/>
                <w:sz w:val="21"/>
                <w:szCs w:val="21"/>
                <w:lang w:bidi="ar"/>
              </w:rPr>
              <w:t>荧蒽</w:t>
            </w:r>
          </w:p>
        </w:tc>
        <w:tc>
          <w:tcPr>
            <w:tcW w:w="2315"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sz w:val="21"/>
                <w:szCs w:val="21"/>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1</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8</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䓛</w:t>
            </w:r>
          </w:p>
        </w:tc>
        <w:tc>
          <w:tcPr>
            <w:tcW w:w="2315"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sz w:val="21"/>
                <w:szCs w:val="21"/>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1</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9</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二苯并</w:t>
            </w:r>
            <w:r>
              <w:rPr>
                <w:rFonts w:ascii="Times New Roman"/>
                <w:sz w:val="21"/>
                <w:szCs w:val="21"/>
                <w:lang w:bidi="ar"/>
              </w:rPr>
              <w:t>[</w:t>
            </w:r>
            <w:r>
              <w:rPr>
                <w:rFonts w:ascii="Times New Roman" w:hAnsi="Times New Roman"/>
                <w:sz w:val="21"/>
                <w:szCs w:val="21"/>
                <w:lang w:bidi="ar"/>
              </w:rPr>
              <w:t>a</w:t>
            </w:r>
            <w:r>
              <w:rPr>
                <w:rFonts w:ascii="Times New Roman"/>
                <w:sz w:val="21"/>
                <w:szCs w:val="21"/>
                <w:lang w:bidi="ar"/>
              </w:rPr>
              <w:t>,</w:t>
            </w:r>
            <w:r>
              <w:rPr>
                <w:rFonts w:ascii="Times New Roman" w:hAnsi="Times New Roman"/>
                <w:sz w:val="21"/>
                <w:szCs w:val="21"/>
                <w:lang w:bidi="ar"/>
              </w:rPr>
              <w:t>h</w:t>
            </w:r>
            <w:r>
              <w:rPr>
                <w:rFonts w:ascii="Times New Roman"/>
                <w:sz w:val="21"/>
                <w:szCs w:val="21"/>
                <w:lang w:bidi="ar"/>
              </w:rPr>
              <w:t>]</w:t>
            </w:r>
            <w:r>
              <w:rPr>
                <w:rFonts w:hint="eastAsia" w:ascii="Times New Roman" w:hAnsi="宋体" w:cs="宋体"/>
                <w:sz w:val="21"/>
                <w:szCs w:val="21"/>
                <w:lang w:bidi="ar"/>
              </w:rPr>
              <w:t>蒽</w:t>
            </w:r>
          </w:p>
        </w:tc>
        <w:tc>
          <w:tcPr>
            <w:tcW w:w="2315"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eastAsia="宋体"/>
                <w:sz w:val="21"/>
                <w:szCs w:val="21"/>
                <w:lang w:eastAsia="zh-CN"/>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hint="eastAsia" w:ascii="Times New Roman" w:hAnsi="Times New Roman"/>
                <w:kern w:val="2"/>
                <w:sz w:val="21"/>
                <w:szCs w:val="21"/>
                <w:lang w:val="en-US" w:eastAsia="zh-CN" w:bidi="ar"/>
              </w:rPr>
              <w:t>1</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w:t>
            </w:r>
            <w:r>
              <w:rPr>
                <w:rFonts w:hint="eastAsia" w:hAnsi="宋体" w:cs="宋体"/>
                <w:kern w:val="2"/>
                <w:sz w:val="21"/>
                <w:szCs w:val="21"/>
                <w:lang w:bidi="ar"/>
              </w:rPr>
              <w:t>.</w:t>
            </w:r>
            <w:r>
              <w:rPr>
                <w:rFonts w:hint="eastAsia" w:ascii="Times New Roman" w:hAnsi="Times New Roman"/>
                <w:kern w:val="2"/>
                <w:sz w:val="21"/>
                <w:szCs w:val="21"/>
                <w:lang w:bidi="ar"/>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10</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茚并</w:t>
            </w:r>
            <w:r>
              <w:rPr>
                <w:rFonts w:ascii="Times New Roman"/>
                <w:sz w:val="21"/>
                <w:szCs w:val="21"/>
                <w:lang w:bidi="ar"/>
              </w:rPr>
              <w:t>[</w:t>
            </w:r>
            <w:r>
              <w:rPr>
                <w:rFonts w:ascii="Times New Roman" w:hAnsi="Times New Roman"/>
                <w:sz w:val="21"/>
                <w:szCs w:val="21"/>
                <w:lang w:bidi="ar"/>
              </w:rPr>
              <w:t>1</w:t>
            </w:r>
            <w:r>
              <w:rPr>
                <w:rFonts w:ascii="Times New Roman"/>
                <w:sz w:val="21"/>
                <w:szCs w:val="21"/>
                <w:lang w:bidi="ar"/>
              </w:rPr>
              <w:t>,</w:t>
            </w:r>
            <w:r>
              <w:rPr>
                <w:rFonts w:ascii="Times New Roman" w:hAnsi="Times New Roman"/>
                <w:sz w:val="21"/>
                <w:szCs w:val="21"/>
                <w:lang w:bidi="ar"/>
              </w:rPr>
              <w:t>2</w:t>
            </w:r>
            <w:r>
              <w:rPr>
                <w:rFonts w:ascii="Times New Roman"/>
                <w:sz w:val="21"/>
                <w:szCs w:val="21"/>
                <w:lang w:bidi="ar"/>
              </w:rPr>
              <w:t>,</w:t>
            </w:r>
            <w:r>
              <w:rPr>
                <w:rFonts w:ascii="Times New Roman" w:hAnsi="Times New Roman"/>
                <w:sz w:val="21"/>
                <w:szCs w:val="21"/>
                <w:lang w:bidi="ar"/>
              </w:rPr>
              <w:t>3</w:t>
            </w:r>
            <w:r>
              <w:rPr>
                <w:rFonts w:ascii="Times New Roman"/>
                <w:sz w:val="21"/>
                <w:szCs w:val="21"/>
                <w:lang w:bidi="ar"/>
              </w:rPr>
              <w:t>,-</w:t>
            </w:r>
            <w:r>
              <w:rPr>
                <w:rFonts w:ascii="Times New Roman" w:hAnsi="Times New Roman"/>
                <w:sz w:val="21"/>
                <w:szCs w:val="21"/>
                <w:lang w:bidi="ar"/>
              </w:rPr>
              <w:t>cd</w:t>
            </w:r>
            <w:r>
              <w:rPr>
                <w:rFonts w:ascii="Times New Roman"/>
                <w:sz w:val="21"/>
                <w:szCs w:val="21"/>
                <w:lang w:bidi="ar"/>
              </w:rPr>
              <w:t>]</w:t>
            </w:r>
            <w:r>
              <w:rPr>
                <w:rFonts w:hint="eastAsia" w:ascii="Times New Roman" w:hAnsi="宋体" w:cs="宋体"/>
                <w:sz w:val="21"/>
                <w:szCs w:val="21"/>
                <w:lang w:bidi="ar"/>
              </w:rPr>
              <w:t>芘</w:t>
            </w:r>
          </w:p>
        </w:tc>
        <w:tc>
          <w:tcPr>
            <w:tcW w:w="2315"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sz w:val="21"/>
                <w:szCs w:val="21"/>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1</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ascii="Times New Roman"/>
                <w:kern w:val="2"/>
                <w:sz w:val="21"/>
                <w:szCs w:val="21"/>
                <w:lang w:bidi="ar"/>
              </w:rPr>
            </w:pPr>
            <w:r>
              <w:rPr>
                <w:rFonts w:ascii="Times New Roman" w:hAnsi="Times New Roman"/>
                <w:kern w:val="2"/>
                <w:sz w:val="21"/>
                <w:szCs w:val="21"/>
                <w:lang w:bidi="ar"/>
              </w:rPr>
              <w:t>11</w:t>
            </w:r>
          </w:p>
        </w:tc>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宋体" w:cs="宋体"/>
                <w:sz w:val="21"/>
                <w:szCs w:val="21"/>
                <w:lang w:bidi="ar"/>
              </w:rPr>
            </w:pPr>
            <w:r>
              <w:rPr>
                <w:rFonts w:hint="eastAsia" w:ascii="Times New Roman" w:hAnsi="宋体" w:cs="宋体"/>
                <w:sz w:val="21"/>
                <w:szCs w:val="21"/>
                <w:lang w:bidi="ar"/>
              </w:rPr>
              <w:t>萘</w:t>
            </w:r>
          </w:p>
        </w:tc>
        <w:tc>
          <w:tcPr>
            <w:tcW w:w="2315"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sz w:val="21"/>
                <w:szCs w:val="21"/>
              </w:rPr>
            </w:pPr>
            <w:r>
              <w:rPr>
                <w:rFonts w:hint="eastAsia" w:ascii="Times New Roman" w:cs="宋体"/>
                <w:kern w:val="2"/>
                <w:sz w:val="21"/>
                <w:szCs w:val="21"/>
                <w:lang w:bidi="ar"/>
              </w:rPr>
              <w:t>＜</w:t>
            </w:r>
            <w:r>
              <w:rPr>
                <w:rFonts w:ascii="Times New Roman" w:hAnsi="Times New Roman"/>
                <w:kern w:val="2"/>
                <w:sz w:val="21"/>
                <w:szCs w:val="21"/>
                <w:lang w:bidi="ar"/>
              </w:rPr>
              <w:t>0</w:t>
            </w:r>
            <w:r>
              <w:rPr>
                <w:rFonts w:ascii="Times New Roman"/>
                <w:kern w:val="2"/>
                <w:sz w:val="21"/>
                <w:szCs w:val="21"/>
                <w:lang w:bidi="ar"/>
              </w:rPr>
              <w:t>.</w:t>
            </w:r>
            <w:r>
              <w:rPr>
                <w:rFonts w:ascii="Times New Roman" w:hAnsi="Times New Roman"/>
                <w:kern w:val="2"/>
                <w:sz w:val="21"/>
                <w:szCs w:val="21"/>
                <w:lang w:bidi="ar"/>
              </w:rPr>
              <w:t>0</w:t>
            </w:r>
            <w:r>
              <w:rPr>
                <w:rFonts w:hint="eastAsia" w:ascii="Times New Roman" w:hAnsi="Times New Roman"/>
                <w:kern w:val="2"/>
                <w:sz w:val="21"/>
                <w:szCs w:val="21"/>
                <w:lang w:bidi="ar"/>
              </w:rPr>
              <w:t>9</w:t>
            </w:r>
          </w:p>
        </w:tc>
        <w:tc>
          <w:tcPr>
            <w:tcW w:w="3606"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hAnsi="宋体" w:cs="宋体"/>
                <w:kern w:val="2"/>
                <w:sz w:val="21"/>
                <w:szCs w:val="21"/>
                <w:lang w:bidi="ar"/>
              </w:rPr>
            </w:pPr>
            <w:r>
              <w:rPr>
                <w:rFonts w:hint="eastAsia" w:hAnsi="宋体" w:cs="宋体"/>
                <w:kern w:val="2"/>
                <w:sz w:val="21"/>
                <w:szCs w:val="21"/>
                <w:lang w:bidi="ar"/>
              </w:rPr>
              <w:t>≤</w:t>
            </w:r>
            <w:r>
              <w:rPr>
                <w:rFonts w:hint="eastAsia" w:ascii="Times New Roman" w:hAnsi="Times New Roman"/>
                <w:kern w:val="2"/>
                <w:sz w:val="21"/>
                <w:szCs w:val="21"/>
                <w:lang w:bidi="ar"/>
              </w:rPr>
              <w:t>70</w:t>
            </w:r>
          </w:p>
        </w:tc>
      </w:tr>
    </w:tbl>
    <w:p>
      <w:pPr>
        <w:rPr>
          <w:rFonts w:hint="eastAsia"/>
        </w:rPr>
      </w:pPr>
    </w:p>
    <w:p>
      <w:pPr>
        <w:rPr>
          <w:rFonts w:ascii="Times New Roman"/>
        </w:rPr>
      </w:pPr>
      <w:r>
        <w:rPr>
          <w:rFonts w:hint="eastAsia" w:ascii="Times New Roman"/>
        </w:rPr>
        <w:t>（</w:t>
      </w:r>
      <w:r>
        <w:rPr>
          <w:rFonts w:hint="eastAsia" w:ascii="Times New Roman" w:hAnsi="Times New Roman"/>
        </w:rPr>
        <w:t>6</w:t>
      </w:r>
      <w:r>
        <w:rPr>
          <w:rFonts w:hint="eastAsia" w:ascii="Times New Roman"/>
        </w:rPr>
        <w:t>）</w:t>
      </w:r>
      <w:r>
        <w:rPr>
          <w:rFonts w:ascii="Times New Roman"/>
        </w:rPr>
        <w:t>土壤环境现状评价</w:t>
      </w:r>
    </w:p>
    <w:p>
      <w:r>
        <w:rPr>
          <w:rFonts w:hint="eastAsia"/>
        </w:rPr>
        <w:t>①评价方法</w:t>
      </w:r>
    </w:p>
    <w:p>
      <w:r>
        <w:rPr>
          <w:rFonts w:hint="eastAsia"/>
        </w:rPr>
        <w:t>采用标准指数法进行现状评价，计算公式为：</w:t>
      </w:r>
    </w:p>
    <w:p>
      <w:pPr>
        <w:spacing w:line="440" w:lineRule="exact"/>
      </w:pPr>
      <w:r>
        <w:rPr>
          <w:rFonts w:ascii="Times New Roman"/>
          <w:kern w:val="2"/>
          <w:szCs w:val="22"/>
          <w:lang w:bidi="ar"/>
        </w:rPr>
        <w:pict>
          <v:shape id="对象 613" o:spid="_x0000_s2055" o:spt="75" type="#_x0000_t75" style="position:absolute;left:0pt;margin-left:179.75pt;margin-top:2.7pt;height:34pt;width:42pt;mso-wrap-distance-bottom:0pt;mso-wrap-distance-top:0pt;z-index:251663360;mso-width-relative:page;mso-height-relative:page;" o:ole="t" filled="f" o:preferrelative="t" stroked="f" coordsize="21600,21600">
            <v:path/>
            <v:fill on="f" focussize="0,0"/>
            <v:stroke on="f"/>
            <v:imagedata r:id="rId60" o:title=""/>
            <o:lock v:ext="edit" grouping="f" rotation="f" text="f" aspectratio="t"/>
            <w10:wrap type="topAndBottom"/>
          </v:shape>
          <o:OLEObject Type="Embed" ProgID="Equation.3" ShapeID="对象 613" DrawAspect="Content" ObjectID="_1468075741" r:id="rId59">
            <o:LockedField>false</o:LockedField>
          </o:OLEObject>
        </w:pict>
      </w:r>
      <w:r>
        <w:rPr>
          <w:rFonts w:hint="eastAsia" w:ascii="Times New Roman" w:cs="宋体"/>
          <w:kern w:val="2"/>
          <w:szCs w:val="22"/>
          <w:lang w:bidi="ar"/>
        </w:rPr>
        <w:t>式中：</w:t>
      </w:r>
      <w:r>
        <w:rPr>
          <w:rFonts w:ascii="Times New Roman" w:hAnsi="Times New Roman"/>
          <w:kern w:val="2"/>
          <w:szCs w:val="22"/>
          <w:lang w:bidi="ar"/>
        </w:rPr>
        <w:t>S</w:t>
      </w:r>
      <w:r>
        <w:rPr>
          <w:rFonts w:ascii="Times New Roman" w:hAnsi="Times New Roman"/>
          <w:kern w:val="2"/>
          <w:szCs w:val="22"/>
          <w:vertAlign w:val="subscript"/>
          <w:lang w:bidi="ar"/>
        </w:rPr>
        <w:t>i</w:t>
      </w:r>
      <w:r>
        <w:rPr>
          <w:rFonts w:hint="eastAsia" w:ascii="Times New Roman" w:cs="宋体"/>
          <w:kern w:val="2"/>
          <w:szCs w:val="22"/>
          <w:lang w:bidi="ar"/>
        </w:rPr>
        <w:t>：污染物标准指数；</w:t>
      </w:r>
    </w:p>
    <w:p>
      <w:pPr>
        <w:spacing w:line="440" w:lineRule="exact"/>
        <w:ind w:firstLine="1200" w:firstLineChars="500"/>
      </w:pPr>
      <w:r>
        <w:rPr>
          <w:rFonts w:ascii="Times New Roman" w:hAnsi="Times New Roman"/>
          <w:kern w:val="2"/>
          <w:szCs w:val="22"/>
          <w:lang w:bidi="ar"/>
        </w:rPr>
        <w:t>C</w:t>
      </w:r>
      <w:r>
        <w:rPr>
          <w:rFonts w:ascii="Times New Roman" w:hAnsi="Times New Roman"/>
          <w:kern w:val="2"/>
          <w:szCs w:val="22"/>
          <w:vertAlign w:val="subscript"/>
          <w:lang w:bidi="ar"/>
        </w:rPr>
        <w:t>i</w:t>
      </w:r>
      <w:r>
        <w:rPr>
          <w:rFonts w:hint="eastAsia" w:ascii="Times New Roman" w:cs="宋体"/>
          <w:kern w:val="2"/>
          <w:szCs w:val="22"/>
          <w:lang w:bidi="ar"/>
        </w:rPr>
        <w:t>：</w:t>
      </w:r>
      <w:r>
        <w:rPr>
          <w:rFonts w:ascii="Times New Roman" w:hAnsi="Times New Roman"/>
          <w:kern w:val="2"/>
          <w:szCs w:val="22"/>
          <w:lang w:bidi="ar"/>
        </w:rPr>
        <w:t>i</w:t>
      </w:r>
      <w:r>
        <w:rPr>
          <w:rFonts w:hint="eastAsia" w:ascii="Times New Roman" w:cs="宋体"/>
          <w:kern w:val="2"/>
          <w:szCs w:val="22"/>
          <w:lang w:bidi="ar"/>
        </w:rPr>
        <w:t>污染物的浓度值，</w:t>
      </w:r>
      <w:r>
        <w:rPr>
          <w:rFonts w:ascii="Times New Roman" w:hAnsi="Times New Roman"/>
          <w:kern w:val="2"/>
          <w:szCs w:val="22"/>
          <w:lang w:bidi="ar"/>
        </w:rPr>
        <w:t>mg</w:t>
      </w:r>
      <w:r>
        <w:rPr>
          <w:rFonts w:ascii="Times New Roman"/>
          <w:kern w:val="2"/>
          <w:szCs w:val="22"/>
          <w:lang w:bidi="ar"/>
        </w:rPr>
        <w:t>/</w:t>
      </w:r>
      <w:r>
        <w:rPr>
          <w:rFonts w:ascii="Times New Roman" w:hAnsi="Times New Roman"/>
          <w:kern w:val="2"/>
          <w:szCs w:val="22"/>
          <w:lang w:bidi="ar"/>
        </w:rPr>
        <w:t>kg</w:t>
      </w:r>
      <w:r>
        <w:rPr>
          <w:rFonts w:hint="eastAsia" w:ascii="Times New Roman" w:cs="宋体"/>
          <w:kern w:val="2"/>
          <w:szCs w:val="22"/>
          <w:lang w:bidi="ar"/>
        </w:rPr>
        <w:t>；</w:t>
      </w:r>
    </w:p>
    <w:p>
      <w:pPr>
        <w:spacing w:line="440" w:lineRule="exact"/>
        <w:ind w:firstLine="1200" w:firstLineChars="500"/>
      </w:pPr>
      <w:r>
        <w:rPr>
          <w:rFonts w:ascii="Times New Roman" w:hAnsi="Times New Roman"/>
          <w:kern w:val="2"/>
          <w:szCs w:val="22"/>
          <w:lang w:bidi="ar"/>
        </w:rPr>
        <w:t>C</w:t>
      </w:r>
      <w:r>
        <w:rPr>
          <w:rFonts w:ascii="Times New Roman" w:hAnsi="Times New Roman"/>
          <w:kern w:val="2"/>
          <w:szCs w:val="22"/>
          <w:vertAlign w:val="subscript"/>
          <w:lang w:bidi="ar"/>
        </w:rPr>
        <w:t>si</w:t>
      </w:r>
      <w:r>
        <w:rPr>
          <w:rFonts w:hint="eastAsia" w:ascii="Times New Roman" w:cs="宋体"/>
          <w:kern w:val="2"/>
          <w:szCs w:val="22"/>
          <w:lang w:bidi="ar"/>
        </w:rPr>
        <w:t>：</w:t>
      </w:r>
      <w:r>
        <w:rPr>
          <w:rFonts w:ascii="Times New Roman" w:hAnsi="Times New Roman"/>
          <w:kern w:val="2"/>
          <w:szCs w:val="22"/>
          <w:lang w:bidi="ar"/>
        </w:rPr>
        <w:t>i</w:t>
      </w:r>
      <w:r>
        <w:rPr>
          <w:rFonts w:hint="eastAsia" w:ascii="Times New Roman" w:cs="宋体"/>
          <w:kern w:val="2"/>
          <w:szCs w:val="22"/>
          <w:lang w:bidi="ar"/>
        </w:rPr>
        <w:t>污染物的评价标准值，</w:t>
      </w:r>
      <w:r>
        <w:rPr>
          <w:rFonts w:ascii="Times New Roman" w:hAnsi="Times New Roman"/>
          <w:kern w:val="2"/>
          <w:szCs w:val="22"/>
          <w:lang w:bidi="ar"/>
        </w:rPr>
        <w:t>mg</w:t>
      </w:r>
      <w:r>
        <w:rPr>
          <w:rFonts w:ascii="Times New Roman"/>
          <w:kern w:val="2"/>
          <w:szCs w:val="22"/>
          <w:lang w:bidi="ar"/>
        </w:rPr>
        <w:t>/</w:t>
      </w:r>
      <w:r>
        <w:rPr>
          <w:rFonts w:ascii="Times New Roman" w:hAnsi="Times New Roman"/>
          <w:kern w:val="2"/>
          <w:szCs w:val="22"/>
          <w:lang w:bidi="ar"/>
        </w:rPr>
        <w:t>kg</w:t>
      </w:r>
      <w:r>
        <w:rPr>
          <w:rFonts w:hint="eastAsia" w:ascii="Times New Roman" w:cs="宋体"/>
          <w:kern w:val="2"/>
          <w:szCs w:val="22"/>
          <w:lang w:bidi="ar"/>
        </w:rPr>
        <w:t>。</w:t>
      </w:r>
    </w:p>
    <w:p>
      <w:pPr>
        <w:spacing w:line="440" w:lineRule="exact"/>
      </w:pPr>
      <w:r>
        <w:rPr>
          <w:rFonts w:hint="eastAsia" w:ascii="Times New Roman" w:cs="宋体"/>
          <w:kern w:val="2"/>
          <w:szCs w:val="22"/>
          <w:lang w:bidi="ar"/>
        </w:rPr>
        <w:t>②评价标准</w:t>
      </w:r>
    </w:p>
    <w:p>
      <w:pPr>
        <w:spacing w:line="440" w:lineRule="exact"/>
      </w:pPr>
      <w:r>
        <w:rPr>
          <w:rFonts w:hint="eastAsia" w:ascii="Times New Roman" w:cs="宋体"/>
          <w:kern w:val="2"/>
          <w:szCs w:val="22"/>
          <w:lang w:bidi="ar"/>
        </w:rPr>
        <w:t>参照《土壤环境质量标准</w:t>
      </w:r>
      <w:r>
        <w:rPr>
          <w:rFonts w:ascii="Times New Roman"/>
          <w:kern w:val="2"/>
          <w:szCs w:val="22"/>
          <w:lang w:bidi="ar"/>
        </w:rPr>
        <w:t xml:space="preserve"> </w:t>
      </w:r>
      <w:r>
        <w:rPr>
          <w:rFonts w:hint="eastAsia" w:ascii="Times New Roman" w:cs="宋体"/>
          <w:kern w:val="2"/>
          <w:szCs w:val="22"/>
          <w:lang w:bidi="ar"/>
        </w:rPr>
        <w:t>建设用地土壤污染风险管控标准</w:t>
      </w:r>
      <w:r>
        <w:rPr>
          <w:rFonts w:hint="eastAsia" w:ascii="Times New Roman" w:cs="宋体"/>
          <w:kern w:val="2"/>
          <w:szCs w:val="22"/>
          <w:lang w:eastAsia="zh-CN" w:bidi="ar"/>
        </w:rPr>
        <w:t>（试行）</w:t>
      </w:r>
      <w:r>
        <w:rPr>
          <w:rFonts w:hint="eastAsia" w:ascii="Times New Roman" w:cs="宋体"/>
          <w:kern w:val="2"/>
          <w:szCs w:val="22"/>
          <w:lang w:bidi="ar"/>
        </w:rPr>
        <w:t>》（</w:t>
      </w:r>
      <w:r>
        <w:rPr>
          <w:rFonts w:ascii="Times New Roman" w:hAnsi="Times New Roman"/>
          <w:kern w:val="2"/>
          <w:szCs w:val="22"/>
          <w:lang w:bidi="ar"/>
        </w:rPr>
        <w:t>GB36600</w:t>
      </w:r>
      <w:r>
        <w:rPr>
          <w:rFonts w:ascii="Times New Roman"/>
          <w:kern w:val="2"/>
          <w:szCs w:val="22"/>
          <w:lang w:bidi="ar"/>
        </w:rPr>
        <w:t>-</w:t>
      </w:r>
      <w:r>
        <w:rPr>
          <w:rFonts w:ascii="Times New Roman" w:hAnsi="Times New Roman"/>
          <w:kern w:val="2"/>
          <w:szCs w:val="22"/>
          <w:lang w:bidi="ar"/>
        </w:rPr>
        <w:t>2018</w:t>
      </w:r>
      <w:r>
        <w:rPr>
          <w:rFonts w:hint="eastAsia" w:ascii="Times New Roman" w:cs="宋体"/>
          <w:kern w:val="2"/>
          <w:szCs w:val="22"/>
          <w:lang w:bidi="ar"/>
        </w:rPr>
        <w:t>）第二类用地筛选值。</w:t>
      </w:r>
    </w:p>
    <w:p>
      <w:pPr>
        <w:spacing w:line="440" w:lineRule="exact"/>
      </w:pPr>
      <w:r>
        <w:rPr>
          <w:rFonts w:hint="eastAsia"/>
        </w:rPr>
        <w:t>③评价结果</w:t>
      </w:r>
    </w:p>
    <w:p>
      <w:pPr>
        <w:spacing w:line="440" w:lineRule="exact"/>
      </w:pPr>
      <w:r>
        <w:rPr>
          <w:rFonts w:hint="eastAsia"/>
        </w:rPr>
        <w:t>土壤现状评价结果见表</w:t>
      </w:r>
      <w:r>
        <w:rPr>
          <w:rFonts w:hint="eastAsia" w:ascii="Times New Roman" w:hAnsi="Times New Roman"/>
          <w:lang w:val="en-US" w:eastAsia="zh-CN"/>
        </w:rPr>
        <w:t>5</w:t>
      </w:r>
      <w:r>
        <w:t>.</w:t>
      </w:r>
      <w:r>
        <w:rPr>
          <w:rFonts w:hint="eastAsia" w:ascii="Times New Roman" w:hAnsi="Times New Roman"/>
          <w:lang w:val="en-US" w:eastAsia="zh-CN"/>
        </w:rPr>
        <w:t>5</w:t>
      </w:r>
      <w:r>
        <w:rPr>
          <w:rFonts w:hint="eastAsia" w:ascii="Times New Roman"/>
          <w:lang w:val="en-US" w:eastAsia="zh-CN"/>
        </w:rPr>
        <w:t>-</w:t>
      </w:r>
      <w:r>
        <w:rPr>
          <w:rFonts w:hint="eastAsia" w:ascii="Times New Roman" w:hAnsi="Times New Roman"/>
          <w:lang w:val="en-US" w:eastAsia="zh-CN"/>
        </w:rPr>
        <w:t>12</w:t>
      </w:r>
      <w:r>
        <w:rPr>
          <w:rFonts w:hint="eastAsia"/>
        </w:rPr>
        <w:t>。</w:t>
      </w:r>
    </w:p>
    <w:p>
      <w:pPr>
        <w:snapToGrid w:val="0"/>
        <w:spacing w:before="169" w:beforeLines="50"/>
        <w:ind w:firstLine="843" w:firstLineChars="400"/>
        <w:jc w:val="center"/>
        <w:rPr>
          <w:rFonts w:hint="eastAsia" w:ascii="黑体" w:hAnsi="宋体" w:cs="宋体"/>
          <w:b/>
          <w:kern w:val="2"/>
          <w:sz w:val="21"/>
          <w:szCs w:val="22"/>
          <w:lang w:bidi="ar"/>
        </w:rPr>
      </w:pPr>
      <w:r>
        <w:rPr>
          <w:rFonts w:hint="eastAsia" w:ascii="黑体" w:hAnsi="宋体" w:cs="宋体"/>
          <w:b/>
          <w:kern w:val="2"/>
          <w:sz w:val="21"/>
          <w:szCs w:val="22"/>
          <w:lang w:bidi="ar"/>
        </w:rPr>
        <w:t>表</w:t>
      </w:r>
      <w:r>
        <w:rPr>
          <w:rFonts w:hint="eastAsia" w:ascii="Times New Roman" w:hAnsi="Times New Roman"/>
          <w:b/>
          <w:kern w:val="2"/>
          <w:sz w:val="21"/>
          <w:szCs w:val="22"/>
          <w:lang w:val="en-US" w:eastAsia="zh-CN" w:bidi="ar"/>
        </w:rPr>
        <w:t>5</w:t>
      </w:r>
      <w:r>
        <w:rPr>
          <w:rFonts w:hint="eastAsia" w:ascii="黑体" w:hAnsi="宋体" w:cs="黑体"/>
          <w:b/>
          <w:kern w:val="2"/>
          <w:sz w:val="21"/>
          <w:szCs w:val="22"/>
          <w:lang w:bidi="ar"/>
        </w:rPr>
        <w:t>.</w:t>
      </w:r>
      <w:r>
        <w:rPr>
          <w:rFonts w:hint="eastAsia" w:ascii="Times New Roman" w:hAnsi="Times New Roman"/>
          <w:b/>
          <w:kern w:val="2"/>
          <w:sz w:val="21"/>
          <w:szCs w:val="22"/>
          <w:lang w:val="en-US" w:eastAsia="zh-CN" w:bidi="ar"/>
        </w:rPr>
        <w:t>5</w:t>
      </w:r>
      <w:r>
        <w:rPr>
          <w:rFonts w:hint="eastAsia" w:ascii="Times New Roman"/>
          <w:b/>
          <w:kern w:val="2"/>
          <w:sz w:val="21"/>
          <w:szCs w:val="22"/>
          <w:lang w:val="en-US" w:eastAsia="zh-CN" w:bidi="ar"/>
        </w:rPr>
        <w:t>-</w:t>
      </w:r>
      <w:r>
        <w:rPr>
          <w:rFonts w:hint="eastAsia" w:ascii="Times New Roman" w:hAnsi="Times New Roman"/>
          <w:b/>
          <w:kern w:val="2"/>
          <w:sz w:val="21"/>
          <w:szCs w:val="22"/>
          <w:lang w:val="en-US" w:eastAsia="zh-CN" w:bidi="ar"/>
        </w:rPr>
        <w:t>12</w:t>
      </w:r>
      <w:r>
        <w:rPr>
          <w:rFonts w:hint="eastAsia" w:ascii="黑体" w:hAnsi="宋体" w:cs="黑体"/>
          <w:b/>
          <w:kern w:val="2"/>
          <w:sz w:val="21"/>
          <w:szCs w:val="22"/>
          <w:lang w:bidi="ar"/>
        </w:rPr>
        <w:t xml:space="preserve"> </w:t>
      </w:r>
      <w:r>
        <w:rPr>
          <w:rFonts w:hint="eastAsia" w:ascii="黑体" w:cs="黑体"/>
          <w:b/>
          <w:kern w:val="2"/>
          <w:sz w:val="21"/>
          <w:szCs w:val="22"/>
          <w:lang w:val="en-US" w:eastAsia="zh-CN" w:bidi="ar"/>
        </w:rPr>
        <w:t xml:space="preserve"> </w:t>
      </w:r>
      <w:r>
        <w:rPr>
          <w:rFonts w:hint="eastAsia" w:ascii="黑体" w:hAnsi="宋体" w:cs="宋体"/>
          <w:b/>
          <w:kern w:val="2"/>
          <w:sz w:val="21"/>
          <w:szCs w:val="22"/>
          <w:lang w:bidi="ar"/>
        </w:rPr>
        <w:t>土壤质量评价结果一览表</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078"/>
        <w:gridCol w:w="1543"/>
        <w:gridCol w:w="776"/>
        <w:gridCol w:w="2457"/>
        <w:gridCol w:w="15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2"/>
                <w:sz w:val="21"/>
                <w:szCs w:val="21"/>
                <w:lang w:val="en-US" w:eastAsia="zh-CN" w:bidi="ar"/>
              </w:rPr>
              <w:t>序号</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2"/>
                <w:sz w:val="21"/>
                <w:szCs w:val="21"/>
                <w:lang w:val="en-US" w:eastAsia="zh-CN" w:bidi="ar"/>
              </w:rPr>
              <w:t>污染物项目</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eastAsia"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标准指数</w:t>
            </w:r>
          </w:p>
          <w:p>
            <w:pPr>
              <w:keepNext w:val="0"/>
              <w:keepLines w:val="0"/>
              <w:widowControl w:val="0"/>
              <w:suppressLineNumbers w:val="0"/>
              <w:spacing w:before="0" w:beforeAutospacing="0" w:after="0" w:afterAutospacing="0" w:line="240" w:lineRule="auto"/>
              <w:ind w:left="0" w:right="0" w:firstLine="0"/>
              <w:jc w:val="center"/>
              <w:rPr>
                <w:rFonts w:hAnsi="宋体"/>
                <w:sz w:val="21"/>
                <w:szCs w:val="21"/>
                <w:lang w:val="en-US"/>
              </w:rPr>
            </w:pPr>
            <w:r>
              <w:rPr>
                <w:rFonts w:hint="eastAsia" w:ascii="Times New Roman" w:hAnsi="宋体" w:cs="宋体"/>
                <w:kern w:val="2"/>
                <w:sz w:val="21"/>
                <w:szCs w:val="21"/>
                <w:lang w:val="en-US" w:eastAsia="zh-CN" w:bidi="ar"/>
              </w:rPr>
              <w:t>（无量纲）</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序号</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宋体" w:eastAsia="宋体" w:cs="宋体"/>
                <w:kern w:val="2"/>
                <w:sz w:val="21"/>
                <w:szCs w:val="21"/>
                <w:lang w:val="en-US" w:eastAsia="zh-CN" w:bidi="ar"/>
              </w:rPr>
            </w:pPr>
            <w:r>
              <w:rPr>
                <w:rFonts w:hint="eastAsia" w:ascii="Times New Roman" w:hAnsi="宋体" w:eastAsia="宋体" w:cs="宋体"/>
                <w:kern w:val="2"/>
                <w:sz w:val="21"/>
                <w:szCs w:val="21"/>
                <w:lang w:val="en-US" w:eastAsia="zh-CN" w:bidi="ar"/>
              </w:rPr>
              <w:t>污染物项目</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宋体" w:eastAsia="宋体" w:cs="宋体"/>
                <w:kern w:val="2"/>
                <w:sz w:val="21"/>
                <w:szCs w:val="21"/>
                <w:lang w:val="en-US" w:eastAsia="zh-CN" w:bidi="ar"/>
              </w:rPr>
            </w:pPr>
            <w:r>
              <w:rPr>
                <w:rFonts w:hint="eastAsia" w:ascii="Times New Roman" w:cs="宋体"/>
                <w:kern w:val="2"/>
                <w:sz w:val="21"/>
                <w:szCs w:val="21"/>
                <w:lang w:val="en-US" w:eastAsia="zh-CN" w:bidi="ar"/>
              </w:rPr>
              <w:t>标准</w:t>
            </w:r>
            <w:r>
              <w:rPr>
                <w:rFonts w:hint="eastAsia" w:ascii="Times New Roman" w:hAnsi="宋体" w:eastAsia="宋体" w:cs="宋体"/>
                <w:kern w:val="2"/>
                <w:sz w:val="21"/>
                <w:szCs w:val="21"/>
                <w:lang w:val="en-US" w:eastAsia="zh-CN" w:bidi="ar"/>
              </w:rPr>
              <w:t>指数</w:t>
            </w: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宋体" w:eastAsia="宋体" w:cs="宋体"/>
                <w:kern w:val="2"/>
                <w:sz w:val="21"/>
                <w:szCs w:val="21"/>
                <w:lang w:val="en-US" w:eastAsia="zh-CN" w:bidi="ar"/>
              </w:rPr>
            </w:pPr>
            <w:r>
              <w:rPr>
                <w:rFonts w:hint="eastAsia" w:ascii="Times New Roman" w:hAnsi="宋体" w:cs="宋体"/>
                <w:kern w:val="2"/>
                <w:sz w:val="21"/>
                <w:szCs w:val="21"/>
                <w:lang w:val="en-US" w:eastAsia="zh-CN" w:bidi="ar"/>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0"/>
                <w:sz w:val="21"/>
                <w:szCs w:val="21"/>
                <w:lang w:val="en-US" w:eastAsia="zh-CN" w:bidi="ar"/>
              </w:rPr>
              <w:t>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255</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24</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3</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三氯丙烷</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2</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0"/>
                <w:sz w:val="21"/>
                <w:szCs w:val="21"/>
                <w:lang w:val="en-US" w:eastAsia="zh-CN" w:bidi="ar"/>
              </w:rPr>
              <w:t>镉</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0046</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25</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eastAsia" w:ascii="Times New Roman" w:hAnsi="宋体" w:eastAsia="宋体" w:cs="宋体"/>
                <w:kern w:val="0"/>
                <w:sz w:val="21"/>
                <w:szCs w:val="21"/>
                <w:lang w:val="en-US" w:eastAsia="zh-CN" w:bidi="ar"/>
              </w:rPr>
              <w:t>氯乙烯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3</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0"/>
                <w:sz w:val="21"/>
                <w:szCs w:val="21"/>
                <w:lang w:val="en-US" w:eastAsia="zh-CN" w:bidi="ar"/>
              </w:rPr>
              <w:t>铬（六价）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754</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26</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4</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0"/>
                <w:sz w:val="21"/>
                <w:szCs w:val="21"/>
                <w:lang w:val="en-US" w:eastAsia="zh-CN" w:bidi="ar"/>
              </w:rPr>
              <w:t>铜</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002</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27</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eastAsia" w:ascii="Times New Roman" w:hAnsi="宋体" w:eastAsia="宋体" w:cs="宋体"/>
                <w:kern w:val="0"/>
                <w:sz w:val="21"/>
                <w:szCs w:val="21"/>
                <w:lang w:val="en-US" w:eastAsia="zh-CN" w:bidi="ar"/>
              </w:rPr>
              <w:t>氯苯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eastAsia" w:ascii="Times New Roman" w:hAnsi="Times New Roman"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5</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0"/>
                <w:sz w:val="21"/>
                <w:szCs w:val="21"/>
                <w:lang w:val="en-US" w:eastAsia="zh-CN" w:bidi="ar"/>
              </w:rPr>
              <w:t>铅</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0325</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28</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6</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0"/>
                <w:sz w:val="21"/>
                <w:szCs w:val="21"/>
                <w:lang w:val="en-US" w:eastAsia="zh-CN" w:bidi="ar"/>
              </w:rPr>
              <w:t>汞</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0093</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29</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4</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7</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eastAsia" w:ascii="Times New Roman" w:hAnsi="宋体" w:eastAsia="宋体" w:cs="宋体"/>
                <w:kern w:val="0"/>
                <w:sz w:val="21"/>
                <w:szCs w:val="21"/>
                <w:lang w:val="en-US" w:eastAsia="zh-CN" w:bidi="ar"/>
              </w:rPr>
              <w:t>镍</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eastAsia="宋体"/>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w:t>
            </w:r>
            <w:r>
              <w:rPr>
                <w:rFonts w:hint="eastAsia" w:ascii="Times New Roman" w:hAnsi="Times New Roman"/>
                <w:sz w:val="21"/>
                <w:szCs w:val="21"/>
                <w:lang w:val="en-US" w:eastAsia="zh-CN"/>
              </w:rPr>
              <w:t>053</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30</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eastAsia" w:ascii="Times New Roman" w:hAnsi="宋体" w:eastAsia="宋体" w:cs="宋体"/>
                <w:kern w:val="0"/>
                <w:sz w:val="21"/>
                <w:szCs w:val="21"/>
                <w:lang w:val="en-US" w:eastAsia="zh-CN" w:bidi="ar"/>
              </w:rPr>
              <w:t>乙苯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8</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四氯化碳</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eastAsia" w:eastAsia="宋体"/>
                <w:sz w:val="21"/>
                <w:szCs w:val="21"/>
                <w:lang w:val="en-US" w:eastAsia="zh-CN"/>
              </w:rPr>
            </w:pPr>
            <w:r>
              <w:rPr>
                <w:rFonts w:hint="eastAsia"/>
                <w:sz w:val="21"/>
                <w:szCs w:val="21"/>
                <w:lang w:val="en-US" w:eastAsia="zh-CN"/>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31</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苯乙烯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9</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氯仿</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eastAsia" w:eastAsia="宋体"/>
                <w:sz w:val="21"/>
                <w:szCs w:val="21"/>
                <w:lang w:val="en-US" w:eastAsia="zh-CN"/>
              </w:rPr>
            </w:pPr>
            <w:r>
              <w:rPr>
                <w:rFonts w:hint="eastAsia"/>
                <w:sz w:val="21"/>
                <w:szCs w:val="21"/>
                <w:lang w:val="en-US" w:eastAsia="zh-CN"/>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32</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甲苯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10</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氯甲烷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33</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间二甲苯</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对二甲苯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11</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二氯乙烷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34</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邻二甲苯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12</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二氯乙烷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35</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硝基苯</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13</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二氯乙烯</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36</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苯胺</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14</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顺</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二氯乙烯</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37</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氯酚</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15</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反</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二氯乙烯</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38</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苯并</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a</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蒽</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16</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二氯甲烷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int="default"/>
                <w:sz w:val="21"/>
                <w:szCs w:val="21"/>
                <w:lang w:val="en-US"/>
              </w:rPr>
            </w:pPr>
            <w:r>
              <w:rPr>
                <w:rFonts w:hint="eastAsia" w:asci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39</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苯并</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a</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芘</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17</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二氯丙烷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40</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苯并</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b</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荧蒽</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18</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四氯乙烷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41</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苯并</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k</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荧蒽</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19</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四氯乙烷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42</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䓛</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20</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四氯乙烯</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43</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二苯并</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a</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h</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蒽</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21</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三氯乙烷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44</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茚并</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3</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cd</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芘</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22</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default" w:ascii="Times New Roman" w:hAnsi="宋体"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w:t>
            </w:r>
            <w:r>
              <w:rPr>
                <w:rFonts w:hint="default" w:ascii="Times New Roman" w:hAnsi="宋体" w:eastAsia="宋体" w:cs="Times New Roman"/>
                <w:kern w:val="0"/>
                <w:sz w:val="21"/>
                <w:szCs w:val="21"/>
                <w:lang w:val="en-US" w:eastAsia="zh-CN" w:bidi="ar"/>
              </w:rPr>
              <w:t>-</w:t>
            </w:r>
            <w:r>
              <w:rPr>
                <w:rFonts w:hint="eastAsia" w:ascii="Times New Roman" w:hAnsi="宋体" w:eastAsia="宋体" w:cs="宋体"/>
                <w:kern w:val="0"/>
                <w:sz w:val="21"/>
                <w:szCs w:val="21"/>
                <w:lang w:val="en-US" w:eastAsia="zh-CN" w:bidi="ar"/>
              </w:rPr>
              <w:t>三氯乙烷</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45</w:t>
            </w: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宋体" w:eastAsia="宋体" w:cs="宋体"/>
                <w:kern w:val="0"/>
                <w:sz w:val="21"/>
                <w:szCs w:val="21"/>
                <w:lang w:val="en-US" w:eastAsia="zh-CN" w:bidi="ar"/>
              </w:rPr>
              <w:t>萘</w:t>
            </w: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23</w:t>
            </w:r>
          </w:p>
        </w:tc>
        <w:tc>
          <w:tcPr>
            <w:tcW w:w="2078"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rFonts w:hAnsi="宋体"/>
                <w:kern w:val="0"/>
                <w:sz w:val="21"/>
                <w:szCs w:val="21"/>
                <w:lang w:val="en-US"/>
              </w:rPr>
            </w:pPr>
            <w:r>
              <w:rPr>
                <w:rFonts w:hint="eastAsia" w:ascii="Times New Roman" w:hAnsi="宋体" w:eastAsia="宋体" w:cs="宋体"/>
                <w:kern w:val="0"/>
                <w:sz w:val="21"/>
                <w:szCs w:val="21"/>
                <w:lang w:val="en-US" w:eastAsia="zh-CN" w:bidi="ar"/>
              </w:rPr>
              <w:t>三氯乙烯</w:t>
            </w:r>
          </w:p>
        </w:tc>
        <w:tc>
          <w:tcPr>
            <w:tcW w:w="1543"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jc w:val="center"/>
              <w:rPr>
                <w:sz w:val="21"/>
                <w:szCs w:val="21"/>
                <w:lang w:val="en-US"/>
              </w:rPr>
            </w:pPr>
            <w:r>
              <w:rPr>
                <w:rFonts w:hint="default" w:ascii="Times New Roman" w:hAnsi="Times New Roman" w:eastAsia="宋体" w:cs="Times New Roman"/>
                <w:kern w:val="2"/>
                <w:sz w:val="21"/>
                <w:szCs w:val="21"/>
                <w:lang w:val="en-US" w:eastAsia="zh-CN" w:bidi="ar"/>
              </w:rPr>
              <w:t>/</w:t>
            </w:r>
          </w:p>
        </w:tc>
        <w:tc>
          <w:tcPr>
            <w:tcW w:w="776"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p>
        </w:tc>
        <w:tc>
          <w:tcPr>
            <w:tcW w:w="2457"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p>
        </w:tc>
        <w:tc>
          <w:tcPr>
            <w:tcW w:w="1544" w:type="dxa"/>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
              </w:rPr>
            </w:pPr>
          </w:p>
        </w:tc>
      </w:tr>
    </w:tbl>
    <w:p>
      <w:pPr>
        <w:rPr>
          <w:rFonts w:hint="eastAsia"/>
        </w:rPr>
      </w:pPr>
      <w:r>
        <w:rPr>
          <w:rFonts w:hint="eastAsia"/>
        </w:rPr>
        <w:t>由表</w:t>
      </w:r>
      <w:r>
        <w:rPr>
          <w:rFonts w:hint="eastAsia" w:ascii="Times New Roman" w:hAnsi="Times New Roman"/>
          <w:lang w:val="en-US" w:eastAsia="zh-CN"/>
        </w:rPr>
        <w:t>5</w:t>
      </w:r>
      <w:r>
        <w:rPr>
          <w:rFonts w:hint="eastAsia" w:ascii="Times New Roman"/>
          <w:lang w:val="en-US" w:eastAsia="zh-CN"/>
        </w:rPr>
        <w:t>.</w:t>
      </w:r>
      <w:r>
        <w:rPr>
          <w:rFonts w:hint="eastAsia" w:ascii="Times New Roman" w:hAnsi="Times New Roman"/>
          <w:lang w:val="en-US" w:eastAsia="zh-CN"/>
        </w:rPr>
        <w:t>5</w:t>
      </w:r>
      <w:r>
        <w:rPr>
          <w:rFonts w:hint="eastAsia" w:ascii="Times New Roman"/>
          <w:lang w:val="en-US" w:eastAsia="zh-CN"/>
        </w:rPr>
        <w:t>-</w:t>
      </w:r>
      <w:r>
        <w:rPr>
          <w:rFonts w:hint="eastAsia" w:ascii="Times New Roman" w:hAnsi="Times New Roman"/>
          <w:lang w:val="en-US" w:eastAsia="zh-CN"/>
        </w:rPr>
        <w:t>12</w:t>
      </w:r>
      <w:r>
        <w:rPr>
          <w:rFonts w:hint="eastAsia"/>
        </w:rPr>
        <w:t>可看出，各监测因子均能满足《土壤环境质量标准</w:t>
      </w:r>
      <w:r>
        <w:t xml:space="preserve"> </w:t>
      </w:r>
      <w:r>
        <w:rPr>
          <w:rFonts w:hint="eastAsia"/>
        </w:rPr>
        <w:t>建设用地土壤污染风险管控标准</w:t>
      </w:r>
      <w:r>
        <w:rPr>
          <w:rFonts w:hint="eastAsia"/>
          <w:lang w:eastAsia="zh-CN"/>
        </w:rPr>
        <w:t>（试行）</w:t>
      </w:r>
      <w:r>
        <w:rPr>
          <w:rFonts w:hint="eastAsia"/>
        </w:rPr>
        <w:t>》（</w:t>
      </w:r>
      <w:r>
        <w:rPr>
          <w:rFonts w:ascii="Times New Roman" w:hAnsi="Times New Roman"/>
        </w:rPr>
        <w:t>GB36600</w:t>
      </w:r>
      <w:r>
        <w:t>-</w:t>
      </w:r>
      <w:r>
        <w:rPr>
          <w:rFonts w:ascii="Times New Roman" w:hAnsi="Times New Roman"/>
        </w:rPr>
        <w:t>2018</w:t>
      </w:r>
      <w:r>
        <w:rPr>
          <w:rFonts w:hint="eastAsia"/>
        </w:rPr>
        <w:t>）第二类用地筛选限值。</w:t>
      </w:r>
    </w:p>
    <w:p>
      <w:pPr>
        <w:bidi w:val="0"/>
        <w:rPr>
          <w:rFonts w:hint="eastAsia"/>
        </w:rPr>
      </w:pPr>
    </w:p>
    <w:p>
      <w:pPr>
        <w:bidi w:val="0"/>
        <w:rPr>
          <w:rFonts w:hint="eastAsia"/>
        </w:rPr>
      </w:pPr>
    </w:p>
    <w:p>
      <w:pPr>
        <w:pStyle w:val="3"/>
        <w:numPr>
          <w:ilvl w:val="0"/>
          <w:numId w:val="0"/>
        </w:numPr>
      </w:pPr>
      <w:r>
        <w:rPr>
          <w:rFonts w:hint="eastAsia" w:ascii="宋体" w:hAnsi="宋体"/>
        </w:rPr>
        <w:br w:type="page"/>
      </w:r>
      <w:bookmarkStart w:id="170" w:name="_Toc31422"/>
      <w:bookmarkStart w:id="171" w:name="_Toc18262"/>
      <w:r>
        <w:rPr>
          <w:rFonts w:hint="eastAsia" w:ascii="Times New Roman" w:hAnsi="Times New Roman"/>
          <w:kern w:val="0"/>
          <w:lang w:val="en-US" w:eastAsia="zh-CN"/>
        </w:rPr>
        <w:t>6</w:t>
      </w:r>
      <w:r>
        <w:rPr>
          <w:rFonts w:hint="eastAsia"/>
          <w:kern w:val="0"/>
          <w:lang w:val="zh-CN"/>
        </w:rPr>
        <w:t>环境影响预测与评价</w:t>
      </w:r>
      <w:bookmarkEnd w:id="170"/>
      <w:bookmarkEnd w:id="171"/>
    </w:p>
    <w:p>
      <w:pPr>
        <w:pStyle w:val="4"/>
        <w:spacing w:before="169" w:after="169"/>
      </w:pPr>
      <w:bookmarkStart w:id="172" w:name="_Toc24469"/>
      <w:bookmarkStart w:id="173" w:name="_Toc317148867"/>
      <w:bookmarkStart w:id="174" w:name="_Toc14014"/>
      <w:r>
        <w:rPr>
          <w:rFonts w:hint="eastAsia" w:ascii="Times New Roman" w:hAnsi="Times New Roman"/>
          <w:lang w:val="en-US" w:eastAsia="zh-CN"/>
        </w:rPr>
        <w:t>6</w:t>
      </w:r>
      <w:r>
        <w:rPr>
          <w:rFonts w:hint="eastAsia"/>
        </w:rPr>
        <w:t>.</w:t>
      </w:r>
      <w:r>
        <w:rPr>
          <w:rFonts w:hint="eastAsia" w:ascii="Times New Roman" w:hAnsi="Times New Roman"/>
        </w:rPr>
        <w:t>1</w:t>
      </w:r>
      <w:r>
        <w:rPr>
          <w:rFonts w:hint="eastAsia"/>
          <w:lang w:eastAsia="zh-CN"/>
        </w:rPr>
        <w:t>施工期</w:t>
      </w:r>
      <w:r>
        <w:t>环境影响分析</w:t>
      </w:r>
      <w:bookmarkEnd w:id="172"/>
      <w:bookmarkEnd w:id="173"/>
      <w:bookmarkEnd w:id="174"/>
    </w:p>
    <w:p>
      <w:pPr>
        <w:rPr>
          <w:rFonts w:hint="eastAsia"/>
        </w:rPr>
      </w:pPr>
      <w:bookmarkStart w:id="175" w:name="_Toc176605109"/>
      <w:bookmarkStart w:id="176" w:name="_Toc317148869"/>
      <w:r>
        <w:rPr>
          <w:rFonts w:hint="eastAsia"/>
          <w:color w:val="auto"/>
          <w:sz w:val="24"/>
          <w:szCs w:val="24"/>
          <w:lang w:val="en-US" w:eastAsia="zh-CN"/>
        </w:rPr>
        <w:t>本</w:t>
      </w:r>
      <w:r>
        <w:rPr>
          <w:rFonts w:hint="eastAsia"/>
          <w:color w:val="auto"/>
          <w:sz w:val="24"/>
          <w:szCs w:val="24"/>
          <w:lang w:val="en-US" w:eastAsia="en-US"/>
        </w:rPr>
        <w:t>项目施工过程可分为</w:t>
      </w:r>
      <w:r>
        <w:rPr>
          <w:rFonts w:hint="eastAsia"/>
          <w:color w:val="auto"/>
          <w:sz w:val="24"/>
          <w:szCs w:val="24"/>
          <w:lang w:val="en-US" w:eastAsia="zh-CN"/>
        </w:rPr>
        <w:t>土建施工</w:t>
      </w:r>
      <w:r>
        <w:rPr>
          <w:rFonts w:hint="eastAsia"/>
          <w:color w:val="auto"/>
          <w:sz w:val="24"/>
          <w:szCs w:val="24"/>
          <w:lang w:val="en-US" w:eastAsia="en-US"/>
        </w:rPr>
        <w:t>和</w:t>
      </w:r>
      <w:r>
        <w:rPr>
          <w:rFonts w:hint="eastAsia"/>
          <w:color w:val="auto"/>
          <w:sz w:val="24"/>
          <w:szCs w:val="24"/>
          <w:lang w:val="en-US" w:eastAsia="zh-CN"/>
        </w:rPr>
        <w:t>设备安装调试两</w:t>
      </w:r>
      <w:r>
        <w:rPr>
          <w:rFonts w:hint="eastAsia"/>
          <w:color w:val="auto"/>
          <w:sz w:val="24"/>
          <w:szCs w:val="24"/>
          <w:lang w:val="en-US" w:eastAsia="en-US"/>
        </w:rPr>
        <w:t>个主要阶段。施工期</w:t>
      </w:r>
      <w:r>
        <w:rPr>
          <w:rFonts w:hint="eastAsia"/>
          <w:color w:val="auto"/>
          <w:sz w:val="24"/>
          <w:szCs w:val="24"/>
          <w:lang w:val="en-US" w:eastAsia="zh-CN"/>
        </w:rPr>
        <w:t>主要产生</w:t>
      </w:r>
      <w:r>
        <w:rPr>
          <w:rFonts w:hint="eastAsia"/>
          <w:color w:val="auto"/>
          <w:sz w:val="24"/>
          <w:szCs w:val="24"/>
          <w:lang w:val="en-US" w:eastAsia="en-US"/>
        </w:rPr>
        <w:t>施工扬尘、噪声、施工废水和固体废物。工程建设完成后，除永久性占地为持续性影响外，其它影响仅在施工期内存在，并且影响范围小，时间短。</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施工期污染源分析</w:t>
      </w:r>
    </w:p>
    <w:p>
      <w:pPr>
        <w:rPr>
          <w:rFonts w:hint="eastAsia"/>
        </w:rPr>
      </w:pPr>
      <w:r>
        <w:rPr>
          <w:rFonts w:hint="eastAsia"/>
          <w:lang w:eastAsia="zh-CN"/>
        </w:rPr>
        <w:t>项目</w:t>
      </w:r>
      <w:r>
        <w:rPr>
          <w:rFonts w:hint="eastAsia"/>
        </w:rPr>
        <w:t>建设期的主要环境影响因素</w:t>
      </w:r>
      <w:r>
        <w:rPr>
          <w:rFonts w:hint="eastAsia"/>
          <w:lang w:eastAsia="zh-CN"/>
        </w:rPr>
        <w:t>主要</w:t>
      </w:r>
      <w:r>
        <w:rPr>
          <w:rFonts w:hint="eastAsia"/>
        </w:rPr>
        <w:t>有施工噪声、 施工扬尘、 施工废水、 施工固体废物、生态影响等。</w:t>
      </w:r>
    </w:p>
    <w:p>
      <w:pPr>
        <w:rPr>
          <w:rFonts w:hint="eastAsia" w:eastAsia="宋体"/>
          <w:lang w:eastAsia="zh-CN"/>
        </w:rPr>
      </w:pPr>
      <w:r>
        <w:rPr>
          <w:rFonts w:hint="eastAsia"/>
        </w:rPr>
        <w:t>（</w:t>
      </w:r>
      <w:r>
        <w:rPr>
          <w:rFonts w:hint="eastAsia" w:ascii="Times New Roman" w:hAnsi="Times New Roman"/>
        </w:rPr>
        <w:t>1</w:t>
      </w:r>
      <w:r>
        <w:rPr>
          <w:rFonts w:hint="eastAsia"/>
        </w:rPr>
        <w:t>）施工扬尘</w:t>
      </w:r>
      <w:r>
        <w:rPr>
          <w:rFonts w:hint="eastAsia"/>
          <w:lang w:eastAsia="zh-CN"/>
        </w:rPr>
        <w:t>、废气</w:t>
      </w:r>
    </w:p>
    <w:p>
      <w:pPr>
        <w:rPr>
          <w:rFonts w:hint="eastAsia" w:eastAsia="宋体"/>
          <w:lang w:eastAsia="zh-CN"/>
        </w:rPr>
      </w:pPr>
      <w:r>
        <w:rPr>
          <w:rFonts w:hint="eastAsia"/>
          <w:lang w:eastAsia="zh-CN"/>
        </w:rPr>
        <w:t>①施工扬尘</w:t>
      </w:r>
    </w:p>
    <w:p>
      <w:r>
        <w:rPr>
          <w:rFonts w:hint="eastAsia"/>
        </w:rPr>
        <w:t>施工</w:t>
      </w:r>
      <w:r>
        <w:rPr>
          <w:rFonts w:hint="eastAsia"/>
          <w:lang w:eastAsia="zh-CN"/>
        </w:rPr>
        <w:t>扬尘主要来自施工作业面和施工交通运输过程产生的扬尘。施工</w:t>
      </w:r>
      <w:r>
        <w:t>场地的平整清理，物料堆存，建筑材料的装卸、搬运、使用，以及运料车辆的出入等，都易产生扬尘。</w:t>
      </w:r>
    </w:p>
    <w:p>
      <w:pPr>
        <w:rPr>
          <w:rFonts w:hint="eastAsia" w:eastAsia="宋体"/>
          <w:lang w:eastAsia="zh-CN"/>
        </w:rPr>
      </w:pPr>
      <w:r>
        <w:rPr>
          <w:rFonts w:hint="eastAsia"/>
          <w:lang w:eastAsia="zh-CN"/>
        </w:rPr>
        <w:t>②施工废气</w:t>
      </w:r>
    </w:p>
    <w:p>
      <w:pPr>
        <w:rPr>
          <w:rFonts w:hint="eastAsia" w:eastAsia="宋体"/>
          <w:lang w:eastAsia="zh-CN"/>
        </w:rPr>
      </w:pPr>
      <w:r>
        <w:rPr>
          <w:rFonts w:hint="eastAsia"/>
          <w:lang w:eastAsia="zh-CN"/>
        </w:rPr>
        <w:t>施工期运输车辆产生的尾气，主要污染物为烃类、一氧化碳及氮氧化物等。</w:t>
      </w:r>
    </w:p>
    <w:p>
      <w:r>
        <w:rPr>
          <w:rFonts w:hint="eastAsia"/>
        </w:rPr>
        <w:t>（</w:t>
      </w:r>
      <w:r>
        <w:rPr>
          <w:rFonts w:hint="eastAsia" w:ascii="Times New Roman" w:hAnsi="Times New Roman"/>
        </w:rPr>
        <w:t>2</w:t>
      </w:r>
      <w:r>
        <w:rPr>
          <w:rFonts w:hint="eastAsia"/>
        </w:rPr>
        <w:t>）废水</w:t>
      </w:r>
    </w:p>
    <w:p>
      <w:pPr>
        <w:rPr>
          <w:rFonts w:hint="eastAsia" w:eastAsia="宋体"/>
          <w:color w:val="auto"/>
          <w:lang w:eastAsia="zh-CN"/>
        </w:rPr>
      </w:pPr>
      <w:r>
        <w:rPr>
          <w:rFonts w:hint="eastAsia"/>
          <w:color w:val="auto"/>
          <w:lang w:eastAsia="zh-CN"/>
        </w:rPr>
        <w:t>①施工废水</w:t>
      </w:r>
    </w:p>
    <w:p>
      <w:r>
        <w:rPr>
          <w:color w:val="auto"/>
        </w:rPr>
        <w:t>施工期产生的废水</w:t>
      </w:r>
      <w:r>
        <w:rPr>
          <w:rFonts w:hint="eastAsia"/>
          <w:color w:val="auto"/>
          <w:lang w:eastAsia="zh-CN"/>
        </w:rPr>
        <w:t>主要为施工区的地面冲洗废水，废水</w:t>
      </w:r>
      <w:r>
        <w:rPr>
          <w:color w:val="auto"/>
        </w:rPr>
        <w:t>中泥沙悬浮物含量较大。</w:t>
      </w:r>
      <w:r>
        <w:rPr>
          <w:rFonts w:hint="eastAsia"/>
          <w:color w:val="auto"/>
          <w:lang w:eastAsia="zh-CN"/>
        </w:rPr>
        <w:t>本项目施工量很小，不在施工现场进行</w:t>
      </w:r>
      <w:r>
        <w:rPr>
          <w:color w:val="auto"/>
        </w:rPr>
        <w:t>机械设备</w:t>
      </w:r>
      <w:r>
        <w:rPr>
          <w:rFonts w:hint="eastAsia"/>
          <w:color w:val="auto"/>
          <w:lang w:eastAsia="zh-CN"/>
        </w:rPr>
        <w:t>和</w:t>
      </w:r>
      <w:r>
        <w:rPr>
          <w:color w:val="auto"/>
        </w:rPr>
        <w:t>施工车辆</w:t>
      </w:r>
      <w:r>
        <w:rPr>
          <w:rFonts w:hint="eastAsia"/>
          <w:color w:val="auto"/>
          <w:lang w:eastAsia="zh-CN"/>
        </w:rPr>
        <w:t>的清洗</w:t>
      </w:r>
      <w:r>
        <w:rPr>
          <w:color w:val="auto"/>
        </w:rPr>
        <w:t>。</w:t>
      </w:r>
    </w:p>
    <w:p>
      <w:pPr>
        <w:bidi w:val="0"/>
        <w:rPr>
          <w:rFonts w:hint="eastAsia"/>
          <w:lang w:eastAsia="zh-CN"/>
        </w:rPr>
      </w:pPr>
      <w:r>
        <w:rPr>
          <w:rFonts w:hint="eastAsia"/>
          <w:lang w:eastAsia="zh-CN"/>
        </w:rPr>
        <w:t>②生活污水</w:t>
      </w:r>
    </w:p>
    <w:p>
      <w:pPr>
        <w:bidi w:val="0"/>
        <w:rPr>
          <w:rFonts w:hint="eastAsia" w:eastAsia="宋体"/>
          <w:lang w:eastAsia="zh-CN"/>
        </w:rPr>
      </w:pPr>
      <w:r>
        <w:rPr>
          <w:rFonts w:hint="eastAsia"/>
          <w:color w:val="auto"/>
          <w:lang w:eastAsia="zh-CN"/>
        </w:rPr>
        <w:t>主要为施工队伍产生的生活污水。主要污染物为</w:t>
      </w:r>
      <w:r>
        <w:rPr>
          <w:rFonts w:hint="eastAsia" w:ascii="Times New Roman" w:hAnsi="Times New Roman"/>
          <w:color w:val="auto"/>
          <w:lang w:val="en-US" w:eastAsia="zh-CN"/>
        </w:rPr>
        <w:t>COD</w:t>
      </w:r>
      <w:r>
        <w:rPr>
          <w:rFonts w:hint="eastAsia"/>
          <w:color w:val="auto"/>
          <w:lang w:val="en-US" w:eastAsia="zh-CN"/>
        </w:rPr>
        <w:t>、氨氮等。</w:t>
      </w:r>
    </w:p>
    <w:p>
      <w:r>
        <w:rPr>
          <w:rFonts w:hint="eastAsia"/>
        </w:rPr>
        <w:t>（</w:t>
      </w:r>
      <w:r>
        <w:rPr>
          <w:rFonts w:hint="eastAsia" w:ascii="Times New Roman" w:hAnsi="Times New Roman"/>
        </w:rPr>
        <w:t>3</w:t>
      </w:r>
      <w:r>
        <w:rPr>
          <w:rFonts w:hint="eastAsia"/>
        </w:rPr>
        <w:t>）固体废物</w:t>
      </w:r>
    </w:p>
    <w:p>
      <w:pPr>
        <w:rPr>
          <w:rFonts w:hint="eastAsia" w:eastAsia="宋体"/>
          <w:lang w:eastAsia="zh-CN"/>
        </w:rPr>
      </w:pPr>
      <w:r>
        <w:rPr>
          <w:rFonts w:hint="eastAsia"/>
          <w:lang w:eastAsia="zh-CN"/>
        </w:rPr>
        <w:t>施工期产生的固体废物主要为施工废料和建筑垃圾、生活垃圾等。</w:t>
      </w:r>
    </w:p>
    <w:p>
      <w:r>
        <w:rPr>
          <w:rFonts w:hint="eastAsia"/>
        </w:rPr>
        <w:t>（</w:t>
      </w:r>
      <w:r>
        <w:rPr>
          <w:rFonts w:hint="eastAsia" w:ascii="Times New Roman" w:hAnsi="Times New Roman"/>
        </w:rPr>
        <w:t>4</w:t>
      </w:r>
      <w:r>
        <w:rPr>
          <w:rFonts w:hint="eastAsia"/>
        </w:rPr>
        <w:t>）施工噪声</w:t>
      </w:r>
    </w:p>
    <w:p>
      <w:r>
        <w:rPr>
          <w:rFonts w:hint="eastAsia"/>
        </w:rPr>
        <w:t>本项目主要噪声源为</w:t>
      </w:r>
      <w:r>
        <w:rPr>
          <w:rFonts w:hint="eastAsia"/>
          <w:lang w:eastAsia="zh-CN"/>
        </w:rPr>
        <w:t>施工机械和运输车辆</w:t>
      </w:r>
      <w:r>
        <w:rPr>
          <w:rFonts w:hint="eastAsia"/>
        </w:rPr>
        <w:t>等</w:t>
      </w:r>
      <w:r>
        <w:rPr>
          <w:rFonts w:hint="eastAsia"/>
          <w:lang w:eastAsia="zh-CN"/>
        </w:rPr>
        <w:t>，</w:t>
      </w:r>
      <w:r>
        <w:rPr>
          <w:rFonts w:hint="eastAsia"/>
        </w:rPr>
        <w:t>其噪声级在</w:t>
      </w:r>
      <w:r>
        <w:rPr>
          <w:rFonts w:hint="eastAsia" w:ascii="Times New Roman" w:hAnsi="Times New Roman"/>
          <w:lang w:val="en-US" w:eastAsia="zh-CN"/>
        </w:rPr>
        <w:t>75</w:t>
      </w:r>
      <w:r>
        <w:rPr>
          <w:rFonts w:ascii="Times New Roman" w:hAnsi="Times New Roman"/>
        </w:rPr>
        <w:t>B</w:t>
      </w:r>
      <w:r>
        <w:t>(</w:t>
      </w:r>
      <w:r>
        <w:rPr>
          <w:rFonts w:ascii="Times New Roman" w:hAnsi="Times New Roman"/>
        </w:rPr>
        <w:t>A</w:t>
      </w:r>
      <w:r>
        <w:t>)</w:t>
      </w:r>
      <w:r>
        <w:rPr>
          <w:rFonts w:hint="eastAsia"/>
        </w:rPr>
        <w:t>～</w:t>
      </w:r>
      <w:r>
        <w:rPr>
          <w:rFonts w:hint="eastAsia" w:ascii="Times New Roman" w:hAnsi="Times New Roman"/>
          <w:lang w:val="en-US" w:eastAsia="zh-CN"/>
        </w:rPr>
        <w:t>99</w:t>
      </w:r>
      <w:r>
        <w:rPr>
          <w:rFonts w:ascii="Times New Roman" w:hAnsi="Times New Roman"/>
        </w:rPr>
        <w:t>dB</w:t>
      </w:r>
      <w:r>
        <w:t>(</w:t>
      </w:r>
      <w:r>
        <w:rPr>
          <w:rFonts w:ascii="Times New Roman" w:hAnsi="Times New Roman"/>
        </w:rPr>
        <w:t>A</w:t>
      </w:r>
      <w:r>
        <w:t>)</w:t>
      </w:r>
      <w:r>
        <w:rPr>
          <w:rFonts w:hint="eastAsia"/>
        </w:rPr>
        <w:t>之间。</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2</w:t>
      </w:r>
      <w:r>
        <w:rPr>
          <w:rFonts w:hint="eastAsia"/>
          <w:lang w:val="en-US" w:eastAsia="zh-CN"/>
        </w:rPr>
        <w:t>施工期环境影响</w:t>
      </w:r>
    </w:p>
    <w:p>
      <w:pPr>
        <w:pStyle w:val="6"/>
        <w:bidi w:val="0"/>
        <w:ind w:left="0" w:leftChars="0" w:firstLine="0" w:firstLineChars="0"/>
        <w:rPr>
          <w:rFonts w:hint="eastAsia" w:eastAsia="宋体"/>
          <w:color w:val="auto"/>
          <w:lang w:eastAsia="zh-CN"/>
        </w:rPr>
      </w:pP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olor w:val="auto"/>
        </w:rPr>
        <w:t>2</w:t>
      </w:r>
      <w:r>
        <w:rPr>
          <w:rFonts w:hint="eastAsia"/>
          <w:color w:val="auto"/>
        </w:rPr>
        <w:t>.</w:t>
      </w:r>
      <w:r>
        <w:rPr>
          <w:rFonts w:hint="eastAsia" w:ascii="Times New Roman" w:hAnsi="Times New Roman"/>
          <w:color w:val="auto"/>
        </w:rPr>
        <w:t>1</w:t>
      </w:r>
      <w:r>
        <w:rPr>
          <w:rFonts w:hint="eastAsia"/>
          <w:color w:val="auto"/>
        </w:rPr>
        <w:t>施工</w:t>
      </w:r>
      <w:r>
        <w:rPr>
          <w:rFonts w:hint="eastAsia"/>
          <w:color w:val="auto"/>
          <w:lang w:eastAsia="zh-CN"/>
        </w:rPr>
        <w:t>大气环境影响分析</w:t>
      </w:r>
    </w:p>
    <w:p>
      <w:pPr>
        <w:bidi w:val="0"/>
        <w:rPr>
          <w:color w:val="auto"/>
        </w:rPr>
      </w:pPr>
      <w:r>
        <w:rPr>
          <w:rFonts w:hint="eastAsia"/>
          <w:color w:val="auto"/>
        </w:rPr>
        <w:t>（</w:t>
      </w:r>
      <w:r>
        <w:rPr>
          <w:rFonts w:hint="eastAsia" w:ascii="Times New Roman" w:hAnsi="Times New Roman"/>
          <w:color w:val="auto"/>
        </w:rPr>
        <w:t>1</w:t>
      </w:r>
      <w:r>
        <w:rPr>
          <w:rFonts w:hint="eastAsia"/>
          <w:color w:val="auto"/>
        </w:rPr>
        <w:t>）施工扬尘</w:t>
      </w:r>
    </w:p>
    <w:p>
      <w:pPr>
        <w:bidi w:val="0"/>
        <w:rPr>
          <w:color w:val="auto"/>
        </w:rPr>
      </w:pPr>
      <w:r>
        <w:rPr>
          <w:rFonts w:hint="eastAsia"/>
          <w:color w:val="auto"/>
          <w:lang w:eastAsia="zh-CN"/>
        </w:rPr>
        <w:t>本项目</w:t>
      </w:r>
      <w:r>
        <w:rPr>
          <w:color w:val="auto"/>
        </w:rPr>
        <w:t>施工</w:t>
      </w:r>
      <w:r>
        <w:rPr>
          <w:rFonts w:hint="eastAsia"/>
          <w:color w:val="auto"/>
        </w:rPr>
        <w:t>期</w:t>
      </w:r>
      <w:r>
        <w:rPr>
          <w:rFonts w:hint="eastAsia"/>
          <w:color w:val="auto"/>
          <w:lang w:eastAsia="zh-CN"/>
        </w:rPr>
        <w:t>罐区的</w:t>
      </w:r>
      <w:r>
        <w:rPr>
          <w:rFonts w:hint="eastAsia"/>
          <w:color w:val="auto"/>
        </w:rPr>
        <w:t>地基处理、地面平整、运输车辆的行驶、装卸施工材料、弃土、材料临时堆存等</w:t>
      </w:r>
      <w:r>
        <w:rPr>
          <w:rFonts w:hint="eastAsia"/>
          <w:color w:val="auto"/>
          <w:lang w:eastAsia="zh-CN"/>
        </w:rPr>
        <w:t>会</w:t>
      </w:r>
      <w:r>
        <w:rPr>
          <w:color w:val="auto"/>
        </w:rPr>
        <w:t>带来的扬尘；</w:t>
      </w:r>
      <w:r>
        <w:rPr>
          <w:rFonts w:hint="eastAsia"/>
          <w:color w:val="auto"/>
        </w:rPr>
        <w:t>施工机械和运输车辆产生的燃油废气，主要污染物为</w:t>
      </w:r>
      <w:r>
        <w:rPr>
          <w:rFonts w:hint="eastAsia" w:ascii="Times New Roman" w:hAnsi="Times New Roman"/>
          <w:color w:val="auto"/>
        </w:rPr>
        <w:t>NO</w:t>
      </w:r>
      <w:r>
        <w:rPr>
          <w:rFonts w:hint="eastAsia" w:ascii="Times New Roman" w:hAnsi="Times New Roman"/>
          <w:color w:val="auto"/>
          <w:vertAlign w:val="subscript"/>
          <w:lang w:val="en-US" w:eastAsia="zh-CN"/>
        </w:rPr>
        <w:t>2</w:t>
      </w:r>
      <w:r>
        <w:rPr>
          <w:rFonts w:hint="eastAsia"/>
          <w:color w:val="auto"/>
        </w:rPr>
        <w:t>、</w:t>
      </w:r>
      <w:r>
        <w:rPr>
          <w:rFonts w:hint="eastAsia" w:ascii="Times New Roman" w:hAnsi="Times New Roman"/>
          <w:color w:val="auto"/>
        </w:rPr>
        <w:t>CO</w:t>
      </w:r>
      <w:r>
        <w:rPr>
          <w:rFonts w:hint="eastAsia"/>
          <w:color w:val="auto"/>
        </w:rPr>
        <w:t>和烃类物。</w:t>
      </w:r>
    </w:p>
    <w:p>
      <w:pPr>
        <w:bidi w:val="0"/>
        <w:rPr>
          <w:color w:val="auto"/>
        </w:rPr>
      </w:pPr>
      <w:bookmarkStart w:id="177" w:name="_Toc290277204"/>
      <w:bookmarkStart w:id="178" w:name="_Toc290276855"/>
      <w:bookmarkStart w:id="179" w:name="_Toc40050932"/>
      <w:bookmarkStart w:id="180" w:name="_Toc290277553"/>
      <w:r>
        <w:rPr>
          <w:rFonts w:hint="eastAsia"/>
          <w:color w:val="auto"/>
        </w:rPr>
        <w:t>①车辆行驶</w:t>
      </w:r>
      <w:r>
        <w:rPr>
          <w:color w:val="auto"/>
        </w:rPr>
        <w:t>扬尘</w:t>
      </w:r>
      <w:bookmarkEnd w:id="177"/>
      <w:bookmarkEnd w:id="178"/>
      <w:bookmarkEnd w:id="179"/>
      <w:bookmarkEnd w:id="180"/>
      <w:r>
        <w:rPr>
          <w:rFonts w:hint="eastAsia"/>
          <w:color w:val="auto"/>
        </w:rPr>
        <w:t>对环境的影响</w:t>
      </w:r>
    </w:p>
    <w:p>
      <w:pPr>
        <w:bidi w:val="0"/>
        <w:rPr>
          <w:rFonts w:hint="eastAsia"/>
          <w:color w:val="auto"/>
        </w:rPr>
      </w:pPr>
      <w:r>
        <w:rPr>
          <w:rFonts w:hint="eastAsia"/>
          <w:color w:val="auto"/>
        </w:rPr>
        <w:t>根据有关文献资料，在施工过程中，车辆行驶产生的扬尘占总扬尘的</w:t>
      </w:r>
      <w:r>
        <w:rPr>
          <w:rFonts w:hint="eastAsia" w:ascii="Times New Roman" w:hAnsi="Times New Roman"/>
          <w:color w:val="auto"/>
        </w:rPr>
        <w:t>60</w:t>
      </w:r>
      <w:r>
        <w:rPr>
          <w:rFonts w:hint="eastAsia"/>
          <w:color w:val="auto"/>
        </w:rPr>
        <w:t>%以上。车辆行驶产生的扬尘，在完全干燥的情况下，可按下列经验公示进行计算：</w:t>
      </w:r>
    </w:p>
    <w:p>
      <w:pPr>
        <w:spacing w:line="540" w:lineRule="exact"/>
        <w:ind w:firstLine="480"/>
        <w:jc w:val="center"/>
        <w:rPr>
          <w:color w:val="auto"/>
        </w:rPr>
      </w:pPr>
      <w:r>
        <w:rPr>
          <w:color w:val="auto"/>
        </w:rPr>
        <w:drawing>
          <wp:inline distT="0" distB="0" distL="114300" distR="114300">
            <wp:extent cx="2305050" cy="238125"/>
            <wp:effectExtent l="0" t="0" r="0" b="4445"/>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pic:cNvPicPr>
                      <a:picLocks noChangeAspect="1"/>
                    </pic:cNvPicPr>
                  </pic:nvPicPr>
                  <pic:blipFill>
                    <a:blip r:embed="rId61"/>
                    <a:stretch>
                      <a:fillRect/>
                    </a:stretch>
                  </pic:blipFill>
                  <pic:spPr>
                    <a:xfrm>
                      <a:off x="0" y="0"/>
                      <a:ext cx="2305050" cy="238125"/>
                    </a:xfrm>
                    <a:prstGeom prst="rect">
                      <a:avLst/>
                    </a:prstGeom>
                    <a:noFill/>
                    <a:ln>
                      <a:noFill/>
                    </a:ln>
                  </pic:spPr>
                </pic:pic>
              </a:graphicData>
            </a:graphic>
          </wp:inline>
        </w:drawing>
      </w:r>
    </w:p>
    <w:p>
      <w:pPr>
        <w:bidi w:val="0"/>
        <w:rPr>
          <w:rFonts w:hint="eastAsia"/>
          <w:color w:val="auto"/>
        </w:rPr>
      </w:pPr>
      <w:r>
        <w:rPr>
          <w:rFonts w:hint="eastAsia"/>
          <w:color w:val="auto"/>
        </w:rPr>
        <w:t>式中：</w:t>
      </w:r>
      <w:r>
        <w:rPr>
          <w:rFonts w:hint="eastAsia" w:ascii="Times New Roman" w:hAnsi="Times New Roman"/>
          <w:color w:val="auto"/>
        </w:rPr>
        <w:t>Q</w:t>
      </w:r>
      <w:r>
        <w:rPr>
          <w:rFonts w:hint="eastAsia"/>
          <w:color w:val="auto"/>
        </w:rPr>
        <w:t>—汽车行驶的扬尘，</w:t>
      </w:r>
      <w:r>
        <w:rPr>
          <w:rFonts w:hint="eastAsia" w:ascii="Times New Roman" w:hAnsi="Times New Roman"/>
          <w:color w:val="auto"/>
        </w:rPr>
        <w:t>kg</w:t>
      </w:r>
      <w:r>
        <w:rPr>
          <w:rFonts w:hint="eastAsia"/>
          <w:color w:val="auto"/>
        </w:rPr>
        <w:t>/</w:t>
      </w:r>
      <w:r>
        <w:rPr>
          <w:rFonts w:hint="eastAsia" w:ascii="Times New Roman" w:hAnsi="Times New Roman"/>
          <w:color w:val="auto"/>
        </w:rPr>
        <w:t>km</w:t>
      </w:r>
      <w:r>
        <w:rPr>
          <w:rFonts w:hint="eastAsia"/>
          <w:color w:val="auto"/>
        </w:rPr>
        <w:t>·辆；</w:t>
      </w:r>
    </w:p>
    <w:p>
      <w:pPr>
        <w:bidi w:val="0"/>
        <w:rPr>
          <w:rFonts w:hint="eastAsia"/>
          <w:color w:val="auto"/>
        </w:rPr>
      </w:pPr>
      <w:r>
        <w:rPr>
          <w:rFonts w:hint="eastAsia" w:ascii="Times New Roman" w:hAnsi="Times New Roman"/>
          <w:color w:val="auto"/>
        </w:rPr>
        <w:t>V</w:t>
      </w:r>
      <w:r>
        <w:rPr>
          <w:rFonts w:hint="eastAsia"/>
          <w:color w:val="auto"/>
        </w:rPr>
        <w:t>—汽车速度，</w:t>
      </w:r>
      <w:r>
        <w:rPr>
          <w:rFonts w:hint="eastAsia" w:ascii="Times New Roman" w:hAnsi="Times New Roman"/>
          <w:color w:val="auto"/>
        </w:rPr>
        <w:t>km</w:t>
      </w:r>
      <w:r>
        <w:rPr>
          <w:rFonts w:hint="eastAsia"/>
          <w:color w:val="auto"/>
        </w:rPr>
        <w:t>/</w:t>
      </w:r>
      <w:r>
        <w:rPr>
          <w:rFonts w:hint="eastAsia" w:ascii="Times New Roman" w:hAnsi="Times New Roman"/>
          <w:color w:val="auto"/>
        </w:rPr>
        <w:t>hr</w:t>
      </w:r>
      <w:r>
        <w:rPr>
          <w:rFonts w:hint="eastAsia"/>
          <w:color w:val="auto"/>
        </w:rPr>
        <w:t>；</w:t>
      </w:r>
    </w:p>
    <w:p>
      <w:pPr>
        <w:bidi w:val="0"/>
        <w:rPr>
          <w:rFonts w:hint="eastAsia"/>
          <w:color w:val="auto"/>
        </w:rPr>
      </w:pPr>
      <w:r>
        <w:rPr>
          <w:rFonts w:hint="eastAsia" w:ascii="Times New Roman" w:hAnsi="Times New Roman"/>
          <w:color w:val="auto"/>
        </w:rPr>
        <w:t>W</w:t>
      </w:r>
      <w:r>
        <w:rPr>
          <w:rFonts w:hint="eastAsia"/>
          <w:color w:val="auto"/>
        </w:rPr>
        <w:t>—汽车载重量，吨；</w:t>
      </w:r>
    </w:p>
    <w:p>
      <w:pPr>
        <w:bidi w:val="0"/>
        <w:rPr>
          <w:rFonts w:hint="eastAsia"/>
          <w:color w:val="auto"/>
        </w:rPr>
      </w:pPr>
      <w:r>
        <w:rPr>
          <w:rFonts w:hint="eastAsia" w:ascii="Times New Roman" w:hAnsi="Times New Roman"/>
          <w:color w:val="auto"/>
        </w:rPr>
        <w:t>P</w:t>
      </w:r>
      <w:r>
        <w:rPr>
          <w:rFonts w:hint="eastAsia"/>
          <w:color w:val="auto"/>
        </w:rPr>
        <w:t>—道路表面粉尘量，</w:t>
      </w:r>
      <w:r>
        <w:rPr>
          <w:rFonts w:hint="eastAsia" w:ascii="Times New Roman" w:hAnsi="Times New Roman"/>
          <w:color w:val="auto"/>
        </w:rPr>
        <w:t>kg</w:t>
      </w:r>
      <w:r>
        <w:rPr>
          <w:rFonts w:hint="eastAsia"/>
          <w:color w:val="auto"/>
        </w:rPr>
        <w:t>/㎡。</w:t>
      </w:r>
    </w:p>
    <w:p>
      <w:pPr>
        <w:bidi w:val="0"/>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olor w:val="auto"/>
        </w:rPr>
        <w:t>1</w:t>
      </w:r>
      <w:r>
        <w:rPr>
          <w:rFonts w:hint="eastAsia"/>
          <w:color w:val="auto"/>
        </w:rPr>
        <w:t>为一辆</w:t>
      </w:r>
      <w:r>
        <w:rPr>
          <w:rFonts w:hint="eastAsia" w:ascii="Times New Roman" w:hAnsi="Times New Roman"/>
          <w:color w:val="auto"/>
        </w:rPr>
        <w:t>10</w:t>
      </w:r>
      <w:r>
        <w:rPr>
          <w:rFonts w:hint="eastAsia"/>
          <w:color w:val="auto"/>
        </w:rPr>
        <w:t>吨重卡车，通过一段</w:t>
      </w:r>
      <w:r>
        <w:rPr>
          <w:rFonts w:hint="eastAsia" w:ascii="Times New Roman" w:hAnsi="Times New Roman"/>
          <w:color w:val="auto"/>
        </w:rPr>
        <w:t>1km</w:t>
      </w:r>
      <w:r>
        <w:rPr>
          <w:rFonts w:hint="eastAsia"/>
          <w:color w:val="auto"/>
        </w:rPr>
        <w:t>的路面时，不同路面清洁程度，不同行驶速度情况下的扬尘量。可见在同样路面清洁程度条件下，车速越快，扬尘量越大；而同样车速情况下，路面越脏，扬尘量越大，因此，限制车辆行驶速度及保持路面的清洁是减少汽车行驶道路扬尘的最有效手段。</w:t>
      </w:r>
    </w:p>
    <w:p>
      <w:pPr>
        <w:bidi w:val="0"/>
        <w:rPr>
          <w:rFonts w:hint="eastAsia"/>
          <w:color w:val="auto"/>
        </w:rPr>
      </w:pPr>
      <w:r>
        <w:rPr>
          <w:rFonts w:hint="eastAsia"/>
          <w:color w:val="auto"/>
        </w:rPr>
        <w:t>施工阶段通过对行驶路面进行洒水（每天</w:t>
      </w:r>
      <w:r>
        <w:rPr>
          <w:rFonts w:hint="eastAsia" w:ascii="Times New Roman" w:hAnsi="Times New Roman"/>
          <w:color w:val="auto"/>
        </w:rPr>
        <w:t>4</w:t>
      </w:r>
      <w:r>
        <w:rPr>
          <w:rFonts w:hint="eastAsia"/>
          <w:color w:val="auto"/>
        </w:rPr>
        <w:t>～</w:t>
      </w:r>
      <w:r>
        <w:rPr>
          <w:rFonts w:hint="eastAsia" w:ascii="Times New Roman" w:hAnsi="Times New Roman"/>
          <w:color w:val="auto"/>
        </w:rPr>
        <w:t>5</w:t>
      </w:r>
      <w:r>
        <w:rPr>
          <w:rFonts w:hint="eastAsia"/>
          <w:color w:val="auto"/>
        </w:rPr>
        <w:t>次），可以使得空气中粉尘量减少</w:t>
      </w:r>
      <w:r>
        <w:rPr>
          <w:rFonts w:hint="eastAsia" w:ascii="Times New Roman" w:hAnsi="Times New Roman"/>
          <w:color w:val="auto"/>
        </w:rPr>
        <w:t>70</w:t>
      </w:r>
      <w:r>
        <w:rPr>
          <w:rFonts w:hint="eastAsia"/>
          <w:color w:val="auto"/>
        </w:rPr>
        <w:t>%左右，洒水试验资料见表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color w:val="auto"/>
        </w:rPr>
        <w:t>-</w:t>
      </w:r>
      <w:r>
        <w:rPr>
          <w:rFonts w:hint="eastAsia" w:ascii="Times New Roman" w:hAnsi="Times New Roman"/>
          <w:color w:val="auto"/>
        </w:rPr>
        <w:t>2</w:t>
      </w:r>
      <w:r>
        <w:rPr>
          <w:rFonts w:hint="eastAsia"/>
          <w:color w:val="auto"/>
        </w:rPr>
        <w:t>，扬尘造成的粉尘污染距离可缩小到</w:t>
      </w:r>
      <w:r>
        <w:rPr>
          <w:rFonts w:hint="eastAsia" w:ascii="Times New Roman" w:hAnsi="Times New Roman"/>
          <w:color w:val="auto"/>
        </w:rPr>
        <w:t>20</w:t>
      </w:r>
      <w:r>
        <w:rPr>
          <w:rFonts w:hint="eastAsia"/>
          <w:color w:val="auto"/>
        </w:rPr>
        <w:t>～</w:t>
      </w:r>
      <w:r>
        <w:rPr>
          <w:rFonts w:hint="eastAsia" w:ascii="Times New Roman" w:hAnsi="Times New Roman"/>
          <w:color w:val="auto"/>
        </w:rPr>
        <w:t>50m</w:t>
      </w:r>
      <w:r>
        <w:rPr>
          <w:rFonts w:hint="eastAsia"/>
          <w:color w:val="auto"/>
        </w:rPr>
        <w:t>范围。</w:t>
      </w:r>
    </w:p>
    <w:p>
      <w:pPr>
        <w:pStyle w:val="20"/>
        <w:bidi w:val="0"/>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color w:val="auto"/>
        </w:rPr>
        <w:t>-</w:t>
      </w:r>
      <w:r>
        <w:rPr>
          <w:rFonts w:hint="eastAsia" w:ascii="Times New Roman" w:hAnsi="Times New Roman"/>
          <w:color w:val="auto"/>
        </w:rPr>
        <w:t>1</w:t>
      </w:r>
      <w:r>
        <w:rPr>
          <w:rFonts w:hint="eastAsia"/>
          <w:color w:val="auto"/>
        </w:rPr>
        <w:t xml:space="preserve">  不同车速和地面清洁程度的汽车扬尘  单位：</w:t>
      </w:r>
      <w:r>
        <w:rPr>
          <w:rFonts w:hint="eastAsia" w:ascii="Times New Roman" w:hAnsi="Times New Roman"/>
          <w:color w:val="auto"/>
        </w:rPr>
        <w:t>kg</w:t>
      </w:r>
      <w:r>
        <w:rPr>
          <w:rFonts w:hint="eastAsia"/>
          <w:color w:val="auto"/>
        </w:rPr>
        <w:t>/辆·</w:t>
      </w:r>
      <w:r>
        <w:rPr>
          <w:rFonts w:hint="eastAsia" w:ascii="Times New Roman" w:hAnsi="Times New Roman"/>
          <w:color w:val="auto"/>
        </w:rPr>
        <w:t>km</w:t>
      </w:r>
    </w:p>
    <w:tbl>
      <w:tblPr>
        <w:tblStyle w:val="81"/>
        <w:tblW w:w="93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42"/>
        <w:gridCol w:w="1342"/>
        <w:gridCol w:w="1343"/>
        <w:gridCol w:w="1343"/>
        <w:gridCol w:w="1343"/>
        <w:gridCol w:w="1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342" w:type="dxa"/>
            <w:vMerge w:val="restart"/>
            <w:noWrap w:val="0"/>
            <w:vAlign w:val="center"/>
          </w:tcPr>
          <w:p>
            <w:pPr>
              <w:snapToGrid w:val="0"/>
              <w:spacing w:line="240" w:lineRule="auto"/>
              <w:ind w:firstLine="0"/>
              <w:jc w:val="center"/>
              <w:rPr>
                <w:rFonts w:hint="eastAsia"/>
                <w:color w:val="auto"/>
                <w:sz w:val="21"/>
                <w:szCs w:val="21"/>
              </w:rPr>
            </w:pPr>
            <w:r>
              <w:rPr>
                <w:rFonts w:hint="eastAsia"/>
                <w:color w:val="auto"/>
                <w:sz w:val="21"/>
                <w:szCs w:val="21"/>
              </w:rPr>
              <w:t>车速</w:t>
            </w:r>
          </w:p>
          <w:p>
            <w:pPr>
              <w:snapToGrid w:val="0"/>
              <w:spacing w:line="240" w:lineRule="auto"/>
              <w:ind w:firstLine="0"/>
              <w:jc w:val="center"/>
              <w:rPr>
                <w:rFonts w:hint="eastAsia"/>
                <w:color w:val="auto"/>
                <w:sz w:val="21"/>
                <w:szCs w:val="21"/>
              </w:rPr>
            </w:pPr>
            <w:r>
              <w:rPr>
                <w:rFonts w:hint="eastAsia"/>
                <w:color w:val="auto"/>
                <w:sz w:val="21"/>
                <w:szCs w:val="21"/>
              </w:rPr>
              <w:t>粉尘量</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2</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3</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4</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5</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42" w:type="dxa"/>
            <w:vMerge w:val="continue"/>
            <w:noWrap w:val="0"/>
            <w:vAlign w:val="center"/>
          </w:tcPr>
          <w:p>
            <w:pPr>
              <w:spacing w:line="240" w:lineRule="auto"/>
              <w:ind w:firstLine="0"/>
              <w:jc w:val="center"/>
              <w:rPr>
                <w:rFonts w:hint="eastAsia"/>
                <w:color w:val="auto"/>
                <w:sz w:val="21"/>
                <w:szCs w:val="21"/>
              </w:rPr>
            </w:pPr>
          </w:p>
        </w:tc>
        <w:tc>
          <w:tcPr>
            <w:tcW w:w="1342" w:type="dxa"/>
            <w:noWrap w:val="0"/>
            <w:vAlign w:val="center"/>
          </w:tcPr>
          <w:p>
            <w:pPr>
              <w:spacing w:line="240" w:lineRule="auto"/>
              <w:ind w:firstLine="0"/>
              <w:jc w:val="center"/>
              <w:rPr>
                <w:rFonts w:hint="eastAsia"/>
                <w:color w:val="auto"/>
                <w:sz w:val="21"/>
                <w:szCs w:val="21"/>
              </w:rPr>
            </w:pPr>
            <w:r>
              <w:rPr>
                <w:rFonts w:hint="eastAsia"/>
                <w:color w:val="auto"/>
                <w:sz w:val="21"/>
                <w:szCs w:val="21"/>
              </w:rPr>
              <w:t>（</w:t>
            </w:r>
            <w:r>
              <w:rPr>
                <w:rFonts w:hint="eastAsia" w:ascii="Times New Roman" w:hAnsi="Times New Roman"/>
                <w:color w:val="auto"/>
                <w:sz w:val="21"/>
                <w:szCs w:val="21"/>
              </w:rPr>
              <w:t>kg</w:t>
            </w:r>
            <w:r>
              <w:rPr>
                <w:rFonts w:hint="eastAsia"/>
                <w:color w:val="auto"/>
                <w:sz w:val="21"/>
                <w:szCs w:val="21"/>
              </w:rPr>
              <w:t>/㎡）</w:t>
            </w:r>
          </w:p>
        </w:tc>
        <w:tc>
          <w:tcPr>
            <w:tcW w:w="1342" w:type="dxa"/>
            <w:noWrap w:val="0"/>
            <w:vAlign w:val="center"/>
          </w:tcPr>
          <w:p>
            <w:pPr>
              <w:spacing w:line="240" w:lineRule="auto"/>
              <w:ind w:firstLine="0"/>
              <w:jc w:val="center"/>
              <w:rPr>
                <w:color w:val="auto"/>
                <w:sz w:val="21"/>
                <w:szCs w:val="21"/>
              </w:rPr>
            </w:pPr>
            <w:r>
              <w:rPr>
                <w:rFonts w:hint="eastAsia"/>
                <w:color w:val="auto"/>
                <w:sz w:val="21"/>
                <w:szCs w:val="21"/>
              </w:rPr>
              <w:t>（</w:t>
            </w:r>
            <w:r>
              <w:rPr>
                <w:rFonts w:hint="eastAsia" w:ascii="Times New Roman" w:hAnsi="Times New Roman"/>
                <w:color w:val="auto"/>
                <w:sz w:val="21"/>
                <w:szCs w:val="21"/>
              </w:rPr>
              <w:t>kg</w:t>
            </w:r>
            <w:r>
              <w:rPr>
                <w:rFonts w:hint="eastAsia"/>
                <w:color w:val="auto"/>
                <w:sz w:val="21"/>
                <w:szCs w:val="21"/>
              </w:rPr>
              <w:t>/㎡）</w:t>
            </w:r>
          </w:p>
        </w:tc>
        <w:tc>
          <w:tcPr>
            <w:tcW w:w="1343" w:type="dxa"/>
            <w:noWrap w:val="0"/>
            <w:vAlign w:val="center"/>
          </w:tcPr>
          <w:p>
            <w:pPr>
              <w:spacing w:line="240" w:lineRule="auto"/>
              <w:ind w:firstLine="0"/>
              <w:jc w:val="center"/>
              <w:rPr>
                <w:color w:val="auto"/>
                <w:sz w:val="21"/>
                <w:szCs w:val="21"/>
              </w:rPr>
            </w:pPr>
            <w:r>
              <w:rPr>
                <w:rFonts w:hint="eastAsia"/>
                <w:color w:val="auto"/>
                <w:sz w:val="21"/>
                <w:szCs w:val="21"/>
              </w:rPr>
              <w:t>（</w:t>
            </w:r>
            <w:r>
              <w:rPr>
                <w:rFonts w:hint="eastAsia" w:ascii="Times New Roman" w:hAnsi="Times New Roman"/>
                <w:color w:val="auto"/>
                <w:sz w:val="21"/>
                <w:szCs w:val="21"/>
              </w:rPr>
              <w:t>kg</w:t>
            </w:r>
            <w:r>
              <w:rPr>
                <w:rFonts w:hint="eastAsia"/>
                <w:color w:val="auto"/>
                <w:sz w:val="21"/>
                <w:szCs w:val="21"/>
              </w:rPr>
              <w:t>/㎡）</w:t>
            </w:r>
          </w:p>
        </w:tc>
        <w:tc>
          <w:tcPr>
            <w:tcW w:w="1343" w:type="dxa"/>
            <w:noWrap w:val="0"/>
            <w:vAlign w:val="center"/>
          </w:tcPr>
          <w:p>
            <w:pPr>
              <w:spacing w:line="240" w:lineRule="auto"/>
              <w:ind w:firstLine="0"/>
              <w:jc w:val="center"/>
              <w:rPr>
                <w:color w:val="auto"/>
                <w:sz w:val="21"/>
                <w:szCs w:val="21"/>
              </w:rPr>
            </w:pPr>
            <w:r>
              <w:rPr>
                <w:rFonts w:hint="eastAsia"/>
                <w:color w:val="auto"/>
                <w:sz w:val="21"/>
                <w:szCs w:val="21"/>
              </w:rPr>
              <w:t>（</w:t>
            </w:r>
            <w:r>
              <w:rPr>
                <w:rFonts w:hint="eastAsia" w:ascii="Times New Roman" w:hAnsi="Times New Roman"/>
                <w:color w:val="auto"/>
                <w:sz w:val="21"/>
                <w:szCs w:val="21"/>
              </w:rPr>
              <w:t>kg</w:t>
            </w:r>
            <w:r>
              <w:rPr>
                <w:rFonts w:hint="eastAsia"/>
                <w:color w:val="auto"/>
                <w:sz w:val="21"/>
                <w:szCs w:val="21"/>
              </w:rPr>
              <w:t>/㎡）</w:t>
            </w:r>
          </w:p>
        </w:tc>
        <w:tc>
          <w:tcPr>
            <w:tcW w:w="1343" w:type="dxa"/>
            <w:noWrap w:val="0"/>
            <w:vAlign w:val="center"/>
          </w:tcPr>
          <w:p>
            <w:pPr>
              <w:spacing w:line="240" w:lineRule="auto"/>
              <w:ind w:firstLine="0"/>
              <w:jc w:val="center"/>
              <w:rPr>
                <w:color w:val="auto"/>
                <w:sz w:val="21"/>
                <w:szCs w:val="21"/>
              </w:rPr>
            </w:pPr>
            <w:r>
              <w:rPr>
                <w:rFonts w:hint="eastAsia"/>
                <w:color w:val="auto"/>
                <w:sz w:val="21"/>
                <w:szCs w:val="21"/>
              </w:rPr>
              <w:t>（</w:t>
            </w:r>
            <w:r>
              <w:rPr>
                <w:rFonts w:hint="eastAsia" w:ascii="Times New Roman" w:hAnsi="Times New Roman"/>
                <w:color w:val="auto"/>
                <w:sz w:val="21"/>
                <w:szCs w:val="21"/>
              </w:rPr>
              <w:t>kg</w:t>
            </w:r>
            <w:r>
              <w:rPr>
                <w:rFonts w:hint="eastAsia"/>
                <w:color w:val="auto"/>
                <w:sz w:val="21"/>
                <w:szCs w:val="21"/>
              </w:rPr>
              <w:t>/㎡）</w:t>
            </w:r>
          </w:p>
        </w:tc>
        <w:tc>
          <w:tcPr>
            <w:tcW w:w="1343" w:type="dxa"/>
            <w:noWrap w:val="0"/>
            <w:vAlign w:val="center"/>
          </w:tcPr>
          <w:p>
            <w:pPr>
              <w:spacing w:line="240" w:lineRule="auto"/>
              <w:ind w:firstLine="0"/>
              <w:jc w:val="center"/>
              <w:rPr>
                <w:color w:val="auto"/>
                <w:sz w:val="21"/>
                <w:szCs w:val="21"/>
              </w:rPr>
            </w:pPr>
            <w:r>
              <w:rPr>
                <w:rFonts w:hint="eastAsia"/>
                <w:color w:val="auto"/>
                <w:sz w:val="21"/>
                <w:szCs w:val="21"/>
              </w:rPr>
              <w:t>（</w:t>
            </w:r>
            <w:r>
              <w:rPr>
                <w:rFonts w:hint="eastAsia" w:ascii="Times New Roman" w:hAnsi="Times New Roman"/>
                <w:color w:val="auto"/>
                <w:sz w:val="21"/>
                <w:szCs w:val="21"/>
              </w:rPr>
              <w:t>kg</w:t>
            </w:r>
            <w:r>
              <w:rPr>
                <w:rFonts w:hint="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5</w:t>
            </w:r>
            <w:r>
              <w:rPr>
                <w:rFonts w:hint="eastAsia"/>
                <w:color w:val="auto"/>
                <w:sz w:val="21"/>
                <w:szCs w:val="21"/>
              </w:rPr>
              <w:t>（</w:t>
            </w:r>
            <w:r>
              <w:rPr>
                <w:rFonts w:hint="eastAsia" w:ascii="Times New Roman" w:hAnsi="Times New Roman"/>
                <w:color w:val="auto"/>
                <w:sz w:val="21"/>
                <w:szCs w:val="21"/>
              </w:rPr>
              <w:t>km</w:t>
            </w:r>
            <w:r>
              <w:rPr>
                <w:rFonts w:hint="eastAsia"/>
                <w:color w:val="auto"/>
                <w:sz w:val="21"/>
                <w:szCs w:val="21"/>
              </w:rPr>
              <w:t>/</w:t>
            </w:r>
            <w:r>
              <w:rPr>
                <w:rFonts w:hint="eastAsia" w:ascii="Times New Roman" w:hAnsi="Times New Roman"/>
                <w:color w:val="auto"/>
                <w:sz w:val="21"/>
                <w:szCs w:val="21"/>
              </w:rPr>
              <w:t>h</w:t>
            </w:r>
            <w:r>
              <w:rPr>
                <w:rFonts w:hint="eastAsia"/>
                <w:color w:val="auto"/>
                <w:sz w:val="21"/>
                <w:szCs w:val="21"/>
              </w:rPr>
              <w:t>）</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0511</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0859</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1164</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1444</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1707</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2871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10</w:t>
            </w:r>
            <w:r>
              <w:rPr>
                <w:rFonts w:hint="eastAsia"/>
                <w:color w:val="auto"/>
                <w:sz w:val="21"/>
                <w:szCs w:val="21"/>
              </w:rPr>
              <w:t>（</w:t>
            </w:r>
            <w:r>
              <w:rPr>
                <w:rFonts w:hint="eastAsia" w:ascii="Times New Roman" w:hAnsi="Times New Roman"/>
                <w:color w:val="auto"/>
                <w:sz w:val="21"/>
                <w:szCs w:val="21"/>
              </w:rPr>
              <w:t>km</w:t>
            </w:r>
            <w:r>
              <w:rPr>
                <w:rFonts w:hint="eastAsia"/>
                <w:color w:val="auto"/>
                <w:sz w:val="21"/>
                <w:szCs w:val="21"/>
              </w:rPr>
              <w:t>/</w:t>
            </w:r>
            <w:r>
              <w:rPr>
                <w:rFonts w:hint="eastAsia" w:ascii="Times New Roman" w:hAnsi="Times New Roman"/>
                <w:color w:val="auto"/>
                <w:sz w:val="21"/>
                <w:szCs w:val="21"/>
              </w:rPr>
              <w:t>h</w:t>
            </w:r>
            <w:r>
              <w:rPr>
                <w:rFonts w:hint="eastAsia"/>
                <w:color w:val="auto"/>
                <w:sz w:val="21"/>
                <w:szCs w:val="21"/>
              </w:rPr>
              <w:t>）</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1021</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1717</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2328</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2888</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3414</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5742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15</w:t>
            </w:r>
            <w:r>
              <w:rPr>
                <w:rFonts w:hint="eastAsia"/>
                <w:color w:val="auto"/>
                <w:sz w:val="21"/>
                <w:szCs w:val="21"/>
              </w:rPr>
              <w:t>（</w:t>
            </w:r>
            <w:r>
              <w:rPr>
                <w:rFonts w:hint="eastAsia" w:ascii="Times New Roman" w:hAnsi="Times New Roman"/>
                <w:color w:val="auto"/>
                <w:sz w:val="21"/>
                <w:szCs w:val="21"/>
              </w:rPr>
              <w:t>km</w:t>
            </w:r>
            <w:r>
              <w:rPr>
                <w:rFonts w:hint="eastAsia"/>
                <w:color w:val="auto"/>
                <w:sz w:val="21"/>
                <w:szCs w:val="21"/>
              </w:rPr>
              <w:t>/</w:t>
            </w:r>
            <w:r>
              <w:rPr>
                <w:rFonts w:hint="eastAsia" w:ascii="Times New Roman" w:hAnsi="Times New Roman"/>
                <w:color w:val="auto"/>
                <w:sz w:val="21"/>
                <w:szCs w:val="21"/>
              </w:rPr>
              <w:t>h</w:t>
            </w:r>
            <w:r>
              <w:rPr>
                <w:rFonts w:hint="eastAsia"/>
                <w:color w:val="auto"/>
                <w:sz w:val="21"/>
                <w:szCs w:val="21"/>
              </w:rPr>
              <w:t>）</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1532</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2576</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3491</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4332</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5121</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8613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25</w:t>
            </w:r>
            <w:r>
              <w:rPr>
                <w:rFonts w:hint="eastAsia"/>
                <w:color w:val="auto"/>
                <w:sz w:val="21"/>
                <w:szCs w:val="21"/>
              </w:rPr>
              <w:t>（</w:t>
            </w:r>
            <w:r>
              <w:rPr>
                <w:rFonts w:hint="eastAsia" w:ascii="Times New Roman" w:hAnsi="Times New Roman"/>
                <w:color w:val="auto"/>
                <w:sz w:val="21"/>
                <w:szCs w:val="21"/>
              </w:rPr>
              <w:t>km</w:t>
            </w:r>
            <w:r>
              <w:rPr>
                <w:rFonts w:hint="eastAsia"/>
                <w:color w:val="auto"/>
                <w:sz w:val="21"/>
                <w:szCs w:val="21"/>
              </w:rPr>
              <w:t>/</w:t>
            </w:r>
            <w:r>
              <w:rPr>
                <w:rFonts w:hint="eastAsia" w:ascii="Times New Roman" w:hAnsi="Times New Roman"/>
                <w:color w:val="auto"/>
                <w:sz w:val="21"/>
                <w:szCs w:val="21"/>
              </w:rPr>
              <w:t>h</w:t>
            </w:r>
            <w:r>
              <w:rPr>
                <w:rFonts w:hint="eastAsia"/>
                <w:color w:val="auto"/>
                <w:sz w:val="21"/>
                <w:szCs w:val="21"/>
              </w:rPr>
              <w:t>）</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2553</w:t>
            </w:r>
          </w:p>
        </w:tc>
        <w:tc>
          <w:tcPr>
            <w:tcW w:w="134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4293</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5819</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7220</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8536</w:t>
            </w:r>
          </w:p>
        </w:tc>
        <w:tc>
          <w:tcPr>
            <w:tcW w:w="134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4355</w:t>
            </w:r>
          </w:p>
        </w:tc>
      </w:tr>
    </w:tbl>
    <w:p>
      <w:pPr>
        <w:spacing w:before="156" w:beforeLines="50"/>
        <w:ind w:firstLine="422" w:firstLineChars="200"/>
        <w:jc w:val="center"/>
        <w:rPr>
          <w:rFonts w:hint="eastAsia" w:hAnsi="宋体" w:cs="宋体"/>
          <w:b/>
          <w:bCs/>
          <w:color w:val="auto"/>
          <w:sz w:val="21"/>
          <w:szCs w:val="21"/>
        </w:rPr>
      </w:pPr>
      <w:r>
        <w:rPr>
          <w:rFonts w:hint="eastAsia" w:hAnsi="宋体" w:cs="宋体"/>
          <w:b/>
          <w:bCs/>
          <w:color w:val="auto"/>
          <w:sz w:val="21"/>
          <w:szCs w:val="21"/>
        </w:rPr>
        <w:t>表</w:t>
      </w:r>
      <w:r>
        <w:rPr>
          <w:rFonts w:hint="eastAsia" w:ascii="Times New Roman" w:hAnsi="Times New Roman"/>
          <w:b/>
          <w:bCs/>
          <w:color w:val="auto"/>
          <w:sz w:val="21"/>
          <w:szCs w:val="21"/>
          <w:lang w:val="en-US" w:eastAsia="zh-CN"/>
        </w:rPr>
        <w:t>6</w:t>
      </w:r>
      <w:r>
        <w:rPr>
          <w:rFonts w:hint="eastAsia" w:ascii="Times New Roman" w:hAnsi="Times New Roman"/>
          <w:b/>
          <w:bCs/>
          <w:color w:val="auto"/>
          <w:sz w:val="21"/>
          <w:szCs w:val="21"/>
          <w:lang w:val="en-US" w:eastAsia="zh-CN"/>
        </w:rPr>
        <w:t>.</w:t>
      </w:r>
      <w:r>
        <w:rPr>
          <w:rFonts w:hint="eastAsia" w:ascii="Times New Roman" w:hAnsi="Times New Roman"/>
          <w:b/>
          <w:bCs/>
          <w:color w:val="auto"/>
          <w:sz w:val="21"/>
          <w:szCs w:val="21"/>
          <w:lang w:val="en-US" w:eastAsia="zh-CN"/>
        </w:rPr>
        <w:t>1</w:t>
      </w:r>
      <w:r>
        <w:rPr>
          <w:rFonts w:hint="eastAsia" w:hAnsi="宋体" w:cs="宋体"/>
          <w:b/>
          <w:bCs/>
          <w:color w:val="auto"/>
          <w:sz w:val="21"/>
          <w:szCs w:val="21"/>
        </w:rPr>
        <w:t>-</w:t>
      </w:r>
      <w:r>
        <w:rPr>
          <w:rFonts w:hint="eastAsia" w:ascii="Times New Roman" w:hAnsi="Times New Roman"/>
          <w:b/>
          <w:bCs/>
          <w:color w:val="auto"/>
          <w:sz w:val="21"/>
          <w:szCs w:val="21"/>
        </w:rPr>
        <w:t>2</w:t>
      </w:r>
      <w:r>
        <w:rPr>
          <w:rFonts w:hint="eastAsia" w:hAnsi="宋体" w:cs="宋体"/>
          <w:b/>
          <w:bCs/>
          <w:color w:val="auto"/>
          <w:sz w:val="21"/>
          <w:szCs w:val="21"/>
        </w:rPr>
        <w:t xml:space="preserve">  施工阶段洒水降尘试验结果</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563"/>
        <w:gridCol w:w="1564"/>
        <w:gridCol w:w="1563"/>
        <w:gridCol w:w="1562"/>
        <w:gridCol w:w="15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127" w:type="dxa"/>
            <w:gridSpan w:val="2"/>
            <w:noWrap w:val="0"/>
            <w:vAlign w:val="center"/>
          </w:tcPr>
          <w:p>
            <w:pPr>
              <w:spacing w:line="240" w:lineRule="auto"/>
              <w:ind w:firstLine="0"/>
              <w:jc w:val="center"/>
              <w:rPr>
                <w:color w:val="auto"/>
                <w:sz w:val="21"/>
                <w:szCs w:val="21"/>
              </w:rPr>
            </w:pPr>
            <w:r>
              <w:rPr>
                <w:rFonts w:hint="eastAsia"/>
                <w:color w:val="auto"/>
                <w:sz w:val="21"/>
                <w:szCs w:val="21"/>
              </w:rPr>
              <w:t>距离路面距离（</w:t>
            </w:r>
            <w:r>
              <w:rPr>
                <w:rFonts w:hint="eastAsia" w:ascii="Times New Roman" w:hAnsi="Times New Roman"/>
                <w:color w:val="auto"/>
                <w:sz w:val="21"/>
                <w:szCs w:val="21"/>
              </w:rPr>
              <w:t>m</w:t>
            </w:r>
            <w:r>
              <w:rPr>
                <w:rFonts w:hint="eastAsia"/>
                <w:color w:val="auto"/>
                <w:sz w:val="21"/>
                <w:szCs w:val="21"/>
              </w:rPr>
              <w:t>）</w:t>
            </w:r>
          </w:p>
        </w:tc>
        <w:tc>
          <w:tcPr>
            <w:tcW w:w="1564"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5</w:t>
            </w:r>
          </w:p>
        </w:tc>
        <w:tc>
          <w:tcPr>
            <w:tcW w:w="156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20</w:t>
            </w:r>
          </w:p>
        </w:tc>
        <w:tc>
          <w:tcPr>
            <w:tcW w:w="156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50</w:t>
            </w:r>
          </w:p>
        </w:tc>
        <w:tc>
          <w:tcPr>
            <w:tcW w:w="1564"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564" w:type="dxa"/>
            <w:vMerge w:val="restart"/>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TSP</w:t>
            </w:r>
            <w:r>
              <w:rPr>
                <w:rFonts w:hint="eastAsia"/>
                <w:color w:val="auto"/>
                <w:sz w:val="21"/>
                <w:szCs w:val="21"/>
              </w:rPr>
              <w:t>浓度（</w:t>
            </w:r>
            <w:r>
              <w:rPr>
                <w:rFonts w:hint="eastAsia" w:ascii="Times New Roman" w:hAnsi="Times New Roman"/>
                <w:color w:val="auto"/>
                <w:sz w:val="21"/>
                <w:szCs w:val="21"/>
              </w:rPr>
              <w:t>mg</w:t>
            </w:r>
            <w:r>
              <w:rPr>
                <w:rFonts w:hint="eastAsia"/>
                <w:color w:val="auto"/>
                <w:sz w:val="21"/>
                <w:szCs w:val="21"/>
              </w:rPr>
              <w:t>/</w:t>
            </w:r>
            <w:r>
              <w:rPr>
                <w:rFonts w:hint="eastAsia" w:ascii="Times New Roman" w:hAnsi="Times New Roman"/>
                <w:color w:val="auto"/>
                <w:sz w:val="21"/>
                <w:szCs w:val="21"/>
              </w:rPr>
              <w:t>m</w:t>
            </w:r>
            <w:r>
              <w:rPr>
                <w:rFonts w:hint="eastAsia"/>
                <w:color w:val="auto"/>
                <w:sz w:val="21"/>
                <w:szCs w:val="21"/>
              </w:rPr>
              <w:t>³）</w:t>
            </w:r>
          </w:p>
        </w:tc>
        <w:tc>
          <w:tcPr>
            <w:tcW w:w="1563" w:type="dxa"/>
            <w:noWrap w:val="0"/>
            <w:vAlign w:val="center"/>
          </w:tcPr>
          <w:p>
            <w:pPr>
              <w:spacing w:line="240" w:lineRule="auto"/>
              <w:ind w:firstLine="0"/>
              <w:jc w:val="center"/>
              <w:rPr>
                <w:rFonts w:hint="eastAsia"/>
                <w:color w:val="auto"/>
                <w:sz w:val="21"/>
                <w:szCs w:val="21"/>
              </w:rPr>
            </w:pPr>
            <w:r>
              <w:rPr>
                <w:rFonts w:hint="eastAsia"/>
                <w:color w:val="auto"/>
                <w:sz w:val="21"/>
                <w:szCs w:val="21"/>
              </w:rPr>
              <w:t>不洒水</w:t>
            </w:r>
          </w:p>
        </w:tc>
        <w:tc>
          <w:tcPr>
            <w:tcW w:w="1564"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10</w:t>
            </w:r>
            <w:r>
              <w:rPr>
                <w:rFonts w:hint="eastAsia"/>
                <w:color w:val="auto"/>
                <w:sz w:val="21"/>
                <w:szCs w:val="21"/>
              </w:rPr>
              <w:t>.</w:t>
            </w:r>
            <w:r>
              <w:rPr>
                <w:rFonts w:hint="eastAsia" w:ascii="Times New Roman" w:hAnsi="Times New Roman"/>
                <w:color w:val="auto"/>
                <w:sz w:val="21"/>
                <w:szCs w:val="21"/>
              </w:rPr>
              <w:t>14</w:t>
            </w:r>
          </w:p>
        </w:tc>
        <w:tc>
          <w:tcPr>
            <w:tcW w:w="156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810</w:t>
            </w:r>
          </w:p>
        </w:tc>
        <w:tc>
          <w:tcPr>
            <w:tcW w:w="156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15</w:t>
            </w:r>
          </w:p>
        </w:tc>
        <w:tc>
          <w:tcPr>
            <w:tcW w:w="1564"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564" w:type="dxa"/>
            <w:vMerge w:val="continue"/>
            <w:noWrap w:val="0"/>
            <w:vAlign w:val="center"/>
          </w:tcPr>
          <w:p>
            <w:pPr>
              <w:spacing w:line="240" w:lineRule="auto"/>
              <w:ind w:firstLine="0"/>
              <w:jc w:val="center"/>
              <w:rPr>
                <w:color w:val="auto"/>
                <w:sz w:val="21"/>
                <w:szCs w:val="21"/>
              </w:rPr>
            </w:pPr>
          </w:p>
        </w:tc>
        <w:tc>
          <w:tcPr>
            <w:tcW w:w="1563" w:type="dxa"/>
            <w:noWrap w:val="0"/>
            <w:vAlign w:val="center"/>
          </w:tcPr>
          <w:p>
            <w:pPr>
              <w:spacing w:line="240" w:lineRule="auto"/>
              <w:ind w:firstLine="0"/>
              <w:jc w:val="center"/>
              <w:rPr>
                <w:rFonts w:hint="eastAsia"/>
                <w:color w:val="auto"/>
                <w:sz w:val="21"/>
                <w:szCs w:val="21"/>
              </w:rPr>
            </w:pPr>
            <w:r>
              <w:rPr>
                <w:rFonts w:hint="eastAsia"/>
                <w:color w:val="auto"/>
                <w:sz w:val="21"/>
                <w:szCs w:val="21"/>
              </w:rPr>
              <w:t>洒水</w:t>
            </w:r>
          </w:p>
        </w:tc>
        <w:tc>
          <w:tcPr>
            <w:tcW w:w="1564"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01</w:t>
            </w:r>
          </w:p>
        </w:tc>
        <w:tc>
          <w:tcPr>
            <w:tcW w:w="1563"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40</w:t>
            </w:r>
          </w:p>
        </w:tc>
        <w:tc>
          <w:tcPr>
            <w:tcW w:w="1562"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68</w:t>
            </w:r>
          </w:p>
        </w:tc>
        <w:tc>
          <w:tcPr>
            <w:tcW w:w="1564"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60</w:t>
            </w:r>
          </w:p>
        </w:tc>
      </w:tr>
    </w:tbl>
    <w:p>
      <w:pPr>
        <w:bidi w:val="0"/>
        <w:rPr>
          <w:rFonts w:hint="eastAsia"/>
          <w:color w:val="auto"/>
        </w:rPr>
      </w:pPr>
      <w:r>
        <w:rPr>
          <w:rFonts w:hint="eastAsia"/>
          <w:color w:val="auto"/>
        </w:rPr>
        <w:t>②堆场扬尘</w:t>
      </w:r>
    </w:p>
    <w:p>
      <w:pPr>
        <w:bidi w:val="0"/>
        <w:rPr>
          <w:rFonts w:hint="eastAsia"/>
          <w:color w:val="auto"/>
        </w:rPr>
      </w:pPr>
      <w:r>
        <w:rPr>
          <w:rFonts w:hint="eastAsia"/>
          <w:color w:val="auto"/>
        </w:rPr>
        <w:pict>
          <v:shape id="对象 66" o:spid="_x0000_s2056" o:spt="75" type="#_x0000_t75" style="position:absolute;left:0pt;margin-left:241.75pt;margin-top:290.15pt;height:22.2pt;width:131.1pt;mso-position-horizontal-relative:page;mso-position-vertical-relative:page;mso-wrap-distance-bottom:0pt;mso-wrap-distance-top:0pt;z-index:251666432;mso-width-relative:page;mso-height-relative:page;" o:ole="t" filled="f" o:preferrelative="t" stroked="f" coordsize="21600,21600">
            <v:path/>
            <v:fill on="f" focussize="0,0"/>
            <v:stroke on="f"/>
            <v:imagedata r:id="rId63" o:title=""/>
            <o:lock v:ext="edit" aspectratio="t"/>
            <w10:wrap type="topAndBottom"/>
          </v:shape>
          <o:OLEObject Type="Embed" ProgID="Equation.3" ShapeID="对象 66" DrawAspect="Content" ObjectID="_1468075742" r:id="rId62">
            <o:LockedField>false</o:LockedField>
          </o:OLEObject>
        </w:pict>
      </w:r>
      <w:r>
        <w:rPr>
          <w:rFonts w:hint="eastAsia"/>
          <w:color w:val="auto"/>
        </w:rPr>
        <w:t>施工阶段扬尘的另一个主要来源是露天堆场和裸露场地的风力扬尘。由于施工需要，建筑材料需要露天堆放，在气候干燥又有风的情况下，会产生扬尘，其扬尘量可按堆场起尘的经验公式计算：</w:t>
      </w:r>
    </w:p>
    <w:p>
      <w:pPr>
        <w:bidi w:val="0"/>
        <w:rPr>
          <w:rFonts w:hint="eastAsia"/>
          <w:color w:val="auto"/>
        </w:rPr>
      </w:pPr>
      <w:r>
        <w:rPr>
          <w:rFonts w:hint="eastAsia"/>
          <w:color w:val="auto"/>
        </w:rPr>
        <w:t>式中：</w:t>
      </w:r>
      <w:r>
        <w:rPr>
          <w:rFonts w:hint="eastAsia" w:ascii="Times New Roman" w:hAnsi="Times New Roman"/>
          <w:color w:val="auto"/>
        </w:rPr>
        <w:t>Q</w:t>
      </w:r>
      <w:r>
        <w:rPr>
          <w:rFonts w:hint="eastAsia"/>
          <w:color w:val="auto"/>
        </w:rPr>
        <w:t>—起尘量，</w:t>
      </w:r>
      <w:r>
        <w:rPr>
          <w:rFonts w:hint="eastAsia" w:ascii="Times New Roman" w:hAnsi="Times New Roman"/>
          <w:color w:val="auto"/>
        </w:rPr>
        <w:t>kg</w:t>
      </w:r>
      <w:r>
        <w:rPr>
          <w:rFonts w:hint="eastAsia"/>
          <w:color w:val="auto"/>
        </w:rPr>
        <w:t>/吨·年；</w:t>
      </w:r>
    </w:p>
    <w:p>
      <w:pPr>
        <w:bidi w:val="0"/>
        <w:rPr>
          <w:rFonts w:hint="eastAsia"/>
          <w:color w:val="auto"/>
        </w:rPr>
      </w:pPr>
      <w:r>
        <w:rPr>
          <w:rFonts w:hint="eastAsia" w:ascii="Times New Roman" w:hAnsi="Times New Roman"/>
          <w:color w:val="auto"/>
        </w:rPr>
        <w:t>V</w:t>
      </w:r>
      <w:r>
        <w:rPr>
          <w:rFonts w:hint="eastAsia" w:ascii="Times New Roman" w:hAnsi="Times New Roman"/>
          <w:color w:val="auto"/>
          <w:vertAlign w:val="subscript"/>
        </w:rPr>
        <w:t>50</w:t>
      </w:r>
      <w:r>
        <w:rPr>
          <w:rFonts w:hint="eastAsia"/>
          <w:color w:val="auto"/>
        </w:rPr>
        <w:t>—距离地面</w:t>
      </w:r>
      <w:r>
        <w:rPr>
          <w:rFonts w:hint="eastAsia" w:ascii="Times New Roman" w:hAnsi="Times New Roman"/>
          <w:color w:val="auto"/>
        </w:rPr>
        <w:t>50m</w:t>
      </w:r>
      <w:r>
        <w:rPr>
          <w:rFonts w:hint="eastAsia"/>
          <w:color w:val="auto"/>
        </w:rPr>
        <w:t>处风速，</w:t>
      </w:r>
      <w:r>
        <w:rPr>
          <w:rFonts w:hint="eastAsia" w:ascii="Times New Roman" w:hAnsi="Times New Roman"/>
          <w:color w:val="auto"/>
        </w:rPr>
        <w:t>m</w:t>
      </w:r>
      <w:r>
        <w:rPr>
          <w:rFonts w:hint="eastAsia"/>
          <w:color w:val="auto"/>
        </w:rPr>
        <w:t>/</w:t>
      </w:r>
      <w:r>
        <w:rPr>
          <w:rFonts w:hint="eastAsia" w:ascii="Times New Roman" w:hAnsi="Times New Roman"/>
          <w:color w:val="auto"/>
        </w:rPr>
        <w:t>s</w:t>
      </w:r>
      <w:r>
        <w:rPr>
          <w:rFonts w:hint="eastAsia"/>
          <w:color w:val="auto"/>
        </w:rPr>
        <w:t>；</w:t>
      </w:r>
    </w:p>
    <w:p>
      <w:pPr>
        <w:bidi w:val="0"/>
        <w:rPr>
          <w:rFonts w:hint="eastAsia"/>
          <w:color w:val="auto"/>
        </w:rPr>
      </w:pPr>
      <w:r>
        <w:rPr>
          <w:rFonts w:hint="eastAsia" w:ascii="Times New Roman" w:hAnsi="Times New Roman"/>
          <w:color w:val="auto"/>
        </w:rPr>
        <w:t>V</w:t>
      </w:r>
      <w:r>
        <w:rPr>
          <w:rFonts w:hint="eastAsia" w:ascii="Times New Roman" w:hAnsi="Times New Roman"/>
          <w:color w:val="auto"/>
          <w:vertAlign w:val="subscript"/>
        </w:rPr>
        <w:t>0</w:t>
      </w:r>
      <w:r>
        <w:rPr>
          <w:rFonts w:hint="eastAsia"/>
          <w:color w:val="auto"/>
        </w:rPr>
        <w:t>—起尘风速，</w:t>
      </w:r>
      <w:r>
        <w:rPr>
          <w:rFonts w:hint="eastAsia" w:ascii="Times New Roman" w:hAnsi="Times New Roman"/>
          <w:color w:val="auto"/>
        </w:rPr>
        <w:t>m</w:t>
      </w:r>
      <w:r>
        <w:rPr>
          <w:rFonts w:hint="eastAsia"/>
          <w:color w:val="auto"/>
        </w:rPr>
        <w:t>/</w:t>
      </w:r>
      <w:r>
        <w:rPr>
          <w:rFonts w:hint="eastAsia" w:ascii="Times New Roman" w:hAnsi="Times New Roman"/>
          <w:color w:val="auto"/>
        </w:rPr>
        <w:t>s</w:t>
      </w:r>
      <w:r>
        <w:rPr>
          <w:rFonts w:hint="eastAsia"/>
          <w:color w:val="auto"/>
        </w:rPr>
        <w:t>；</w:t>
      </w:r>
    </w:p>
    <w:p>
      <w:pPr>
        <w:bidi w:val="0"/>
        <w:rPr>
          <w:rFonts w:hint="eastAsia"/>
          <w:color w:val="auto"/>
        </w:rPr>
      </w:pPr>
      <w:r>
        <w:rPr>
          <w:rFonts w:hint="eastAsia" w:ascii="Times New Roman" w:hAnsi="Times New Roman"/>
          <w:color w:val="auto"/>
        </w:rPr>
        <w:t>W</w:t>
      </w:r>
      <w:r>
        <w:rPr>
          <w:rFonts w:hint="eastAsia"/>
          <w:color w:val="auto"/>
        </w:rPr>
        <w:t>—尘粒的含水率，%。</w:t>
      </w:r>
    </w:p>
    <w:p>
      <w:pPr>
        <w:bidi w:val="0"/>
        <w:rPr>
          <w:color w:val="auto"/>
        </w:rPr>
      </w:pPr>
      <w:r>
        <w:rPr>
          <w:rFonts w:hint="eastAsia"/>
          <w:color w:val="auto"/>
        </w:rPr>
        <w:t>起尘风速与粒径和含水率有关，因此，减少露天堆放和保证一定的含水率及减少裸露地面是减少风力起尘的有效手段。粉尘在空气中的扩散稀释与风速等气象条件也有关，与粉尘本身的沉降速度有关。</w:t>
      </w:r>
      <w:r>
        <w:rPr>
          <w:color w:val="auto"/>
        </w:rPr>
        <w:t>根据北京市环境保护科研所等单位在市政施工现场的实测资料，在一般气象条件下，平均风速</w:t>
      </w:r>
      <w:r>
        <w:rPr>
          <w:rFonts w:ascii="Times New Roman" w:hAnsi="Times New Roman"/>
          <w:color w:val="auto"/>
        </w:rPr>
        <w:t>2</w:t>
      </w:r>
      <w:r>
        <w:rPr>
          <w:color w:val="auto"/>
        </w:rPr>
        <w:t>～</w:t>
      </w:r>
      <w:r>
        <w:rPr>
          <w:rFonts w:ascii="Times New Roman" w:hAnsi="Times New Roman"/>
          <w:color w:val="auto"/>
        </w:rPr>
        <w:t>3m</w:t>
      </w:r>
      <w:r>
        <w:rPr>
          <w:color w:val="auto"/>
        </w:rPr>
        <w:t>/</w:t>
      </w:r>
      <w:r>
        <w:rPr>
          <w:rFonts w:ascii="Times New Roman" w:hAnsi="Times New Roman"/>
          <w:color w:val="auto"/>
        </w:rPr>
        <w:t>s</w:t>
      </w:r>
      <w:r>
        <w:rPr>
          <w:color w:val="auto"/>
        </w:rPr>
        <w:t>的情况下，建筑工地内</w:t>
      </w:r>
      <w:r>
        <w:rPr>
          <w:rFonts w:ascii="Times New Roman" w:hAnsi="Times New Roman"/>
          <w:color w:val="auto"/>
        </w:rPr>
        <w:t>TSP</w:t>
      </w:r>
      <w:r>
        <w:rPr>
          <w:color w:val="auto"/>
        </w:rPr>
        <w:t>浓度为其上风向对照点的</w:t>
      </w:r>
      <w:r>
        <w:rPr>
          <w:rFonts w:ascii="Times New Roman" w:hAnsi="Times New Roman"/>
          <w:color w:val="auto"/>
        </w:rPr>
        <w:t>2</w:t>
      </w:r>
      <w:r>
        <w:rPr>
          <w:color w:val="auto"/>
        </w:rPr>
        <w:t>.</w:t>
      </w:r>
      <w:r>
        <w:rPr>
          <w:rFonts w:ascii="Times New Roman" w:hAnsi="Times New Roman"/>
          <w:color w:val="auto"/>
        </w:rPr>
        <w:t>0</w:t>
      </w:r>
      <w:r>
        <w:rPr>
          <w:color w:val="auto"/>
        </w:rPr>
        <w:t>～</w:t>
      </w:r>
      <w:r>
        <w:rPr>
          <w:rFonts w:ascii="Times New Roman" w:hAnsi="Times New Roman"/>
          <w:color w:val="auto"/>
        </w:rPr>
        <w:t>2</w:t>
      </w:r>
      <w:r>
        <w:rPr>
          <w:color w:val="auto"/>
        </w:rPr>
        <w:t>.</w:t>
      </w:r>
      <w:r>
        <w:rPr>
          <w:rFonts w:ascii="Times New Roman" w:hAnsi="Times New Roman"/>
          <w:color w:val="auto"/>
        </w:rPr>
        <w:t>5</w:t>
      </w:r>
      <w:r>
        <w:rPr>
          <w:color w:val="auto"/>
        </w:rPr>
        <w:t>倍，建筑施工扬尘的影响范围在其下风向可达</w:t>
      </w:r>
      <w:r>
        <w:rPr>
          <w:rFonts w:ascii="Times New Roman" w:hAnsi="Times New Roman"/>
          <w:color w:val="auto"/>
        </w:rPr>
        <w:t>150m</w:t>
      </w:r>
      <w:r>
        <w:rPr>
          <w:color w:val="auto"/>
        </w:rPr>
        <w:t>，影响范围内</w:t>
      </w:r>
      <w:r>
        <w:rPr>
          <w:rFonts w:ascii="Times New Roman" w:hAnsi="Times New Roman"/>
          <w:color w:val="auto"/>
        </w:rPr>
        <w:t>TSP</w:t>
      </w:r>
      <w:r>
        <w:rPr>
          <w:color w:val="auto"/>
        </w:rPr>
        <w:t>浓度平均值可达</w:t>
      </w:r>
      <w:r>
        <w:rPr>
          <w:rFonts w:ascii="Times New Roman" w:hAnsi="Times New Roman"/>
          <w:color w:val="auto"/>
        </w:rPr>
        <w:t>0</w:t>
      </w:r>
      <w:r>
        <w:rPr>
          <w:color w:val="auto"/>
        </w:rPr>
        <w:t>.</w:t>
      </w:r>
      <w:r>
        <w:rPr>
          <w:rFonts w:ascii="Times New Roman" w:hAnsi="Times New Roman"/>
          <w:color w:val="auto"/>
        </w:rPr>
        <w:t>49mg</w:t>
      </w:r>
      <w:r>
        <w:rPr>
          <w:color w:val="auto"/>
        </w:rPr>
        <w:t>/</w:t>
      </w:r>
      <w:r>
        <w:rPr>
          <w:rFonts w:hint="eastAsia" w:ascii="Times New Roman" w:hAnsi="Times New Roman"/>
          <w:color w:val="auto"/>
        </w:rPr>
        <w:t>m</w:t>
      </w:r>
      <w:r>
        <w:rPr>
          <w:rFonts w:hint="eastAsia"/>
          <w:color w:val="auto"/>
        </w:rPr>
        <w:t>³</w:t>
      </w:r>
      <w:r>
        <w:rPr>
          <w:color w:val="auto"/>
        </w:rPr>
        <w:t>，是上风向对照点的</w:t>
      </w:r>
      <w:r>
        <w:rPr>
          <w:rFonts w:ascii="Times New Roman" w:hAnsi="Times New Roman"/>
          <w:color w:val="auto"/>
        </w:rPr>
        <w:t>1</w:t>
      </w:r>
      <w:r>
        <w:rPr>
          <w:color w:val="auto"/>
        </w:rPr>
        <w:t>.</w:t>
      </w:r>
      <w:r>
        <w:rPr>
          <w:rFonts w:ascii="Times New Roman" w:hAnsi="Times New Roman"/>
          <w:color w:val="auto"/>
        </w:rPr>
        <w:t>5</w:t>
      </w:r>
      <w:r>
        <w:rPr>
          <w:color w:val="auto"/>
        </w:rPr>
        <w:t>倍，相当于《环境空气质量标准》</w:t>
      </w:r>
      <w:r>
        <w:rPr>
          <w:rFonts w:ascii="Times New Roman" w:hAnsi="Times New Roman"/>
          <w:color w:val="auto"/>
        </w:rPr>
        <w:t>TSP</w:t>
      </w:r>
      <w:r>
        <w:rPr>
          <w:color w:val="auto"/>
        </w:rPr>
        <w:t>日均浓度二级标准值的</w:t>
      </w:r>
      <w:r>
        <w:rPr>
          <w:rFonts w:ascii="Times New Roman" w:hAnsi="Times New Roman"/>
          <w:color w:val="auto"/>
        </w:rPr>
        <w:t>1</w:t>
      </w:r>
      <w:r>
        <w:rPr>
          <w:color w:val="auto"/>
        </w:rPr>
        <w:t>.</w:t>
      </w:r>
      <w:r>
        <w:rPr>
          <w:rFonts w:ascii="Times New Roman" w:hAnsi="Times New Roman"/>
          <w:color w:val="auto"/>
        </w:rPr>
        <w:t>6</w:t>
      </w:r>
      <w:r>
        <w:rPr>
          <w:color w:val="auto"/>
        </w:rPr>
        <w:t>倍。</w:t>
      </w:r>
    </w:p>
    <w:p>
      <w:pPr>
        <w:bidi w:val="0"/>
        <w:rPr>
          <w:color w:val="auto"/>
        </w:rPr>
      </w:pPr>
      <w:r>
        <w:rPr>
          <w:rFonts w:hint="eastAsia"/>
          <w:color w:val="auto"/>
        </w:rPr>
        <w:t>综上所述，在正常工况下，施工作业的扬尘影响范围一般都在距离施工现场</w:t>
      </w:r>
      <w:r>
        <w:rPr>
          <w:rFonts w:hint="eastAsia" w:ascii="Times New Roman" w:hAnsi="Times New Roman"/>
          <w:color w:val="auto"/>
        </w:rPr>
        <w:t>100m</w:t>
      </w:r>
      <w:r>
        <w:rPr>
          <w:rFonts w:hint="eastAsia"/>
          <w:color w:val="auto"/>
        </w:rPr>
        <w:t>之内</w:t>
      </w:r>
      <w:r>
        <w:rPr>
          <w:color w:val="auto"/>
        </w:rPr>
        <w:t>。</w:t>
      </w:r>
      <w:r>
        <w:rPr>
          <w:rFonts w:hint="eastAsia"/>
          <w:color w:val="auto"/>
          <w:lang w:eastAsia="zh-CN"/>
        </w:rPr>
        <w:t>扬尘</w:t>
      </w:r>
      <w:r>
        <w:rPr>
          <w:rFonts w:hint="eastAsia"/>
          <w:color w:val="auto"/>
        </w:rPr>
        <w:t>浓度影响随风速的变化而变化，总的趋势是小风、静风天气作业时，影响范围小，大风天作业时污染较大。</w:t>
      </w:r>
    </w:p>
    <w:p>
      <w:pPr>
        <w:bidi w:val="0"/>
        <w:rPr>
          <w:color w:val="auto"/>
        </w:rPr>
      </w:pPr>
      <w:r>
        <w:rPr>
          <w:rFonts w:hint="eastAsia"/>
          <w:color w:val="auto"/>
        </w:rPr>
        <w:t>（</w:t>
      </w:r>
      <w:r>
        <w:rPr>
          <w:rFonts w:hint="eastAsia" w:ascii="Times New Roman" w:hAnsi="Times New Roman"/>
          <w:color w:val="auto"/>
        </w:rPr>
        <w:t>2</w:t>
      </w:r>
      <w:r>
        <w:rPr>
          <w:rFonts w:hint="eastAsia"/>
          <w:color w:val="auto"/>
        </w:rPr>
        <w:t>）</w:t>
      </w:r>
      <w:r>
        <w:rPr>
          <w:color w:val="auto"/>
        </w:rPr>
        <w:t>施工</w:t>
      </w:r>
      <w:r>
        <w:rPr>
          <w:rFonts w:hint="eastAsia"/>
          <w:color w:val="auto"/>
        </w:rPr>
        <w:t>期</w:t>
      </w:r>
      <w:r>
        <w:rPr>
          <w:color w:val="auto"/>
        </w:rPr>
        <w:t>废气</w:t>
      </w:r>
    </w:p>
    <w:p>
      <w:pPr>
        <w:bidi w:val="0"/>
        <w:rPr>
          <w:color w:val="auto"/>
        </w:rPr>
      </w:pPr>
      <w:r>
        <w:rPr>
          <w:color w:val="auto"/>
        </w:rPr>
        <w:t>施工废气主要包括：各种燃油机械的废气排放、运输车辆产生的尾气</w:t>
      </w:r>
      <w:r>
        <w:rPr>
          <w:rFonts w:hint="eastAsia"/>
          <w:color w:val="auto"/>
          <w:lang w:eastAsia="zh-CN"/>
        </w:rPr>
        <w:t>等</w:t>
      </w:r>
      <w:r>
        <w:rPr>
          <w:color w:val="auto"/>
        </w:rPr>
        <w:t>。主要污染物为</w:t>
      </w:r>
      <w:r>
        <w:rPr>
          <w:rFonts w:ascii="Times New Roman" w:hAnsi="Times New Roman"/>
          <w:color w:val="auto"/>
        </w:rPr>
        <w:t>NO</w:t>
      </w:r>
      <w:r>
        <w:rPr>
          <w:rFonts w:hint="eastAsia" w:ascii="Times New Roman" w:hAnsi="Times New Roman"/>
          <w:color w:val="auto"/>
          <w:vertAlign w:val="subscript"/>
          <w:lang w:val="en-US" w:eastAsia="zh-CN"/>
        </w:rPr>
        <w:t>2</w:t>
      </w:r>
      <w:r>
        <w:rPr>
          <w:color w:val="auto"/>
        </w:rPr>
        <w:t>、</w:t>
      </w:r>
      <w:r>
        <w:rPr>
          <w:rFonts w:ascii="Times New Roman" w:hAnsi="Times New Roman"/>
          <w:color w:val="auto"/>
        </w:rPr>
        <w:t>CO</w:t>
      </w:r>
      <w:r>
        <w:rPr>
          <w:color w:val="auto"/>
        </w:rPr>
        <w:t>和碳氢化合物(</w:t>
      </w:r>
      <w:r>
        <w:rPr>
          <w:rFonts w:ascii="Times New Roman" w:hAnsi="Times New Roman"/>
          <w:color w:val="auto"/>
        </w:rPr>
        <w:t>HC</w:t>
      </w:r>
      <w:r>
        <w:rPr>
          <w:color w:val="auto"/>
        </w:rPr>
        <w:t>)等，中型车辆平均时速为</w:t>
      </w:r>
      <w:r>
        <w:rPr>
          <w:rFonts w:ascii="Times New Roman" w:hAnsi="Times New Roman"/>
          <w:color w:val="auto"/>
        </w:rPr>
        <w:t>30km</w:t>
      </w:r>
      <w:r>
        <w:rPr>
          <w:color w:val="auto"/>
        </w:rPr>
        <w:t>/</w:t>
      </w:r>
      <w:r>
        <w:rPr>
          <w:rFonts w:ascii="Times New Roman" w:hAnsi="Times New Roman"/>
          <w:color w:val="auto"/>
        </w:rPr>
        <w:t>h</w:t>
      </w:r>
      <w:r>
        <w:rPr>
          <w:color w:val="auto"/>
        </w:rPr>
        <w:t>，一氧化碳排放量为</w:t>
      </w:r>
      <w:r>
        <w:rPr>
          <w:rFonts w:ascii="Times New Roman" w:hAnsi="Times New Roman"/>
          <w:color w:val="auto"/>
        </w:rPr>
        <w:t>15</w:t>
      </w:r>
      <w:r>
        <w:rPr>
          <w:color w:val="auto"/>
        </w:rPr>
        <w:t>.</w:t>
      </w:r>
      <w:r>
        <w:rPr>
          <w:rFonts w:ascii="Times New Roman" w:hAnsi="Times New Roman"/>
          <w:color w:val="auto"/>
        </w:rPr>
        <w:t>0g</w:t>
      </w:r>
      <w:r>
        <w:rPr>
          <w:color w:val="auto"/>
        </w:rPr>
        <w:t>/</w:t>
      </w:r>
      <w:r>
        <w:rPr>
          <w:rFonts w:ascii="Times New Roman" w:hAnsi="Times New Roman"/>
          <w:color w:val="auto"/>
        </w:rPr>
        <w:t>km</w:t>
      </w:r>
      <w:r>
        <w:rPr>
          <w:color w:val="auto"/>
        </w:rPr>
        <w:t>·辆，碳氢化合物排放量为</w:t>
      </w:r>
      <w:r>
        <w:rPr>
          <w:rFonts w:ascii="Times New Roman" w:hAnsi="Times New Roman"/>
          <w:color w:val="auto"/>
        </w:rPr>
        <w:t>1</w:t>
      </w:r>
      <w:r>
        <w:rPr>
          <w:color w:val="auto"/>
        </w:rPr>
        <w:t>.</w:t>
      </w:r>
      <w:r>
        <w:rPr>
          <w:rFonts w:ascii="Times New Roman" w:hAnsi="Times New Roman"/>
          <w:color w:val="auto"/>
        </w:rPr>
        <w:t>67g</w:t>
      </w:r>
      <w:r>
        <w:rPr>
          <w:color w:val="auto"/>
        </w:rPr>
        <w:t>/</w:t>
      </w:r>
      <w:r>
        <w:rPr>
          <w:rFonts w:ascii="Times New Roman" w:hAnsi="Times New Roman"/>
          <w:color w:val="auto"/>
        </w:rPr>
        <w:t>km</w:t>
      </w:r>
      <w:r>
        <w:rPr>
          <w:color w:val="auto"/>
        </w:rPr>
        <w:t>·辆，二氧化氮为</w:t>
      </w:r>
      <w:r>
        <w:rPr>
          <w:rFonts w:ascii="Times New Roman" w:hAnsi="Times New Roman"/>
          <w:color w:val="auto"/>
        </w:rPr>
        <w:t>1</w:t>
      </w:r>
      <w:r>
        <w:rPr>
          <w:color w:val="auto"/>
        </w:rPr>
        <w:t>.</w:t>
      </w:r>
      <w:r>
        <w:rPr>
          <w:rFonts w:ascii="Times New Roman" w:hAnsi="Times New Roman"/>
          <w:color w:val="auto"/>
        </w:rPr>
        <w:t>33g</w:t>
      </w:r>
      <w:r>
        <w:rPr>
          <w:color w:val="auto"/>
        </w:rPr>
        <w:t>/</w:t>
      </w:r>
      <w:r>
        <w:rPr>
          <w:rFonts w:ascii="Times New Roman" w:hAnsi="Times New Roman"/>
          <w:color w:val="auto"/>
        </w:rPr>
        <w:t>km</w:t>
      </w:r>
      <w:r>
        <w:rPr>
          <w:color w:val="auto"/>
        </w:rPr>
        <w:t>·辆。</w:t>
      </w:r>
      <w:r>
        <w:rPr>
          <w:rFonts w:hint="eastAsia"/>
          <w:color w:val="auto"/>
          <w:lang w:eastAsia="zh-CN"/>
        </w:rPr>
        <w:t>施工过程中，</w:t>
      </w:r>
      <w:r>
        <w:rPr>
          <w:rFonts w:hint="eastAsia"/>
          <w:color w:val="auto"/>
        </w:rPr>
        <w:t>在加强施工机械、车辆运行管理与维护保养的情况下，可减少尾气排放</w:t>
      </w:r>
      <w:r>
        <w:rPr>
          <w:color w:val="auto"/>
        </w:rPr>
        <w:t>。</w:t>
      </w:r>
    </w:p>
    <w:p>
      <w:pPr>
        <w:pStyle w:val="6"/>
        <w:bidi w:val="0"/>
        <w:ind w:left="0" w:leftChars="0" w:firstLine="0" w:firstLineChars="0"/>
        <w:rPr>
          <w:rFonts w:hint="eastAsia" w:eastAsia="宋体"/>
          <w:color w:val="auto"/>
          <w:lang w:eastAsia="zh-CN"/>
        </w:rPr>
      </w:pPr>
      <w:bookmarkStart w:id="181" w:name="_Toc3972"/>
      <w:bookmarkStart w:id="182" w:name="_Toc8127587"/>
      <w:bookmarkStart w:id="183" w:name="_Toc423102275"/>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rPr>
        <w:t>.</w:t>
      </w:r>
      <w:r>
        <w:rPr>
          <w:rFonts w:hint="eastAsia" w:ascii="Times New Roman" w:hAnsi="Times New Roman"/>
          <w:color w:val="auto"/>
        </w:rPr>
        <w:t>2</w:t>
      </w:r>
      <w:r>
        <w:rPr>
          <w:rFonts w:hint="eastAsia" w:ascii="Times New Roman" w:hAnsi="Times New Roman"/>
          <w:color w:val="auto"/>
        </w:rPr>
        <w:t>.</w:t>
      </w:r>
      <w:r>
        <w:rPr>
          <w:rFonts w:hint="eastAsia" w:ascii="Times New Roman" w:hAnsi="Times New Roman"/>
          <w:color w:val="auto"/>
        </w:rPr>
        <w:t>2</w:t>
      </w:r>
      <w:r>
        <w:rPr>
          <w:rFonts w:hint="eastAsia"/>
          <w:color w:val="auto"/>
        </w:rPr>
        <w:t>施工</w:t>
      </w:r>
      <w:r>
        <w:rPr>
          <w:rFonts w:hint="eastAsia"/>
          <w:color w:val="auto"/>
          <w:lang w:eastAsia="zh-CN"/>
        </w:rPr>
        <w:t>期</w:t>
      </w:r>
      <w:r>
        <w:rPr>
          <w:rFonts w:hint="eastAsia"/>
          <w:color w:val="auto"/>
        </w:rPr>
        <w:t>声</w:t>
      </w:r>
      <w:bookmarkEnd w:id="181"/>
      <w:bookmarkEnd w:id="182"/>
      <w:bookmarkEnd w:id="183"/>
      <w:r>
        <w:rPr>
          <w:rFonts w:hint="eastAsia"/>
          <w:color w:val="auto"/>
          <w:lang w:eastAsia="zh-CN"/>
        </w:rPr>
        <w:t>环境影响分析</w:t>
      </w:r>
    </w:p>
    <w:p>
      <w:pPr>
        <w:bidi w:val="0"/>
        <w:rPr>
          <w:rFonts w:hint="eastAsia" w:eastAsia="宋体"/>
          <w:lang w:eastAsia="zh-CN"/>
        </w:rPr>
      </w:pPr>
      <w:bookmarkStart w:id="184" w:name="_Toc40050937"/>
      <w:bookmarkStart w:id="185" w:name="_Toc290277558"/>
      <w:bookmarkStart w:id="186" w:name="_Toc183513753"/>
      <w:bookmarkStart w:id="187" w:name="_Toc205993351"/>
      <w:bookmarkStart w:id="188" w:name="_Toc290276860"/>
      <w:bookmarkStart w:id="189" w:name="_Toc205981506"/>
      <w:bookmarkStart w:id="190" w:name="_Toc169482103"/>
      <w:bookmarkStart w:id="191" w:name="_Toc207786194"/>
      <w:bookmarkStart w:id="192" w:name="_Toc290277209"/>
      <w:r>
        <w:rPr>
          <w:rFonts w:hint="eastAsia"/>
          <w:lang w:eastAsia="zh-CN"/>
        </w:rPr>
        <w:t>（</w:t>
      </w:r>
      <w:r>
        <w:rPr>
          <w:rFonts w:hint="eastAsia" w:ascii="Times New Roman" w:hAnsi="Times New Roman"/>
          <w:lang w:val="en-US" w:eastAsia="zh-CN"/>
        </w:rPr>
        <w:t>1</w:t>
      </w:r>
      <w:r>
        <w:rPr>
          <w:rFonts w:hint="eastAsia"/>
          <w:lang w:eastAsia="zh-CN"/>
        </w:rPr>
        <w:t>）污染源强</w:t>
      </w:r>
    </w:p>
    <w:p>
      <w:pPr>
        <w:bidi w:val="0"/>
        <w:rPr>
          <w:rFonts w:hint="default"/>
        </w:rPr>
      </w:pPr>
      <w:r>
        <w:rPr>
          <w:rFonts w:hint="default"/>
        </w:rPr>
        <w:t>噪声主要来自</w:t>
      </w:r>
      <w:r>
        <w:rPr>
          <w:rFonts w:hint="eastAsia"/>
          <w:lang w:eastAsia="zh-CN"/>
        </w:rPr>
        <w:t>设备安装调试</w:t>
      </w:r>
      <w:r>
        <w:rPr>
          <w:rFonts w:hint="default"/>
        </w:rPr>
        <w:t>过程</w:t>
      </w:r>
      <w:r>
        <w:rPr>
          <w:rFonts w:hint="eastAsia"/>
          <w:lang w:eastAsia="zh-CN"/>
        </w:rPr>
        <w:t>，</w:t>
      </w:r>
      <w:r>
        <w:rPr>
          <w:rFonts w:hint="default"/>
        </w:rPr>
        <w:t>具有阶段性、临时性和不固定性</w:t>
      </w:r>
      <w:r>
        <w:rPr>
          <w:rFonts w:hint="eastAsia"/>
          <w:lang w:eastAsia="zh-CN"/>
        </w:rPr>
        <w:t>的特点</w:t>
      </w:r>
      <w:r>
        <w:rPr>
          <w:rFonts w:hint="default"/>
        </w:rPr>
        <w:t>。</w:t>
      </w:r>
    </w:p>
    <w:p>
      <w:pPr>
        <w:bidi w:val="0"/>
        <w:rPr>
          <w:rFonts w:hint="default"/>
        </w:rPr>
      </w:pPr>
      <w:r>
        <w:rPr>
          <w:rFonts w:hint="default"/>
        </w:rPr>
        <w:t>《环境噪声与振动控制工程设计导则》(</w:t>
      </w:r>
      <w:r>
        <w:rPr>
          <w:rFonts w:hint="default" w:ascii="Times New Roman" w:hAnsi="Times New Roman"/>
        </w:rPr>
        <w:t>HJ2034</w:t>
      </w:r>
      <w:r>
        <w:rPr>
          <w:rFonts w:hint="default"/>
        </w:rPr>
        <w:t>-</w:t>
      </w:r>
      <w:r>
        <w:rPr>
          <w:rFonts w:hint="default" w:ascii="Times New Roman" w:hAnsi="Times New Roman"/>
        </w:rPr>
        <w:t>2013</w:t>
      </w:r>
      <w:r>
        <w:rPr>
          <w:rFonts w:hint="default"/>
        </w:rPr>
        <w:t>)附录</w:t>
      </w:r>
      <w:r>
        <w:rPr>
          <w:rFonts w:hint="default" w:ascii="Times New Roman" w:hAnsi="Times New Roman"/>
        </w:rPr>
        <w:t>A</w:t>
      </w:r>
      <w:r>
        <w:rPr>
          <w:rFonts w:hint="default"/>
        </w:rPr>
        <w:t>中列出了常用施工机械所产生的噪声值，具体见表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default"/>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w:t>
      </w:r>
      <w:r>
        <w:rPr>
          <w:rFonts w:hint="eastAsia"/>
          <w:lang w:val="en-US" w:eastAsia="zh-CN"/>
        </w:rPr>
        <w:t xml:space="preserve">  常用施工机械噪声值单位：</w:t>
      </w:r>
      <w:r>
        <w:rPr>
          <w:rFonts w:hint="eastAsia" w:ascii="Times New Roman" w:hAnsi="Times New Roman"/>
          <w:lang w:val="en-US" w:eastAsia="zh-CN"/>
        </w:rPr>
        <w:t>dB</w:t>
      </w:r>
      <w:r>
        <w:rPr>
          <w:rFonts w:hint="eastAsia"/>
          <w:lang w:val="en-US" w:eastAsia="zh-CN"/>
        </w:rPr>
        <w:t>（</w:t>
      </w:r>
      <w:r>
        <w:rPr>
          <w:rFonts w:hint="eastAsia" w:ascii="Times New Roman" w:hAnsi="Times New Roman"/>
          <w:lang w:val="en-US" w:eastAsia="zh-CN"/>
        </w:rPr>
        <w:t>A</w:t>
      </w:r>
      <w:r>
        <w:rPr>
          <w:rFonts w:hint="eastAsia"/>
          <w:lang w:val="en-US" w:eastAsia="zh-CN"/>
        </w:rPr>
        <w:t>）</w:t>
      </w:r>
    </w:p>
    <w:tbl>
      <w:tblPr>
        <w:tblStyle w:val="8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330"/>
        <w:gridCol w:w="1451"/>
        <w:gridCol w:w="1923"/>
        <w:gridCol w:w="1330"/>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施工设备名称</w:t>
            </w:r>
          </w:p>
        </w:tc>
        <w:tc>
          <w:tcPr>
            <w:tcW w:w="725"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eastAsia="zh-CN"/>
              </w:rPr>
              <w:t>距声源</w:t>
            </w:r>
            <w:r>
              <w:rPr>
                <w:rFonts w:hint="eastAsia" w:ascii="Times New Roman" w:hAnsi="Times New Roman"/>
                <w:sz w:val="21"/>
                <w:szCs w:val="21"/>
                <w:vertAlign w:val="baseline"/>
                <w:lang w:val="en-US" w:eastAsia="zh-CN"/>
              </w:rPr>
              <w:t>5m</w:t>
            </w:r>
          </w:p>
        </w:tc>
        <w:tc>
          <w:tcPr>
            <w:tcW w:w="791"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sz w:val="21"/>
                <w:szCs w:val="21"/>
                <w:vertAlign w:val="baseline"/>
                <w:lang w:eastAsia="zh-CN"/>
              </w:rPr>
              <w:t>距声源</w:t>
            </w:r>
            <w:r>
              <w:rPr>
                <w:rFonts w:hint="eastAsia" w:ascii="Times New Roman" w:hAnsi="Times New Roman"/>
                <w:sz w:val="21"/>
                <w:szCs w:val="21"/>
                <w:vertAlign w:val="baseline"/>
                <w:lang w:val="en-US" w:eastAsia="zh-CN"/>
              </w:rPr>
              <w:t>10m</w:t>
            </w:r>
          </w:p>
        </w:tc>
        <w:tc>
          <w:tcPr>
            <w:tcW w:w="1048"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施工设备名称</w:t>
            </w:r>
          </w:p>
        </w:tc>
        <w:tc>
          <w:tcPr>
            <w:tcW w:w="725"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距声源</w:t>
            </w:r>
            <w:r>
              <w:rPr>
                <w:rFonts w:hint="eastAsia" w:ascii="Times New Roman" w:hAnsi="Times New Roman"/>
                <w:sz w:val="21"/>
                <w:szCs w:val="21"/>
                <w:vertAlign w:val="baseline"/>
                <w:lang w:val="en-US" w:eastAsia="zh-CN"/>
              </w:rPr>
              <w:t>5m</w:t>
            </w:r>
          </w:p>
        </w:tc>
        <w:tc>
          <w:tcPr>
            <w:tcW w:w="791"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距声源</w:t>
            </w:r>
            <w:r>
              <w:rPr>
                <w:rFonts w:hint="eastAsia" w:ascii="Times New Roman" w:hAnsi="Times New Roman"/>
                <w:sz w:val="21"/>
                <w:szCs w:val="21"/>
                <w:vertAlign w:val="baseline"/>
                <w:lang w:val="en-US" w:eastAsia="zh-CN"/>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液压挖掘机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82</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90</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78</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86</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振动夯锤</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92</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100</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86</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电动挖掘机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86</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75</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83</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打桩机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100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110</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95</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轮式装载机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95</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85</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91</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静力压桩机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75</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68</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推土机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83</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88</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85</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风镐</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88</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92</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83</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移动式发电机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95</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102</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98</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混凝土输送泵</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88</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95</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84</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各类压路机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90</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76</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86</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商砼搅拌车</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rPr>
            </w:pPr>
            <w:r>
              <w:rPr>
                <w:rFonts w:hint="eastAsia" w:ascii="Times New Roman" w:hAnsi="Times New Roman"/>
                <w:sz w:val="21"/>
                <w:szCs w:val="21"/>
                <w:vertAlign w:val="baseline"/>
                <w:lang w:val="en-US" w:eastAsia="zh-CN"/>
              </w:rPr>
              <w:t>85</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90</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82</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重型运输车</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82</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90</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78</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86</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混凝土振捣器</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88</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75</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木工电锯</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93</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99</w:t>
            </w:r>
          </w:p>
        </w:tc>
        <w:tc>
          <w:tcPr>
            <w:tcW w:w="79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95</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云石机、角磨机</w:t>
            </w:r>
          </w:p>
        </w:tc>
        <w:tc>
          <w:tcPr>
            <w:tcW w:w="72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96</w:t>
            </w:r>
          </w:p>
        </w:tc>
        <w:tc>
          <w:tcPr>
            <w:tcW w:w="791"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84</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电锤</w:t>
            </w:r>
          </w:p>
        </w:tc>
        <w:tc>
          <w:tcPr>
            <w:tcW w:w="72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100</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105</w:t>
            </w:r>
          </w:p>
        </w:tc>
        <w:tc>
          <w:tcPr>
            <w:tcW w:w="79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95</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99</w:t>
            </w:r>
          </w:p>
        </w:tc>
        <w:tc>
          <w:tcPr>
            <w:tcW w:w="1048"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空压机</w:t>
            </w:r>
          </w:p>
        </w:tc>
        <w:tc>
          <w:tcPr>
            <w:tcW w:w="72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88</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92</w:t>
            </w:r>
          </w:p>
        </w:tc>
        <w:tc>
          <w:tcPr>
            <w:tcW w:w="791"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83</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88</w:t>
            </w:r>
          </w:p>
        </w:tc>
      </w:tr>
    </w:tbl>
    <w:p>
      <w:pPr>
        <w:bidi w:val="0"/>
        <w:rPr>
          <w:rFonts w:hint="eastAsia" w:eastAsia="宋体"/>
          <w:lang w:eastAsia="zh-CN"/>
        </w:rPr>
      </w:pPr>
      <w:r>
        <w:rPr>
          <w:rFonts w:hint="eastAsia"/>
          <w:lang w:eastAsia="zh-CN"/>
        </w:rPr>
        <w:t>（</w:t>
      </w:r>
      <w:r>
        <w:rPr>
          <w:rFonts w:hint="eastAsia" w:ascii="Times New Roman" w:hAnsi="Times New Roman"/>
          <w:lang w:val="en-US" w:eastAsia="zh-CN"/>
        </w:rPr>
        <w:t>2</w:t>
      </w:r>
      <w:r>
        <w:rPr>
          <w:rFonts w:hint="eastAsia"/>
          <w:lang w:eastAsia="zh-CN"/>
        </w:rPr>
        <w:t>）声环境影响预测</w:t>
      </w:r>
    </w:p>
    <w:p>
      <w:pPr>
        <w:bidi w:val="0"/>
        <w:rPr>
          <w:rFonts w:hint="default"/>
        </w:rPr>
      </w:pPr>
      <w:r>
        <w:rPr>
          <w:rFonts w:hint="eastAsia"/>
          <w:lang w:eastAsia="zh-CN"/>
        </w:rPr>
        <w:t>①</w:t>
      </w:r>
      <w:r>
        <w:rPr>
          <w:rFonts w:hint="default"/>
        </w:rPr>
        <w:t>预测模式</w:t>
      </w:r>
    </w:p>
    <w:p>
      <w:pPr>
        <w:bidi w:val="0"/>
        <w:rPr>
          <w:rFonts w:hint="default"/>
        </w:rPr>
      </w:pPr>
      <w:r>
        <w:rPr>
          <w:rFonts w:hint="default"/>
        </w:rPr>
        <w:t>施工噪声可按点声源处理，根据点声源噪声衰减模式，估算出离声源不同距离处的噪声值，预测模式如下：</w:t>
      </w:r>
    </w:p>
    <w:p>
      <w:pPr>
        <w:bidi w:val="0"/>
        <w:rPr>
          <w:rFonts w:hint="default"/>
          <w:lang w:val="en-US"/>
        </w:rPr>
      </w:pPr>
      <m:oMathPara>
        <m:oMath>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L</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p（r）</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L</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p（</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r</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0</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−20lg（r/</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r</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0</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m:t>
          </m:r>
        </m:oMath>
      </m:oMathPara>
    </w:p>
    <w:p>
      <w:pPr>
        <w:bidi w:val="0"/>
        <w:rPr>
          <w:rFonts w:hint="default"/>
        </w:rPr>
      </w:pPr>
      <w:r>
        <w:rPr>
          <w:rFonts w:hint="default"/>
        </w:rPr>
        <w:t>式中：</w:t>
      </w:r>
      <w:r>
        <w:rPr>
          <w:rFonts w:hint="default" w:ascii="Times New Roman" w:hAnsi="Times New Roman"/>
        </w:rPr>
        <w:t>L</w:t>
      </w:r>
      <w:r>
        <w:rPr>
          <w:rFonts w:hint="default" w:ascii="Times New Roman" w:hAnsi="Times New Roman"/>
          <w:vertAlign w:val="baseline"/>
        </w:rPr>
        <w:t>p</w:t>
      </w:r>
      <w:r>
        <w:rPr>
          <w:rFonts w:hint="default"/>
          <w:vertAlign w:val="subscript"/>
        </w:rPr>
        <w:t>(</w:t>
      </w:r>
      <w:r>
        <w:rPr>
          <w:rFonts w:hint="default" w:ascii="Times New Roman" w:hAnsi="Times New Roman"/>
          <w:vertAlign w:val="subscript"/>
        </w:rPr>
        <w:t>r</w:t>
      </w:r>
      <w:r>
        <w:rPr>
          <w:rFonts w:hint="default"/>
          <w:vertAlign w:val="subscript"/>
        </w:rPr>
        <w:t>)</w:t>
      </w:r>
      <w:r>
        <w:rPr>
          <w:rFonts w:hint="default"/>
        </w:rPr>
        <w:t>——预测点处声压级，</w:t>
      </w:r>
      <w:r>
        <w:rPr>
          <w:rFonts w:hint="default" w:ascii="Times New Roman" w:hAnsi="Times New Roman"/>
        </w:rPr>
        <w:t>dB</w:t>
      </w:r>
      <w:r>
        <w:rPr>
          <w:rFonts w:hint="default"/>
        </w:rPr>
        <w:t>；</w:t>
      </w:r>
    </w:p>
    <w:p>
      <w:pPr>
        <w:bidi w:val="0"/>
        <w:rPr>
          <w:rFonts w:hint="default"/>
        </w:rPr>
      </w:pPr>
      <w:r>
        <w:rPr>
          <w:rFonts w:hint="default" w:ascii="Times New Roman" w:hAnsi="Times New Roman"/>
        </w:rPr>
        <w:t>Lp</w:t>
      </w:r>
      <w:r>
        <w:rPr>
          <w:rFonts w:hint="default"/>
          <w:vertAlign w:val="subscript"/>
        </w:rPr>
        <w:t>(</w:t>
      </w:r>
      <w:r>
        <w:rPr>
          <w:rFonts w:hint="default" w:ascii="Times New Roman" w:hAnsi="Times New Roman"/>
          <w:vertAlign w:val="subscript"/>
        </w:rPr>
        <w:t>r0</w:t>
      </w:r>
      <w:r>
        <w:rPr>
          <w:rFonts w:hint="default"/>
          <w:vertAlign w:val="subscript"/>
        </w:rPr>
        <w:t>)</w:t>
      </w:r>
      <w:r>
        <w:rPr>
          <w:rFonts w:hint="default"/>
        </w:rPr>
        <w:t>——参考位置</w:t>
      </w:r>
      <w:r>
        <w:rPr>
          <w:rFonts w:hint="default" w:ascii="Times New Roman" w:hAnsi="Times New Roman"/>
        </w:rPr>
        <w:t>r</w:t>
      </w:r>
      <w:r>
        <w:rPr>
          <w:rFonts w:hint="default" w:ascii="Times New Roman" w:hAnsi="Times New Roman"/>
          <w:vertAlign w:val="subscript"/>
        </w:rPr>
        <w:t>0</w:t>
      </w:r>
      <w:r>
        <w:rPr>
          <w:rFonts w:hint="default"/>
        </w:rPr>
        <w:t>处的声压级，</w:t>
      </w:r>
      <w:r>
        <w:rPr>
          <w:rFonts w:hint="default" w:ascii="Times New Roman" w:hAnsi="Times New Roman"/>
        </w:rPr>
        <w:t>dB</w:t>
      </w:r>
      <w:r>
        <w:rPr>
          <w:rFonts w:hint="default"/>
        </w:rPr>
        <w:t>；</w:t>
      </w:r>
    </w:p>
    <w:p>
      <w:pPr>
        <w:bidi w:val="0"/>
        <w:rPr>
          <w:rFonts w:hint="default"/>
        </w:rPr>
      </w:pPr>
      <w:r>
        <w:rPr>
          <w:rFonts w:hint="default" w:ascii="Times New Roman" w:hAnsi="Times New Roman"/>
        </w:rPr>
        <w:t>r</w:t>
      </w:r>
      <w:r>
        <w:rPr>
          <w:rFonts w:hint="default"/>
        </w:rPr>
        <w:t>——预测点距声源的距离；</w:t>
      </w:r>
    </w:p>
    <w:p>
      <w:pPr>
        <w:bidi w:val="0"/>
        <w:rPr>
          <w:rFonts w:hint="default"/>
        </w:rPr>
      </w:pPr>
      <w:r>
        <w:rPr>
          <w:rFonts w:hint="default" w:ascii="Times New Roman" w:hAnsi="Times New Roman"/>
        </w:rPr>
        <w:t>r</w:t>
      </w:r>
      <w:r>
        <w:rPr>
          <w:rFonts w:hint="default" w:ascii="Times New Roman" w:hAnsi="Times New Roman"/>
          <w:vertAlign w:val="subscript"/>
        </w:rPr>
        <w:t>0</w:t>
      </w:r>
      <w:r>
        <w:rPr>
          <w:rFonts w:hint="default"/>
        </w:rPr>
        <w:t>——参考位置距声源的距离。</w:t>
      </w:r>
    </w:p>
    <w:p>
      <w:pPr>
        <w:bidi w:val="0"/>
        <w:rPr>
          <w:rFonts w:hint="default"/>
        </w:rPr>
      </w:pPr>
      <w:r>
        <w:rPr>
          <w:rFonts w:hint="eastAsia"/>
          <w:lang w:eastAsia="zh-CN"/>
        </w:rPr>
        <w:t>②</w:t>
      </w:r>
      <w:r>
        <w:rPr>
          <w:rFonts w:hint="default"/>
        </w:rPr>
        <w:t>预测结果</w:t>
      </w:r>
    </w:p>
    <w:p>
      <w:pPr>
        <w:bidi w:val="0"/>
        <w:rPr>
          <w:rFonts w:hint="default"/>
        </w:rPr>
      </w:pPr>
      <w:r>
        <w:rPr>
          <w:rFonts w:hint="default"/>
        </w:rPr>
        <w:t>根据预测模式对施工机械噪声的影响范围进行预测，预测结果见表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default"/>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w:t>
      </w:r>
      <w:r>
        <w:rPr>
          <w:rFonts w:hint="eastAsia"/>
          <w:lang w:val="en-US" w:eastAsia="zh-CN"/>
        </w:rPr>
        <w:t xml:space="preserve">  主要施工机械不同距离处的噪声值  单位：</w:t>
      </w:r>
      <w:r>
        <w:rPr>
          <w:rFonts w:hint="eastAsia" w:ascii="Times New Roman" w:hAnsi="Times New Roman"/>
          <w:lang w:val="en-US" w:eastAsia="zh-CN"/>
        </w:rPr>
        <w:t>dB</w:t>
      </w:r>
      <w:r>
        <w:rPr>
          <w:rFonts w:hint="eastAsia"/>
          <w:lang w:val="en-US" w:eastAsia="zh-CN"/>
        </w:rPr>
        <w:t>（</w:t>
      </w:r>
      <w:r>
        <w:rPr>
          <w:rFonts w:hint="eastAsia" w:ascii="Times New Roman" w:hAnsi="Times New Roman"/>
          <w:lang w:val="en-US" w:eastAsia="zh-CN"/>
        </w:rPr>
        <w:t>A</w:t>
      </w:r>
      <w:r>
        <w:rPr>
          <w:rFonts w:hint="eastAsia"/>
          <w:lang w:val="en-US" w:eastAsia="zh-CN"/>
        </w:rPr>
        <w:t>）</w:t>
      </w:r>
    </w:p>
    <w:tbl>
      <w:tblPr>
        <w:tblStyle w:val="8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65"/>
        <w:gridCol w:w="767"/>
        <w:gridCol w:w="956"/>
        <w:gridCol w:w="956"/>
        <w:gridCol w:w="956"/>
        <w:gridCol w:w="956"/>
        <w:gridCol w:w="957"/>
        <w:gridCol w:w="9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-60960</wp:posOffset>
                      </wp:positionH>
                      <wp:positionV relativeFrom="paragraph">
                        <wp:posOffset>9525</wp:posOffset>
                      </wp:positionV>
                      <wp:extent cx="1695450" cy="419100"/>
                      <wp:effectExtent l="1270" t="4445" r="10160" b="18415"/>
                      <wp:wrapNone/>
                      <wp:docPr id="78" name="直接连接符 78"/>
                      <wp:cNvGraphicFramePr/>
                      <a:graphic xmlns:a="http://schemas.openxmlformats.org/drawingml/2006/main">
                        <a:graphicData uri="http://schemas.microsoft.com/office/word/2010/wordprocessingShape">
                          <wps:wsp>
                            <wps:cNvCnPr/>
                            <wps:spPr>
                              <a:xfrm>
                                <a:off x="875030" y="2025015"/>
                                <a:ext cx="169545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pt;margin-top:0.75pt;height:33pt;width:133.5pt;z-index:251672576;mso-width-relative:page;mso-height-relative:page;" filled="f" stroked="t" coordsize="21600,21600" o:gfxdata="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UfRktUAAAAHAQAADwAAAAAAAAABACAAAAAiAAAAZHJzL2Rv&#10;d25yZXYueG1sUEsBAhQAFAAAAAgAh07iQJvpO6sEAgAA5QMAAA4AAAAAAAAAAQAgAAAAJAEAAGRy&#10;cy9lMm9Eb2MueG1sUEsFBgAAAAAGAAYAWQEAAJoFAAAAAA==&#10;">
                      <v:fill on="f" focussize="0,0"/>
                      <v:stroke color="#000000 [3200]" joinstyle="round"/>
                      <v:imagedata o:title=""/>
                      <o:lock v:ext="edit" aspectratio="f"/>
                    </v:line>
                  </w:pict>
                </mc:Fallback>
              </mc:AlternateContent>
            </w:r>
            <w:r>
              <w:rPr>
                <w:rFonts w:hint="eastAsia"/>
                <w:sz w:val="21"/>
                <w:szCs w:val="21"/>
                <w:vertAlign w:val="baseline"/>
                <w:lang w:val="en-US" w:eastAsia="zh-CN"/>
              </w:rPr>
              <w:t xml:space="preserve">       </w:t>
            </w:r>
            <w:r>
              <w:rPr>
                <w:rFonts w:hint="eastAsia"/>
                <w:sz w:val="21"/>
                <w:szCs w:val="21"/>
                <w:vertAlign w:val="baseline"/>
                <w:lang w:eastAsia="zh-CN"/>
              </w:rPr>
              <w:t>距离</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sz w:val="21"/>
                <w:szCs w:val="21"/>
                <w:vertAlign w:val="baseline"/>
                <w:lang w:eastAsia="zh-CN"/>
              </w:rPr>
            </w:pPr>
            <w:r>
              <w:rPr>
                <w:rFonts w:hint="eastAsia"/>
                <w:sz w:val="21"/>
                <w:szCs w:val="21"/>
                <w:vertAlign w:val="baseline"/>
                <w:lang w:eastAsia="zh-CN"/>
              </w:rPr>
              <w:t>设备名称</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100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150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200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250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300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液压挖掘机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电动挖掘机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轮式装载机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推土机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移动式发电机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各类压路机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重型运输车</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木工电锯</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67</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电锤</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振动夯锤</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打桩机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90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80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静力压桩机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39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风镐</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混凝土输送泵</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59</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商砼搅拌车</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混凝土振捣器</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云石机、角磨机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空压机</w:t>
            </w:r>
          </w:p>
        </w:tc>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62</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58</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54</w:t>
            </w:r>
          </w:p>
        </w:tc>
      </w:tr>
    </w:tbl>
    <w:p>
      <w:pPr>
        <w:bidi w:val="0"/>
        <w:rPr>
          <w:rFonts w:hint="default"/>
        </w:rPr>
      </w:pPr>
      <w:r>
        <w:rPr>
          <w:rFonts w:hint="eastAsia"/>
          <w:lang w:eastAsia="zh-CN"/>
        </w:rPr>
        <w:t>（</w:t>
      </w:r>
      <w:r>
        <w:rPr>
          <w:rFonts w:hint="eastAsia" w:ascii="Times New Roman" w:hAnsi="Times New Roman"/>
          <w:lang w:val="en-US" w:eastAsia="zh-CN"/>
        </w:rPr>
        <w:t>3</w:t>
      </w:r>
      <w:r>
        <w:rPr>
          <w:rFonts w:hint="eastAsia"/>
          <w:lang w:eastAsia="zh-CN"/>
        </w:rPr>
        <w:t>）</w:t>
      </w:r>
      <w:r>
        <w:rPr>
          <w:rFonts w:hint="default"/>
        </w:rPr>
        <w:t>声环境影响预测分析</w:t>
      </w:r>
    </w:p>
    <w:p>
      <w:pPr>
        <w:bidi w:val="0"/>
      </w:pPr>
      <w:r>
        <w:rPr>
          <w:rFonts w:hint="eastAsia"/>
          <w:color w:val="auto"/>
          <w:lang w:eastAsia="zh-CN"/>
        </w:rPr>
        <w:t>本项目不涉及挖掘机、打桩机等高噪声设备，但机械设备位于厂界距离较近时仍可能造成厂界超标。施工单位应尽量缩短施工期，</w:t>
      </w:r>
      <w:r>
        <w:rPr>
          <w:rFonts w:hint="default"/>
          <w:color w:val="auto"/>
        </w:rPr>
        <w:t>施工</w:t>
      </w:r>
      <w:r>
        <w:rPr>
          <w:rFonts w:hint="eastAsia"/>
          <w:color w:val="auto"/>
          <w:lang w:eastAsia="zh-CN"/>
        </w:rPr>
        <w:t>过程</w:t>
      </w:r>
      <w:r>
        <w:rPr>
          <w:rFonts w:hint="default"/>
          <w:color w:val="auto"/>
        </w:rPr>
        <w:t>严格执行《建筑施工场界环境噪声排放标准》（</w:t>
      </w:r>
      <w:r>
        <w:rPr>
          <w:rFonts w:hint="default" w:ascii="Times New Roman" w:hAnsi="Times New Roman" w:cs="Times New Roman"/>
          <w:color w:val="auto"/>
        </w:rPr>
        <w:t>GB12523</w:t>
      </w:r>
      <w:r>
        <w:rPr>
          <w:rFonts w:hint="default"/>
          <w:color w:val="auto"/>
        </w:rPr>
        <w:t>-</w:t>
      </w:r>
      <w:r>
        <w:rPr>
          <w:rFonts w:hint="default" w:ascii="Times New Roman" w:hAnsi="Times New Roman" w:cs="Times New Roman"/>
          <w:color w:val="auto"/>
        </w:rPr>
        <w:t>2011</w:t>
      </w:r>
      <w:r>
        <w:rPr>
          <w:rFonts w:hint="default"/>
          <w:color w:val="auto"/>
        </w:rPr>
        <w:t>）相关要求。</w:t>
      </w:r>
    </w:p>
    <w:bookmarkEnd w:id="184"/>
    <w:bookmarkEnd w:id="185"/>
    <w:bookmarkEnd w:id="186"/>
    <w:bookmarkEnd w:id="187"/>
    <w:bookmarkEnd w:id="188"/>
    <w:bookmarkEnd w:id="189"/>
    <w:bookmarkEnd w:id="190"/>
    <w:bookmarkEnd w:id="191"/>
    <w:bookmarkEnd w:id="192"/>
    <w:p>
      <w:pPr>
        <w:pStyle w:val="6"/>
        <w:bidi w:val="0"/>
        <w:ind w:left="0" w:leftChars="0" w:firstLine="0" w:firstLineChars="0"/>
        <w:rPr>
          <w:rFonts w:hint="eastAsia" w:eastAsia="宋体"/>
          <w:color w:val="auto"/>
          <w:lang w:eastAsia="zh-CN"/>
        </w:rPr>
      </w:pPr>
      <w:bookmarkStart w:id="193" w:name="_Toc423102276"/>
      <w:bookmarkStart w:id="194" w:name="_Toc3123"/>
      <w:bookmarkStart w:id="195" w:name="_Toc8127588"/>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color w:val="auto"/>
        </w:rPr>
        <w:t>.</w:t>
      </w:r>
      <w:r>
        <w:rPr>
          <w:rFonts w:hint="eastAsia" w:ascii="Times New Roman" w:hAnsi="Times New Roman"/>
          <w:color w:val="auto"/>
        </w:rPr>
        <w:t>2</w:t>
      </w:r>
      <w:r>
        <w:rPr>
          <w:rFonts w:hint="eastAsia"/>
          <w:color w:val="auto"/>
        </w:rPr>
        <w:t>.</w:t>
      </w:r>
      <w:r>
        <w:rPr>
          <w:rFonts w:hint="eastAsia" w:ascii="Times New Roman" w:hAnsi="Times New Roman"/>
          <w:color w:val="auto"/>
        </w:rPr>
        <w:t>3</w:t>
      </w:r>
      <w:r>
        <w:rPr>
          <w:rFonts w:hint="eastAsia"/>
          <w:color w:val="auto"/>
        </w:rPr>
        <w:t>施工期水</w:t>
      </w:r>
      <w:bookmarkEnd w:id="193"/>
      <w:bookmarkEnd w:id="194"/>
      <w:bookmarkEnd w:id="195"/>
      <w:r>
        <w:rPr>
          <w:rFonts w:hint="eastAsia"/>
          <w:color w:val="auto"/>
          <w:lang w:eastAsia="zh-CN"/>
        </w:rPr>
        <w:t>环境影响分析</w:t>
      </w:r>
    </w:p>
    <w:p>
      <w:pPr>
        <w:bidi w:val="0"/>
        <w:rPr>
          <w:color w:val="auto"/>
        </w:rPr>
      </w:pPr>
      <w:r>
        <w:rPr>
          <w:rFonts w:hint="eastAsia"/>
          <w:color w:val="auto"/>
        </w:rPr>
        <w:t>项目施工过程</w:t>
      </w:r>
      <w:r>
        <w:rPr>
          <w:rFonts w:hint="eastAsia"/>
          <w:color w:val="auto"/>
          <w:lang w:eastAsia="zh-CN"/>
        </w:rPr>
        <w:t>施工区的地面冲洗废水</w:t>
      </w:r>
      <w:r>
        <w:rPr>
          <w:color w:val="auto"/>
        </w:rPr>
        <w:t>量不大，多为无机废水，除悬浮物含量较高外，一般不含有毒有害物质</w:t>
      </w:r>
      <w:r>
        <w:rPr>
          <w:rFonts w:hint="eastAsia"/>
          <w:color w:val="auto"/>
          <w:lang w:eastAsia="zh-CN"/>
        </w:rPr>
        <w:t>。</w:t>
      </w:r>
      <w:r>
        <w:rPr>
          <w:color w:val="auto"/>
        </w:rPr>
        <w:t>这部分废水在施工现场因自然蒸发、渗漏等原因而消耗，基本没有废污水排放。</w:t>
      </w:r>
    </w:p>
    <w:p>
      <w:pPr>
        <w:bidi w:val="0"/>
        <w:rPr>
          <w:rFonts w:hint="eastAsia"/>
          <w:color w:val="auto"/>
        </w:rPr>
      </w:pPr>
      <w:r>
        <w:rPr>
          <w:rFonts w:hint="eastAsia"/>
          <w:color w:val="auto"/>
          <w:lang w:eastAsia="zh-CN"/>
        </w:rPr>
        <w:t>本项目施工量不大，</w:t>
      </w:r>
      <w:r>
        <w:rPr>
          <w:rFonts w:hint="eastAsia"/>
          <w:color w:val="auto"/>
        </w:rPr>
        <w:t>施工</w:t>
      </w:r>
      <w:r>
        <w:rPr>
          <w:rFonts w:hint="eastAsia"/>
          <w:color w:val="auto"/>
          <w:lang w:eastAsia="zh-CN"/>
        </w:rPr>
        <w:t>期产生的少量生活污水利用厂内现有厕所或盥洗室收集</w:t>
      </w:r>
      <w:r>
        <w:rPr>
          <w:rFonts w:hint="eastAsia"/>
        </w:rPr>
        <w:t>，</w:t>
      </w:r>
      <w:r>
        <w:rPr>
          <w:rFonts w:hint="eastAsia"/>
          <w:lang w:eastAsia="zh-CN"/>
        </w:rPr>
        <w:t>纳入生活污水处理系统</w:t>
      </w:r>
      <w:r>
        <w:rPr>
          <w:rFonts w:hint="eastAsia"/>
        </w:rPr>
        <w:t>。</w:t>
      </w:r>
      <w:r>
        <w:rPr>
          <w:rFonts w:hint="eastAsia"/>
          <w:color w:val="auto"/>
          <w:lang w:eastAsia="zh-CN"/>
        </w:rPr>
        <w:t>采取上述措施后，本</w:t>
      </w:r>
      <w:r>
        <w:rPr>
          <w:rFonts w:hint="eastAsia"/>
          <w:color w:val="auto"/>
        </w:rPr>
        <w:t>项目</w:t>
      </w:r>
      <w:r>
        <w:rPr>
          <w:rFonts w:hint="eastAsia"/>
          <w:color w:val="auto"/>
          <w:lang w:eastAsia="zh-CN"/>
        </w:rPr>
        <w:t>施工期对区域</w:t>
      </w:r>
      <w:r>
        <w:rPr>
          <w:rFonts w:hint="eastAsia"/>
          <w:color w:val="auto"/>
        </w:rPr>
        <w:t>水环境的影响</w:t>
      </w:r>
      <w:r>
        <w:rPr>
          <w:rFonts w:hint="eastAsia"/>
          <w:color w:val="auto"/>
          <w:lang w:eastAsia="zh-CN"/>
        </w:rPr>
        <w:t>很小</w:t>
      </w:r>
      <w:r>
        <w:rPr>
          <w:rFonts w:hint="eastAsia"/>
          <w:color w:val="auto"/>
        </w:rPr>
        <w:t>。</w:t>
      </w:r>
    </w:p>
    <w:p>
      <w:pPr>
        <w:pStyle w:val="6"/>
        <w:bidi w:val="0"/>
        <w:ind w:left="0" w:leftChars="0" w:firstLine="0" w:firstLineChars="0"/>
        <w:rPr>
          <w:rFonts w:hint="eastAsia" w:eastAsia="宋体"/>
          <w:color w:val="auto"/>
          <w:lang w:eastAsia="zh-CN"/>
        </w:rPr>
      </w:pPr>
      <w:bookmarkStart w:id="196" w:name="_Toc8127589"/>
      <w:bookmarkStart w:id="197" w:name="_Toc24884"/>
      <w:bookmarkStart w:id="198" w:name="_Toc423102277"/>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rPr>
        <w:t>.</w:t>
      </w:r>
      <w:r>
        <w:rPr>
          <w:rFonts w:hint="eastAsia" w:ascii="Times New Roman" w:hAnsi="Times New Roman"/>
          <w:color w:val="auto"/>
        </w:rPr>
        <w:t>2</w:t>
      </w:r>
      <w:r>
        <w:rPr>
          <w:rFonts w:hint="eastAsia" w:ascii="Times New Roman" w:hAnsi="Times New Roman"/>
          <w:color w:val="auto"/>
        </w:rPr>
        <w:t>.</w:t>
      </w:r>
      <w:r>
        <w:rPr>
          <w:rFonts w:hint="eastAsia" w:ascii="Times New Roman" w:hAnsi="Times New Roman"/>
          <w:color w:val="auto"/>
        </w:rPr>
        <w:t>4</w:t>
      </w:r>
      <w:r>
        <w:rPr>
          <w:rFonts w:hint="eastAsia"/>
          <w:color w:val="auto"/>
        </w:rPr>
        <w:t>施工期固废</w:t>
      </w:r>
      <w:bookmarkEnd w:id="196"/>
      <w:bookmarkEnd w:id="197"/>
      <w:bookmarkEnd w:id="198"/>
      <w:r>
        <w:rPr>
          <w:rFonts w:hint="eastAsia"/>
          <w:color w:val="auto"/>
          <w:lang w:eastAsia="zh-CN"/>
        </w:rPr>
        <w:t>影响分析</w:t>
      </w:r>
    </w:p>
    <w:p>
      <w:pPr>
        <w:bidi w:val="0"/>
        <w:rPr>
          <w:rFonts w:hint="eastAsia" w:eastAsia="宋体"/>
          <w:color w:val="auto"/>
          <w:lang w:eastAsia="zh-CN"/>
        </w:rPr>
      </w:pPr>
      <w:r>
        <w:rPr>
          <w:color w:val="auto"/>
        </w:rPr>
        <w:t>施工过程中固体废物主要是</w:t>
      </w:r>
      <w:r>
        <w:rPr>
          <w:rFonts w:hint="eastAsia"/>
          <w:color w:val="auto"/>
          <w:lang w:eastAsia="zh-CN"/>
        </w:rPr>
        <w:t>施工废料、</w:t>
      </w:r>
      <w:r>
        <w:rPr>
          <w:rFonts w:hint="eastAsia"/>
          <w:color w:val="auto"/>
        </w:rPr>
        <w:t>建筑垃圾及人员</w:t>
      </w:r>
      <w:r>
        <w:rPr>
          <w:color w:val="auto"/>
        </w:rPr>
        <w:t>生活垃圾</w:t>
      </w:r>
      <w:r>
        <w:rPr>
          <w:rFonts w:hint="eastAsia"/>
          <w:color w:val="auto"/>
        </w:rPr>
        <w:t>，均为一般固废</w:t>
      </w:r>
      <w:r>
        <w:rPr>
          <w:color w:val="auto"/>
        </w:rPr>
        <w:t>。</w:t>
      </w:r>
      <w:r>
        <w:rPr>
          <w:rFonts w:hint="eastAsia"/>
          <w:color w:val="auto"/>
          <w:lang w:eastAsia="zh-CN"/>
        </w:rPr>
        <w:t>本次</w:t>
      </w:r>
      <w:r>
        <w:rPr>
          <w:rFonts w:hint="eastAsia"/>
          <w:color w:val="auto"/>
        </w:rPr>
        <w:t>评价要求对施工建筑垃圾进行分类收集，对于废钢筋等可回收部分尽量回收外售，建筑垃圾厂内</w:t>
      </w:r>
      <w:r>
        <w:rPr>
          <w:rFonts w:hint="eastAsia"/>
          <w:color w:val="auto"/>
          <w:lang w:eastAsia="zh-CN"/>
        </w:rPr>
        <w:t>集中收集，拉运至一般工业固体废物填埋场处理</w:t>
      </w:r>
      <w:r>
        <w:rPr>
          <w:rFonts w:hint="eastAsia"/>
          <w:color w:val="auto"/>
        </w:rPr>
        <w:t>；施工</w:t>
      </w:r>
      <w:r>
        <w:rPr>
          <w:rFonts w:hint="eastAsia"/>
          <w:color w:val="auto"/>
          <w:lang w:eastAsia="zh-CN"/>
        </w:rPr>
        <w:t>现场</w:t>
      </w:r>
      <w:r>
        <w:rPr>
          <w:rFonts w:hint="eastAsia"/>
          <w:color w:val="auto"/>
        </w:rPr>
        <w:t>设置垃圾箱用于收集施工期生活垃圾，</w:t>
      </w:r>
      <w:r>
        <w:rPr>
          <w:rFonts w:hint="eastAsia"/>
          <w:color w:val="auto"/>
          <w:lang w:eastAsia="zh-CN"/>
        </w:rPr>
        <w:t>纳入厂内生活垃圾管理，定期委托</w:t>
      </w:r>
      <w:r>
        <w:rPr>
          <w:rFonts w:hint="eastAsia"/>
          <w:lang w:eastAsia="zh-CN"/>
        </w:rPr>
        <w:t>园区环卫清运至当地生活垃圾填埋场</w:t>
      </w:r>
      <w:r>
        <w:rPr>
          <w:rFonts w:hint="eastAsia"/>
        </w:rPr>
        <w:t>。</w:t>
      </w:r>
      <w:r>
        <w:rPr>
          <w:rFonts w:hint="eastAsia"/>
          <w:color w:val="auto"/>
          <w:lang w:eastAsia="zh-CN"/>
        </w:rPr>
        <w:t>对于施工期可能存在的废油漆桶等危险废物，由施工方回收处理。</w:t>
      </w:r>
    </w:p>
    <w:p>
      <w:pPr>
        <w:bidi w:val="0"/>
        <w:rPr>
          <w:color w:val="auto"/>
        </w:rPr>
      </w:pPr>
      <w:r>
        <w:rPr>
          <w:rFonts w:hint="eastAsia"/>
          <w:color w:val="auto"/>
        </w:rPr>
        <w:t>项目施工期产生的施工废物、生活垃圾及时收集、清运。施工期产生的固废均可得到合理处置，对外环境影响小。</w:t>
      </w:r>
    </w:p>
    <w:p>
      <w:pPr>
        <w:pStyle w:val="6"/>
        <w:bidi w:val="0"/>
        <w:ind w:left="0" w:leftChars="0" w:firstLine="0" w:firstLineChars="0"/>
        <w:rPr>
          <w:rFonts w:hint="eastAsia" w:eastAsia="宋体"/>
          <w:color w:val="auto"/>
          <w:lang w:eastAsia="zh-CN"/>
        </w:rPr>
      </w:pPr>
      <w:bookmarkStart w:id="199" w:name="_Toc8127591"/>
      <w:bookmarkStart w:id="200" w:name="_Toc5001"/>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6</w:t>
      </w:r>
      <w:r>
        <w:rPr>
          <w:rFonts w:hint="eastAsia"/>
          <w:color w:val="auto"/>
        </w:rPr>
        <w:t>施工期</w:t>
      </w:r>
      <w:bookmarkEnd w:id="199"/>
      <w:bookmarkEnd w:id="200"/>
      <w:r>
        <w:rPr>
          <w:rFonts w:hint="eastAsia"/>
          <w:color w:val="auto"/>
          <w:lang w:eastAsia="zh-CN"/>
        </w:rPr>
        <w:t>环保投资</w:t>
      </w:r>
    </w:p>
    <w:p>
      <w:pPr>
        <w:bidi w:val="0"/>
        <w:rPr>
          <w:rFonts w:hint="eastAsia"/>
          <w:color w:val="auto"/>
        </w:rPr>
      </w:pPr>
      <w:r>
        <w:rPr>
          <w:rFonts w:hint="eastAsia"/>
          <w:color w:val="auto"/>
        </w:rPr>
        <w:t>施工期环保投资见表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olor w:val="auto"/>
          <w:lang w:val="en-US" w:eastAsia="zh-CN"/>
        </w:rPr>
        <w:t>5</w:t>
      </w:r>
      <w:r>
        <w:rPr>
          <w:rFonts w:hint="eastAsia"/>
          <w:color w:val="auto"/>
        </w:rPr>
        <w:t>。</w:t>
      </w:r>
    </w:p>
    <w:p>
      <w:pPr>
        <w:pStyle w:val="20"/>
        <w:bidi w:val="0"/>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ascii="Times New Roman" w:hAnsi="Times New Roman"/>
          <w:color w:val="auto"/>
          <w:lang w:val="en-US" w:eastAsia="zh-CN"/>
        </w:rPr>
        <w:t>-</w:t>
      </w:r>
      <w:r>
        <w:rPr>
          <w:rFonts w:hint="eastAsia" w:ascii="Times New Roman" w:hAnsi="Times New Roman"/>
          <w:color w:val="auto"/>
          <w:lang w:val="en-US" w:eastAsia="zh-CN"/>
        </w:rPr>
        <w:t>5</w:t>
      </w:r>
      <w:r>
        <w:rPr>
          <w:rFonts w:hint="eastAsia"/>
          <w:color w:val="auto"/>
        </w:rPr>
        <w:t xml:space="preserve">  施工期环保投资一览表 单位：万元</w:t>
      </w:r>
    </w:p>
    <w:tbl>
      <w:tblPr>
        <w:tblStyle w:val="81"/>
        <w:tblW w:w="92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19"/>
        <w:gridCol w:w="6965"/>
        <w:gridCol w:w="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11" w:type="dxa"/>
            <w:noWrap w:val="0"/>
            <w:vAlign w:val="center"/>
          </w:tcPr>
          <w:p>
            <w:pPr>
              <w:spacing w:line="240" w:lineRule="auto"/>
              <w:ind w:firstLine="0"/>
              <w:jc w:val="center"/>
              <w:rPr>
                <w:rFonts w:hint="eastAsia"/>
                <w:color w:val="auto"/>
                <w:sz w:val="21"/>
                <w:szCs w:val="21"/>
              </w:rPr>
            </w:pPr>
            <w:r>
              <w:rPr>
                <w:rFonts w:hint="eastAsia"/>
                <w:color w:val="auto"/>
                <w:sz w:val="21"/>
                <w:szCs w:val="21"/>
              </w:rPr>
              <w:t>序号</w:t>
            </w:r>
          </w:p>
        </w:tc>
        <w:tc>
          <w:tcPr>
            <w:tcW w:w="719" w:type="dxa"/>
            <w:noWrap w:val="0"/>
            <w:vAlign w:val="center"/>
          </w:tcPr>
          <w:p>
            <w:pPr>
              <w:spacing w:line="240" w:lineRule="auto"/>
              <w:ind w:firstLine="0"/>
              <w:jc w:val="center"/>
              <w:rPr>
                <w:rFonts w:hint="eastAsia"/>
                <w:color w:val="auto"/>
                <w:sz w:val="21"/>
                <w:szCs w:val="21"/>
              </w:rPr>
            </w:pPr>
            <w:r>
              <w:rPr>
                <w:rFonts w:hint="eastAsia"/>
                <w:color w:val="auto"/>
                <w:sz w:val="21"/>
                <w:szCs w:val="21"/>
              </w:rPr>
              <w:t>项目</w:t>
            </w:r>
          </w:p>
        </w:tc>
        <w:tc>
          <w:tcPr>
            <w:tcW w:w="6965" w:type="dxa"/>
            <w:noWrap w:val="0"/>
            <w:vAlign w:val="center"/>
          </w:tcPr>
          <w:p>
            <w:pPr>
              <w:spacing w:line="240" w:lineRule="auto"/>
              <w:ind w:firstLine="0"/>
              <w:jc w:val="center"/>
              <w:rPr>
                <w:rFonts w:hint="eastAsia"/>
                <w:color w:val="auto"/>
                <w:sz w:val="21"/>
                <w:szCs w:val="21"/>
              </w:rPr>
            </w:pPr>
            <w:r>
              <w:rPr>
                <w:rFonts w:hint="eastAsia"/>
                <w:color w:val="auto"/>
                <w:sz w:val="21"/>
                <w:szCs w:val="21"/>
              </w:rPr>
              <w:t>环保措施</w:t>
            </w:r>
          </w:p>
        </w:tc>
        <w:tc>
          <w:tcPr>
            <w:tcW w:w="843" w:type="dxa"/>
            <w:noWrap w:val="0"/>
            <w:vAlign w:val="center"/>
          </w:tcPr>
          <w:p>
            <w:pPr>
              <w:spacing w:line="240" w:lineRule="auto"/>
              <w:ind w:firstLine="0"/>
              <w:jc w:val="center"/>
              <w:rPr>
                <w:rFonts w:hint="eastAsia"/>
                <w:color w:val="auto"/>
                <w:sz w:val="21"/>
                <w:szCs w:val="21"/>
              </w:rPr>
            </w:pPr>
            <w:r>
              <w:rPr>
                <w:rFonts w:hint="eastAsia"/>
                <w:color w:val="auto"/>
                <w:sz w:val="21"/>
                <w:szCs w:val="21"/>
              </w:rPr>
              <w:t>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11"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1</w:t>
            </w:r>
          </w:p>
        </w:tc>
        <w:tc>
          <w:tcPr>
            <w:tcW w:w="719" w:type="dxa"/>
            <w:noWrap w:val="0"/>
            <w:vAlign w:val="center"/>
          </w:tcPr>
          <w:p>
            <w:pPr>
              <w:spacing w:line="240" w:lineRule="auto"/>
              <w:ind w:firstLine="0"/>
              <w:jc w:val="center"/>
              <w:rPr>
                <w:rFonts w:hint="eastAsia"/>
                <w:color w:val="auto"/>
                <w:sz w:val="21"/>
                <w:szCs w:val="21"/>
              </w:rPr>
            </w:pPr>
            <w:r>
              <w:rPr>
                <w:rFonts w:hint="eastAsia"/>
                <w:color w:val="auto"/>
                <w:sz w:val="21"/>
                <w:szCs w:val="21"/>
              </w:rPr>
              <w:t>废气治理</w:t>
            </w:r>
          </w:p>
        </w:tc>
        <w:tc>
          <w:tcPr>
            <w:tcW w:w="6965" w:type="dxa"/>
            <w:noWrap w:val="0"/>
            <w:vAlign w:val="center"/>
          </w:tcPr>
          <w:p>
            <w:pPr>
              <w:spacing w:line="240" w:lineRule="auto"/>
              <w:ind w:firstLine="0"/>
              <w:jc w:val="left"/>
              <w:rPr>
                <w:rFonts w:hint="eastAsia"/>
                <w:color w:val="auto"/>
                <w:sz w:val="21"/>
                <w:szCs w:val="21"/>
              </w:rPr>
            </w:pPr>
            <w:r>
              <w:rPr>
                <w:rFonts w:hint="eastAsia"/>
                <w:color w:val="auto"/>
                <w:sz w:val="21"/>
                <w:szCs w:val="21"/>
              </w:rPr>
              <w:t>加强管理，洒水降尘，及时清扫路面，车辆封闭运输，车辆</w:t>
            </w:r>
            <w:r>
              <w:rPr>
                <w:rFonts w:hint="eastAsia"/>
                <w:color w:val="auto"/>
                <w:sz w:val="21"/>
                <w:szCs w:val="21"/>
                <w:lang w:eastAsia="zh-CN"/>
              </w:rPr>
              <w:t>定期</w:t>
            </w:r>
            <w:r>
              <w:rPr>
                <w:rFonts w:hint="eastAsia"/>
                <w:color w:val="auto"/>
                <w:sz w:val="21"/>
                <w:szCs w:val="21"/>
              </w:rPr>
              <w:t>冲洗。</w:t>
            </w:r>
          </w:p>
        </w:tc>
        <w:tc>
          <w:tcPr>
            <w:tcW w:w="843" w:type="dxa"/>
            <w:noWrap w:val="0"/>
            <w:vAlign w:val="center"/>
          </w:tcPr>
          <w:p>
            <w:pPr>
              <w:spacing w:line="240" w:lineRule="auto"/>
              <w:ind w:firstLine="0"/>
              <w:jc w:val="center"/>
              <w:rPr>
                <w:rFonts w:hint="eastAsia" w:eastAsia="宋体"/>
                <w:color w:val="auto"/>
                <w:sz w:val="21"/>
                <w:szCs w:val="21"/>
                <w:lang w:eastAsia="zh-CN"/>
              </w:rPr>
            </w:pPr>
            <w:r>
              <w:rPr>
                <w:rFonts w:hint="eastAsia" w:ascii="Times New Roman" w:hAnsi="Times New Roman"/>
                <w:color w:val="auto"/>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11"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2</w:t>
            </w:r>
          </w:p>
        </w:tc>
        <w:tc>
          <w:tcPr>
            <w:tcW w:w="719" w:type="dxa"/>
            <w:noWrap w:val="0"/>
            <w:vAlign w:val="center"/>
          </w:tcPr>
          <w:p>
            <w:pPr>
              <w:spacing w:line="240" w:lineRule="auto"/>
              <w:ind w:firstLine="0"/>
              <w:jc w:val="center"/>
              <w:rPr>
                <w:rFonts w:hint="eastAsia"/>
                <w:color w:val="auto"/>
                <w:sz w:val="21"/>
                <w:szCs w:val="21"/>
              </w:rPr>
            </w:pPr>
            <w:r>
              <w:rPr>
                <w:rFonts w:hint="eastAsia"/>
                <w:color w:val="auto"/>
                <w:sz w:val="21"/>
                <w:szCs w:val="21"/>
              </w:rPr>
              <w:t>废水治理</w:t>
            </w:r>
          </w:p>
        </w:tc>
        <w:tc>
          <w:tcPr>
            <w:tcW w:w="6965" w:type="dxa"/>
            <w:noWrap w:val="0"/>
            <w:vAlign w:val="center"/>
          </w:tcPr>
          <w:p>
            <w:pPr>
              <w:spacing w:line="240" w:lineRule="auto"/>
              <w:ind w:firstLine="0"/>
              <w:jc w:val="left"/>
              <w:rPr>
                <w:rFonts w:hint="eastAsia"/>
                <w:color w:val="auto"/>
                <w:sz w:val="21"/>
                <w:szCs w:val="21"/>
              </w:rPr>
            </w:pPr>
            <w:r>
              <w:rPr>
                <w:rFonts w:hint="eastAsia"/>
                <w:color w:val="auto"/>
                <w:sz w:val="21"/>
                <w:szCs w:val="21"/>
                <w:lang w:eastAsia="zh-CN"/>
              </w:rPr>
              <w:t>生活污水纳入厂内现有生活污水处理系统</w:t>
            </w:r>
          </w:p>
        </w:tc>
        <w:tc>
          <w:tcPr>
            <w:tcW w:w="843" w:type="dxa"/>
            <w:noWrap w:val="0"/>
            <w:vAlign w:val="center"/>
          </w:tcPr>
          <w:p>
            <w:pPr>
              <w:spacing w:line="240" w:lineRule="auto"/>
              <w:ind w:firstLine="0"/>
              <w:jc w:val="center"/>
              <w:rPr>
                <w:rFonts w:hint="eastAsia" w:eastAsia="宋体"/>
                <w:color w:val="auto"/>
                <w:sz w:val="21"/>
                <w:szCs w:val="21"/>
                <w:lang w:val="en-US" w:eastAsia="zh-CN"/>
              </w:rPr>
            </w:pPr>
            <w:r>
              <w:rPr>
                <w:rFonts w:hint="eastAsia" w:ascii="Times New Roman" w:hAnsi="Times New Roman"/>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711" w:type="dxa"/>
            <w:noWrap w:val="0"/>
            <w:vAlign w:val="center"/>
          </w:tcPr>
          <w:p>
            <w:pPr>
              <w:spacing w:line="240" w:lineRule="auto"/>
              <w:ind w:firstLine="0"/>
              <w:jc w:val="center"/>
              <w:rPr>
                <w:rFonts w:hint="eastAsia"/>
                <w:color w:val="auto"/>
                <w:sz w:val="21"/>
                <w:szCs w:val="21"/>
              </w:rPr>
            </w:pPr>
            <w:r>
              <w:rPr>
                <w:rFonts w:hint="eastAsia" w:ascii="Times New Roman" w:hAnsi="Times New Roman"/>
                <w:color w:val="auto"/>
                <w:sz w:val="21"/>
                <w:szCs w:val="21"/>
              </w:rPr>
              <w:t>3</w:t>
            </w:r>
          </w:p>
        </w:tc>
        <w:tc>
          <w:tcPr>
            <w:tcW w:w="719" w:type="dxa"/>
            <w:noWrap w:val="0"/>
            <w:vAlign w:val="center"/>
          </w:tcPr>
          <w:p>
            <w:pPr>
              <w:spacing w:line="240" w:lineRule="auto"/>
              <w:ind w:firstLine="0"/>
              <w:jc w:val="center"/>
              <w:rPr>
                <w:rFonts w:hint="eastAsia"/>
                <w:color w:val="auto"/>
                <w:sz w:val="21"/>
                <w:szCs w:val="21"/>
              </w:rPr>
            </w:pPr>
            <w:r>
              <w:rPr>
                <w:rFonts w:hint="eastAsia"/>
                <w:color w:val="auto"/>
                <w:sz w:val="21"/>
                <w:szCs w:val="21"/>
              </w:rPr>
              <w:t>固废治理</w:t>
            </w:r>
          </w:p>
        </w:tc>
        <w:tc>
          <w:tcPr>
            <w:tcW w:w="6965" w:type="dxa"/>
            <w:noWrap w:val="0"/>
            <w:vAlign w:val="center"/>
          </w:tcPr>
          <w:p>
            <w:pPr>
              <w:spacing w:line="240" w:lineRule="auto"/>
              <w:ind w:firstLine="0"/>
              <w:jc w:val="left"/>
              <w:rPr>
                <w:rFonts w:hint="eastAsia"/>
                <w:color w:val="auto"/>
                <w:sz w:val="21"/>
                <w:szCs w:val="21"/>
              </w:rPr>
            </w:pPr>
            <w:r>
              <w:rPr>
                <w:rFonts w:hint="eastAsia"/>
                <w:color w:val="auto"/>
                <w:sz w:val="21"/>
                <w:szCs w:val="21"/>
              </w:rPr>
              <w:t>建筑垃圾分类收集与处置，尽量综合利用，不可利用部分</w:t>
            </w:r>
            <w:r>
              <w:rPr>
                <w:rFonts w:hint="eastAsia"/>
                <w:color w:val="auto"/>
                <w:sz w:val="21"/>
                <w:szCs w:val="21"/>
                <w:lang w:eastAsia="zh-CN"/>
              </w:rPr>
              <w:t>定期送一般工业固体废物填埋场处理</w:t>
            </w:r>
            <w:r>
              <w:rPr>
                <w:rFonts w:hint="eastAsia"/>
                <w:color w:val="auto"/>
                <w:sz w:val="21"/>
                <w:szCs w:val="21"/>
              </w:rPr>
              <w:t>。施工场地设生活垃圾收集点，</w:t>
            </w:r>
            <w:r>
              <w:rPr>
                <w:rFonts w:hint="eastAsia"/>
                <w:color w:val="auto"/>
                <w:sz w:val="21"/>
                <w:szCs w:val="21"/>
                <w:lang w:eastAsia="zh-CN"/>
              </w:rPr>
              <w:t>生活垃圾定点收集</w:t>
            </w:r>
            <w:r>
              <w:rPr>
                <w:rFonts w:hint="eastAsia" w:hAnsi="Calibri" w:eastAsia="宋体" w:cs="Times New Roman"/>
                <w:color w:val="auto"/>
                <w:sz w:val="21"/>
                <w:szCs w:val="21"/>
                <w:lang w:eastAsia="zh-CN"/>
              </w:rPr>
              <w:t>，</w:t>
            </w:r>
            <w:r>
              <w:rPr>
                <w:rFonts w:hint="eastAsia" w:hAnsi="Calibri" w:cs="Times New Roman"/>
                <w:color w:val="auto"/>
                <w:sz w:val="21"/>
                <w:szCs w:val="21"/>
                <w:lang w:eastAsia="zh-CN"/>
              </w:rPr>
              <w:t>纳入厂内生活垃圾管理，</w:t>
            </w:r>
            <w:r>
              <w:rPr>
                <w:rFonts w:hint="eastAsia" w:hAnsi="Calibri" w:eastAsia="宋体" w:cs="Times New Roman"/>
                <w:color w:val="auto"/>
                <w:sz w:val="21"/>
                <w:szCs w:val="21"/>
                <w:lang w:eastAsia="zh-CN"/>
              </w:rPr>
              <w:t>委托园区环卫清运至生活垃圾填埋场</w:t>
            </w:r>
            <w:r>
              <w:rPr>
                <w:rFonts w:hint="eastAsia" w:hAnsi="Calibri" w:eastAsia="宋体" w:cs="Times New Roman"/>
                <w:color w:val="auto"/>
                <w:sz w:val="21"/>
                <w:szCs w:val="21"/>
              </w:rPr>
              <w:t>。</w:t>
            </w:r>
          </w:p>
        </w:tc>
        <w:tc>
          <w:tcPr>
            <w:tcW w:w="843" w:type="dxa"/>
            <w:noWrap w:val="0"/>
            <w:vAlign w:val="center"/>
          </w:tcPr>
          <w:p>
            <w:pPr>
              <w:spacing w:line="240" w:lineRule="auto"/>
              <w:ind w:firstLine="0"/>
              <w:jc w:val="center"/>
              <w:rPr>
                <w:rFonts w:hint="eastAsia" w:eastAsia="宋体"/>
                <w:color w:val="auto"/>
                <w:sz w:val="21"/>
                <w:szCs w:val="21"/>
                <w:lang w:eastAsia="zh-CN"/>
              </w:rPr>
            </w:pPr>
            <w:r>
              <w:rPr>
                <w:rFonts w:hint="eastAsia" w:ascii="Times New Roman" w:hAnsi="Times New Roman"/>
                <w:color w:val="auto"/>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430" w:type="dxa"/>
            <w:gridSpan w:val="2"/>
            <w:noWrap w:val="0"/>
            <w:vAlign w:val="center"/>
          </w:tcPr>
          <w:p>
            <w:pPr>
              <w:spacing w:line="240" w:lineRule="auto"/>
              <w:ind w:firstLine="0"/>
              <w:jc w:val="center"/>
              <w:rPr>
                <w:rFonts w:hint="eastAsia"/>
                <w:color w:val="auto"/>
                <w:sz w:val="21"/>
                <w:szCs w:val="21"/>
              </w:rPr>
            </w:pPr>
            <w:r>
              <w:rPr>
                <w:rFonts w:hint="eastAsia"/>
                <w:color w:val="auto"/>
                <w:sz w:val="21"/>
                <w:szCs w:val="21"/>
                <w:lang w:eastAsia="zh-CN"/>
              </w:rPr>
              <w:t>合计</w:t>
            </w:r>
          </w:p>
        </w:tc>
        <w:tc>
          <w:tcPr>
            <w:tcW w:w="6965" w:type="dxa"/>
            <w:noWrap w:val="0"/>
            <w:vAlign w:val="center"/>
          </w:tcPr>
          <w:p>
            <w:pPr>
              <w:spacing w:line="240" w:lineRule="auto"/>
              <w:ind w:firstLine="0"/>
              <w:jc w:val="left"/>
              <w:rPr>
                <w:rFonts w:hint="eastAsia"/>
                <w:color w:val="auto"/>
                <w:sz w:val="21"/>
                <w:szCs w:val="21"/>
              </w:rPr>
            </w:pPr>
            <w:r>
              <w:rPr>
                <w:rFonts w:hint="eastAsia"/>
                <w:color w:val="auto"/>
                <w:sz w:val="21"/>
                <w:szCs w:val="21"/>
                <w:lang w:val="en-US" w:eastAsia="zh-CN"/>
              </w:rPr>
              <w:t>/</w:t>
            </w:r>
          </w:p>
        </w:tc>
        <w:tc>
          <w:tcPr>
            <w:tcW w:w="843" w:type="dxa"/>
            <w:noWrap w:val="0"/>
            <w:vAlign w:val="center"/>
          </w:tcPr>
          <w:p>
            <w:pPr>
              <w:spacing w:line="240" w:lineRule="auto"/>
              <w:ind w:firstLine="0"/>
              <w:jc w:val="center"/>
              <w:rPr>
                <w:rFonts w:hint="eastAsia" w:ascii="Times New Roman" w:hAnsi="Times New Roman"/>
                <w:color w:val="auto"/>
                <w:sz w:val="21"/>
                <w:szCs w:val="21"/>
              </w:rPr>
            </w:pPr>
            <w:r>
              <w:rPr>
                <w:rFonts w:hint="eastAsia" w:ascii="Times New Roman" w:hAnsi="Times New Roman"/>
                <w:color w:val="auto"/>
                <w:sz w:val="21"/>
                <w:szCs w:val="21"/>
                <w:lang w:val="en-US" w:eastAsia="zh-CN"/>
              </w:rPr>
              <w:t>2</w:t>
            </w:r>
          </w:p>
        </w:tc>
      </w:tr>
    </w:tbl>
    <w:p>
      <w:pPr>
        <w:pStyle w:val="5"/>
        <w:spacing w:before="169" w:after="169"/>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3</w:t>
      </w:r>
      <w:r>
        <w:rPr>
          <w:rFonts w:hint="eastAsia"/>
          <w:color w:val="000000" w:themeColor="text1"/>
          <w14:textFill>
            <w14:solidFill>
              <w14:schemeClr w14:val="tx1"/>
            </w14:solidFill>
          </w14:textFill>
        </w:rPr>
        <w:t>小结</w:t>
      </w:r>
    </w:p>
    <w:p>
      <w:pPr>
        <w:bidi w:val="0"/>
        <w:rPr>
          <w:rFonts w:hint="eastAsia"/>
          <w:lang w:val="en-US" w:eastAsia="zh-CN"/>
        </w:rPr>
      </w:pPr>
      <w:r>
        <w:rPr>
          <w:rFonts w:hint="eastAsia"/>
          <w:color w:val="000000" w:themeColor="text1"/>
          <w14:textFill>
            <w14:solidFill>
              <w14:schemeClr w14:val="tx1"/>
            </w14:solidFill>
          </w14:textFill>
        </w:rPr>
        <w:t>总体上看，施工期环境影响属于局部、临时性影响，是短期的，随着施工期的结束，其影响将会消失或减缓，对周边环境的影响小。</w:t>
      </w:r>
    </w:p>
    <w:p>
      <w:pPr>
        <w:pStyle w:val="4"/>
        <w:bidi w:val="0"/>
        <w:rPr>
          <w:rFonts w:hint="eastAsia"/>
          <w:lang w:eastAsia="zh-CN"/>
        </w:rPr>
      </w:pPr>
      <w:bookmarkStart w:id="201" w:name="_Toc11870"/>
      <w:r>
        <w:rPr>
          <w:rFonts w:hint="eastAsia" w:ascii="Times New Roman" w:hAnsi="Times New Roman"/>
          <w:lang w:val="en-US" w:eastAsia="zh-CN"/>
        </w:rPr>
        <w:t>6</w:t>
      </w:r>
      <w:r>
        <w:t>.</w:t>
      </w:r>
      <w:bookmarkEnd w:id="175"/>
      <w:r>
        <w:rPr>
          <w:rFonts w:hint="eastAsia" w:ascii="Times New Roman" w:hAnsi="Times New Roman"/>
          <w:lang w:val="en-US" w:eastAsia="zh-CN"/>
        </w:rPr>
        <w:t>2</w:t>
      </w:r>
      <w:r>
        <w:rPr>
          <w:rFonts w:hint="eastAsia"/>
          <w:lang w:eastAsia="zh-CN"/>
        </w:rPr>
        <w:t>大气环境影响分析</w:t>
      </w:r>
      <w:bookmarkEnd w:id="201"/>
    </w:p>
    <w:p>
      <w:pPr>
        <w:pStyle w:val="5"/>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eastAsia="zh-CN"/>
        </w:rPr>
        <w:t>评价区气象特征分析</w:t>
      </w:r>
    </w:p>
    <w:p>
      <w:pPr>
        <w:widowControl w:val="0"/>
        <w:wordWrap/>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距离</w:t>
      </w:r>
      <w:r>
        <w:rPr>
          <w:rFonts w:hint="eastAsia" w:ascii="Times New Roman" w:cs="Times New Roman"/>
          <w:color w:val="auto"/>
          <w:lang w:eastAsia="zh-CN"/>
        </w:rPr>
        <w:t>本</w:t>
      </w:r>
      <w:r>
        <w:rPr>
          <w:rFonts w:hint="default" w:ascii="Times New Roman" w:hAnsi="Times New Roman" w:cs="Times New Roman"/>
          <w:color w:val="auto"/>
        </w:rPr>
        <w:t>项目最近的气象站为乌苏气象观测站</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站号：</w:t>
      </w:r>
      <w:r>
        <w:rPr>
          <w:rFonts w:hint="default" w:ascii="Times New Roman" w:hAnsi="Times New Roman" w:cs="Times New Roman"/>
          <w:color w:val="auto"/>
          <w:lang w:val="en-US" w:eastAsia="zh-CN"/>
        </w:rPr>
        <w:t>51358</w:t>
      </w:r>
      <w:r>
        <w:rPr>
          <w:rFonts w:hint="default" w:ascii="Times New Roman" w:hAnsi="Times New Roman" w:cs="Times New Roman"/>
          <w:color w:val="auto"/>
          <w:lang w:eastAsia="zh-CN"/>
        </w:rPr>
        <w:t>）</w:t>
      </w:r>
      <w:r>
        <w:rPr>
          <w:rFonts w:hint="default" w:ascii="Times New Roman" w:hAnsi="Times New Roman" w:cs="Times New Roman"/>
          <w:color w:val="auto"/>
        </w:rPr>
        <w:t>，该站始建于</w:t>
      </w:r>
      <w:r>
        <w:rPr>
          <w:rFonts w:hint="default" w:ascii="Times New Roman" w:hAnsi="Times New Roman" w:cs="Times New Roman"/>
          <w:color w:val="auto"/>
        </w:rPr>
        <w:t>1953</w:t>
      </w:r>
      <w:r>
        <w:rPr>
          <w:rFonts w:hint="default" w:ascii="Times New Roman" w:hAnsi="Times New Roman" w:cs="Times New Roman"/>
          <w:color w:val="auto"/>
        </w:rPr>
        <w:t>年</w:t>
      </w:r>
      <w:r>
        <w:rPr>
          <w:rFonts w:hint="default" w:ascii="Times New Roman" w:hAnsi="Times New Roman" w:cs="Times New Roman"/>
          <w:color w:val="auto"/>
        </w:rPr>
        <w:t>3</w:t>
      </w:r>
      <w:r>
        <w:rPr>
          <w:rFonts w:hint="default" w:ascii="Times New Roman" w:hAnsi="Times New Roman" w:cs="Times New Roman"/>
          <w:color w:val="auto"/>
        </w:rPr>
        <w:t>月，现属国家基准气候站。站点位于市区东南部，东经</w:t>
      </w:r>
      <w:r>
        <w:rPr>
          <w:rFonts w:hint="default" w:ascii="Times New Roman" w:hAnsi="Times New Roman" w:cs="Times New Roman"/>
          <w:color w:val="auto"/>
        </w:rPr>
        <w:t>84</w:t>
      </w:r>
      <w:r>
        <w:rPr>
          <w:rFonts w:hint="default" w:ascii="Times New Roman" w:hAnsi="Times New Roman" w:cs="Times New Roman"/>
          <w:color w:val="auto"/>
        </w:rPr>
        <w:t>°</w:t>
      </w:r>
      <w:r>
        <w:rPr>
          <w:rFonts w:hint="default" w:ascii="Times New Roman" w:hAnsi="Times New Roman" w:cs="Times New Roman"/>
          <w:color w:val="auto"/>
        </w:rPr>
        <w:t>40</w:t>
      </w:r>
      <w:r>
        <w:rPr>
          <w:rFonts w:hint="default" w:ascii="Times New Roman" w:hAnsi="Times New Roman" w:cs="Times New Roman"/>
          <w:color w:val="auto"/>
        </w:rPr>
        <w:t>＇，北纬</w:t>
      </w:r>
      <w:r>
        <w:rPr>
          <w:rFonts w:hint="default" w:ascii="Times New Roman" w:hAnsi="Times New Roman" w:cs="Times New Roman"/>
          <w:color w:val="auto"/>
        </w:rPr>
        <w:t>44</w:t>
      </w:r>
      <w:r>
        <w:rPr>
          <w:rFonts w:hint="default" w:ascii="Times New Roman" w:hAnsi="Times New Roman" w:cs="Times New Roman"/>
          <w:color w:val="auto"/>
        </w:rPr>
        <w:t>°</w:t>
      </w:r>
      <w:r>
        <w:rPr>
          <w:rFonts w:hint="default" w:ascii="Times New Roman" w:hAnsi="Times New Roman" w:cs="Times New Roman"/>
          <w:color w:val="auto"/>
        </w:rPr>
        <w:t>26</w:t>
      </w:r>
      <w:r>
        <w:rPr>
          <w:rFonts w:hint="default" w:ascii="Times New Roman" w:hAnsi="Times New Roman" w:cs="Times New Roman"/>
          <w:color w:val="auto"/>
        </w:rPr>
        <w:t>＇，海拔高度</w:t>
      </w:r>
      <w:r>
        <w:rPr>
          <w:rFonts w:hint="default" w:ascii="Times New Roman" w:hAnsi="Times New Roman" w:cs="Times New Roman"/>
          <w:color w:val="auto"/>
        </w:rPr>
        <w:t>478</w:t>
      </w:r>
      <w:r>
        <w:rPr>
          <w:rFonts w:hint="default" w:ascii="Times New Roman" w:hAnsi="Times New Roman" w:cs="Times New Roman"/>
          <w:color w:val="auto"/>
        </w:rPr>
        <w:t>.</w:t>
      </w:r>
      <w:r>
        <w:rPr>
          <w:rFonts w:hint="default" w:ascii="Times New Roman" w:hAnsi="Times New Roman" w:cs="Times New Roman"/>
          <w:color w:val="auto"/>
        </w:rPr>
        <w:t>7m</w:t>
      </w:r>
      <w:r>
        <w:rPr>
          <w:rFonts w:hint="default" w:ascii="Times New Roman" w:hAnsi="Times New Roman" w:cs="Times New Roman"/>
          <w:color w:val="auto"/>
        </w:rPr>
        <w:t>，风向杆距地高度</w:t>
      </w:r>
      <w:r>
        <w:rPr>
          <w:rFonts w:hint="default" w:ascii="Times New Roman" w:hAnsi="Times New Roman" w:cs="Times New Roman"/>
          <w:color w:val="auto"/>
        </w:rPr>
        <w:t>10</w:t>
      </w:r>
      <w:r>
        <w:rPr>
          <w:rFonts w:hint="default" w:ascii="Times New Roman" w:hAnsi="Times New Roman" w:cs="Times New Roman"/>
          <w:color w:val="auto"/>
        </w:rPr>
        <w:t>.</w:t>
      </w:r>
      <w:r>
        <w:rPr>
          <w:rFonts w:hint="default" w:ascii="Times New Roman" w:hAnsi="Times New Roman" w:cs="Times New Roman"/>
          <w:color w:val="auto"/>
        </w:rPr>
        <w:t>2m</w:t>
      </w:r>
      <w:r>
        <w:rPr>
          <w:rFonts w:hint="default" w:ascii="Times New Roman" w:hAnsi="Times New Roman" w:cs="Times New Roman"/>
          <w:color w:val="auto"/>
        </w:rPr>
        <w:t>。根据</w:t>
      </w:r>
      <w:r>
        <w:rPr>
          <w:rFonts w:hint="eastAsia" w:ascii="Times New Roman" w:hAnsi="Times New Roman" w:cs="Times New Roman"/>
          <w:color w:val="auto"/>
          <w:lang w:val="en-US" w:eastAsia="zh-CN"/>
        </w:rPr>
        <w:t>2021</w:t>
      </w:r>
      <w:r>
        <w:rPr>
          <w:rFonts w:hint="eastAsia" w:ascii="Times New Roman" w:hAnsi="Times New Roman" w:cs="Times New Roman"/>
          <w:color w:val="auto"/>
          <w:lang w:val="en-US" w:eastAsia="zh-CN"/>
        </w:rPr>
        <w:t>年</w:t>
      </w:r>
      <w:r>
        <w:rPr>
          <w:rFonts w:hint="default" w:ascii="Times New Roman" w:hAnsi="Times New Roman" w:cs="Times New Roman"/>
          <w:color w:val="auto"/>
        </w:rPr>
        <w:t>该站气象观测统计数据，当地主要气象特征分述如下。</w:t>
      </w:r>
    </w:p>
    <w:p>
      <w:pPr>
        <w:widowControl w:val="0"/>
        <w:wordWrap/>
        <w:adjustRightInd/>
        <w:snapToGrid/>
        <w:ind w:firstLine="480" w:firstLineChars="200"/>
        <w:jc w:val="left"/>
        <w:textAlignment w:val="auto"/>
        <w:rPr>
          <w:rFonts w:hint="eastAsia"/>
          <w:color w:val="auto"/>
        </w:rPr>
      </w:pPr>
      <w:r>
        <w:rPr>
          <w:rFonts w:hint="eastAsia"/>
          <w:color w:val="auto"/>
        </w:rPr>
        <w:t>（</w:t>
      </w:r>
      <w:r>
        <w:rPr>
          <w:rFonts w:hint="eastAsia" w:ascii="Times New Roman" w:hAnsi="Times New Roman"/>
          <w:color w:val="auto"/>
        </w:rPr>
        <w:t>1</w:t>
      </w:r>
      <w:r>
        <w:rPr>
          <w:rFonts w:hint="eastAsia"/>
          <w:color w:val="auto"/>
        </w:rPr>
        <w:t>）气候特征</w:t>
      </w:r>
    </w:p>
    <w:p>
      <w:pPr>
        <w:widowControl w:val="0"/>
        <w:wordWrap/>
        <w:adjustRightInd/>
        <w:snapToGrid/>
        <w:ind w:firstLine="480" w:firstLineChars="200"/>
        <w:jc w:val="left"/>
        <w:textAlignment w:val="auto"/>
        <w:rPr>
          <w:rFonts w:hint="eastAsia"/>
          <w:color w:val="auto"/>
        </w:rPr>
      </w:pPr>
      <w:r>
        <w:rPr>
          <w:rFonts w:hint="eastAsia"/>
          <w:color w:val="auto"/>
          <w:lang w:eastAsia="zh-CN"/>
        </w:rPr>
        <w:t>根据</w:t>
      </w:r>
      <w:r>
        <w:rPr>
          <w:rFonts w:hint="eastAsia"/>
          <w:color w:val="auto"/>
        </w:rPr>
        <w:t>收集的常规气象资料统计，各气象要素见表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1</w:t>
      </w:r>
      <w:r>
        <w:rPr>
          <w:rFonts w:hint="eastAsia"/>
          <w:color w:val="auto"/>
        </w:rPr>
        <w:t>。</w:t>
      </w:r>
    </w:p>
    <w:p>
      <w:pPr>
        <w:pStyle w:val="20"/>
        <w:widowControl w:val="0"/>
        <w:wordWrap/>
        <w:adjustRightInd/>
        <w:snapToGrid/>
        <w:spacing w:before="0" w:beforeLines="0" w:line="240" w:lineRule="atLeast"/>
        <w:textAlignment w:val="auto"/>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1</w:t>
      </w:r>
      <w:r>
        <w:rPr>
          <w:rFonts w:hint="eastAsia"/>
          <w:color w:val="auto"/>
        </w:rPr>
        <w:t xml:space="preserve">  乌苏气象站气象要素统计表</w:t>
      </w:r>
    </w:p>
    <w:tbl>
      <w:tblPr>
        <w:tblStyle w:val="80"/>
        <w:tblW w:w="91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978"/>
        <w:gridCol w:w="576"/>
        <w:gridCol w:w="576"/>
        <w:gridCol w:w="576"/>
        <w:gridCol w:w="576"/>
        <w:gridCol w:w="576"/>
        <w:gridCol w:w="576"/>
        <w:gridCol w:w="576"/>
        <w:gridCol w:w="576"/>
        <w:gridCol w:w="576"/>
        <w:gridCol w:w="505"/>
        <w:gridCol w:w="585"/>
        <w:gridCol w:w="568"/>
        <w:gridCol w:w="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685" w:type="dxa"/>
            <w:gridSpan w:val="2"/>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项目/月份</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4</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10</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11</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12</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7" w:type="dxa"/>
            <w:vMerge w:val="restart"/>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气温</w:t>
            </w:r>
          </w:p>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w:t>
            </w: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历年平均</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r>
              <w:rPr>
                <w:rFonts w:hint="default" w:ascii="Times New Roman" w:hAnsi="Times New Roman" w:cs="Times New Roman"/>
                <w:color w:val="auto"/>
                <w:spacing w:val="-20"/>
                <w:sz w:val="16"/>
                <w:szCs w:val="16"/>
                <w:lang w:val="en-US" w:eastAsia="zh-CN"/>
              </w:rPr>
              <w:t>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4</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0</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4</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12</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4</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19</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7</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24</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7</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26</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3</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26</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3</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17</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9</w:t>
            </w:r>
          </w:p>
        </w:tc>
        <w:tc>
          <w:tcPr>
            <w:tcW w:w="505"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8</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9</w:t>
            </w:r>
          </w:p>
        </w:tc>
        <w:tc>
          <w:tcPr>
            <w:tcW w:w="585"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2</w:t>
            </w:r>
          </w:p>
        </w:tc>
        <w:tc>
          <w:tcPr>
            <w:tcW w:w="568"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643"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7</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7" w:type="dxa"/>
            <w:vMerge w:val="continue"/>
            <w:vAlign w:val="center"/>
          </w:tcPr>
          <w:p>
            <w:pPr>
              <w:spacing w:line="240" w:lineRule="auto"/>
              <w:ind w:firstLine="0"/>
              <w:jc w:val="center"/>
              <w:rPr>
                <w:rFonts w:hint="default" w:ascii="Times New Roman" w:hAnsi="Times New Roman" w:cs="Times New Roman"/>
                <w:color w:val="auto"/>
                <w:sz w:val="16"/>
                <w:szCs w:val="16"/>
              </w:rPr>
            </w:pP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极端最低</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2</w:t>
            </w:r>
            <w:r>
              <w:rPr>
                <w:rFonts w:hint="default" w:ascii="Times New Roman" w:hAnsi="Times New Roman" w:cs="Times New Roman"/>
                <w:color w:val="auto"/>
                <w:spacing w:val="-20"/>
                <w:sz w:val="16"/>
                <w:szCs w:val="16"/>
                <w:lang w:val="en-US" w:eastAsia="zh-CN"/>
              </w:rPr>
              <w:t>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r>
              <w:rPr>
                <w:rFonts w:hint="default" w:ascii="Times New Roman" w:hAnsi="Times New Roman" w:cs="Times New Roman"/>
                <w:color w:val="auto"/>
                <w:spacing w:val="-20"/>
                <w:sz w:val="16"/>
                <w:szCs w:val="16"/>
                <w:lang w:val="en-US" w:eastAsia="zh-CN"/>
              </w:rPr>
              <w:t>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7</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lang w:val="en-US" w:eastAsia="zh-CN"/>
              </w:rPr>
              <w:t>11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1</w:t>
            </w:r>
            <w:r>
              <w:rPr>
                <w:rFonts w:hint="default" w:ascii="Times New Roman" w:hAnsi="Times New Roman" w:cs="Times New Roman"/>
                <w:color w:val="auto"/>
                <w:spacing w:val="-20"/>
                <w:sz w:val="16"/>
                <w:szCs w:val="16"/>
                <w:lang w:val="en-US" w:eastAsia="zh-CN"/>
              </w:rPr>
              <w:t>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2</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lang w:val="en-US" w:eastAsia="zh-CN"/>
              </w:rPr>
              <w:t>13</w:t>
            </w:r>
            <w:r>
              <w:rPr>
                <w:rFonts w:hint="default" w:ascii="Times New Roman" w:hAnsi="Times New Roman" w:cs="Times New Roman"/>
                <w:color w:val="auto"/>
                <w:spacing w:val="-20"/>
                <w:sz w:val="16"/>
                <w:szCs w:val="16"/>
                <w:lang w:val="en-US" w:eastAsia="zh-CN"/>
              </w:rPr>
              <w:t>.</w:t>
            </w:r>
            <w:r>
              <w:rPr>
                <w:rFonts w:hint="default" w:ascii="Times New Roman" w:hAnsi="Times New Roman" w:cs="Times New Roman"/>
                <w:color w:val="auto"/>
                <w:spacing w:val="-20"/>
                <w:sz w:val="16"/>
                <w:szCs w:val="16"/>
                <w:lang w:val="en-US" w:eastAsia="zh-CN"/>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2</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25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7" w:type="dxa"/>
            <w:vMerge w:val="continue"/>
            <w:vAlign w:val="center"/>
          </w:tcPr>
          <w:p>
            <w:pPr>
              <w:spacing w:line="240" w:lineRule="auto"/>
              <w:ind w:firstLine="0"/>
              <w:jc w:val="center"/>
              <w:rPr>
                <w:rFonts w:hint="default" w:ascii="Times New Roman" w:hAnsi="Times New Roman" w:cs="Times New Roman"/>
                <w:color w:val="auto"/>
                <w:sz w:val="16"/>
                <w:szCs w:val="16"/>
              </w:rPr>
            </w:pP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极端最高</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41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41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7" w:type="dxa"/>
            <w:vMerge w:val="restart"/>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气压</w:t>
            </w:r>
          </w:p>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w:t>
            </w:r>
            <w:r>
              <w:rPr>
                <w:rFonts w:hint="default" w:ascii="Times New Roman" w:hAnsi="Times New Roman" w:cs="Times New Roman"/>
                <w:color w:val="auto"/>
                <w:sz w:val="16"/>
                <w:szCs w:val="16"/>
              </w:rPr>
              <w:t>hPa</w:t>
            </w:r>
            <w:r>
              <w:rPr>
                <w:rFonts w:hint="default" w:ascii="Times New Roman" w:hAnsi="Times New Roman" w:cs="Times New Roman"/>
                <w:color w:val="auto"/>
                <w:sz w:val="16"/>
                <w:szCs w:val="16"/>
              </w:rPr>
              <w:t>)</w:t>
            </w: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历年平均</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97</w:t>
            </w:r>
            <w:r>
              <w:rPr>
                <w:rFonts w:hint="default" w:ascii="Times New Roman" w:hAnsi="Times New Roman" w:cs="Times New Roman"/>
                <w:color w:val="auto"/>
                <w:spacing w:val="-20"/>
                <w:sz w:val="16"/>
                <w:szCs w:val="16"/>
                <w:lang w:val="en-US" w:eastAsia="zh-CN"/>
              </w:rPr>
              <w:t>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972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96</w:t>
            </w:r>
            <w:r>
              <w:rPr>
                <w:rFonts w:hint="default" w:ascii="Times New Roman" w:hAnsi="Times New Roman" w:cs="Times New Roman"/>
                <w:color w:val="auto"/>
                <w:spacing w:val="-20"/>
                <w:sz w:val="16"/>
                <w:szCs w:val="16"/>
                <w:lang w:val="en-US" w:eastAsia="zh-CN"/>
              </w:rPr>
              <w:t>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962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lang w:val="en-US" w:eastAsia="zh-CN"/>
              </w:rPr>
              <w:t>6</w:t>
            </w:r>
            <w:r>
              <w:rPr>
                <w:rFonts w:hint="default" w:ascii="Times New Roman" w:hAnsi="Times New Roman" w:cs="Times New Roman"/>
                <w:color w:val="auto"/>
                <w:spacing w:val="-20"/>
                <w:sz w:val="16"/>
                <w:szCs w:val="16"/>
              </w:rPr>
              <w:t>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lang w:val="en-US" w:eastAsia="zh-CN"/>
              </w:rPr>
              <w:t>63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951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953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961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967</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97</w:t>
            </w:r>
            <w:r>
              <w:rPr>
                <w:rFonts w:hint="default" w:ascii="Times New Roman" w:hAnsi="Times New Roman" w:cs="Times New Roman"/>
                <w:color w:val="auto"/>
                <w:spacing w:val="-20"/>
                <w:sz w:val="16"/>
                <w:szCs w:val="16"/>
                <w:lang w:val="en-US" w:eastAsia="zh-CN"/>
              </w:rPr>
              <w:t>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97</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963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7" w:type="dxa"/>
            <w:vMerge w:val="continue"/>
            <w:vAlign w:val="center"/>
          </w:tcPr>
          <w:p>
            <w:pPr>
              <w:spacing w:line="240" w:lineRule="auto"/>
              <w:ind w:firstLine="0"/>
              <w:jc w:val="center"/>
              <w:rPr>
                <w:rFonts w:hint="default" w:ascii="Times New Roman" w:hAnsi="Times New Roman" w:cs="Times New Roman"/>
                <w:color w:val="auto"/>
                <w:sz w:val="16"/>
                <w:szCs w:val="16"/>
              </w:rPr>
            </w:pP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极端最低</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959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954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951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938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946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943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942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943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949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955</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957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96</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2</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lang w:val="en-US" w:eastAsia="zh-CN"/>
              </w:rPr>
              <w:t>2</w:t>
            </w:r>
            <w:r>
              <w:rPr>
                <w:rFonts w:hint="default" w:ascii="Times New Roman" w:hAnsi="Times New Roman" w:cs="Times New Roman"/>
                <w:color w:val="auto"/>
                <w:spacing w:val="-20"/>
                <w:sz w:val="16"/>
                <w:szCs w:val="16"/>
              </w:rPr>
              <w:t>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7" w:type="dxa"/>
            <w:vMerge w:val="continue"/>
            <w:vAlign w:val="center"/>
          </w:tcPr>
          <w:p>
            <w:pPr>
              <w:spacing w:line="240" w:lineRule="auto"/>
              <w:ind w:firstLine="0"/>
              <w:jc w:val="center"/>
              <w:rPr>
                <w:rFonts w:hint="default" w:ascii="Times New Roman" w:hAnsi="Times New Roman" w:cs="Times New Roman"/>
                <w:color w:val="auto"/>
                <w:sz w:val="16"/>
                <w:szCs w:val="16"/>
              </w:rPr>
            </w:pP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极端最高</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996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988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987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98</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975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96</w:t>
            </w:r>
            <w:r>
              <w:rPr>
                <w:rFonts w:hint="default" w:ascii="Times New Roman" w:hAnsi="Times New Roman" w:cs="Times New Roman"/>
                <w:color w:val="auto"/>
                <w:spacing w:val="-20"/>
                <w:sz w:val="16"/>
                <w:szCs w:val="16"/>
                <w:lang w:val="en-US" w:eastAsia="zh-CN"/>
              </w:rPr>
              <w:t>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963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966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980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980</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98</w:t>
            </w:r>
            <w:r>
              <w:rPr>
                <w:rFonts w:hint="default" w:ascii="Times New Roman" w:hAnsi="Times New Roman" w:cs="Times New Roman"/>
                <w:color w:val="auto"/>
                <w:spacing w:val="-20"/>
                <w:sz w:val="16"/>
                <w:szCs w:val="16"/>
                <w:lang w:val="en-US" w:eastAsia="zh-CN"/>
              </w:rPr>
              <w:t>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68"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99</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5</w:t>
            </w:r>
          </w:p>
        </w:tc>
        <w:tc>
          <w:tcPr>
            <w:tcW w:w="643"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99</w:t>
            </w:r>
            <w:r>
              <w:rPr>
                <w:rFonts w:hint="default" w:ascii="Times New Roman" w:hAnsi="Times New Roman" w:cs="Times New Roman"/>
                <w:color w:val="auto"/>
                <w:spacing w:val="-20"/>
                <w:sz w:val="16"/>
                <w:szCs w:val="16"/>
                <w:lang w:val="en-US" w:eastAsia="zh-CN"/>
              </w:rPr>
              <w:t>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7" w:type="dxa"/>
            <w:vAlign w:val="center"/>
          </w:tcPr>
          <w:p>
            <w:pPr>
              <w:spacing w:line="240" w:lineRule="exact"/>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相对湿度</w:t>
            </w: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历年平均</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79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80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72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5</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46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1</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4</w:t>
            </w:r>
            <w:r>
              <w:rPr>
                <w:rFonts w:hint="default" w:ascii="Times New Roman" w:hAnsi="Times New Roman" w:cs="Times New Roman"/>
                <w:color w:val="auto"/>
                <w:spacing w:val="-20"/>
                <w:sz w:val="16"/>
                <w:szCs w:val="16"/>
                <w:lang w:val="en-US" w:eastAsia="zh-CN"/>
              </w:rPr>
              <w:t>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42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5</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46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505"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55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1</w:t>
            </w:r>
          </w:p>
        </w:tc>
        <w:tc>
          <w:tcPr>
            <w:tcW w:w="585"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77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2</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82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58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7" w:type="dxa"/>
            <w:vMerge w:val="restart"/>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降水量(</w:t>
            </w:r>
            <w:r>
              <w:rPr>
                <w:rFonts w:hint="default" w:ascii="Times New Roman" w:hAnsi="Times New Roman" w:cs="Times New Roman"/>
                <w:color w:val="auto"/>
                <w:sz w:val="16"/>
                <w:szCs w:val="16"/>
              </w:rPr>
              <w:t>mm</w:t>
            </w:r>
            <w:r>
              <w:rPr>
                <w:rFonts w:hint="default" w:ascii="Times New Roman" w:hAnsi="Times New Roman" w:cs="Times New Roman"/>
                <w:color w:val="auto"/>
                <w:sz w:val="16"/>
                <w:szCs w:val="16"/>
              </w:rPr>
              <w:t>)</w:t>
            </w: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历年平均</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2</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16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167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07" w:type="dxa"/>
            <w:vMerge w:val="continue"/>
            <w:vAlign w:val="center"/>
          </w:tcPr>
          <w:p>
            <w:pPr>
              <w:spacing w:line="240" w:lineRule="auto"/>
              <w:ind w:firstLine="0"/>
              <w:jc w:val="center"/>
              <w:rPr>
                <w:rFonts w:hint="default" w:ascii="Times New Roman" w:hAnsi="Times New Roman" w:cs="Times New Roman"/>
                <w:color w:val="auto"/>
                <w:sz w:val="16"/>
                <w:szCs w:val="16"/>
              </w:rPr>
            </w:pP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极端最大</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33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26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2</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40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201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7" w:type="dxa"/>
            <w:vMerge w:val="restart"/>
            <w:vAlign w:val="center"/>
          </w:tcPr>
          <w:p>
            <w:pPr>
              <w:widowControl w:val="0"/>
              <w:wordWrap/>
              <w:adjustRightInd/>
              <w:snapToGrid/>
              <w:spacing w:line="240" w:lineRule="atLeast"/>
              <w:ind w:firstLine="0"/>
              <w:jc w:val="center"/>
              <w:textAlignment w:val="auto"/>
              <w:rPr>
                <w:rFonts w:hint="default" w:ascii="Times New Roman" w:hAnsi="Times New Roman" w:cs="Times New Roman"/>
                <w:color w:val="auto"/>
                <w:sz w:val="16"/>
                <w:szCs w:val="16"/>
              </w:rPr>
            </w:pPr>
            <w:r>
              <w:rPr>
                <w:rFonts w:hint="default" w:ascii="Times New Roman" w:hAnsi="Times New Roman" w:cs="Times New Roman"/>
                <w:color w:val="auto"/>
                <w:sz w:val="16"/>
                <w:szCs w:val="16"/>
              </w:rPr>
              <w:t>蒸发量(</w:t>
            </w:r>
            <w:r>
              <w:rPr>
                <w:rFonts w:hint="default" w:ascii="Times New Roman" w:hAnsi="Times New Roman" w:cs="Times New Roman"/>
                <w:color w:val="auto"/>
                <w:sz w:val="16"/>
                <w:szCs w:val="16"/>
              </w:rPr>
              <w:t>mm</w:t>
            </w:r>
            <w:r>
              <w:rPr>
                <w:rFonts w:hint="default" w:ascii="Times New Roman" w:hAnsi="Times New Roman" w:cs="Times New Roman"/>
                <w:color w:val="auto"/>
                <w:sz w:val="16"/>
                <w:szCs w:val="16"/>
              </w:rPr>
              <w:t>)</w:t>
            </w: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历年平均</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9</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58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109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181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8</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236</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227</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193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6</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132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74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4</w:t>
            </w:r>
          </w:p>
        </w:tc>
        <w:tc>
          <w:tcPr>
            <w:tcW w:w="58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68"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10</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643"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1278</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07" w:type="dxa"/>
            <w:vMerge w:val="continue"/>
            <w:vAlign w:val="center"/>
          </w:tcPr>
          <w:p>
            <w:pPr>
              <w:spacing w:line="240" w:lineRule="auto"/>
              <w:ind w:firstLine="0"/>
              <w:jc w:val="center"/>
              <w:rPr>
                <w:rFonts w:hint="default" w:ascii="Times New Roman" w:hAnsi="Times New Roman" w:cs="Times New Roman"/>
                <w:color w:val="auto"/>
                <w:sz w:val="16"/>
                <w:szCs w:val="16"/>
              </w:rPr>
            </w:pPr>
          </w:p>
        </w:tc>
        <w:tc>
          <w:tcPr>
            <w:tcW w:w="978" w:type="dxa"/>
            <w:vAlign w:val="center"/>
          </w:tcPr>
          <w:p>
            <w:pPr>
              <w:spacing w:line="240" w:lineRule="auto"/>
              <w:ind w:firstLine="0"/>
              <w:jc w:val="center"/>
              <w:rPr>
                <w:rFonts w:hint="default" w:ascii="Times New Roman" w:hAnsi="Times New Roman" w:cs="Times New Roman"/>
                <w:color w:val="auto"/>
                <w:sz w:val="16"/>
                <w:szCs w:val="16"/>
              </w:rPr>
            </w:pPr>
            <w:r>
              <w:rPr>
                <w:rFonts w:hint="default" w:ascii="Times New Roman" w:hAnsi="Times New Roman" w:cs="Times New Roman"/>
                <w:color w:val="auto"/>
                <w:sz w:val="16"/>
                <w:szCs w:val="16"/>
              </w:rPr>
              <w:t>极端最小</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w:t>
            </w:r>
            <w:r>
              <w:rPr>
                <w:rFonts w:hint="default" w:ascii="Times New Roman" w:hAnsi="Times New Roman" w:cs="Times New Roman"/>
                <w:color w:val="auto"/>
                <w:spacing w:val="-20"/>
                <w:sz w:val="16"/>
                <w:szCs w:val="16"/>
                <w:lang w:val="en-US" w:eastAsia="zh-CN"/>
              </w:rPr>
              <w:t>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45</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lang w:val="en-US" w:eastAsia="zh-CN"/>
              </w:rPr>
              <w:t>7</w:t>
            </w: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7</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17</w:t>
            </w:r>
            <w:r>
              <w:rPr>
                <w:rFonts w:hint="default" w:ascii="Times New Roman" w:hAnsi="Times New Roman" w:cs="Times New Roman"/>
                <w:color w:val="auto"/>
                <w:spacing w:val="-20"/>
                <w:sz w:val="16"/>
                <w:szCs w:val="16"/>
                <w:lang w:val="en-US" w:eastAsia="zh-CN"/>
              </w:rPr>
              <w:t>1</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222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3</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212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76"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184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5</w:t>
            </w:r>
          </w:p>
        </w:tc>
        <w:tc>
          <w:tcPr>
            <w:tcW w:w="576"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124</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0</w:t>
            </w:r>
          </w:p>
        </w:tc>
        <w:tc>
          <w:tcPr>
            <w:tcW w:w="505" w:type="dxa"/>
            <w:vAlign w:val="center"/>
          </w:tcPr>
          <w:p>
            <w:pPr>
              <w:spacing w:line="240" w:lineRule="auto"/>
              <w:ind w:firstLine="0"/>
              <w:jc w:val="center"/>
              <w:rPr>
                <w:rFonts w:hint="default" w:ascii="Times New Roman" w:hAnsi="Times New Roman" w:cs="Times New Roman"/>
                <w:color w:val="auto"/>
                <w:spacing w:val="-20"/>
                <w:sz w:val="16"/>
                <w:szCs w:val="16"/>
              </w:rPr>
            </w:pPr>
            <w:r>
              <w:rPr>
                <w:rFonts w:hint="default" w:ascii="Times New Roman" w:hAnsi="Times New Roman" w:cs="Times New Roman"/>
                <w:color w:val="auto"/>
                <w:spacing w:val="-20"/>
                <w:sz w:val="16"/>
                <w:szCs w:val="16"/>
              </w:rPr>
              <w:t>63</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rPr>
              <w:t>1</w:t>
            </w:r>
          </w:p>
        </w:tc>
        <w:tc>
          <w:tcPr>
            <w:tcW w:w="585"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19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3</w:t>
            </w:r>
          </w:p>
        </w:tc>
        <w:tc>
          <w:tcPr>
            <w:tcW w:w="568"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9</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2</w:t>
            </w:r>
          </w:p>
        </w:tc>
        <w:tc>
          <w:tcPr>
            <w:tcW w:w="643" w:type="dxa"/>
            <w:vAlign w:val="center"/>
          </w:tcPr>
          <w:p>
            <w:pPr>
              <w:spacing w:line="240" w:lineRule="auto"/>
              <w:ind w:firstLine="0"/>
              <w:jc w:val="center"/>
              <w:rPr>
                <w:rFonts w:hint="default" w:ascii="Times New Roman" w:hAnsi="Times New Roman" w:eastAsia="宋体" w:cs="Times New Roman"/>
                <w:color w:val="auto"/>
                <w:spacing w:val="-20"/>
                <w:sz w:val="16"/>
                <w:szCs w:val="16"/>
                <w:lang w:val="en-US" w:eastAsia="zh-CN"/>
              </w:rPr>
            </w:pPr>
            <w:r>
              <w:rPr>
                <w:rFonts w:hint="default" w:ascii="Times New Roman" w:hAnsi="Times New Roman" w:cs="Times New Roman"/>
                <w:color w:val="auto"/>
                <w:spacing w:val="-20"/>
                <w:sz w:val="16"/>
                <w:szCs w:val="16"/>
              </w:rPr>
              <w:t>1272</w:t>
            </w:r>
            <w:r>
              <w:rPr>
                <w:rFonts w:hint="default" w:ascii="Times New Roman" w:hAnsi="Times New Roman" w:cs="Times New Roman"/>
                <w:color w:val="auto"/>
                <w:spacing w:val="-20"/>
                <w:sz w:val="16"/>
                <w:szCs w:val="16"/>
              </w:rPr>
              <w:t>.</w:t>
            </w:r>
            <w:r>
              <w:rPr>
                <w:rFonts w:hint="default" w:ascii="Times New Roman" w:hAnsi="Times New Roman" w:cs="Times New Roman"/>
                <w:color w:val="auto"/>
                <w:spacing w:val="-20"/>
                <w:sz w:val="16"/>
                <w:szCs w:val="16"/>
                <w:lang w:val="en-US" w:eastAsia="zh-CN"/>
              </w:rPr>
              <w:t>1</w:t>
            </w:r>
          </w:p>
        </w:tc>
      </w:tr>
    </w:tbl>
    <w:p>
      <w:pPr>
        <w:widowControl w:val="0"/>
        <w:wordWrap/>
        <w:adjustRightInd/>
        <w:snapToGrid/>
        <w:ind w:firstLine="480" w:firstLineChars="200"/>
        <w:jc w:val="left"/>
        <w:textAlignment w:val="auto"/>
        <w:rPr>
          <w:rFonts w:hint="eastAsia"/>
          <w:color w:val="auto"/>
        </w:rPr>
      </w:pPr>
      <w:r>
        <w:rPr>
          <w:rFonts w:hint="eastAsia"/>
          <w:color w:val="auto"/>
        </w:rPr>
        <w:t>（</w:t>
      </w:r>
      <w:r>
        <w:rPr>
          <w:rFonts w:hint="eastAsia" w:ascii="Times New Roman" w:hAnsi="Times New Roman"/>
          <w:color w:val="auto"/>
        </w:rPr>
        <w:t>2</w:t>
      </w:r>
      <w:r>
        <w:rPr>
          <w:rFonts w:hint="eastAsia"/>
          <w:color w:val="auto"/>
        </w:rPr>
        <w:t>）风向</w:t>
      </w:r>
    </w:p>
    <w:p>
      <w:pPr>
        <w:widowControl w:val="0"/>
        <w:wordWrap/>
        <w:adjustRightInd/>
        <w:snapToGrid/>
        <w:ind w:firstLine="480" w:firstLineChars="200"/>
        <w:jc w:val="left"/>
        <w:textAlignment w:val="auto"/>
        <w:rPr>
          <w:rFonts w:hint="eastAsia"/>
          <w:color w:val="auto"/>
        </w:rPr>
      </w:pPr>
      <w:r>
        <w:rPr>
          <w:rFonts w:hint="eastAsia"/>
          <w:color w:val="auto"/>
        </w:rPr>
        <w:t>根据收集的气象资料统计的全年及四季风向频率见表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2</w:t>
      </w:r>
      <w:r>
        <w:rPr>
          <w:rFonts w:hint="eastAsia"/>
          <w:color w:val="auto"/>
        </w:rPr>
        <w:t>。</w:t>
      </w:r>
    </w:p>
    <w:p>
      <w:pPr>
        <w:pStyle w:val="20"/>
        <w:widowControl w:val="0"/>
        <w:wordWrap/>
        <w:adjustRightInd/>
        <w:snapToGrid/>
        <w:spacing w:before="0" w:beforeLines="0" w:line="240" w:lineRule="atLeast"/>
        <w:textAlignment w:val="auto"/>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2</w:t>
      </w:r>
      <w:r>
        <w:rPr>
          <w:rFonts w:hint="eastAsia"/>
          <w:color w:val="auto"/>
        </w:rPr>
        <w:t xml:space="preserve">  全年及四季风向频率(%)</w:t>
      </w:r>
    </w:p>
    <w:tbl>
      <w:tblPr>
        <w:tblStyle w:val="80"/>
        <w:tblW w:w="905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0"/>
        <w:gridCol w:w="492"/>
        <w:gridCol w:w="499"/>
        <w:gridCol w:w="499"/>
        <w:gridCol w:w="499"/>
        <w:gridCol w:w="499"/>
        <w:gridCol w:w="495"/>
        <w:gridCol w:w="495"/>
        <w:gridCol w:w="499"/>
        <w:gridCol w:w="497"/>
        <w:gridCol w:w="499"/>
        <w:gridCol w:w="499"/>
        <w:gridCol w:w="530"/>
        <w:gridCol w:w="499"/>
        <w:gridCol w:w="562"/>
        <w:gridCol w:w="497"/>
        <w:gridCol w:w="510"/>
        <w:gridCol w:w="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0" w:hRule="atLeast"/>
          <w:tblHeader/>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hAnsi="宋体"/>
                <w:color w:val="auto"/>
                <w:sz w:val="18"/>
                <w:szCs w:val="18"/>
              </w:rPr>
              <w:t>月</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NNE</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NE</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ENE</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E</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ESE</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SE</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SSE</w:t>
            </w:r>
          </w:p>
        </w:tc>
        <w:tc>
          <w:tcPr>
            <w:tcW w:w="497" w:type="dxa"/>
            <w:tcMar>
              <w:top w:w="15" w:type="dxa"/>
              <w:left w:w="15" w:type="dxa"/>
              <w:bottom w:w="0" w:type="dxa"/>
              <w:right w:w="15" w:type="dxa"/>
            </w:tcMar>
            <w:vAlign w:val="center"/>
          </w:tcPr>
          <w:p>
            <w:pPr>
              <w:pStyle w:val="56"/>
              <w:pBdr>
                <w:bottom w:val="none" w:color="auto" w:sz="0" w:space="0"/>
              </w:pBdr>
              <w:tabs>
                <w:tab w:val="clear" w:pos="4153"/>
                <w:tab w:val="clear" w:pos="8306"/>
              </w:tabs>
              <w:snapToGrid/>
              <w:spacing w:line="240" w:lineRule="auto"/>
              <w:ind w:firstLine="0"/>
              <w:rPr>
                <w:color w:val="auto"/>
              </w:rPr>
            </w:pPr>
            <w:r>
              <w:rPr>
                <w:rFonts w:ascii="Times New Roman" w:hAnsi="Times New Roman"/>
                <w:color w:val="auto"/>
              </w:rPr>
              <w:t>S</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SSW</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SW</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WSW</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W</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WNW</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NW</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NNW</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0</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1</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15</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4</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1</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13</w:t>
            </w:r>
            <w:r>
              <w:rPr>
                <w:color w:val="auto"/>
                <w:sz w:val="18"/>
                <w:szCs w:val="18"/>
              </w:rPr>
              <w:t>.</w:t>
            </w:r>
            <w:r>
              <w:rPr>
                <w:rFonts w:ascii="Times New Roman" w:hAnsi="Times New Roman"/>
                <w:color w:val="auto"/>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r>
              <w:rPr>
                <w:color w:val="auto"/>
                <w:sz w:val="18"/>
                <w:szCs w:val="18"/>
              </w:rPr>
              <w:t>.</w:t>
            </w:r>
            <w:r>
              <w:rPr>
                <w:rFonts w:ascii="Times New Roman" w:hAnsi="Times New Roman"/>
                <w:color w:val="auto"/>
                <w:sz w:val="18"/>
                <w:szCs w:val="18"/>
              </w:rPr>
              <w:t>4</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1</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12</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3</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4</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9</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4</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4</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2</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6</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8</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2</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2</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2</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2</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0</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7</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2</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9</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3</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1</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1</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11</w:t>
            </w:r>
            <w:r>
              <w:rPr>
                <w:color w:val="auto"/>
                <w:sz w:val="18"/>
                <w:szCs w:val="18"/>
              </w:rPr>
              <w:t>.</w:t>
            </w:r>
            <w:r>
              <w:rPr>
                <w:rFonts w:ascii="Times New Roman" w:hAnsi="Times New Roman"/>
                <w:color w:val="auto"/>
                <w:sz w:val="18"/>
                <w:szCs w:val="18"/>
              </w:rPr>
              <w:t>4</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1</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8</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8</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9</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2</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5</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11</w:t>
            </w:r>
            <w:r>
              <w:rPr>
                <w:color w:val="auto"/>
                <w:sz w:val="18"/>
                <w:szCs w:val="18"/>
              </w:rPr>
              <w:t>.</w:t>
            </w:r>
            <w:r>
              <w:rPr>
                <w:rFonts w:ascii="Times New Roman" w:hAnsi="Times New Roman"/>
                <w:color w:val="auto"/>
                <w:sz w:val="18"/>
                <w:szCs w:val="18"/>
              </w:rPr>
              <w:t>8</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8</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8</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8</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8</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r>
              <w:rPr>
                <w:color w:val="auto"/>
                <w:sz w:val="18"/>
                <w:szCs w:val="18"/>
              </w:rPr>
              <w:t>.</w:t>
            </w:r>
            <w:r>
              <w:rPr>
                <w:rFonts w:ascii="Times New Roman" w:hAnsi="Times New Roman"/>
                <w:color w:val="auto"/>
                <w:sz w:val="18"/>
                <w:szCs w:val="18"/>
              </w:rPr>
              <w:t>4</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11</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2</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8</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9</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6</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4</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5</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r>
              <w:rPr>
                <w:color w:val="auto"/>
                <w:sz w:val="18"/>
                <w:szCs w:val="18"/>
              </w:rPr>
              <w:t>.</w:t>
            </w:r>
            <w:r>
              <w:rPr>
                <w:rFonts w:ascii="Times New Roman" w:hAnsi="Times New Roman"/>
                <w:color w:val="auto"/>
                <w:sz w:val="18"/>
                <w:szCs w:val="18"/>
              </w:rPr>
              <w:t>4</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9</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6</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7</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5</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1</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14</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9</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3</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2</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8</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4</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8</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1</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13</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r>
              <w:rPr>
                <w:color w:val="auto"/>
                <w:sz w:val="18"/>
                <w:szCs w:val="18"/>
              </w:rPr>
              <w:t>.</w:t>
            </w:r>
            <w:r>
              <w:rPr>
                <w:rFonts w:ascii="Times New Roman" w:hAnsi="Times New Roman"/>
                <w:color w:val="auto"/>
                <w:sz w:val="18"/>
                <w:szCs w:val="18"/>
              </w:rPr>
              <w:t>4</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2</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0</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9</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0</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2</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2</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0</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6</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18</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3</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8</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6</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6</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14</w:t>
            </w:r>
            <w:r>
              <w:rPr>
                <w:color w:val="auto"/>
                <w:sz w:val="18"/>
                <w:szCs w:val="18"/>
              </w:rPr>
              <w:t>.</w:t>
            </w:r>
            <w:r>
              <w:rPr>
                <w:rFonts w:ascii="Times New Roman" w:hAnsi="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11</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2</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1</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2</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3</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10</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3</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3</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8</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6</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15</w:t>
            </w:r>
            <w:r>
              <w:rPr>
                <w:color w:val="auto"/>
                <w:sz w:val="18"/>
                <w:szCs w:val="18"/>
              </w:rPr>
              <w:t>.</w:t>
            </w:r>
            <w:r>
              <w:rPr>
                <w:rFonts w:ascii="Times New Roman" w:hAnsi="Times New Roman"/>
                <w:color w:val="auto"/>
                <w:sz w:val="18"/>
                <w:szCs w:val="18"/>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12</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9</w:t>
            </w:r>
            <w:r>
              <w:rPr>
                <w:color w:val="auto"/>
                <w:sz w:val="18"/>
                <w:szCs w:val="18"/>
              </w:rPr>
              <w:t>.</w:t>
            </w:r>
            <w:r>
              <w:rPr>
                <w:rFonts w:ascii="Times New Roman" w:hAnsi="Times New Roman"/>
                <w:color w:val="auto"/>
                <w:sz w:val="18"/>
                <w:szCs w:val="18"/>
              </w:rPr>
              <w:t>4</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0</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5</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8</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3</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1</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1</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1</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12</w:t>
            </w:r>
            <w:r>
              <w:rPr>
                <w:color w:val="auto"/>
                <w:sz w:val="18"/>
                <w:szCs w:val="18"/>
              </w:rPr>
              <w:t>.</w:t>
            </w:r>
            <w:r>
              <w:rPr>
                <w:rFonts w:ascii="Times New Roman" w:hAnsi="Times New Roman"/>
                <w:color w:val="auto"/>
                <w:sz w:val="18"/>
                <w:szCs w:val="18"/>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2" w:hRule="atLeast"/>
        </w:trPr>
        <w:tc>
          <w:tcPr>
            <w:tcW w:w="500" w:type="dxa"/>
            <w:tcMar>
              <w:top w:w="15" w:type="dxa"/>
              <w:left w:w="15" w:type="dxa"/>
              <w:bottom w:w="0" w:type="dxa"/>
              <w:right w:w="15" w:type="dxa"/>
            </w:tcMar>
            <w:vAlign w:val="center"/>
          </w:tcPr>
          <w:p>
            <w:pPr>
              <w:spacing w:line="240" w:lineRule="auto"/>
              <w:ind w:firstLine="0"/>
              <w:jc w:val="center"/>
              <w:rPr>
                <w:color w:val="auto"/>
                <w:sz w:val="18"/>
                <w:szCs w:val="18"/>
              </w:rPr>
            </w:pPr>
            <w:r>
              <w:rPr>
                <w:rFonts w:hAnsi="宋体"/>
                <w:color w:val="auto"/>
                <w:sz w:val="18"/>
                <w:szCs w:val="18"/>
              </w:rPr>
              <w:t>年</w:t>
            </w:r>
          </w:p>
        </w:tc>
        <w:tc>
          <w:tcPr>
            <w:tcW w:w="4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7</w:t>
            </w:r>
            <w:r>
              <w:rPr>
                <w:color w:val="auto"/>
                <w:sz w:val="18"/>
                <w:szCs w:val="18"/>
              </w:rPr>
              <w:t>.</w:t>
            </w:r>
            <w:r>
              <w:rPr>
                <w:rFonts w:ascii="Times New Roman" w:hAnsi="Times New Roman"/>
                <w:color w:val="auto"/>
                <w:sz w:val="18"/>
                <w:szCs w:val="18"/>
              </w:rPr>
              <w:t>8</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7</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7</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3</w:t>
            </w:r>
          </w:p>
        </w:tc>
        <w:tc>
          <w:tcPr>
            <w:tcW w:w="495"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9</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7</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11</w:t>
            </w:r>
            <w:r>
              <w:rPr>
                <w:color w:val="auto"/>
                <w:sz w:val="18"/>
                <w:szCs w:val="18"/>
              </w:rPr>
              <w:t>.</w:t>
            </w:r>
            <w:r>
              <w:rPr>
                <w:rFonts w:ascii="Times New Roman" w:hAnsi="Times New Roman"/>
                <w:color w:val="auto"/>
                <w:sz w:val="18"/>
                <w:szCs w:val="18"/>
              </w:rPr>
              <w:t>6</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1</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2</w:t>
            </w:r>
          </w:p>
        </w:tc>
        <w:tc>
          <w:tcPr>
            <w:tcW w:w="53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5</w:t>
            </w:r>
          </w:p>
        </w:tc>
        <w:tc>
          <w:tcPr>
            <w:tcW w:w="49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6</w:t>
            </w:r>
            <w:r>
              <w:rPr>
                <w:color w:val="auto"/>
                <w:sz w:val="18"/>
                <w:szCs w:val="18"/>
              </w:rPr>
              <w:t>.</w:t>
            </w:r>
            <w:r>
              <w:rPr>
                <w:rFonts w:ascii="Times New Roman" w:hAnsi="Times New Roman"/>
                <w:color w:val="auto"/>
                <w:sz w:val="18"/>
                <w:szCs w:val="18"/>
              </w:rPr>
              <w:t>0</w:t>
            </w:r>
          </w:p>
        </w:tc>
        <w:tc>
          <w:tcPr>
            <w:tcW w:w="56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8</w:t>
            </w:r>
          </w:p>
        </w:tc>
        <w:tc>
          <w:tcPr>
            <w:tcW w:w="497"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1</w:t>
            </w:r>
          </w:p>
        </w:tc>
        <w:tc>
          <w:tcPr>
            <w:tcW w:w="51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5</w:t>
            </w:r>
            <w:r>
              <w:rPr>
                <w:color w:val="auto"/>
                <w:sz w:val="18"/>
                <w:szCs w:val="18"/>
              </w:rPr>
              <w:t>.</w:t>
            </w:r>
            <w:r>
              <w:rPr>
                <w:rFonts w:ascii="Times New Roman" w:hAnsi="Times New Roman"/>
                <w:color w:val="auto"/>
                <w:sz w:val="18"/>
                <w:szCs w:val="18"/>
              </w:rPr>
              <w:t>4</w:t>
            </w:r>
          </w:p>
        </w:tc>
        <w:tc>
          <w:tcPr>
            <w:tcW w:w="48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8</w:t>
            </w:r>
            <w:r>
              <w:rPr>
                <w:color w:val="auto"/>
                <w:sz w:val="18"/>
                <w:szCs w:val="18"/>
              </w:rPr>
              <w:t>.</w:t>
            </w:r>
            <w:r>
              <w:rPr>
                <w:rFonts w:ascii="Times New Roman" w:hAnsi="Times New Roman"/>
                <w:color w:val="auto"/>
                <w:sz w:val="18"/>
                <w:szCs w:val="18"/>
              </w:rPr>
              <w:t>9</w:t>
            </w:r>
          </w:p>
        </w:tc>
      </w:tr>
    </w:tbl>
    <w:p>
      <w:pPr>
        <w:widowControl w:val="0"/>
        <w:wordWrap/>
        <w:adjustRightInd/>
        <w:snapToGrid/>
        <w:ind w:firstLine="480" w:firstLineChars="200"/>
        <w:jc w:val="left"/>
        <w:textAlignment w:val="auto"/>
        <w:rPr>
          <w:rFonts w:hint="eastAsia"/>
          <w:color w:val="auto"/>
        </w:rPr>
      </w:pPr>
      <w:r>
        <w:rPr>
          <w:rFonts w:hint="eastAsia"/>
          <w:color w:val="auto"/>
        </w:rPr>
        <w:t>（</w:t>
      </w:r>
      <w:r>
        <w:rPr>
          <w:rFonts w:hint="eastAsia" w:ascii="Times New Roman" w:hAnsi="Times New Roman"/>
          <w:color w:val="auto"/>
        </w:rPr>
        <w:t>3</w:t>
      </w:r>
      <w:r>
        <w:rPr>
          <w:rFonts w:hint="eastAsia"/>
          <w:color w:val="auto"/>
        </w:rPr>
        <w:t>）风速</w:t>
      </w:r>
    </w:p>
    <w:p>
      <w:pPr>
        <w:widowControl w:val="0"/>
        <w:wordWrap/>
        <w:adjustRightInd/>
        <w:snapToGrid/>
        <w:ind w:firstLine="480" w:firstLineChars="200"/>
        <w:jc w:val="left"/>
        <w:textAlignment w:val="auto"/>
        <w:rPr>
          <w:rFonts w:hint="eastAsia"/>
          <w:color w:val="auto"/>
        </w:rPr>
      </w:pPr>
      <w:r>
        <w:rPr>
          <w:rFonts w:hint="eastAsia"/>
          <w:color w:val="auto"/>
        </w:rPr>
        <w:t>根据乌苏气象站资料，该区域全年各月平均风速见表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3</w:t>
      </w:r>
      <w:r>
        <w:rPr>
          <w:rFonts w:hint="eastAsia"/>
          <w:color w:val="auto"/>
        </w:rPr>
        <w:t>和图</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1</w:t>
      </w:r>
      <w:r>
        <w:rPr>
          <w:rFonts w:hint="eastAsia"/>
          <w:color w:val="auto"/>
        </w:rPr>
        <w:t>。</w:t>
      </w:r>
    </w:p>
    <w:p>
      <w:pPr>
        <w:pStyle w:val="20"/>
        <w:spacing w:before="0" w:beforeLines="0"/>
        <w:rPr>
          <w:rFonts w:hint="eastAsia"/>
          <w:color w:val="auto"/>
        </w:rPr>
      </w:pPr>
    </w:p>
    <w:p>
      <w:pPr>
        <w:pStyle w:val="20"/>
        <w:spacing w:before="0" w:beforeLines="0"/>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3</w:t>
      </w:r>
      <w:r>
        <w:rPr>
          <w:rFonts w:hint="eastAsia"/>
          <w:color w:val="auto"/>
        </w:rPr>
        <w:t xml:space="preserve">  各月平均风速统计表  单位：</w:t>
      </w:r>
      <w:r>
        <w:rPr>
          <w:rFonts w:hint="eastAsia" w:ascii="Times New Roman" w:hAnsi="Times New Roman"/>
          <w:color w:val="auto"/>
        </w:rPr>
        <w:t>m</w:t>
      </w:r>
      <w:r>
        <w:rPr>
          <w:rFonts w:hint="eastAsia"/>
          <w:color w:val="auto"/>
        </w:rPr>
        <w:t>/</w:t>
      </w:r>
      <w:r>
        <w:rPr>
          <w:rFonts w:hint="eastAsia" w:ascii="Times New Roman" w:hAnsi="Times New Roman"/>
          <w:color w:val="auto"/>
        </w:rPr>
        <w:t>s</w:t>
      </w:r>
    </w:p>
    <w:tbl>
      <w:tblPr>
        <w:tblStyle w:val="80"/>
        <w:tblW w:w="89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58"/>
        <w:gridCol w:w="546"/>
        <w:gridCol w:w="546"/>
        <w:gridCol w:w="547"/>
        <w:gridCol w:w="547"/>
        <w:gridCol w:w="547"/>
        <w:gridCol w:w="547"/>
        <w:gridCol w:w="547"/>
        <w:gridCol w:w="547"/>
        <w:gridCol w:w="547"/>
        <w:gridCol w:w="547"/>
        <w:gridCol w:w="547"/>
        <w:gridCol w:w="547"/>
        <w:gridCol w:w="5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1858" w:type="dxa"/>
            <w:tcMar>
              <w:top w:w="15" w:type="dxa"/>
              <w:left w:w="15" w:type="dxa"/>
              <w:bottom w:w="0" w:type="dxa"/>
              <w:right w:w="15" w:type="dxa"/>
            </w:tcMar>
            <w:vAlign w:val="center"/>
          </w:tcPr>
          <w:p>
            <w:pPr>
              <w:pStyle w:val="43"/>
              <w:snapToGrid w:val="0"/>
              <w:spacing w:line="240" w:lineRule="auto"/>
              <w:ind w:left="0" w:firstLine="0"/>
              <w:jc w:val="center"/>
              <w:rPr>
                <w:rFonts w:hint="default" w:ascii="宋体" w:hAnsi="宋体" w:eastAsia="宋体" w:cs="宋体"/>
                <w:color w:val="auto"/>
                <w:sz w:val="21"/>
                <w:szCs w:val="21"/>
                <w:lang w:val="en-US" w:eastAsia="zh-CN"/>
              </w:rPr>
            </w:pPr>
            <w:r>
              <w:rPr>
                <w:rFonts w:hint="eastAsia" w:hAnsi="宋体" w:cs="宋体"/>
                <w:i w:val="0"/>
                <w:iCs w:val="0"/>
                <w:color w:val="auto"/>
                <w:sz w:val="21"/>
                <w:szCs w:val="21"/>
              </w:rPr>
              <w:t>项目</w:t>
            </w:r>
            <w:r>
              <w:rPr>
                <w:rFonts w:hint="eastAsia" w:hAnsi="宋体" w:cs="宋体"/>
                <w:i w:val="0"/>
                <w:iCs w:val="0"/>
                <w:color w:val="auto"/>
                <w:sz w:val="21"/>
                <w:szCs w:val="21"/>
                <w:lang w:val="en-US" w:eastAsia="zh-CN"/>
              </w:rPr>
              <w:t>\月份</w:t>
            </w:r>
          </w:p>
        </w:tc>
        <w:tc>
          <w:tcPr>
            <w:tcW w:w="546"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p>
        </w:tc>
        <w:tc>
          <w:tcPr>
            <w:tcW w:w="546"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2</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3</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4</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5</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6</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7</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8</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9</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10</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11</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12</w:t>
            </w:r>
          </w:p>
        </w:tc>
        <w:tc>
          <w:tcPr>
            <w:tcW w:w="55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hAnsi="宋体" w:cs="宋体"/>
                <w:color w:val="auto"/>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 w:hRule="atLeast"/>
          <w:jc w:val="center"/>
        </w:trPr>
        <w:tc>
          <w:tcPr>
            <w:tcW w:w="1858"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hAnsi="宋体" w:cs="宋体"/>
                <w:color w:val="auto"/>
                <w:sz w:val="21"/>
                <w:szCs w:val="21"/>
              </w:rPr>
              <w:t>平均风速(</w:t>
            </w:r>
            <w:r>
              <w:rPr>
                <w:rFonts w:hint="eastAsia" w:ascii="Times New Roman" w:hAnsi="Times New Roman" w:cs="宋体"/>
                <w:color w:val="auto"/>
                <w:sz w:val="21"/>
                <w:szCs w:val="21"/>
              </w:rPr>
              <w:t>m</w:t>
            </w:r>
            <w:r>
              <w:rPr>
                <w:rFonts w:hint="eastAsia" w:hAnsi="宋体" w:cs="宋体"/>
                <w:color w:val="auto"/>
                <w:sz w:val="21"/>
                <w:szCs w:val="21"/>
              </w:rPr>
              <w:t>/</w:t>
            </w:r>
            <w:r>
              <w:rPr>
                <w:rFonts w:hint="eastAsia" w:ascii="Times New Roman" w:hAnsi="Times New Roman" w:cs="宋体"/>
                <w:color w:val="auto"/>
                <w:sz w:val="21"/>
                <w:szCs w:val="21"/>
              </w:rPr>
              <w:t>s</w:t>
            </w:r>
            <w:r>
              <w:rPr>
                <w:rFonts w:hint="eastAsia" w:hAnsi="宋体" w:cs="宋体"/>
                <w:color w:val="auto"/>
                <w:sz w:val="21"/>
                <w:szCs w:val="21"/>
              </w:rPr>
              <w:t>)</w:t>
            </w:r>
          </w:p>
        </w:tc>
        <w:tc>
          <w:tcPr>
            <w:tcW w:w="546"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3</w:t>
            </w:r>
          </w:p>
        </w:tc>
        <w:tc>
          <w:tcPr>
            <w:tcW w:w="546"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4</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8</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2</w:t>
            </w:r>
            <w:r>
              <w:rPr>
                <w:rFonts w:hint="eastAsia" w:hAnsi="宋体" w:cs="宋体"/>
                <w:color w:val="auto"/>
                <w:sz w:val="21"/>
                <w:szCs w:val="21"/>
              </w:rPr>
              <w:t>.</w:t>
            </w:r>
            <w:r>
              <w:rPr>
                <w:rFonts w:hint="eastAsia" w:ascii="Times New Roman" w:hAnsi="Times New Roman" w:cs="宋体"/>
                <w:color w:val="auto"/>
                <w:sz w:val="21"/>
                <w:szCs w:val="21"/>
              </w:rPr>
              <w:t>3</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2</w:t>
            </w:r>
            <w:r>
              <w:rPr>
                <w:rFonts w:hint="eastAsia" w:hAnsi="宋体" w:cs="宋体"/>
                <w:color w:val="auto"/>
                <w:sz w:val="21"/>
                <w:szCs w:val="21"/>
              </w:rPr>
              <w:t>.</w:t>
            </w:r>
            <w:r>
              <w:rPr>
                <w:rFonts w:hint="eastAsia" w:ascii="Times New Roman" w:hAnsi="Times New Roman" w:cs="宋体"/>
                <w:color w:val="auto"/>
                <w:sz w:val="21"/>
                <w:szCs w:val="21"/>
              </w:rPr>
              <w:t>4</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2</w:t>
            </w:r>
            <w:r>
              <w:rPr>
                <w:rFonts w:hint="eastAsia" w:hAnsi="宋体" w:cs="宋体"/>
                <w:color w:val="auto"/>
                <w:sz w:val="21"/>
                <w:szCs w:val="21"/>
              </w:rPr>
              <w:t>.</w:t>
            </w:r>
            <w:r>
              <w:rPr>
                <w:rFonts w:hint="eastAsia" w:ascii="Times New Roman" w:hAnsi="Times New Roman" w:cs="宋体"/>
                <w:color w:val="auto"/>
                <w:sz w:val="21"/>
                <w:szCs w:val="21"/>
              </w:rPr>
              <w:t>4</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2</w:t>
            </w:r>
            <w:r>
              <w:rPr>
                <w:rFonts w:hint="eastAsia" w:hAnsi="宋体" w:cs="宋体"/>
                <w:color w:val="auto"/>
                <w:sz w:val="21"/>
                <w:szCs w:val="21"/>
              </w:rPr>
              <w:t>.</w:t>
            </w:r>
            <w:r>
              <w:rPr>
                <w:rFonts w:hint="eastAsia" w:ascii="Times New Roman" w:hAnsi="Times New Roman" w:cs="宋体"/>
                <w:color w:val="auto"/>
                <w:sz w:val="21"/>
                <w:szCs w:val="21"/>
              </w:rPr>
              <w:t>2</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9</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6</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3</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3</w:t>
            </w:r>
          </w:p>
        </w:tc>
        <w:tc>
          <w:tcPr>
            <w:tcW w:w="54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3</w:t>
            </w:r>
          </w:p>
        </w:tc>
        <w:tc>
          <w:tcPr>
            <w:tcW w:w="557" w:type="dxa"/>
            <w:tcMar>
              <w:top w:w="15" w:type="dxa"/>
              <w:left w:w="15" w:type="dxa"/>
              <w:bottom w:w="0" w:type="dxa"/>
              <w:right w:w="15" w:type="dxa"/>
            </w:tcMar>
            <w:vAlign w:val="center"/>
          </w:tcPr>
          <w:p>
            <w:pPr>
              <w:spacing w:line="240" w:lineRule="auto"/>
              <w:ind w:firstLine="0"/>
              <w:jc w:val="center"/>
              <w:rPr>
                <w:rFonts w:hint="eastAsia" w:hAnsi="宋体" w:cs="宋体"/>
                <w:color w:val="auto"/>
                <w:sz w:val="21"/>
                <w:szCs w:val="21"/>
              </w:rPr>
            </w:pPr>
            <w:r>
              <w:rPr>
                <w:rFonts w:hint="eastAsia" w:ascii="Times New Roman" w:hAnsi="Times New Roman" w:cs="宋体"/>
                <w:color w:val="auto"/>
                <w:sz w:val="21"/>
                <w:szCs w:val="21"/>
              </w:rPr>
              <w:t>1</w:t>
            </w:r>
            <w:r>
              <w:rPr>
                <w:rFonts w:hint="eastAsia" w:hAnsi="宋体" w:cs="宋体"/>
                <w:color w:val="auto"/>
                <w:sz w:val="21"/>
                <w:szCs w:val="21"/>
              </w:rPr>
              <w:t>.</w:t>
            </w:r>
            <w:r>
              <w:rPr>
                <w:rFonts w:hint="eastAsia" w:ascii="Times New Roman" w:hAnsi="Times New Roman" w:cs="宋体"/>
                <w:color w:val="auto"/>
                <w:sz w:val="21"/>
                <w:szCs w:val="21"/>
              </w:rPr>
              <w:t>8</w:t>
            </w:r>
          </w:p>
        </w:tc>
      </w:tr>
    </w:tbl>
    <w:p>
      <w:pPr>
        <w:jc w:val="center"/>
        <w:rPr>
          <w:rFonts w:hint="eastAsia"/>
          <w:color w:val="auto"/>
        </w:rPr>
      </w:pPr>
      <w:r>
        <w:rPr>
          <w:rFonts w:hint="eastAsia" w:ascii="宋体" w:hAnsi="宋体" w:eastAsia="宋体" w:cs="宋体"/>
          <w:b/>
          <w:bCs/>
          <w:color w:val="auto"/>
          <w:sz w:val="24"/>
          <w:lang w:val="en-US" w:eastAsia="zh-CN" w:bidi="ar-SA"/>
        </w:rPr>
        <w:drawing>
          <wp:anchor distT="0" distB="0" distL="114300" distR="114300" simplePos="0" relativeHeight="251692032" behindDoc="0" locked="0" layoutInCell="1" allowOverlap="1">
            <wp:simplePos x="0" y="0"/>
            <wp:positionH relativeFrom="column">
              <wp:posOffset>951865</wp:posOffset>
            </wp:positionH>
            <wp:positionV relativeFrom="page">
              <wp:posOffset>1964055</wp:posOffset>
            </wp:positionV>
            <wp:extent cx="3736340" cy="1388110"/>
            <wp:effectExtent l="0" t="0" r="0" b="2540"/>
            <wp:wrapTopAndBottom/>
            <wp:docPr id="17"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11"/>
                    <pic:cNvPicPr>
                      <a:picLocks noChangeAspect="1"/>
                    </pic:cNvPicPr>
                  </pic:nvPicPr>
                  <pic:blipFill>
                    <a:blip r:embed="rId64">
                      <a:lum/>
                    </a:blip>
                    <a:srcRect t="3378" b="6154"/>
                    <a:stretch>
                      <a:fillRect/>
                    </a:stretch>
                  </pic:blipFill>
                  <pic:spPr>
                    <a:xfrm>
                      <a:off x="0" y="0"/>
                      <a:ext cx="3736340" cy="1388110"/>
                    </a:xfrm>
                    <a:prstGeom prst="rect">
                      <a:avLst/>
                    </a:prstGeom>
                    <a:noFill/>
                    <a:ln>
                      <a:noFill/>
                    </a:ln>
                  </pic:spPr>
                </pic:pic>
              </a:graphicData>
            </a:graphic>
          </wp:anchor>
        </w:drawing>
      </w:r>
      <w:r>
        <w:rPr>
          <w:rFonts w:hint="eastAsia" w:hAnsi="宋体" w:cs="宋体"/>
          <w:b/>
          <w:bCs/>
          <w:color w:val="auto"/>
          <w:sz w:val="21"/>
          <w:szCs w:val="21"/>
        </w:rPr>
        <w:t>图</w:t>
      </w:r>
      <w:r>
        <w:rPr>
          <w:rFonts w:hint="eastAsia" w:ascii="Times New Roman" w:hAnsi="Times New Roman" w:cs="宋体"/>
          <w:b/>
          <w:bCs/>
          <w:color w:val="auto"/>
          <w:sz w:val="21"/>
          <w:szCs w:val="21"/>
          <w:lang w:val="en-US" w:eastAsia="zh-CN"/>
        </w:rPr>
        <w:t>6</w:t>
      </w:r>
      <w:r>
        <w:rPr>
          <w:rFonts w:hint="eastAsia" w:hAnsi="宋体" w:cs="宋体"/>
          <w:b/>
          <w:bCs/>
          <w:color w:val="auto"/>
          <w:sz w:val="21"/>
          <w:szCs w:val="21"/>
        </w:rPr>
        <w:t>.</w:t>
      </w:r>
      <w:r>
        <w:rPr>
          <w:rFonts w:hint="eastAsia" w:ascii="Times New Roman" w:hAnsi="Times New Roman" w:cs="宋体"/>
          <w:b/>
          <w:bCs/>
          <w:color w:val="auto"/>
          <w:sz w:val="21"/>
          <w:szCs w:val="21"/>
          <w:lang w:val="en-US" w:eastAsia="zh-CN"/>
        </w:rPr>
        <w:t>2</w:t>
      </w:r>
      <w:r>
        <w:rPr>
          <w:rFonts w:hint="eastAsia" w:hAnsi="宋体" w:cs="宋体"/>
          <w:b/>
          <w:bCs/>
          <w:color w:val="auto"/>
          <w:sz w:val="21"/>
          <w:szCs w:val="21"/>
        </w:rPr>
        <w:t>-</w:t>
      </w:r>
      <w:r>
        <w:rPr>
          <w:rFonts w:hint="eastAsia" w:ascii="Times New Roman" w:hAnsi="Times New Roman" w:cs="宋体"/>
          <w:b/>
          <w:bCs/>
          <w:color w:val="auto"/>
          <w:sz w:val="21"/>
          <w:szCs w:val="21"/>
        </w:rPr>
        <w:t>1</w:t>
      </w:r>
      <w:r>
        <w:rPr>
          <w:rFonts w:hint="eastAsia" w:hAnsi="宋体" w:cs="宋体"/>
          <w:b/>
          <w:bCs/>
          <w:color w:val="auto"/>
          <w:sz w:val="21"/>
          <w:szCs w:val="21"/>
        </w:rPr>
        <w:t xml:space="preserve">  各月平均风速曲线图</w:t>
      </w:r>
    </w:p>
    <w:p>
      <w:pPr>
        <w:widowControl w:val="0"/>
        <w:wordWrap/>
        <w:adjustRightInd/>
        <w:snapToGrid/>
        <w:ind w:firstLine="480" w:firstLineChars="200"/>
        <w:jc w:val="left"/>
        <w:textAlignment w:val="auto"/>
        <w:rPr>
          <w:rFonts w:hint="eastAsia"/>
          <w:color w:val="auto"/>
        </w:rPr>
      </w:pPr>
      <w:r>
        <w:rPr>
          <w:rFonts w:hint="eastAsia"/>
          <w:color w:val="auto"/>
        </w:rPr>
        <w:t>由表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3</w:t>
      </w:r>
      <w:r>
        <w:rPr>
          <w:rFonts w:hint="eastAsia"/>
          <w:color w:val="auto"/>
        </w:rPr>
        <w:t>可知，区域的年平均风速为</w:t>
      </w:r>
      <w:r>
        <w:rPr>
          <w:rFonts w:hint="eastAsia" w:ascii="Times New Roman" w:hAnsi="Times New Roman"/>
          <w:color w:val="auto"/>
        </w:rPr>
        <w:t>1</w:t>
      </w:r>
      <w:r>
        <w:rPr>
          <w:rFonts w:hint="eastAsia"/>
          <w:color w:val="auto"/>
        </w:rPr>
        <w:t>.</w:t>
      </w:r>
      <w:r>
        <w:rPr>
          <w:rFonts w:hint="eastAsia" w:ascii="Times New Roman" w:hAnsi="Times New Roman"/>
          <w:color w:val="auto"/>
        </w:rPr>
        <w:t>8m</w:t>
      </w:r>
      <w:r>
        <w:rPr>
          <w:rFonts w:hint="eastAsia"/>
          <w:color w:val="auto"/>
        </w:rPr>
        <w:t>/</w:t>
      </w:r>
      <w:r>
        <w:rPr>
          <w:rFonts w:hint="eastAsia" w:ascii="Times New Roman" w:hAnsi="Times New Roman"/>
          <w:color w:val="auto"/>
        </w:rPr>
        <w:t>s</w:t>
      </w:r>
      <w:r>
        <w:rPr>
          <w:rFonts w:hint="eastAsia"/>
          <w:color w:val="auto"/>
        </w:rPr>
        <w:t>，全年各月的平均风速春夏季较大(</w:t>
      </w:r>
      <w:r>
        <w:rPr>
          <w:rFonts w:hint="eastAsia" w:ascii="Times New Roman" w:hAnsi="Times New Roman"/>
          <w:color w:val="auto"/>
        </w:rPr>
        <w:t>5</w:t>
      </w:r>
      <w:r>
        <w:rPr>
          <w:rFonts w:hint="eastAsia"/>
          <w:color w:val="auto"/>
        </w:rPr>
        <w:t>月、</w:t>
      </w:r>
      <w:r>
        <w:rPr>
          <w:rFonts w:hint="eastAsia" w:ascii="Times New Roman" w:hAnsi="Times New Roman"/>
          <w:color w:val="auto"/>
        </w:rPr>
        <w:t>6</w:t>
      </w:r>
      <w:r>
        <w:rPr>
          <w:rFonts w:hint="eastAsia"/>
          <w:color w:val="auto"/>
        </w:rPr>
        <w:t>月最大</w:t>
      </w:r>
      <w:r>
        <w:rPr>
          <w:rFonts w:hint="eastAsia" w:ascii="Times New Roman" w:hAnsi="Times New Roman"/>
          <w:color w:val="auto"/>
        </w:rPr>
        <w:t>2</w:t>
      </w:r>
      <w:r>
        <w:rPr>
          <w:rFonts w:hint="eastAsia"/>
          <w:color w:val="auto"/>
        </w:rPr>
        <w:t>.</w:t>
      </w:r>
      <w:r>
        <w:rPr>
          <w:rFonts w:hint="eastAsia" w:ascii="Times New Roman" w:hAnsi="Times New Roman"/>
          <w:color w:val="auto"/>
        </w:rPr>
        <w:t>4</w:t>
      </w:r>
      <w:r>
        <w:rPr>
          <w:rFonts w:ascii="Times New Roman" w:hAnsi="Times New Roman"/>
          <w:color w:val="auto"/>
        </w:rPr>
        <w:t>m</w:t>
      </w:r>
      <w:r>
        <w:rPr>
          <w:color w:val="auto"/>
        </w:rPr>
        <w:t>/</w:t>
      </w:r>
      <w:r>
        <w:rPr>
          <w:rFonts w:ascii="Times New Roman" w:hAnsi="Times New Roman"/>
          <w:color w:val="auto"/>
        </w:rPr>
        <w:t>s</w:t>
      </w:r>
      <w:r>
        <w:rPr>
          <w:rFonts w:hint="eastAsia"/>
          <w:color w:val="auto"/>
        </w:rPr>
        <w:t>)，冬季最小(</w:t>
      </w:r>
      <w:r>
        <w:rPr>
          <w:rFonts w:hint="eastAsia" w:ascii="Times New Roman" w:hAnsi="Times New Roman"/>
          <w:color w:val="auto"/>
        </w:rPr>
        <w:t>1</w:t>
      </w:r>
      <w:r>
        <w:rPr>
          <w:rFonts w:hint="eastAsia"/>
          <w:color w:val="auto"/>
        </w:rPr>
        <w:t>月、</w:t>
      </w:r>
      <w:r>
        <w:rPr>
          <w:rFonts w:hint="eastAsia" w:ascii="Times New Roman" w:hAnsi="Times New Roman"/>
          <w:color w:val="auto"/>
        </w:rPr>
        <w:t>10</w:t>
      </w:r>
      <w:r>
        <w:rPr>
          <w:rFonts w:hint="eastAsia"/>
          <w:color w:val="auto"/>
        </w:rPr>
        <w:t>月、</w:t>
      </w:r>
      <w:r>
        <w:rPr>
          <w:rFonts w:hint="eastAsia" w:ascii="Times New Roman" w:hAnsi="Times New Roman"/>
          <w:color w:val="auto"/>
        </w:rPr>
        <w:t>11</w:t>
      </w:r>
      <w:r>
        <w:rPr>
          <w:rFonts w:hint="eastAsia"/>
          <w:color w:val="auto"/>
        </w:rPr>
        <w:t>月、</w:t>
      </w:r>
      <w:r>
        <w:rPr>
          <w:rFonts w:hint="eastAsia" w:ascii="Times New Roman" w:hAnsi="Times New Roman"/>
          <w:color w:val="auto"/>
        </w:rPr>
        <w:t>12</w:t>
      </w:r>
      <w:r>
        <w:rPr>
          <w:rFonts w:hint="eastAsia"/>
          <w:color w:val="auto"/>
        </w:rPr>
        <w:t>月最小为</w:t>
      </w:r>
      <w:r>
        <w:rPr>
          <w:rFonts w:hint="eastAsia" w:ascii="Times New Roman" w:hAnsi="Times New Roman"/>
          <w:color w:val="auto"/>
        </w:rPr>
        <w:t>1</w:t>
      </w:r>
      <w:r>
        <w:rPr>
          <w:rFonts w:hint="eastAsia"/>
          <w:color w:val="auto"/>
        </w:rPr>
        <w:t>.</w:t>
      </w:r>
      <w:r>
        <w:rPr>
          <w:rFonts w:hint="eastAsia" w:ascii="Times New Roman" w:hAnsi="Times New Roman"/>
          <w:color w:val="auto"/>
        </w:rPr>
        <w:t>3</w:t>
      </w:r>
      <w:r>
        <w:rPr>
          <w:rFonts w:ascii="Times New Roman" w:hAnsi="Times New Roman"/>
          <w:color w:val="auto"/>
        </w:rPr>
        <w:t>m</w:t>
      </w:r>
      <w:r>
        <w:rPr>
          <w:color w:val="auto"/>
        </w:rPr>
        <w:t>/</w:t>
      </w:r>
      <w:r>
        <w:rPr>
          <w:rFonts w:ascii="Times New Roman" w:hAnsi="Times New Roman"/>
          <w:color w:val="auto"/>
        </w:rPr>
        <w:t>s</w:t>
      </w:r>
      <w:r>
        <w:rPr>
          <w:rFonts w:hint="eastAsia"/>
          <w:color w:val="auto"/>
        </w:rPr>
        <w:t>)。</w:t>
      </w:r>
    </w:p>
    <w:p>
      <w:pPr>
        <w:widowControl w:val="0"/>
        <w:wordWrap/>
        <w:adjustRightInd/>
        <w:snapToGrid/>
        <w:ind w:firstLine="480" w:firstLineChars="200"/>
        <w:jc w:val="left"/>
        <w:textAlignment w:val="auto"/>
        <w:rPr>
          <w:rFonts w:hint="eastAsia"/>
          <w:color w:val="auto"/>
        </w:rPr>
      </w:pPr>
      <w:r>
        <w:rPr>
          <w:rFonts w:hint="eastAsia"/>
          <w:color w:val="auto"/>
        </w:rPr>
        <w:t>根据乌苏气象站资料，该区域全年各月各风向的平均风速见表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4</w:t>
      </w:r>
      <w:r>
        <w:rPr>
          <w:rFonts w:hint="eastAsia"/>
          <w:color w:val="auto"/>
        </w:rPr>
        <w:t>。</w:t>
      </w:r>
    </w:p>
    <w:p>
      <w:pPr>
        <w:pStyle w:val="20"/>
        <w:spacing w:before="163" w:line="240" w:lineRule="auto"/>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rPr>
        <w:t>4</w:t>
      </w:r>
      <w:r>
        <w:rPr>
          <w:rFonts w:hint="eastAsia"/>
          <w:color w:val="auto"/>
        </w:rPr>
        <w:t xml:space="preserve">  全年各月各风向的平均风特征表</w:t>
      </w:r>
    </w:p>
    <w:tbl>
      <w:tblPr>
        <w:tblStyle w:val="80"/>
        <w:tblW w:w="898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07"/>
        <w:gridCol w:w="439"/>
        <w:gridCol w:w="528"/>
        <w:gridCol w:w="522"/>
        <w:gridCol w:w="520"/>
        <w:gridCol w:w="520"/>
        <w:gridCol w:w="520"/>
        <w:gridCol w:w="522"/>
        <w:gridCol w:w="522"/>
        <w:gridCol w:w="520"/>
        <w:gridCol w:w="520"/>
        <w:gridCol w:w="520"/>
        <w:gridCol w:w="558"/>
        <w:gridCol w:w="521"/>
        <w:gridCol w:w="592"/>
        <w:gridCol w:w="523"/>
        <w:gridCol w:w="5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607" w:type="dxa"/>
            <w:tcMar>
              <w:top w:w="15" w:type="dxa"/>
              <w:left w:w="15" w:type="dxa"/>
              <w:bottom w:w="0" w:type="dxa"/>
              <w:right w:w="15" w:type="dxa"/>
            </w:tcMar>
            <w:vAlign w:val="center"/>
          </w:tcPr>
          <w:p>
            <w:pPr>
              <w:spacing w:line="240" w:lineRule="auto"/>
              <w:ind w:firstLine="0"/>
              <w:jc w:val="center"/>
              <w:rPr>
                <w:color w:val="auto"/>
                <w:sz w:val="18"/>
                <w:szCs w:val="18"/>
              </w:rPr>
            </w:pPr>
            <w:r>
              <w:rPr>
                <w:color w:val="auto"/>
                <w:sz w:val="18"/>
                <w:szCs w:val="18"/>
              </w:rPr>
              <w:t xml:space="preserve"> </w:t>
            </w:r>
            <w:r>
              <w:rPr>
                <w:rFonts w:hAnsi="宋体"/>
                <w:color w:val="auto"/>
                <w:sz w:val="18"/>
                <w:szCs w:val="18"/>
              </w:rPr>
              <w:t>月</w:t>
            </w:r>
          </w:p>
        </w:tc>
        <w:tc>
          <w:tcPr>
            <w:tcW w:w="43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w:t>
            </w:r>
          </w:p>
        </w:tc>
        <w:tc>
          <w:tcPr>
            <w:tcW w:w="528"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NNE</w:t>
            </w:r>
          </w:p>
        </w:tc>
        <w:tc>
          <w:tcPr>
            <w:tcW w:w="52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NE</w:t>
            </w:r>
          </w:p>
        </w:tc>
        <w:tc>
          <w:tcPr>
            <w:tcW w:w="52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ENE</w:t>
            </w:r>
          </w:p>
        </w:tc>
        <w:tc>
          <w:tcPr>
            <w:tcW w:w="52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E</w:t>
            </w:r>
          </w:p>
        </w:tc>
        <w:tc>
          <w:tcPr>
            <w:tcW w:w="52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ESE</w:t>
            </w:r>
          </w:p>
        </w:tc>
        <w:tc>
          <w:tcPr>
            <w:tcW w:w="52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SE</w:t>
            </w:r>
          </w:p>
        </w:tc>
        <w:tc>
          <w:tcPr>
            <w:tcW w:w="52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SSE</w:t>
            </w:r>
          </w:p>
        </w:tc>
        <w:tc>
          <w:tcPr>
            <w:tcW w:w="52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w:t>
            </w:r>
          </w:p>
        </w:tc>
        <w:tc>
          <w:tcPr>
            <w:tcW w:w="52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SSW</w:t>
            </w:r>
          </w:p>
        </w:tc>
        <w:tc>
          <w:tcPr>
            <w:tcW w:w="520"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SW</w:t>
            </w:r>
          </w:p>
        </w:tc>
        <w:tc>
          <w:tcPr>
            <w:tcW w:w="558"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WSW</w:t>
            </w:r>
          </w:p>
        </w:tc>
        <w:tc>
          <w:tcPr>
            <w:tcW w:w="521"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W</w:t>
            </w:r>
          </w:p>
        </w:tc>
        <w:tc>
          <w:tcPr>
            <w:tcW w:w="592"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WNW</w:t>
            </w:r>
          </w:p>
        </w:tc>
        <w:tc>
          <w:tcPr>
            <w:tcW w:w="523"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NW</w:t>
            </w:r>
          </w:p>
        </w:tc>
        <w:tc>
          <w:tcPr>
            <w:tcW w:w="529" w:type="dxa"/>
            <w:tcMar>
              <w:top w:w="15" w:type="dxa"/>
              <w:left w:w="15" w:type="dxa"/>
              <w:bottom w:w="0" w:type="dxa"/>
              <w:right w:w="15" w:type="dxa"/>
            </w:tcMar>
            <w:vAlign w:val="center"/>
          </w:tcPr>
          <w:p>
            <w:pPr>
              <w:spacing w:line="240" w:lineRule="auto"/>
              <w:ind w:firstLine="0"/>
              <w:jc w:val="center"/>
              <w:rPr>
                <w:color w:val="auto"/>
                <w:sz w:val="18"/>
                <w:szCs w:val="18"/>
              </w:rPr>
            </w:pPr>
            <w:r>
              <w:rPr>
                <w:rFonts w:ascii="Times New Roman" w:hAnsi="Times New Roman"/>
                <w:color w:val="auto"/>
                <w:sz w:val="18"/>
                <w:szCs w:val="18"/>
              </w:rPr>
              <w:t>NNW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1</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0</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0</w:t>
            </w:r>
            <w:r>
              <w:rPr>
                <w:color w:val="auto"/>
                <w:sz w:val="18"/>
                <w:szCs w:val="18"/>
              </w:rPr>
              <w:t>.</w:t>
            </w:r>
            <w:r>
              <w:rPr>
                <w:rFonts w:ascii="Times New Roman" w:hAnsi="Times New Roman"/>
                <w:color w:val="auto"/>
                <w:sz w:val="18"/>
                <w:szCs w:val="18"/>
              </w:rPr>
              <w:t>9</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0</w:t>
            </w:r>
            <w:r>
              <w:rPr>
                <w:color w:val="auto"/>
                <w:sz w:val="18"/>
                <w:szCs w:val="18"/>
              </w:rPr>
              <w:t>.</w:t>
            </w:r>
            <w:r>
              <w:rPr>
                <w:rFonts w:ascii="Times New Roman" w:hAnsi="Times New Roman"/>
                <w:color w:val="auto"/>
                <w:sz w:val="18"/>
                <w:szCs w:val="18"/>
              </w:rPr>
              <w:t>7</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0</w:t>
            </w:r>
            <w:r>
              <w:rPr>
                <w:color w:val="auto"/>
                <w:sz w:val="18"/>
                <w:szCs w:val="18"/>
              </w:rPr>
              <w:t>.</w:t>
            </w:r>
            <w:r>
              <w:rPr>
                <w:rFonts w:ascii="Times New Roman" w:hAnsi="Times New Roman"/>
                <w:color w:val="auto"/>
                <w:sz w:val="18"/>
                <w:szCs w:val="18"/>
              </w:rPr>
              <w:t>7</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5</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2</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3</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0</w:t>
            </w:r>
            <w:r>
              <w:rPr>
                <w:color w:val="auto"/>
                <w:sz w:val="18"/>
                <w:szCs w:val="18"/>
              </w:rPr>
              <w:t>.</w:t>
            </w:r>
            <w:r>
              <w:rPr>
                <w:rFonts w:ascii="Times New Roman" w:hAnsi="Times New Roman"/>
                <w:color w:val="auto"/>
                <w:sz w:val="18"/>
                <w:szCs w:val="18"/>
              </w:rPr>
              <w:t>8</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7</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6</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5</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4</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5</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5</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9</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6</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2</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4</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6</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5</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5</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8</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4</w:t>
            </w:r>
            <w:r>
              <w:rPr>
                <w:color w:val="auto"/>
                <w:sz w:val="18"/>
                <w:szCs w:val="18"/>
              </w:rPr>
              <w:t>.</w:t>
            </w:r>
            <w:r>
              <w:rPr>
                <w:rFonts w:ascii="Times New Roman" w:hAnsi="Times New Roman"/>
                <w:color w:val="auto"/>
                <w:sz w:val="18"/>
                <w:szCs w:val="18"/>
              </w:rPr>
              <w:t>0</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3</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6</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5</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6</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2</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7</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4</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7</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5</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1</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9</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3</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8</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9</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8</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4</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9</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5</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5</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0</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6</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6</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8</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10</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11</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3</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ascii="Times New Roman" w:hAnsi="Times New Roman"/>
                <w:color w:val="auto"/>
                <w:sz w:val="18"/>
                <w:szCs w:val="18"/>
              </w:rPr>
              <w:t>12</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1</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2</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0</w:t>
            </w:r>
            <w:r>
              <w:rPr>
                <w:color w:val="auto"/>
                <w:sz w:val="18"/>
                <w:szCs w:val="18"/>
              </w:rPr>
              <w:t>.</w:t>
            </w:r>
            <w:r>
              <w:rPr>
                <w:rFonts w:ascii="Times New Roman" w:hAnsi="Times New Roman"/>
                <w:color w:val="auto"/>
                <w:sz w:val="18"/>
                <w:szCs w:val="18"/>
              </w:rPr>
              <w:t>7</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0</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4</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1</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607" w:type="dxa"/>
            <w:tcMar>
              <w:top w:w="15" w:type="dxa"/>
              <w:left w:w="15" w:type="dxa"/>
              <w:bottom w:w="0" w:type="dxa"/>
              <w:right w:w="15" w:type="dxa"/>
            </w:tcMar>
            <w:vAlign w:val="bottom"/>
          </w:tcPr>
          <w:p>
            <w:pPr>
              <w:spacing w:line="240" w:lineRule="auto"/>
              <w:ind w:firstLine="0"/>
              <w:jc w:val="center"/>
              <w:rPr>
                <w:color w:val="auto"/>
                <w:sz w:val="18"/>
                <w:szCs w:val="18"/>
              </w:rPr>
            </w:pPr>
            <w:r>
              <w:rPr>
                <w:rFonts w:hAnsi="宋体"/>
                <w:color w:val="auto"/>
                <w:sz w:val="18"/>
                <w:szCs w:val="18"/>
              </w:rPr>
              <w:t>年</w:t>
            </w:r>
          </w:p>
        </w:tc>
        <w:tc>
          <w:tcPr>
            <w:tcW w:w="43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7</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3</w:t>
            </w:r>
          </w:p>
        </w:tc>
        <w:tc>
          <w:tcPr>
            <w:tcW w:w="52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4</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6</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c>
          <w:tcPr>
            <w:tcW w:w="520"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2</w:t>
            </w:r>
          </w:p>
        </w:tc>
        <w:tc>
          <w:tcPr>
            <w:tcW w:w="558"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7</w:t>
            </w:r>
          </w:p>
        </w:tc>
        <w:tc>
          <w:tcPr>
            <w:tcW w:w="521"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3</w:t>
            </w:r>
            <w:r>
              <w:rPr>
                <w:color w:val="auto"/>
                <w:sz w:val="18"/>
                <w:szCs w:val="18"/>
              </w:rPr>
              <w:t>.</w:t>
            </w:r>
            <w:r>
              <w:rPr>
                <w:rFonts w:ascii="Times New Roman" w:hAnsi="Times New Roman"/>
                <w:color w:val="auto"/>
                <w:sz w:val="18"/>
                <w:szCs w:val="18"/>
              </w:rPr>
              <w:t>0</w:t>
            </w:r>
          </w:p>
        </w:tc>
        <w:tc>
          <w:tcPr>
            <w:tcW w:w="592"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8</w:t>
            </w:r>
          </w:p>
        </w:tc>
        <w:tc>
          <w:tcPr>
            <w:tcW w:w="523"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2</w:t>
            </w:r>
            <w:r>
              <w:rPr>
                <w:color w:val="auto"/>
                <w:sz w:val="18"/>
                <w:szCs w:val="18"/>
              </w:rPr>
              <w:t>.</w:t>
            </w:r>
            <w:r>
              <w:rPr>
                <w:rFonts w:ascii="Times New Roman" w:hAnsi="Times New Roman"/>
                <w:color w:val="auto"/>
                <w:sz w:val="18"/>
                <w:szCs w:val="18"/>
              </w:rPr>
              <w:t>0</w:t>
            </w:r>
          </w:p>
        </w:tc>
        <w:tc>
          <w:tcPr>
            <w:tcW w:w="529" w:type="dxa"/>
            <w:tcMar>
              <w:top w:w="15" w:type="dxa"/>
              <w:left w:w="15" w:type="dxa"/>
              <w:bottom w:w="0" w:type="dxa"/>
              <w:right w:w="15" w:type="dxa"/>
            </w:tcMar>
            <w:vAlign w:val="top"/>
          </w:tcPr>
          <w:p>
            <w:pPr>
              <w:spacing w:line="240" w:lineRule="auto"/>
              <w:ind w:firstLine="0"/>
              <w:jc w:val="center"/>
              <w:rPr>
                <w:color w:val="auto"/>
                <w:sz w:val="18"/>
                <w:szCs w:val="18"/>
              </w:rPr>
            </w:pPr>
            <w:r>
              <w:rPr>
                <w:rFonts w:ascii="Times New Roman" w:hAnsi="Times New Roman"/>
                <w:color w:val="auto"/>
                <w:sz w:val="18"/>
                <w:szCs w:val="18"/>
              </w:rPr>
              <w:t>1</w:t>
            </w:r>
            <w:r>
              <w:rPr>
                <w:color w:val="auto"/>
                <w:sz w:val="18"/>
                <w:szCs w:val="18"/>
              </w:rPr>
              <w:t>.</w:t>
            </w:r>
            <w:r>
              <w:rPr>
                <w:rFonts w:ascii="Times New Roman" w:hAnsi="Times New Roman"/>
                <w:color w:val="auto"/>
                <w:sz w:val="18"/>
                <w:szCs w:val="18"/>
              </w:rPr>
              <w:t>9</w:t>
            </w:r>
          </w:p>
        </w:tc>
      </w:tr>
    </w:tbl>
    <w:p>
      <w:pPr>
        <w:rPr>
          <w:color w:val="auto"/>
        </w:rPr>
      </w:pPr>
      <w:r>
        <w:rPr>
          <w:rFonts w:hint="eastAsia"/>
          <w:color w:val="auto"/>
        </w:rPr>
        <w:t>由</w:t>
      </w:r>
      <w:r>
        <w:rPr>
          <w:color w:val="auto"/>
        </w:rPr>
        <w:t>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color w:val="auto"/>
        </w:rPr>
        <w:t>-</w:t>
      </w:r>
      <w:r>
        <w:rPr>
          <w:rFonts w:ascii="Times New Roman" w:hAnsi="Times New Roman"/>
          <w:color w:val="auto"/>
        </w:rPr>
        <w:t>4</w:t>
      </w:r>
      <w:r>
        <w:rPr>
          <w:color w:val="auto"/>
        </w:rPr>
        <w:t>可知：乌苏气象站全年以西风 (</w:t>
      </w:r>
      <w:r>
        <w:rPr>
          <w:rFonts w:ascii="Times New Roman" w:hAnsi="Times New Roman"/>
          <w:color w:val="auto"/>
        </w:rPr>
        <w:t>W</w:t>
      </w:r>
      <w:r>
        <w:rPr>
          <w:color w:val="auto"/>
        </w:rPr>
        <w:t>)风向下风速最大</w:t>
      </w:r>
      <w:r>
        <w:rPr>
          <w:rFonts w:ascii="Times New Roman" w:hAnsi="Times New Roman"/>
          <w:color w:val="auto"/>
        </w:rPr>
        <w:t>3</w:t>
      </w:r>
      <w:r>
        <w:rPr>
          <w:color w:val="auto"/>
        </w:rPr>
        <w:t>.</w:t>
      </w:r>
      <w:r>
        <w:rPr>
          <w:rFonts w:ascii="Times New Roman" w:hAnsi="Times New Roman"/>
          <w:color w:val="auto"/>
        </w:rPr>
        <w:t>0m</w:t>
      </w:r>
      <w:r>
        <w:rPr>
          <w:color w:val="auto"/>
        </w:rPr>
        <w:t>/</w:t>
      </w:r>
      <w:r>
        <w:rPr>
          <w:rFonts w:ascii="Times New Roman" w:hAnsi="Times New Roman"/>
          <w:color w:val="auto"/>
        </w:rPr>
        <w:t>s</w:t>
      </w:r>
      <w:r>
        <w:rPr>
          <w:color w:val="auto"/>
        </w:rPr>
        <w:t>；西北偏西(</w:t>
      </w:r>
      <w:r>
        <w:rPr>
          <w:rFonts w:ascii="Times New Roman" w:hAnsi="Times New Roman"/>
          <w:color w:val="auto"/>
        </w:rPr>
        <w:t>WSW</w:t>
      </w:r>
      <w:r>
        <w:rPr>
          <w:color w:val="auto"/>
        </w:rPr>
        <w:t>、</w:t>
      </w:r>
      <w:r>
        <w:rPr>
          <w:rFonts w:ascii="Times New Roman" w:hAnsi="Times New Roman"/>
          <w:color w:val="auto"/>
        </w:rPr>
        <w:t>WNW</w:t>
      </w:r>
      <w:r>
        <w:rPr>
          <w:color w:val="auto"/>
        </w:rPr>
        <w:t>)的风速次之，为</w:t>
      </w:r>
      <w:r>
        <w:rPr>
          <w:rFonts w:ascii="Times New Roman" w:hAnsi="Times New Roman"/>
          <w:color w:val="auto"/>
        </w:rPr>
        <w:t>2</w:t>
      </w:r>
      <w:r>
        <w:rPr>
          <w:color w:val="auto"/>
        </w:rPr>
        <w:t>.</w:t>
      </w:r>
      <w:r>
        <w:rPr>
          <w:rFonts w:ascii="Times New Roman" w:hAnsi="Times New Roman"/>
          <w:color w:val="auto"/>
        </w:rPr>
        <w:t>8m</w:t>
      </w:r>
      <w:r>
        <w:rPr>
          <w:color w:val="auto"/>
        </w:rPr>
        <w:t>/</w:t>
      </w:r>
      <w:r>
        <w:rPr>
          <w:rFonts w:ascii="Times New Roman" w:hAnsi="Times New Roman"/>
          <w:color w:val="auto"/>
        </w:rPr>
        <w:t>s</w:t>
      </w:r>
      <w:r>
        <w:rPr>
          <w:color w:val="auto"/>
        </w:rPr>
        <w:t>。</w:t>
      </w:r>
    </w:p>
    <w:p>
      <w:pPr>
        <w:rPr>
          <w:color w:val="auto"/>
        </w:rPr>
      </w:pPr>
      <w:r>
        <w:rPr>
          <w:color w:val="auto"/>
        </w:rPr>
        <w:t>由于风速变化幅度很小，四季各风向下平均风速分布与全年分布没有明显的特征。冬季(</w:t>
      </w:r>
      <w:r>
        <w:rPr>
          <w:rFonts w:ascii="Times New Roman" w:hAnsi="Times New Roman"/>
          <w:color w:val="auto"/>
        </w:rPr>
        <w:t>1</w:t>
      </w:r>
      <w:r>
        <w:rPr>
          <w:color w:val="auto"/>
        </w:rPr>
        <w:t>月)以西风(</w:t>
      </w:r>
      <w:r>
        <w:rPr>
          <w:rFonts w:ascii="Times New Roman" w:hAnsi="Times New Roman"/>
          <w:color w:val="auto"/>
        </w:rPr>
        <w:t>W</w:t>
      </w:r>
      <w:r>
        <w:rPr>
          <w:color w:val="auto"/>
        </w:rPr>
        <w:t>)风向下的风速相对最大</w:t>
      </w:r>
      <w:r>
        <w:rPr>
          <w:rFonts w:ascii="Times New Roman" w:hAnsi="Times New Roman"/>
          <w:color w:val="auto"/>
        </w:rPr>
        <w:t>2</w:t>
      </w:r>
      <w:r>
        <w:rPr>
          <w:color w:val="auto"/>
        </w:rPr>
        <w:t>.</w:t>
      </w:r>
      <w:r>
        <w:rPr>
          <w:rFonts w:ascii="Times New Roman" w:hAnsi="Times New Roman"/>
          <w:color w:val="auto"/>
        </w:rPr>
        <w:t>4m</w:t>
      </w:r>
      <w:r>
        <w:rPr>
          <w:color w:val="auto"/>
        </w:rPr>
        <w:t>/</w:t>
      </w:r>
      <w:r>
        <w:rPr>
          <w:rFonts w:ascii="Times New Roman" w:hAnsi="Times New Roman"/>
          <w:color w:val="auto"/>
        </w:rPr>
        <w:t>s</w:t>
      </w:r>
      <w:r>
        <w:rPr>
          <w:color w:val="auto"/>
        </w:rPr>
        <w:t>；春季(</w:t>
      </w:r>
      <w:r>
        <w:rPr>
          <w:rFonts w:ascii="Times New Roman" w:hAnsi="Times New Roman"/>
          <w:color w:val="auto"/>
        </w:rPr>
        <w:t>4</w:t>
      </w:r>
      <w:r>
        <w:rPr>
          <w:color w:val="auto"/>
        </w:rPr>
        <w:t>月)以西北偏西(</w:t>
      </w:r>
      <w:r>
        <w:rPr>
          <w:rFonts w:ascii="Times New Roman" w:hAnsi="Times New Roman"/>
          <w:color w:val="auto"/>
        </w:rPr>
        <w:t>WNW</w:t>
      </w:r>
      <w:r>
        <w:rPr>
          <w:color w:val="auto"/>
        </w:rPr>
        <w:t>)风向下的风速相对最大</w:t>
      </w:r>
      <w:r>
        <w:rPr>
          <w:rFonts w:ascii="Times New Roman" w:hAnsi="Times New Roman"/>
          <w:color w:val="auto"/>
        </w:rPr>
        <w:t>3</w:t>
      </w:r>
      <w:r>
        <w:rPr>
          <w:color w:val="auto"/>
        </w:rPr>
        <w:t>.</w:t>
      </w:r>
      <w:r>
        <w:rPr>
          <w:rFonts w:ascii="Times New Roman" w:hAnsi="Times New Roman"/>
          <w:color w:val="auto"/>
        </w:rPr>
        <w:t>4m</w:t>
      </w:r>
      <w:r>
        <w:rPr>
          <w:color w:val="auto"/>
        </w:rPr>
        <w:t>/</w:t>
      </w:r>
      <w:r>
        <w:rPr>
          <w:rFonts w:ascii="Times New Roman" w:hAnsi="Times New Roman"/>
          <w:color w:val="auto"/>
        </w:rPr>
        <w:t>s</w:t>
      </w:r>
      <w:r>
        <w:rPr>
          <w:color w:val="auto"/>
        </w:rPr>
        <w:t>；夏季(</w:t>
      </w:r>
      <w:r>
        <w:rPr>
          <w:rFonts w:ascii="Times New Roman" w:hAnsi="Times New Roman"/>
          <w:color w:val="auto"/>
        </w:rPr>
        <w:t>7</w:t>
      </w:r>
      <w:r>
        <w:rPr>
          <w:color w:val="auto"/>
        </w:rPr>
        <w:t>月)以西(</w:t>
      </w:r>
      <w:r>
        <w:rPr>
          <w:rFonts w:ascii="Times New Roman" w:hAnsi="Times New Roman"/>
          <w:color w:val="auto"/>
        </w:rPr>
        <w:t>W</w:t>
      </w:r>
      <w:r>
        <w:rPr>
          <w:color w:val="auto"/>
        </w:rPr>
        <w:t>)风向下的风速相对最大</w:t>
      </w:r>
      <w:r>
        <w:rPr>
          <w:rFonts w:ascii="Times New Roman" w:hAnsi="Times New Roman"/>
          <w:color w:val="auto"/>
        </w:rPr>
        <w:t>3</w:t>
      </w:r>
      <w:r>
        <w:rPr>
          <w:color w:val="auto"/>
        </w:rPr>
        <w:t>.</w:t>
      </w:r>
      <w:r>
        <w:rPr>
          <w:rFonts w:ascii="Times New Roman" w:hAnsi="Times New Roman"/>
          <w:color w:val="auto"/>
        </w:rPr>
        <w:t>9m</w:t>
      </w:r>
      <w:r>
        <w:rPr>
          <w:color w:val="auto"/>
        </w:rPr>
        <w:t>/</w:t>
      </w:r>
      <w:r>
        <w:rPr>
          <w:rFonts w:ascii="Times New Roman" w:hAnsi="Times New Roman"/>
          <w:color w:val="auto"/>
        </w:rPr>
        <w:t>s</w:t>
      </w:r>
      <w:r>
        <w:rPr>
          <w:color w:val="auto"/>
        </w:rPr>
        <w:t>；秋季(</w:t>
      </w:r>
      <w:r>
        <w:rPr>
          <w:rFonts w:ascii="Times New Roman" w:hAnsi="Times New Roman"/>
          <w:color w:val="auto"/>
        </w:rPr>
        <w:t>10</w:t>
      </w:r>
      <w:r>
        <w:rPr>
          <w:color w:val="auto"/>
        </w:rPr>
        <w:t>月)以西风(</w:t>
      </w:r>
      <w:r>
        <w:rPr>
          <w:rFonts w:ascii="Times New Roman" w:hAnsi="Times New Roman"/>
          <w:color w:val="auto"/>
        </w:rPr>
        <w:t>W</w:t>
      </w:r>
      <w:r>
        <w:rPr>
          <w:color w:val="auto"/>
        </w:rPr>
        <w:t>)风向下的风速相对最大</w:t>
      </w:r>
      <w:r>
        <w:rPr>
          <w:rFonts w:ascii="Times New Roman" w:hAnsi="Times New Roman"/>
          <w:color w:val="auto"/>
        </w:rPr>
        <w:t>2</w:t>
      </w:r>
      <w:r>
        <w:rPr>
          <w:color w:val="auto"/>
        </w:rPr>
        <w:t>.</w:t>
      </w:r>
      <w:r>
        <w:rPr>
          <w:rFonts w:ascii="Times New Roman" w:hAnsi="Times New Roman"/>
          <w:color w:val="auto"/>
        </w:rPr>
        <w:t>3m</w:t>
      </w:r>
      <w:r>
        <w:rPr>
          <w:color w:val="auto"/>
        </w:rPr>
        <w:t>/</w:t>
      </w:r>
      <w:r>
        <w:rPr>
          <w:rFonts w:ascii="Times New Roman" w:hAnsi="Times New Roman"/>
          <w:color w:val="auto"/>
        </w:rPr>
        <w:t>s</w:t>
      </w:r>
      <w:r>
        <w:rPr>
          <w:color w:val="auto"/>
        </w:rPr>
        <w:t>。</w:t>
      </w:r>
    </w:p>
    <w:p>
      <w:pPr>
        <w:rPr>
          <w:rFonts w:hint="eastAsia"/>
          <w:color w:val="auto"/>
        </w:rPr>
      </w:pPr>
      <w:r>
        <w:rPr>
          <w:color w:val="auto"/>
        </w:rPr>
        <w:t>总体来说，</w:t>
      </w:r>
      <w:r>
        <w:rPr>
          <w:rFonts w:hint="eastAsia"/>
          <w:color w:val="auto"/>
        </w:rPr>
        <w:t>乌苏市风向以南风为主，</w:t>
      </w:r>
      <w:r>
        <w:rPr>
          <w:color w:val="auto"/>
        </w:rPr>
        <w:t>风速较</w:t>
      </w:r>
      <w:r>
        <w:rPr>
          <w:rFonts w:hint="eastAsia"/>
          <w:color w:val="auto"/>
        </w:rPr>
        <w:t>小</w:t>
      </w:r>
      <w:r>
        <w:rPr>
          <w:color w:val="auto"/>
        </w:rPr>
        <w:t>，静风出现频率较低，该地区的风速条件</w:t>
      </w:r>
      <w:r>
        <w:rPr>
          <w:rFonts w:hint="eastAsia"/>
          <w:color w:val="auto"/>
        </w:rPr>
        <w:t>不利于</w:t>
      </w:r>
      <w:r>
        <w:rPr>
          <w:color w:val="auto"/>
        </w:rPr>
        <w:t>污染物的扩散。</w:t>
      </w:r>
    </w:p>
    <w:p>
      <w:pPr>
        <w:pStyle w:val="20"/>
        <w:bidi w:val="0"/>
        <w:rPr>
          <w:color w:val="auto"/>
        </w:rPr>
      </w:pPr>
      <w:r>
        <w:rPr>
          <w:rFonts w:hint="eastAsia" w:ascii="黑体" w:hAnsi="黑体" w:eastAsia="宋体" w:cs="Times New Roman"/>
          <w:b/>
          <w:color w:val="auto"/>
          <w:kern w:val="0"/>
          <w:sz w:val="21"/>
          <w:szCs w:val="20"/>
          <w:lang w:val="en-US" w:eastAsia="zh-CN" w:bidi="ar-SA"/>
        </w:rPr>
        <w:drawing>
          <wp:anchor distT="0" distB="0" distL="114300" distR="114300" simplePos="0" relativeHeight="251688960" behindDoc="0" locked="0" layoutInCell="1" allowOverlap="1">
            <wp:simplePos x="0" y="0"/>
            <wp:positionH relativeFrom="column">
              <wp:posOffset>628015</wp:posOffset>
            </wp:positionH>
            <wp:positionV relativeFrom="paragraph">
              <wp:posOffset>109220</wp:posOffset>
            </wp:positionV>
            <wp:extent cx="4798695" cy="6847840"/>
            <wp:effectExtent l="0" t="0" r="1905" b="10160"/>
            <wp:wrapTopAndBottom/>
            <wp:docPr id="18"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12"/>
                    <pic:cNvPicPr>
                      <a:picLocks noChangeAspect="1"/>
                    </pic:cNvPicPr>
                  </pic:nvPicPr>
                  <pic:blipFill>
                    <a:blip r:embed="rId65">
                      <a:lum/>
                    </a:blip>
                    <a:stretch>
                      <a:fillRect/>
                    </a:stretch>
                  </pic:blipFill>
                  <pic:spPr>
                    <a:xfrm>
                      <a:off x="0" y="0"/>
                      <a:ext cx="4798695" cy="6847840"/>
                    </a:xfrm>
                    <a:prstGeom prst="rect">
                      <a:avLst/>
                    </a:prstGeom>
                    <a:noFill/>
                    <a:ln>
                      <a:noFill/>
                    </a:ln>
                  </pic:spPr>
                </pic:pic>
              </a:graphicData>
            </a:graphic>
          </wp:anchor>
        </w:drawing>
      </w:r>
      <w:r>
        <w:rPr>
          <w:rFonts w:hint="eastAsia"/>
        </w:rPr>
        <w:t>图</w:t>
      </w: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2</w:t>
      </w:r>
      <w:r>
        <w:rPr>
          <w:rFonts w:hint="eastAsia"/>
        </w:rPr>
        <w:t xml:space="preserve">  风向频率图</w:t>
      </w:r>
    </w:p>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sectPr>
          <w:pgSz w:w="11906" w:h="16838"/>
          <w:pgMar w:top="1474" w:right="1474" w:bottom="1474" w:left="1474"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5"/>
        <w:keepNext/>
        <w:keepLines/>
        <w:widowControl w:val="0"/>
        <w:wordWrap/>
        <w:adjustRightInd/>
        <w:snapToGrid/>
        <w:spacing w:before="0" w:beforeLines="0" w:after="0"/>
        <w:textAlignment w:val="auto"/>
        <w:rPr>
          <w:rFonts w:hint="eastAsia"/>
          <w:color w:val="auto"/>
          <w:lang w:eastAsia="zh-CN"/>
        </w:rPr>
      </w:pP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val="en-US" w:eastAsia="zh-CN"/>
        </w:rPr>
        <w:t>大气环境影响预测</w:t>
      </w:r>
      <w:r>
        <w:rPr>
          <w:rFonts w:hint="default" w:ascii="Times New Roman" w:hAnsi="Times New Roman" w:cs="Times New Roman"/>
          <w:color w:val="auto"/>
          <w:lang w:val="en-US" w:eastAsia="zh-CN"/>
        </w:rPr>
        <w:t>评价</w:t>
      </w:r>
    </w:p>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评价基准年</w:t>
      </w:r>
    </w:p>
    <w:p>
      <w:pPr>
        <w:rPr>
          <w:rFonts w:hint="eastAsia" w:ascii="Times New Roman" w:hAnsi="Times New Roman"/>
          <w:color w:val="auto"/>
        </w:rPr>
      </w:pPr>
      <w:r>
        <w:rPr>
          <w:rFonts w:hint="eastAsia"/>
          <w:color w:val="auto"/>
          <w:lang w:eastAsia="zh-CN"/>
        </w:rPr>
        <w:t>本次评价</w:t>
      </w:r>
      <w:r>
        <w:rPr>
          <w:color w:val="auto"/>
        </w:rPr>
        <w:t>选取</w:t>
      </w:r>
      <w:r>
        <w:rPr>
          <w:rFonts w:ascii="Times New Roman" w:hAnsi="Times New Roman"/>
          <w:color w:val="auto"/>
        </w:rPr>
        <w:t>20</w:t>
      </w:r>
      <w:r>
        <w:rPr>
          <w:rFonts w:hint="eastAsia" w:ascii="Times New Roman" w:hAnsi="Times New Roman"/>
          <w:color w:val="auto"/>
          <w:lang w:val="en-US" w:eastAsia="zh-CN"/>
        </w:rPr>
        <w:t>21</w:t>
      </w:r>
      <w:r>
        <w:rPr>
          <w:color w:val="auto"/>
        </w:rPr>
        <w:t>年为项目大气环境影响评价的基准年。</w:t>
      </w:r>
    </w:p>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评价因子及标准</w:t>
      </w:r>
    </w:p>
    <w:p>
      <w:pPr>
        <w:widowControl w:val="0"/>
        <w:wordWrap/>
        <w:adjustRightInd/>
        <w:snapToGrid/>
        <w:spacing w:line="360" w:lineRule="auto"/>
        <w:ind w:firstLine="480" w:firstLineChars="200"/>
        <w:jc w:val="left"/>
        <w:textAlignment w:val="auto"/>
        <w:rPr>
          <w:rFonts w:hint="default" w:ascii="Times New Roman" w:hAnsi="Times New Roman" w:eastAsia="宋体" w:cs="Times New Roman"/>
          <w:color w:val="auto"/>
          <w:kern w:val="28"/>
          <w:sz w:val="24"/>
          <w:lang w:val="en-US" w:eastAsia="zh-CN" w:bidi="ar-SA"/>
        </w:rPr>
      </w:pPr>
      <w:r>
        <w:rPr>
          <w:rFonts w:hint="eastAsia" w:ascii="Times New Roman" w:eastAsia="宋体" w:cs="Times New Roman"/>
          <w:color w:val="auto"/>
          <w:kern w:val="28"/>
          <w:sz w:val="24"/>
          <w:lang w:val="en-US" w:eastAsia="zh-CN" w:bidi="ar-SA"/>
        </w:rPr>
        <w:t>根据评价因子筛选，项目主要大气污染物执行的评价标准见表</w:t>
      </w:r>
      <w:r>
        <w:rPr>
          <w:rFonts w:hint="eastAsia" w:ascii="Times New Roman" w:hAnsi="Times New Roman" w:eastAsia="宋体" w:cs="Times New Roman"/>
          <w:color w:val="auto"/>
          <w:kern w:val="28"/>
          <w:sz w:val="24"/>
          <w:lang w:val="en-US" w:eastAsia="zh-CN" w:bidi="ar-SA"/>
        </w:rPr>
        <w:t>6</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2</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5</w:t>
      </w:r>
      <w:r>
        <w:rPr>
          <w:rFonts w:hint="eastAsia" w:ascii="Times New Roman" w:eastAsia="宋体" w:cs="Times New Roman"/>
          <w:color w:val="auto"/>
          <w:kern w:val="28"/>
          <w:sz w:val="24"/>
          <w:lang w:val="en-US" w:eastAsia="zh-CN" w:bidi="ar-SA"/>
        </w:rPr>
        <w:t>。</w:t>
      </w:r>
    </w:p>
    <w:p>
      <w:pPr>
        <w:widowControl w:val="0"/>
        <w:spacing w:line="360" w:lineRule="auto"/>
        <w:ind w:firstLine="422" w:firstLineChars="200"/>
        <w:jc w:val="center"/>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1"/>
          <w:szCs w:val="21"/>
          <w:lang w:val="en-US" w:eastAsia="zh-CN" w:bidi="ar-SA"/>
        </w:rPr>
        <w:t>表</w:t>
      </w:r>
      <w:r>
        <w:rPr>
          <w:rFonts w:hint="eastAsia" w:ascii="Times New Roman" w:hAnsi="Times New Roman" w:eastAsia="宋体" w:cs="Times New Roman"/>
          <w:b/>
          <w:bCs w:val="0"/>
          <w:color w:val="auto"/>
          <w:kern w:val="2"/>
          <w:sz w:val="21"/>
          <w:szCs w:val="21"/>
          <w:lang w:val="en-US" w:eastAsia="zh-CN" w:bidi="ar-SA"/>
        </w:rPr>
        <w:t>6</w:t>
      </w:r>
      <w:r>
        <w:rPr>
          <w:rFonts w:hint="default" w:ascii="Times New Roman" w:hAnsi="Times New Roman" w:eastAsia="宋体" w:cs="Times New Roman"/>
          <w:b/>
          <w:bCs w:val="0"/>
          <w:color w:val="auto"/>
          <w:kern w:val="2"/>
          <w:sz w:val="21"/>
          <w:szCs w:val="21"/>
          <w:lang w:val="en-US" w:eastAsia="zh-CN" w:bidi="ar-SA"/>
        </w:rPr>
        <w:t>.</w:t>
      </w:r>
      <w:r>
        <w:rPr>
          <w:rFonts w:hint="eastAsia" w:ascii="Times New Roman" w:hAnsi="Times New Roman" w:eastAsia="宋体" w:cs="Times New Roman"/>
          <w:b/>
          <w:bCs w:val="0"/>
          <w:color w:val="auto"/>
          <w:kern w:val="2"/>
          <w:sz w:val="21"/>
          <w:szCs w:val="21"/>
          <w:lang w:val="en-US" w:eastAsia="zh-CN" w:bidi="ar-SA"/>
        </w:rPr>
        <w:t>2</w:t>
      </w:r>
      <w:r>
        <w:rPr>
          <w:rFonts w:hint="default" w:ascii="Times New Roman" w:hAnsi="Times New Roman" w:eastAsia="宋体" w:cs="Times New Roman"/>
          <w:b/>
          <w:bCs w:val="0"/>
          <w:color w:val="auto"/>
          <w:kern w:val="2"/>
          <w:sz w:val="21"/>
          <w:szCs w:val="21"/>
          <w:lang w:val="en-US" w:eastAsia="zh-CN" w:bidi="ar-SA"/>
        </w:rPr>
        <w:t>-</w:t>
      </w:r>
      <w:r>
        <w:rPr>
          <w:rFonts w:hint="default" w:ascii="Times New Roman" w:hAnsi="Times New Roman" w:eastAsia="宋体" w:cs="Times New Roman"/>
          <w:b/>
          <w:bCs w:val="0"/>
          <w:color w:val="auto"/>
          <w:kern w:val="2"/>
          <w:sz w:val="21"/>
          <w:szCs w:val="21"/>
          <w:lang w:val="en-US" w:eastAsia="zh-CN" w:bidi="ar-SA"/>
        </w:rPr>
        <w:t>5</w:t>
      </w:r>
      <w:r>
        <w:rPr>
          <w:rFonts w:hint="default" w:ascii="Times New Roman" w:hAnsi="Times New Roman" w:eastAsia="宋体" w:cs="Times New Roman"/>
          <w:b/>
          <w:bCs w:val="0"/>
          <w:color w:val="auto"/>
          <w:kern w:val="2"/>
          <w:sz w:val="21"/>
          <w:szCs w:val="21"/>
          <w:lang w:val="en-US" w:eastAsia="zh-CN" w:bidi="ar-SA"/>
        </w:rPr>
        <w:t xml:space="preserve">  评价因子和评价标准一览表</w:t>
      </w:r>
    </w:p>
    <w:tbl>
      <w:tblPr>
        <w:tblStyle w:val="1103"/>
        <w:tblW w:w="92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500"/>
        <w:gridCol w:w="1714"/>
        <w:gridCol w:w="48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12" w:type="dxa"/>
            <w:tcBorders>
              <w:tl2br w:val="nil"/>
              <w:tr2bl w:val="nil"/>
            </w:tcBorders>
            <w:vAlign w:val="center"/>
          </w:tcPr>
          <w:p>
            <w:pPr>
              <w:widowControl w:val="0"/>
              <w:wordWrap/>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评价因子</w:t>
            </w:r>
          </w:p>
        </w:tc>
        <w:tc>
          <w:tcPr>
            <w:tcW w:w="1500" w:type="dxa"/>
            <w:tcBorders>
              <w:tl2br w:val="nil"/>
              <w:tr2bl w:val="nil"/>
            </w:tcBorders>
            <w:vAlign w:val="center"/>
          </w:tcPr>
          <w:p>
            <w:pPr>
              <w:widowControl w:val="0"/>
              <w:wordWrap/>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评价时段</w:t>
            </w:r>
          </w:p>
        </w:tc>
        <w:tc>
          <w:tcPr>
            <w:tcW w:w="1714" w:type="dxa"/>
            <w:tcBorders>
              <w:tl2br w:val="nil"/>
              <w:tr2bl w:val="nil"/>
            </w:tcBorders>
            <w:vAlign w:val="center"/>
          </w:tcPr>
          <w:p>
            <w:pPr>
              <w:widowControl w:val="0"/>
              <w:wordWrap/>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标准值（</w:t>
            </w:r>
            <w:r>
              <w:rPr>
                <w:rFonts w:hint="default" w:ascii="Times New Roman" w:hAnsi="Times New Roman" w:eastAsia="宋体" w:cs="Times New Roman"/>
                <w:color w:val="auto"/>
                <w:kern w:val="0"/>
                <w:sz w:val="21"/>
                <w:szCs w:val="21"/>
                <w:lang w:val="en-US" w:eastAsia="zh-CN" w:bidi="ar-SA"/>
              </w:rPr>
              <w:t>mg</w:t>
            </w:r>
            <w:r>
              <w:rPr>
                <w:rFonts w:hint="default"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w:t>
            </w:r>
          </w:p>
        </w:tc>
        <w:tc>
          <w:tcPr>
            <w:tcW w:w="4809" w:type="dxa"/>
            <w:tcBorders>
              <w:tl2br w:val="nil"/>
              <w:tr2bl w:val="nil"/>
            </w:tcBorders>
            <w:vAlign w:val="center"/>
          </w:tcPr>
          <w:p>
            <w:pPr>
              <w:widowControl w:val="0"/>
              <w:wordWrap/>
              <w:adjustRightInd w:val="0"/>
              <w:snapToGrid w:val="0"/>
              <w:spacing w:before="0" w:after="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12" w:type="dxa"/>
            <w:tcBorders>
              <w:tl2br w:val="nil"/>
              <w:tr2bl w:val="nil"/>
            </w:tcBorders>
            <w:vAlign w:val="center"/>
          </w:tcPr>
          <w:p>
            <w:pPr>
              <w:widowControl w:val="0"/>
              <w:wordWrap/>
              <w:adjustRightInd w:val="0"/>
              <w:snapToGrid w:val="0"/>
              <w:spacing w:before="0" w:after="0" w:line="240" w:lineRule="auto"/>
              <w:ind w:left="0" w:leftChars="0" w:right="0" w:rightChars="0" w:firstLine="0" w:firstLineChars="0"/>
              <w:jc w:val="center"/>
              <w:textAlignment w:val="center"/>
              <w:rPr>
                <w:rFonts w:hint="default" w:ascii="Times New Roman" w:hAnsi="宋体"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NH</w:t>
            </w:r>
            <w:r>
              <w:rPr>
                <w:rFonts w:hint="eastAsia" w:ascii="Times New Roman" w:hAnsi="Times New Roman" w:eastAsia="宋体" w:cs="Times New Roman"/>
                <w:color w:val="auto"/>
                <w:kern w:val="0"/>
                <w:sz w:val="21"/>
                <w:szCs w:val="21"/>
                <w:vertAlign w:val="subscript"/>
                <w:lang w:val="en-US" w:eastAsia="zh-CN" w:bidi="ar-SA"/>
              </w:rPr>
              <w:t>3</w:t>
            </w:r>
          </w:p>
        </w:tc>
        <w:tc>
          <w:tcPr>
            <w:tcW w:w="1500" w:type="dxa"/>
            <w:tcBorders>
              <w:tl2br w:val="nil"/>
              <w:tr2bl w:val="nil"/>
            </w:tcBorders>
            <w:vAlign w:val="center"/>
          </w:tcPr>
          <w:p>
            <w:pPr>
              <w:widowControl w:val="0"/>
              <w:wordWrap/>
              <w:adjustRightInd w:val="0"/>
              <w:snapToGrid w:val="0"/>
              <w:spacing w:before="0" w:after="0" w:line="240" w:lineRule="auto"/>
              <w:ind w:left="-113"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1h</w:t>
            </w:r>
            <w:r>
              <w:rPr>
                <w:rFonts w:hint="eastAsia" w:ascii="Times New Roman" w:eastAsia="宋体" w:cs="Times New Roman"/>
                <w:color w:val="auto"/>
                <w:kern w:val="0"/>
                <w:sz w:val="21"/>
                <w:szCs w:val="21"/>
                <w:lang w:val="en-US" w:eastAsia="zh-CN" w:bidi="ar-SA"/>
              </w:rPr>
              <w:t>平均</w:t>
            </w:r>
          </w:p>
        </w:tc>
        <w:tc>
          <w:tcPr>
            <w:tcW w:w="1714" w:type="dxa"/>
            <w:tcBorders>
              <w:tl2br w:val="nil"/>
              <w:tr2bl w:val="nil"/>
            </w:tcBorders>
            <w:vAlign w:val="center"/>
          </w:tcPr>
          <w:p>
            <w:pPr>
              <w:widowControl w:val="0"/>
              <w:wordWrap/>
              <w:adjustRightInd w:val="0"/>
              <w:snapToGrid w:val="0"/>
              <w:spacing w:before="0" w:after="0" w:line="240" w:lineRule="auto"/>
              <w:ind w:left="0" w:leftChars="0" w:right="0" w:rightChars="0" w:firstLine="0" w:firstLineChars="0"/>
              <w:jc w:val="center"/>
              <w:textAlignment w:val="center"/>
              <w:rPr>
                <w:rFonts w:hint="default" w:ascii="Times New Roman" w:hAnsi="宋体"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r>
              <w:rPr>
                <w:rFonts w:hint="eastAsia" w:asci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2</w:t>
            </w:r>
          </w:p>
        </w:tc>
        <w:tc>
          <w:tcPr>
            <w:tcW w:w="4809" w:type="dxa"/>
            <w:tcBorders>
              <w:tl2br w:val="nil"/>
              <w:tr2bl w:val="nil"/>
            </w:tcBorders>
            <w:vAlign w:val="center"/>
          </w:tcPr>
          <w:p>
            <w:pPr>
              <w:widowControl w:val="0"/>
              <w:wordWrap/>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eastAsia="宋体" w:cs="Times New Roman"/>
                <w:color w:val="auto"/>
                <w:kern w:val="0"/>
                <w:sz w:val="21"/>
                <w:szCs w:val="21"/>
                <w:lang w:val="en-US" w:eastAsia="zh-CN" w:bidi="ar-SA"/>
              </w:rPr>
              <w:t>《环境影响评价技术导则 大气环境》（</w:t>
            </w:r>
            <w:r>
              <w:rPr>
                <w:rFonts w:hint="eastAsia" w:ascii="Times New Roman" w:hAnsi="Times New Roman" w:eastAsia="宋体" w:cs="Times New Roman"/>
                <w:color w:val="auto"/>
                <w:kern w:val="0"/>
                <w:sz w:val="21"/>
                <w:szCs w:val="21"/>
                <w:lang w:val="en-US" w:eastAsia="zh-CN" w:bidi="ar-SA"/>
              </w:rPr>
              <w:t>HJ2</w:t>
            </w:r>
            <w:r>
              <w:rPr>
                <w:rFonts w:hint="eastAsia" w:asci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2</w:t>
            </w:r>
            <w:r>
              <w:rPr>
                <w:rFonts w:hint="eastAsia" w:asci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2018</w:t>
            </w:r>
            <w:r>
              <w:rPr>
                <w:rFonts w:hint="eastAsia" w:ascii="Times New Roman" w:eastAsia="宋体" w:cs="Times New Roman"/>
                <w:color w:val="auto"/>
                <w:kern w:val="0"/>
                <w:sz w:val="21"/>
                <w:szCs w:val="21"/>
                <w:lang w:val="en-US" w:eastAsia="zh-CN" w:bidi="ar-SA"/>
              </w:rPr>
              <w:t>）附录</w:t>
            </w:r>
            <w:r>
              <w:rPr>
                <w:rFonts w:hint="eastAsia" w:ascii="Times New Roman" w:hAnsi="Times New Roman" w:eastAsia="宋体" w:cs="Times New Roman"/>
                <w:color w:val="auto"/>
                <w:kern w:val="0"/>
                <w:sz w:val="21"/>
                <w:szCs w:val="21"/>
                <w:lang w:val="en-US" w:eastAsia="zh-CN" w:bidi="ar-SA"/>
              </w:rPr>
              <w:t>D</w:t>
            </w:r>
            <w:r>
              <w:rPr>
                <w:rFonts w:hint="eastAsia" w:ascii="Times New Roman" w:eastAsia="宋体" w:cs="Times New Roman"/>
                <w:color w:val="auto"/>
                <w:kern w:val="0"/>
                <w:sz w:val="21"/>
                <w:szCs w:val="21"/>
                <w:lang w:val="en-US" w:eastAsia="zh-CN" w:bidi="ar-SA"/>
              </w:rPr>
              <w:t>其他污染物空气质量参考浓度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12" w:type="dxa"/>
            <w:tcBorders>
              <w:tl2br w:val="nil"/>
              <w:tr2bl w:val="nil"/>
            </w:tcBorders>
            <w:vAlign w:val="center"/>
          </w:tcPr>
          <w:p>
            <w:pPr>
              <w:widowControl w:val="0"/>
              <w:wordWrap/>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NMHC</w:t>
            </w:r>
          </w:p>
        </w:tc>
        <w:tc>
          <w:tcPr>
            <w:tcW w:w="1500" w:type="dxa"/>
            <w:tcBorders>
              <w:tl2br w:val="nil"/>
              <w:tr2bl w:val="nil"/>
            </w:tcBorders>
            <w:vAlign w:val="center"/>
          </w:tcPr>
          <w:p>
            <w:pPr>
              <w:widowControl w:val="0"/>
              <w:wordWrap/>
              <w:adjustRightInd w:val="0"/>
              <w:snapToGrid w:val="0"/>
              <w:spacing w:before="0" w:after="0" w:line="240" w:lineRule="auto"/>
              <w:ind w:left="-113"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1h</w:t>
            </w:r>
            <w:r>
              <w:rPr>
                <w:rFonts w:hint="default" w:ascii="Times New Roman" w:hAnsi="Times New Roman" w:eastAsia="宋体" w:cs="Times New Roman"/>
                <w:color w:val="auto"/>
                <w:kern w:val="0"/>
                <w:sz w:val="21"/>
                <w:szCs w:val="21"/>
                <w:lang w:val="en-US" w:eastAsia="zh-CN" w:bidi="ar-SA"/>
              </w:rPr>
              <w:t>平均</w:t>
            </w:r>
          </w:p>
        </w:tc>
        <w:tc>
          <w:tcPr>
            <w:tcW w:w="1714" w:type="dxa"/>
            <w:tcBorders>
              <w:tl2br w:val="nil"/>
              <w:tr2bl w:val="nil"/>
            </w:tcBorders>
            <w:vAlign w:val="center"/>
          </w:tcPr>
          <w:p>
            <w:pPr>
              <w:widowControl w:val="0"/>
              <w:wordWrap/>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4809" w:type="dxa"/>
            <w:tcBorders>
              <w:tl2br w:val="nil"/>
              <w:tr2bl w:val="nil"/>
            </w:tcBorders>
            <w:vAlign w:val="center"/>
          </w:tcPr>
          <w:p>
            <w:pPr>
              <w:widowControl w:val="0"/>
              <w:wordWrap/>
              <w:adjustRightInd w:val="0"/>
              <w:snapToGrid w:val="0"/>
              <w:spacing w:before="0" w:after="0" w:line="240" w:lineRule="auto"/>
              <w:ind w:left="0" w:leftChars="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《大气污染物综合排放标准详解》推荐值</w:t>
            </w:r>
          </w:p>
        </w:tc>
      </w:tr>
    </w:tbl>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环境保护目标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根据评价范围与周边环境敏感点分布情况，附近大气环境保护目标见表</w:t>
      </w:r>
      <w:r>
        <w:rPr>
          <w:rFonts w:hint="eastAsia" w:ascii="Times New Roman" w:hAnsi="Times New Roman"/>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w:t>
      </w:r>
    </w:p>
    <w:p>
      <w:pPr>
        <w:pStyle w:val="20"/>
        <w:spacing w:before="169"/>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ascii="Times New Roman" w:hAnsi="Times New Roman"/>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评价区附近主要大气环境保护目标</w:t>
      </w:r>
    </w:p>
    <w:tbl>
      <w:tblPr>
        <w:tblStyle w:val="80"/>
        <w:tblW w:w="503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430"/>
        <w:gridCol w:w="829"/>
        <w:gridCol w:w="1149"/>
        <w:gridCol w:w="1393"/>
        <w:gridCol w:w="978"/>
        <w:gridCol w:w="2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60" w:type="pct"/>
            <w:vMerge w:val="restar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环境要素</w:t>
            </w:r>
          </w:p>
        </w:tc>
        <w:tc>
          <w:tcPr>
            <w:tcW w:w="3124" w:type="pct"/>
            <w:gridSpan w:val="5"/>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环境保护对象</w:t>
            </w:r>
          </w:p>
        </w:tc>
        <w:tc>
          <w:tcPr>
            <w:tcW w:w="1515" w:type="pct"/>
            <w:vMerge w:val="restar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60" w:type="pct"/>
            <w:vMerge w:val="continue"/>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p>
        </w:tc>
        <w:tc>
          <w:tcPr>
            <w:tcW w:w="773"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敏感点</w:t>
            </w:r>
          </w:p>
        </w:tc>
        <w:tc>
          <w:tcPr>
            <w:tcW w:w="448"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方位</w:t>
            </w:r>
          </w:p>
        </w:tc>
        <w:tc>
          <w:tcPr>
            <w:tcW w:w="621"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距离（</w:t>
            </w:r>
            <w:r>
              <w:rPr>
                <w:rFonts w:ascii="Times New Roman" w:hAnsi="Times New Roman"/>
                <w:color w:val="000000" w:themeColor="text1"/>
                <w:sz w:val="21"/>
                <w:szCs w:val="21"/>
                <w14:textFill>
                  <w14:solidFill>
                    <w14:schemeClr w14:val="tx1"/>
                  </w14:solidFill>
                </w14:textFill>
              </w:rPr>
              <w:t>m</w:t>
            </w:r>
            <w:r>
              <w:rPr>
                <w:color w:val="000000" w:themeColor="text1"/>
                <w:sz w:val="21"/>
                <w:szCs w:val="21"/>
                <w14:textFill>
                  <w14:solidFill>
                    <w14:schemeClr w14:val="tx1"/>
                  </w14:solidFill>
                </w14:textFill>
              </w:rPr>
              <w:t>）</w:t>
            </w:r>
          </w:p>
        </w:tc>
        <w:tc>
          <w:tcPr>
            <w:tcW w:w="753"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功能</w:t>
            </w:r>
          </w:p>
        </w:tc>
        <w:tc>
          <w:tcPr>
            <w:tcW w:w="527"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规模</w:t>
            </w:r>
          </w:p>
        </w:tc>
        <w:tc>
          <w:tcPr>
            <w:tcW w:w="1515" w:type="pct"/>
            <w:vMerge w:val="continue"/>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60" w:type="pct"/>
            <w:vMerge w:val="restar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w:t>
            </w:r>
          </w:p>
        </w:tc>
        <w:tc>
          <w:tcPr>
            <w:tcW w:w="773" w:type="pct"/>
            <w:tcBorders>
              <w:tl2br w:val="nil"/>
              <w:tr2bl w:val="nil"/>
            </w:tcBorders>
            <w:vAlign w:val="center"/>
          </w:tcPr>
          <w:p>
            <w:pPr>
              <w:pStyle w:val="698"/>
              <w:spacing w:line="240" w:lineRule="exact"/>
              <w:ind w:firstLine="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园区办公室</w:t>
            </w:r>
          </w:p>
        </w:tc>
        <w:tc>
          <w:tcPr>
            <w:tcW w:w="448"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E</w:t>
            </w:r>
          </w:p>
        </w:tc>
        <w:tc>
          <w:tcPr>
            <w:tcW w:w="621"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97</w:t>
            </w:r>
            <w:r>
              <w:rPr>
                <w:rFonts w:hint="eastAsia" w:ascii="Times New Roman" w:hAnsi="Times New Roman"/>
                <w:color w:val="000000" w:themeColor="text1"/>
                <w:sz w:val="21"/>
                <w:szCs w:val="21"/>
                <w14:textFill>
                  <w14:solidFill>
                    <w14:schemeClr w14:val="tx1"/>
                  </w14:solidFill>
                </w14:textFill>
              </w:rPr>
              <w:t>0</w:t>
            </w:r>
          </w:p>
        </w:tc>
        <w:tc>
          <w:tcPr>
            <w:tcW w:w="753" w:type="pct"/>
            <w:tcBorders>
              <w:tl2br w:val="nil"/>
              <w:tr2bl w:val="nil"/>
            </w:tcBorders>
            <w:vAlign w:val="center"/>
          </w:tcPr>
          <w:p>
            <w:pPr>
              <w:pStyle w:val="698"/>
              <w:spacing w:line="240" w:lineRule="exact"/>
              <w:ind w:firstLine="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办公</w:t>
            </w:r>
          </w:p>
        </w:tc>
        <w:tc>
          <w:tcPr>
            <w:tcW w:w="527" w:type="pct"/>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r>
              <w:rPr>
                <w:rFonts w:hint="eastAsia" w:ascii="Times New Roman" w:hAnsi="Times New Roman"/>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人</w:t>
            </w:r>
          </w:p>
        </w:tc>
        <w:tc>
          <w:tcPr>
            <w:tcW w:w="1515" w:type="pct"/>
            <w:vMerge w:val="restart"/>
            <w:tcBorders>
              <w:tl2br w:val="nil"/>
              <w:tr2bl w:val="nil"/>
            </w:tcBorders>
            <w:vAlign w:val="center"/>
          </w:tcPr>
          <w:p>
            <w:pPr>
              <w:pStyle w:val="698"/>
              <w:spacing w:line="240" w:lineRule="exact"/>
              <w:ind w:firstLine="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《环境空气质量标准》（</w:t>
            </w:r>
            <w:r>
              <w:rPr>
                <w:rFonts w:ascii="Times New Roman" w:hAnsi="Times New Roman"/>
                <w:color w:val="000000" w:themeColor="text1"/>
                <w:sz w:val="20"/>
                <w:szCs w:val="20"/>
                <w14:textFill>
                  <w14:solidFill>
                    <w14:schemeClr w14:val="tx1"/>
                  </w14:solidFill>
                </w14:textFill>
              </w:rPr>
              <w:t>GB3095</w:t>
            </w:r>
            <w:r>
              <w:rPr>
                <w:color w:val="000000" w:themeColor="text1"/>
                <w:sz w:val="20"/>
                <w:szCs w:val="20"/>
                <w14:textFill>
                  <w14:solidFill>
                    <w14:schemeClr w14:val="tx1"/>
                  </w14:solidFill>
                </w14:textFill>
              </w:rPr>
              <w:t>-</w:t>
            </w:r>
            <w:r>
              <w:rPr>
                <w:rFonts w:ascii="Times New Roman" w:hAnsi="Times New Roman"/>
                <w:color w:val="000000" w:themeColor="text1"/>
                <w:sz w:val="20"/>
                <w:szCs w:val="20"/>
                <w14:textFill>
                  <w14:solidFill>
                    <w14:schemeClr w14:val="tx1"/>
                  </w14:solidFill>
                </w14:textFill>
              </w:rPr>
              <w:t>2012</w:t>
            </w:r>
            <w:r>
              <w:rPr>
                <w:color w:val="000000" w:themeColor="text1"/>
                <w:sz w:val="20"/>
                <w:szCs w:val="20"/>
                <w14:textFill>
                  <w14:solidFill>
                    <w14:schemeClr w14:val="tx1"/>
                  </w14:solidFill>
                </w14:textFill>
              </w:rPr>
              <w:t>）中二级标准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60" w:type="pct"/>
            <w:vMerge w:val="continue"/>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p>
        </w:tc>
        <w:tc>
          <w:tcPr>
            <w:tcW w:w="773" w:type="pct"/>
            <w:tcBorders>
              <w:tl2br w:val="nil"/>
              <w:tr2bl w:val="nil"/>
            </w:tcBorders>
            <w:vAlign w:val="center"/>
          </w:tcPr>
          <w:p>
            <w:pPr>
              <w:pStyle w:val="698"/>
              <w:spacing w:line="240" w:lineRule="exact"/>
              <w:ind w:firstLine="0"/>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牧民新村</w:t>
            </w:r>
          </w:p>
        </w:tc>
        <w:tc>
          <w:tcPr>
            <w:tcW w:w="448" w:type="pct"/>
            <w:tcBorders>
              <w:tl2br w:val="nil"/>
              <w:tr2bl w:val="nil"/>
            </w:tcBorders>
            <w:vAlign w:val="center"/>
          </w:tcPr>
          <w:p>
            <w:pPr>
              <w:pStyle w:val="698"/>
              <w:spacing w:line="240" w:lineRule="exact"/>
              <w:ind w:firstLine="0"/>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SE</w:t>
            </w:r>
          </w:p>
        </w:tc>
        <w:tc>
          <w:tcPr>
            <w:tcW w:w="621" w:type="pct"/>
            <w:tcBorders>
              <w:tl2br w:val="nil"/>
              <w:tr2bl w:val="nil"/>
            </w:tcBorders>
            <w:vAlign w:val="center"/>
          </w:tcPr>
          <w:p>
            <w:pPr>
              <w:pStyle w:val="698"/>
              <w:spacing w:line="240" w:lineRule="exact"/>
              <w:ind w:firstLine="0"/>
              <w:rPr>
                <w:rFonts w:hint="default"/>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2900</w:t>
            </w:r>
          </w:p>
        </w:tc>
        <w:tc>
          <w:tcPr>
            <w:tcW w:w="753" w:type="pct"/>
            <w:tcBorders>
              <w:tl2br w:val="nil"/>
              <w:tr2bl w:val="nil"/>
            </w:tcBorders>
            <w:vAlign w:val="center"/>
          </w:tcPr>
          <w:p>
            <w:pPr>
              <w:pStyle w:val="698"/>
              <w:spacing w:line="240" w:lineRule="exact"/>
              <w:ind w:firstLine="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居住</w:t>
            </w:r>
          </w:p>
        </w:tc>
        <w:tc>
          <w:tcPr>
            <w:tcW w:w="527" w:type="pct"/>
            <w:tcBorders>
              <w:tl2br w:val="nil"/>
              <w:tr2bl w:val="nil"/>
            </w:tcBorders>
            <w:vAlign w:val="center"/>
          </w:tcPr>
          <w:p>
            <w:pPr>
              <w:pStyle w:val="698"/>
              <w:spacing w:line="240" w:lineRule="exact"/>
              <w:ind w:firstLine="0"/>
              <w:rPr>
                <w:rFonts w:hint="default"/>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170</w:t>
            </w:r>
            <w:r>
              <w:rPr>
                <w:rFonts w:hint="eastAsia"/>
                <w:color w:val="000000" w:themeColor="text1"/>
                <w:sz w:val="21"/>
                <w:szCs w:val="21"/>
                <w:lang w:val="en-US" w:eastAsia="zh-CN"/>
                <w14:textFill>
                  <w14:solidFill>
                    <w14:schemeClr w14:val="tx1"/>
                  </w14:solidFill>
                </w14:textFill>
              </w:rPr>
              <w:t>人</w:t>
            </w:r>
          </w:p>
        </w:tc>
        <w:tc>
          <w:tcPr>
            <w:tcW w:w="1515" w:type="pct"/>
            <w:vMerge w:val="continue"/>
            <w:tcBorders>
              <w:tl2br w:val="nil"/>
              <w:tr2bl w:val="nil"/>
            </w:tcBorders>
            <w:vAlign w:val="center"/>
          </w:tcPr>
          <w:p>
            <w:pPr>
              <w:pStyle w:val="698"/>
              <w:spacing w:line="240" w:lineRule="exact"/>
              <w:ind w:firstLine="0"/>
              <w:rPr>
                <w:color w:val="000000" w:themeColor="text1"/>
                <w:sz w:val="20"/>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60" w:type="pct"/>
            <w:vMerge w:val="continue"/>
            <w:tcBorders>
              <w:tl2br w:val="nil"/>
              <w:tr2bl w:val="nil"/>
            </w:tcBorders>
            <w:vAlign w:val="center"/>
          </w:tcPr>
          <w:p>
            <w:pPr>
              <w:pStyle w:val="698"/>
              <w:spacing w:line="240" w:lineRule="exact"/>
              <w:ind w:firstLine="0"/>
              <w:rPr>
                <w:color w:val="000000" w:themeColor="text1"/>
                <w:sz w:val="21"/>
                <w:szCs w:val="21"/>
                <w14:textFill>
                  <w14:solidFill>
                    <w14:schemeClr w14:val="tx1"/>
                  </w14:solidFill>
                </w14:textFill>
              </w:rPr>
            </w:pPr>
          </w:p>
        </w:tc>
        <w:tc>
          <w:tcPr>
            <w:tcW w:w="773" w:type="pct"/>
            <w:tcBorders>
              <w:tl2br w:val="nil"/>
              <w:tr2bl w:val="nil"/>
            </w:tcBorders>
            <w:vAlign w:val="center"/>
          </w:tcPr>
          <w:p>
            <w:pPr>
              <w:pStyle w:val="698"/>
              <w:spacing w:line="240" w:lineRule="exact"/>
              <w:ind w:firstLine="0"/>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哈尔扎木村</w:t>
            </w:r>
          </w:p>
        </w:tc>
        <w:tc>
          <w:tcPr>
            <w:tcW w:w="448" w:type="pct"/>
            <w:tcBorders>
              <w:tl2br w:val="nil"/>
              <w:tr2bl w:val="nil"/>
            </w:tcBorders>
            <w:vAlign w:val="center"/>
          </w:tcPr>
          <w:p>
            <w:pPr>
              <w:pStyle w:val="698"/>
              <w:spacing w:line="240" w:lineRule="exact"/>
              <w:ind w:firstLine="0"/>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NW</w:t>
            </w:r>
          </w:p>
        </w:tc>
        <w:tc>
          <w:tcPr>
            <w:tcW w:w="621" w:type="pct"/>
            <w:tcBorders>
              <w:tl2br w:val="nil"/>
              <w:tr2bl w:val="nil"/>
            </w:tcBorders>
            <w:vAlign w:val="center"/>
          </w:tcPr>
          <w:p>
            <w:pPr>
              <w:pStyle w:val="698"/>
              <w:spacing w:line="240" w:lineRule="exact"/>
              <w:ind w:firstLine="0"/>
              <w:rPr>
                <w:rFonts w:hint="default"/>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2530</w:t>
            </w:r>
          </w:p>
        </w:tc>
        <w:tc>
          <w:tcPr>
            <w:tcW w:w="753" w:type="pct"/>
            <w:tcBorders>
              <w:tl2br w:val="nil"/>
              <w:tr2bl w:val="nil"/>
            </w:tcBorders>
            <w:vAlign w:val="center"/>
          </w:tcPr>
          <w:p>
            <w:pPr>
              <w:pStyle w:val="698"/>
              <w:spacing w:line="240" w:lineRule="exact"/>
              <w:ind w:firstLine="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居住</w:t>
            </w:r>
          </w:p>
        </w:tc>
        <w:tc>
          <w:tcPr>
            <w:tcW w:w="527" w:type="pct"/>
            <w:tcBorders>
              <w:tl2br w:val="nil"/>
              <w:tr2bl w:val="nil"/>
            </w:tcBorders>
            <w:vAlign w:val="center"/>
          </w:tcPr>
          <w:p>
            <w:pPr>
              <w:pStyle w:val="698"/>
              <w:spacing w:line="240" w:lineRule="exact"/>
              <w:ind w:firstLine="0"/>
              <w:rPr>
                <w:rFonts w:hint="default"/>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370</w:t>
            </w:r>
            <w:r>
              <w:rPr>
                <w:rFonts w:hint="eastAsia"/>
                <w:color w:val="000000" w:themeColor="text1"/>
                <w:sz w:val="21"/>
                <w:szCs w:val="21"/>
                <w:lang w:val="en-US" w:eastAsia="zh-CN"/>
                <w14:textFill>
                  <w14:solidFill>
                    <w14:schemeClr w14:val="tx1"/>
                  </w14:solidFill>
                </w14:textFill>
              </w:rPr>
              <w:t>人</w:t>
            </w:r>
          </w:p>
        </w:tc>
        <w:tc>
          <w:tcPr>
            <w:tcW w:w="1515" w:type="pct"/>
            <w:vMerge w:val="continue"/>
            <w:tcBorders>
              <w:tl2br w:val="nil"/>
              <w:tr2bl w:val="nil"/>
            </w:tcBorders>
            <w:vAlign w:val="center"/>
          </w:tcPr>
          <w:p>
            <w:pPr>
              <w:pStyle w:val="698"/>
              <w:spacing w:line="240" w:lineRule="exact"/>
              <w:ind w:firstLine="0"/>
              <w:rPr>
                <w:color w:val="000000" w:themeColor="text1"/>
                <w:sz w:val="20"/>
                <w:szCs w:val="20"/>
                <w14:textFill>
                  <w14:solidFill>
                    <w14:schemeClr w14:val="tx1"/>
                  </w14:solidFill>
                </w14:textFill>
              </w:rPr>
            </w:pPr>
          </w:p>
        </w:tc>
      </w:tr>
    </w:tbl>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预测源强</w:t>
      </w:r>
    </w:p>
    <w:p>
      <w:pPr>
        <w:bidi w:val="0"/>
        <w:rPr>
          <w:rFonts w:hint="eastAsia" w:ascii="Times New Roman" w:eastAsia="宋体" w:cs="Times New Roman"/>
          <w:color w:val="auto"/>
          <w:kern w:val="28"/>
          <w:sz w:val="24"/>
          <w:lang w:val="en-US" w:eastAsia="zh-CN" w:bidi="ar-SA"/>
        </w:rPr>
      </w:pPr>
      <w:r>
        <w:rPr>
          <w:rFonts w:hint="eastAsia" w:ascii="Times New Roman" w:eastAsia="宋体" w:cs="Times New Roman"/>
          <w:color w:val="auto"/>
          <w:kern w:val="28"/>
          <w:sz w:val="24"/>
          <w:lang w:val="en-US" w:eastAsia="zh-CN" w:bidi="ar-SA"/>
        </w:rPr>
        <w:t>正常工况下，项目有组织污染源源强见表</w:t>
      </w:r>
      <w:r>
        <w:rPr>
          <w:rFonts w:hint="eastAsia" w:ascii="Times New Roman" w:hAnsi="Times New Roman" w:eastAsia="宋体" w:cs="Times New Roman"/>
          <w:color w:val="auto"/>
          <w:kern w:val="28"/>
          <w:sz w:val="24"/>
          <w:lang w:val="en-US" w:eastAsia="zh-CN" w:bidi="ar-SA"/>
        </w:rPr>
        <w:t>6</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2</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7</w:t>
      </w:r>
      <w:r>
        <w:rPr>
          <w:rFonts w:hint="eastAsia" w:ascii="Times New Roman" w:eastAsia="宋体" w:cs="Times New Roman"/>
          <w:color w:val="auto"/>
          <w:kern w:val="28"/>
          <w:sz w:val="24"/>
          <w:lang w:val="en-US" w:eastAsia="zh-CN" w:bidi="ar-SA"/>
        </w:rPr>
        <w:t>，无组织面源污染源强参数见表</w:t>
      </w:r>
      <w:r>
        <w:rPr>
          <w:rFonts w:hint="eastAsia" w:ascii="Times New Roman" w:hAnsi="Times New Roman" w:eastAsia="宋体" w:cs="Times New Roman"/>
          <w:color w:val="auto"/>
          <w:kern w:val="28"/>
          <w:sz w:val="24"/>
          <w:lang w:val="en-US" w:eastAsia="zh-CN" w:bidi="ar-SA"/>
        </w:rPr>
        <w:t>6</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2</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8</w:t>
      </w:r>
      <w:r>
        <w:rPr>
          <w:rFonts w:hint="eastAsia" w:ascii="Times New Roman" w:eastAsia="宋体" w:cs="Times New Roman"/>
          <w:color w:val="auto"/>
          <w:kern w:val="28"/>
          <w:sz w:val="24"/>
          <w:lang w:val="en-US" w:eastAsia="zh-CN" w:bidi="ar-SA"/>
        </w:rPr>
        <w:t>。区域削减</w:t>
      </w:r>
      <w:r>
        <w:rPr>
          <w:rFonts w:hint="eastAsia" w:ascii="Times New Roman" w:cs="Times New Roman"/>
          <w:color w:val="auto"/>
          <w:kern w:val="28"/>
          <w:sz w:val="24"/>
          <w:lang w:val="en-US" w:eastAsia="zh-CN" w:bidi="ar-SA"/>
        </w:rPr>
        <w:t>污染源源强</w:t>
      </w:r>
      <w:r>
        <w:rPr>
          <w:rFonts w:hint="eastAsia" w:ascii="Times New Roman" w:eastAsia="宋体" w:cs="Times New Roman"/>
          <w:color w:val="auto"/>
          <w:kern w:val="28"/>
          <w:sz w:val="24"/>
          <w:lang w:val="en-US" w:eastAsia="zh-CN" w:bidi="ar-SA"/>
        </w:rPr>
        <w:t>见表</w:t>
      </w:r>
      <w:r>
        <w:rPr>
          <w:rFonts w:hint="eastAsia" w:ascii="Times New Roman" w:hAnsi="Times New Roman" w:eastAsia="宋体" w:cs="Times New Roman"/>
          <w:color w:val="auto"/>
          <w:kern w:val="28"/>
          <w:sz w:val="24"/>
          <w:lang w:val="en-US" w:eastAsia="zh-CN" w:bidi="ar-SA"/>
        </w:rPr>
        <w:t>6</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2</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9</w:t>
      </w:r>
      <w:r>
        <w:rPr>
          <w:rFonts w:hint="eastAsia" w:ascii="Times New Roman" w:eastAsia="宋体" w:cs="Times New Roman"/>
          <w:color w:val="auto"/>
          <w:kern w:val="28"/>
          <w:sz w:val="24"/>
          <w:lang w:val="en-US" w:eastAsia="zh-CN" w:bidi="ar-SA"/>
        </w:rPr>
        <w:t>，非正常工况主要大气污染源源强见表</w:t>
      </w:r>
      <w:r>
        <w:rPr>
          <w:rFonts w:hint="eastAsia" w:ascii="Times New Roman" w:hAnsi="Times New Roman" w:eastAsia="宋体" w:cs="Times New Roman"/>
          <w:color w:val="auto"/>
          <w:kern w:val="28"/>
          <w:sz w:val="24"/>
          <w:lang w:val="en-US" w:eastAsia="zh-CN" w:bidi="ar-SA"/>
        </w:rPr>
        <w:t>6</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2</w:t>
      </w:r>
      <w:r>
        <w:rPr>
          <w:rFonts w:hint="eastAsia" w:ascii="Times New Roman" w:eastAsia="宋体" w:cs="Times New Roman"/>
          <w:color w:val="auto"/>
          <w:kern w:val="28"/>
          <w:sz w:val="24"/>
          <w:lang w:val="en-US" w:eastAsia="zh-CN" w:bidi="ar-SA"/>
        </w:rPr>
        <w:t>-</w:t>
      </w:r>
      <w:r>
        <w:rPr>
          <w:rFonts w:hint="eastAsia" w:ascii="Times New Roman" w:hAnsi="Times New Roman" w:eastAsia="宋体" w:cs="Times New Roman"/>
          <w:color w:val="auto"/>
          <w:kern w:val="28"/>
          <w:sz w:val="24"/>
          <w:lang w:val="en-US" w:eastAsia="zh-CN" w:bidi="ar-SA"/>
        </w:rPr>
        <w:t>10</w:t>
      </w:r>
      <w:r>
        <w:rPr>
          <w:rFonts w:hint="eastAsia" w:ascii="Times New Roman" w:eastAsia="宋体" w:cs="Times New Roman"/>
          <w:color w:val="auto"/>
          <w:kern w:val="28"/>
          <w:sz w:val="24"/>
          <w:lang w:val="en-US" w:eastAsia="zh-CN" w:bidi="ar-SA"/>
        </w:rPr>
        <w:t>。</w:t>
      </w:r>
    </w:p>
    <w:p>
      <w:pPr>
        <w:spacing w:before="169" w:beforeLines="50"/>
        <w:jc w:val="center"/>
        <w:rPr>
          <w:rFonts w:hAnsi="宋体"/>
          <w:b/>
          <w:color w:val="000000" w:themeColor="text1"/>
          <w:spacing w:val="4"/>
          <w:sz w:val="21"/>
          <w:szCs w:val="21"/>
          <w:lang w:bidi="ar"/>
          <w14:textFill>
            <w14:solidFill>
              <w14:schemeClr w14:val="tx1"/>
            </w14:solidFill>
          </w14:textFill>
        </w:rPr>
      </w:pPr>
      <w:r>
        <w:rPr>
          <w:rFonts w:hint="eastAsia" w:hAnsi="宋体"/>
          <w:b/>
          <w:color w:val="000000" w:themeColor="text1"/>
          <w:spacing w:val="4"/>
          <w:sz w:val="21"/>
          <w:szCs w:val="21"/>
          <w:lang w:bidi="ar"/>
          <w14:textFill>
            <w14:solidFill>
              <w14:schemeClr w14:val="tx1"/>
            </w14:solidFill>
          </w14:textFill>
        </w:rPr>
        <w:t>表</w:t>
      </w:r>
      <w:r>
        <w:rPr>
          <w:rFonts w:hint="eastAsia" w:ascii="Times New Roman" w:hAnsi="Times New Roman"/>
          <w:b/>
          <w:color w:val="000000" w:themeColor="text1"/>
          <w:spacing w:val="4"/>
          <w:sz w:val="21"/>
          <w:szCs w:val="21"/>
          <w:lang w:bidi="ar"/>
          <w14:textFill>
            <w14:solidFill>
              <w14:schemeClr w14:val="tx1"/>
            </w14:solidFill>
          </w14:textFill>
        </w:rPr>
        <w:t>6</w:t>
      </w:r>
      <w:r>
        <w:rPr>
          <w:rFonts w:hint="eastAsia" w:hAnsi="宋体"/>
          <w:b/>
          <w:color w:val="000000" w:themeColor="text1"/>
          <w:spacing w:val="4"/>
          <w:sz w:val="21"/>
          <w:szCs w:val="21"/>
          <w:lang w:bidi="ar"/>
          <w14:textFill>
            <w14:solidFill>
              <w14:schemeClr w14:val="tx1"/>
            </w14:solidFill>
          </w14:textFill>
        </w:rPr>
        <w:t>.</w:t>
      </w:r>
      <w:r>
        <w:rPr>
          <w:rFonts w:hint="eastAsia" w:ascii="Times New Roman" w:hAnsi="Times New Roman"/>
          <w:b/>
          <w:color w:val="000000" w:themeColor="text1"/>
          <w:spacing w:val="4"/>
          <w:sz w:val="21"/>
          <w:szCs w:val="21"/>
          <w:lang w:bidi="ar"/>
          <w14:textFill>
            <w14:solidFill>
              <w14:schemeClr w14:val="tx1"/>
            </w14:solidFill>
          </w14:textFill>
        </w:rPr>
        <w:t>2</w:t>
      </w:r>
      <w:r>
        <w:rPr>
          <w:rFonts w:hint="eastAsia" w:hAnsi="宋体"/>
          <w:b/>
          <w:color w:val="000000" w:themeColor="text1"/>
          <w:spacing w:val="4"/>
          <w:sz w:val="21"/>
          <w:szCs w:val="21"/>
          <w:lang w:bidi="ar"/>
          <w14:textFill>
            <w14:solidFill>
              <w14:schemeClr w14:val="tx1"/>
            </w14:solidFill>
          </w14:textFill>
        </w:rPr>
        <w:t>-</w:t>
      </w:r>
      <w:r>
        <w:rPr>
          <w:rFonts w:hint="eastAsia" w:ascii="Times New Roman" w:hAnsi="Times New Roman"/>
          <w:b/>
          <w:color w:val="000000" w:themeColor="text1"/>
          <w:spacing w:val="4"/>
          <w:sz w:val="21"/>
          <w:szCs w:val="21"/>
          <w:lang w:val="en-US" w:eastAsia="zh-CN" w:bidi="ar"/>
          <w14:textFill>
            <w14:solidFill>
              <w14:schemeClr w14:val="tx1"/>
            </w14:solidFill>
          </w14:textFill>
        </w:rPr>
        <w:t>7</w:t>
      </w:r>
      <w:r>
        <w:rPr>
          <w:rFonts w:hint="eastAsia" w:hAnsi="宋体"/>
          <w:b/>
          <w:color w:val="000000" w:themeColor="text1"/>
          <w:spacing w:val="4"/>
          <w:sz w:val="21"/>
          <w:szCs w:val="21"/>
          <w:lang w:bidi="ar"/>
          <w14:textFill>
            <w14:solidFill>
              <w14:schemeClr w14:val="tx1"/>
            </w14:solidFill>
          </w14:textFill>
        </w:rPr>
        <w:t xml:space="preserve">  有组织（点源）污染源源强一览表</w:t>
      </w:r>
    </w:p>
    <w:tbl>
      <w:tblPr>
        <w:tblStyle w:val="8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507"/>
        <w:gridCol w:w="439"/>
        <w:gridCol w:w="439"/>
        <w:gridCol w:w="983"/>
        <w:gridCol w:w="860"/>
        <w:gridCol w:w="921"/>
        <w:gridCol w:w="983"/>
        <w:gridCol w:w="858"/>
        <w:gridCol w:w="831"/>
        <w:gridCol w:w="414"/>
        <w:gridCol w:w="744"/>
        <w:gridCol w:w="7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29"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序号</w:t>
            </w:r>
          </w:p>
        </w:tc>
        <w:tc>
          <w:tcPr>
            <w:tcW w:w="280"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污染源</w:t>
            </w:r>
          </w:p>
        </w:tc>
        <w:tc>
          <w:tcPr>
            <w:tcW w:w="486" w:type="pct"/>
            <w:gridSpan w:val="2"/>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排气筒底部中心坐标</w:t>
            </w:r>
          </w:p>
        </w:tc>
        <w:tc>
          <w:tcPr>
            <w:tcW w:w="539"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排气筒底部海拔高度（</w:t>
            </w:r>
            <w:r>
              <w:rPr>
                <w:rFonts w:hint="eastAsia" w:ascii="Times New Roman" w:hAnsi="Times New Roman"/>
                <w:color w:val="000000" w:themeColor="text1"/>
                <w:spacing w:val="-17"/>
                <w:sz w:val="21"/>
                <w:szCs w:val="21"/>
                <w14:textFill>
                  <w14:solidFill>
                    <w14:schemeClr w14:val="tx1"/>
                  </w14:solidFill>
                </w14:textFill>
              </w:rPr>
              <w:t>m</w:t>
            </w:r>
            <w:r>
              <w:rPr>
                <w:rFonts w:hint="eastAsia"/>
                <w:color w:val="000000" w:themeColor="text1"/>
                <w:spacing w:val="-17"/>
                <w:sz w:val="21"/>
                <w:szCs w:val="21"/>
                <w14:textFill>
                  <w14:solidFill>
                    <w14:schemeClr w14:val="tx1"/>
                  </w14:solidFill>
                </w14:textFill>
              </w:rPr>
              <w:t>）</w:t>
            </w:r>
          </w:p>
        </w:tc>
        <w:tc>
          <w:tcPr>
            <w:tcW w:w="472"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排气筒高度（</w:t>
            </w:r>
            <w:r>
              <w:rPr>
                <w:rFonts w:hint="eastAsia" w:ascii="Times New Roman" w:hAnsi="Times New Roman"/>
                <w:color w:val="000000" w:themeColor="text1"/>
                <w:spacing w:val="-17"/>
                <w:sz w:val="21"/>
                <w:szCs w:val="21"/>
                <w14:textFill>
                  <w14:solidFill>
                    <w14:schemeClr w14:val="tx1"/>
                  </w14:solidFill>
                </w14:textFill>
              </w:rPr>
              <w:t>m</w:t>
            </w:r>
            <w:r>
              <w:rPr>
                <w:rFonts w:hint="eastAsia"/>
                <w:color w:val="000000" w:themeColor="text1"/>
                <w:spacing w:val="-17"/>
                <w:sz w:val="21"/>
                <w:szCs w:val="21"/>
                <w14:textFill>
                  <w14:solidFill>
                    <w14:schemeClr w14:val="tx1"/>
                  </w14:solidFill>
                </w14:textFill>
              </w:rPr>
              <w:t>）</w:t>
            </w:r>
          </w:p>
        </w:tc>
        <w:tc>
          <w:tcPr>
            <w:tcW w:w="505"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排气筒出口内径（</w:t>
            </w:r>
            <w:r>
              <w:rPr>
                <w:rFonts w:hint="eastAsia" w:ascii="Times New Roman" w:hAnsi="Times New Roman"/>
                <w:color w:val="000000" w:themeColor="text1"/>
                <w:spacing w:val="-17"/>
                <w:sz w:val="21"/>
                <w:szCs w:val="21"/>
                <w14:textFill>
                  <w14:solidFill>
                    <w14:schemeClr w14:val="tx1"/>
                  </w14:solidFill>
                </w14:textFill>
              </w:rPr>
              <w:t>m</w:t>
            </w:r>
            <w:r>
              <w:rPr>
                <w:rFonts w:hint="eastAsia"/>
                <w:color w:val="000000" w:themeColor="text1"/>
                <w:spacing w:val="-17"/>
                <w:sz w:val="21"/>
                <w:szCs w:val="21"/>
                <w14:textFill>
                  <w14:solidFill>
                    <w14:schemeClr w14:val="tx1"/>
                  </w14:solidFill>
                </w14:textFill>
              </w:rPr>
              <w:t>）</w:t>
            </w:r>
          </w:p>
        </w:tc>
        <w:tc>
          <w:tcPr>
            <w:tcW w:w="539"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烟气流速（</w:t>
            </w:r>
            <w:r>
              <w:rPr>
                <w:rFonts w:hint="eastAsia" w:ascii="Times New Roman" w:hAnsi="Times New Roman"/>
                <w:color w:val="000000" w:themeColor="text1"/>
                <w:spacing w:val="-17"/>
                <w:sz w:val="21"/>
                <w:szCs w:val="21"/>
                <w14:textFill>
                  <w14:solidFill>
                    <w14:schemeClr w14:val="tx1"/>
                  </w14:solidFill>
                </w14:textFill>
              </w:rPr>
              <w:t>m</w:t>
            </w:r>
            <w:r>
              <w:rPr>
                <w:rFonts w:hint="eastAsia"/>
                <w:color w:val="000000" w:themeColor="text1"/>
                <w:spacing w:val="-17"/>
                <w:sz w:val="21"/>
                <w:szCs w:val="21"/>
                <w14:textFill>
                  <w14:solidFill>
                    <w14:schemeClr w14:val="tx1"/>
                  </w14:solidFill>
                </w14:textFill>
              </w:rPr>
              <w:t>/</w:t>
            </w:r>
            <w:r>
              <w:rPr>
                <w:rFonts w:hint="eastAsia" w:ascii="Times New Roman" w:hAnsi="Times New Roman"/>
                <w:color w:val="000000" w:themeColor="text1"/>
                <w:spacing w:val="-17"/>
                <w:sz w:val="21"/>
                <w:szCs w:val="21"/>
                <w14:textFill>
                  <w14:solidFill>
                    <w14:schemeClr w14:val="tx1"/>
                  </w14:solidFill>
                </w14:textFill>
              </w:rPr>
              <w:t>s</w:t>
            </w:r>
            <w:r>
              <w:rPr>
                <w:rFonts w:hint="eastAsia"/>
                <w:color w:val="000000" w:themeColor="text1"/>
                <w:spacing w:val="-17"/>
                <w:sz w:val="21"/>
                <w:szCs w:val="21"/>
                <w14:textFill>
                  <w14:solidFill>
                    <w14:schemeClr w14:val="tx1"/>
                  </w14:solidFill>
                </w14:textFill>
              </w:rPr>
              <w:t>）</w:t>
            </w:r>
          </w:p>
        </w:tc>
        <w:tc>
          <w:tcPr>
            <w:tcW w:w="471"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烟气温度（</w:t>
            </w:r>
            <w:r>
              <w:rPr>
                <w:rFonts w:hint="eastAsia" w:hAnsi="宋体" w:cs="宋体"/>
                <w:color w:val="000000" w:themeColor="text1"/>
                <w:spacing w:val="-17"/>
                <w:sz w:val="21"/>
                <w:szCs w:val="21"/>
                <w14:textFill>
                  <w14:solidFill>
                    <w14:schemeClr w14:val="tx1"/>
                  </w14:solidFill>
                </w14:textFill>
              </w:rPr>
              <w:t>℃</w:t>
            </w:r>
            <w:r>
              <w:rPr>
                <w:rFonts w:hint="eastAsia"/>
                <w:color w:val="000000" w:themeColor="text1"/>
                <w:spacing w:val="-17"/>
                <w:sz w:val="21"/>
                <w:szCs w:val="21"/>
                <w14:textFill>
                  <w14:solidFill>
                    <w14:schemeClr w14:val="tx1"/>
                  </w14:solidFill>
                </w14:textFill>
              </w:rPr>
              <w:t>）</w:t>
            </w:r>
          </w:p>
        </w:tc>
        <w:tc>
          <w:tcPr>
            <w:tcW w:w="456"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年排放小时数（</w:t>
            </w:r>
            <w:r>
              <w:rPr>
                <w:rFonts w:hint="eastAsia" w:ascii="Times New Roman" w:hAnsi="Times New Roman"/>
                <w:color w:val="000000" w:themeColor="text1"/>
                <w:spacing w:val="-17"/>
                <w:sz w:val="21"/>
                <w:szCs w:val="21"/>
                <w14:textFill>
                  <w14:solidFill>
                    <w14:schemeClr w14:val="tx1"/>
                  </w14:solidFill>
                </w14:textFill>
              </w:rPr>
              <w:t>h</w:t>
            </w:r>
            <w:r>
              <w:rPr>
                <w:rFonts w:hint="eastAsia"/>
                <w:color w:val="000000" w:themeColor="text1"/>
                <w:spacing w:val="-17"/>
                <w:sz w:val="21"/>
                <w:szCs w:val="21"/>
                <w14:textFill>
                  <w14:solidFill>
                    <w14:schemeClr w14:val="tx1"/>
                  </w14:solidFill>
                </w14:textFill>
              </w:rPr>
              <w:t>）</w:t>
            </w:r>
          </w:p>
        </w:tc>
        <w:tc>
          <w:tcPr>
            <w:tcW w:w="229"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排放</w:t>
            </w:r>
          </w:p>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工况</w:t>
            </w:r>
          </w:p>
        </w:tc>
        <w:tc>
          <w:tcPr>
            <w:tcW w:w="788" w:type="pct"/>
            <w:gridSpan w:val="2"/>
            <w:vMerge w:val="restart"/>
            <w:vAlign w:val="center"/>
          </w:tcPr>
          <w:p>
            <w:pPr>
              <w:spacing w:line="280" w:lineRule="exact"/>
              <w:ind w:firstLine="0"/>
              <w:jc w:val="center"/>
              <w:rPr>
                <w:rFonts w:hint="eastAsia"/>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污染排放速率</w:t>
            </w:r>
            <w:r>
              <w:rPr>
                <w:rFonts w:hint="eastAsia" w:ascii="Times New Roman" w:hAnsi="Times New Roman"/>
                <w:color w:val="000000" w:themeColor="text1"/>
                <w:spacing w:val="-17"/>
                <w:sz w:val="21"/>
                <w:szCs w:val="21"/>
                <w14:textFill>
                  <w14:solidFill>
                    <w14:schemeClr w14:val="tx1"/>
                  </w14:solidFill>
                </w14:textFill>
              </w:rPr>
              <w:t>kg</w:t>
            </w:r>
            <w:r>
              <w:rPr>
                <w:rFonts w:hint="eastAsia"/>
                <w:color w:val="000000" w:themeColor="text1"/>
                <w:spacing w:val="-17"/>
                <w:sz w:val="21"/>
                <w:szCs w:val="21"/>
                <w14:textFill>
                  <w14:solidFill>
                    <w14:schemeClr w14:val="tx1"/>
                  </w14:solidFill>
                </w14:textFill>
              </w:rPr>
              <w:t>/</w:t>
            </w:r>
            <w:r>
              <w:rPr>
                <w:rFonts w:hint="eastAsia" w:ascii="Times New Roman" w:hAnsi="Times New Roman"/>
                <w:color w:val="000000" w:themeColor="text1"/>
                <w:spacing w:val="-17"/>
                <w:sz w:val="21"/>
                <w:szCs w:val="21"/>
                <w14:textFill>
                  <w14:solidFill>
                    <w14:schemeClr w14:val="tx1"/>
                  </w14:solidFill>
                </w14:textFill>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9"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280"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243"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ascii="Times New Roman" w:hAnsi="Times New Roman"/>
                <w:color w:val="000000" w:themeColor="text1"/>
                <w:spacing w:val="-17"/>
                <w:sz w:val="21"/>
                <w:szCs w:val="21"/>
                <w14:textFill>
                  <w14:solidFill>
                    <w14:schemeClr w14:val="tx1"/>
                  </w14:solidFill>
                </w14:textFill>
              </w:rPr>
              <w:t>X</w:t>
            </w:r>
          </w:p>
        </w:tc>
        <w:tc>
          <w:tcPr>
            <w:tcW w:w="243" w:type="pct"/>
            <w:vMerge w:val="restar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ascii="Times New Roman" w:hAnsi="Times New Roman"/>
                <w:color w:val="000000" w:themeColor="text1"/>
                <w:spacing w:val="-17"/>
                <w:sz w:val="21"/>
                <w:szCs w:val="21"/>
                <w14:textFill>
                  <w14:solidFill>
                    <w14:schemeClr w14:val="tx1"/>
                  </w14:solidFill>
                </w14:textFill>
              </w:rPr>
              <w:t>Y</w:t>
            </w:r>
          </w:p>
        </w:tc>
        <w:tc>
          <w:tcPr>
            <w:tcW w:w="539"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472"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505"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539"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471"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456"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229"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788" w:type="pct"/>
            <w:gridSpan w:val="2"/>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229" w:type="pct"/>
            <w:vMerge w:val="continue"/>
            <w:vAlign w:val="center"/>
          </w:tcPr>
          <w:p>
            <w:pPr>
              <w:spacing w:line="280" w:lineRule="exact"/>
              <w:ind w:firstLine="0"/>
              <w:jc w:val="center"/>
              <w:rPr>
                <w:rFonts w:hint="eastAsia" w:ascii="Times New Roman"/>
                <w:color w:val="000000" w:themeColor="text1"/>
                <w:spacing w:val="-17"/>
                <w:sz w:val="21"/>
                <w:szCs w:val="21"/>
                <w14:textFill>
                  <w14:solidFill>
                    <w14:schemeClr w14:val="tx1"/>
                  </w14:solidFill>
                </w14:textFill>
              </w:rPr>
            </w:pPr>
          </w:p>
        </w:tc>
        <w:tc>
          <w:tcPr>
            <w:tcW w:w="280" w:type="pct"/>
            <w:vMerge w:val="continue"/>
            <w:vAlign w:val="center"/>
          </w:tcPr>
          <w:p>
            <w:pPr>
              <w:spacing w:line="280" w:lineRule="exact"/>
              <w:ind w:firstLine="0"/>
              <w:jc w:val="center"/>
              <w:rPr>
                <w:rFonts w:hint="eastAsia"/>
                <w:color w:val="000000" w:themeColor="text1"/>
                <w:spacing w:val="-17"/>
                <w:sz w:val="21"/>
                <w:szCs w:val="21"/>
                <w:lang w:eastAsia="zh-CN"/>
                <w14:textFill>
                  <w14:solidFill>
                    <w14:schemeClr w14:val="tx1"/>
                  </w14:solidFill>
                </w14:textFill>
              </w:rPr>
            </w:pPr>
          </w:p>
        </w:tc>
        <w:tc>
          <w:tcPr>
            <w:tcW w:w="243"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243" w:type="pct"/>
            <w:vMerge w:val="continue"/>
            <w:vAlign w:val="center"/>
          </w:tcPr>
          <w:p>
            <w:pPr>
              <w:spacing w:line="280" w:lineRule="exact"/>
              <w:ind w:firstLine="0"/>
              <w:jc w:val="center"/>
              <w:rPr>
                <w:color w:val="000000" w:themeColor="text1"/>
                <w:spacing w:val="-17"/>
                <w:sz w:val="21"/>
                <w:szCs w:val="21"/>
                <w14:textFill>
                  <w14:solidFill>
                    <w14:schemeClr w14:val="tx1"/>
                  </w14:solidFill>
                </w14:textFill>
              </w:rPr>
            </w:pPr>
          </w:p>
        </w:tc>
        <w:tc>
          <w:tcPr>
            <w:tcW w:w="539" w:type="pct"/>
            <w:vMerge w:val="continue"/>
            <w:vAlign w:val="center"/>
          </w:tcPr>
          <w:p>
            <w:pPr>
              <w:spacing w:line="280" w:lineRule="exact"/>
              <w:ind w:firstLine="0"/>
              <w:jc w:val="center"/>
              <w:rPr>
                <w:rFonts w:hint="eastAsia"/>
                <w:color w:val="000000" w:themeColor="text1"/>
                <w:spacing w:val="-17"/>
                <w:sz w:val="21"/>
                <w:szCs w:val="21"/>
                <w:lang w:val="en-US" w:eastAsia="zh-CN"/>
                <w14:textFill>
                  <w14:solidFill>
                    <w14:schemeClr w14:val="tx1"/>
                  </w14:solidFill>
                </w14:textFill>
              </w:rPr>
            </w:pPr>
          </w:p>
        </w:tc>
        <w:tc>
          <w:tcPr>
            <w:tcW w:w="472" w:type="pct"/>
            <w:vMerge w:val="continue"/>
            <w:vAlign w:val="center"/>
          </w:tcPr>
          <w:p>
            <w:pPr>
              <w:spacing w:line="280" w:lineRule="exact"/>
              <w:ind w:firstLine="0"/>
              <w:jc w:val="center"/>
              <w:rPr>
                <w:rFonts w:hint="eastAsia" w:ascii="Times New Roman"/>
                <w:color w:val="000000" w:themeColor="text1"/>
                <w:spacing w:val="-17"/>
                <w:sz w:val="21"/>
                <w:szCs w:val="21"/>
                <w14:textFill>
                  <w14:solidFill>
                    <w14:schemeClr w14:val="tx1"/>
                  </w14:solidFill>
                </w14:textFill>
              </w:rPr>
            </w:pPr>
          </w:p>
        </w:tc>
        <w:tc>
          <w:tcPr>
            <w:tcW w:w="505" w:type="pct"/>
            <w:vMerge w:val="continue"/>
            <w:vAlign w:val="center"/>
          </w:tcPr>
          <w:p>
            <w:pPr>
              <w:spacing w:line="280" w:lineRule="exact"/>
              <w:ind w:firstLine="0"/>
              <w:jc w:val="center"/>
              <w:rPr>
                <w:rFonts w:hint="eastAsia"/>
                <w:color w:val="000000" w:themeColor="text1"/>
                <w:spacing w:val="-17"/>
                <w:sz w:val="21"/>
                <w:szCs w:val="21"/>
                <w14:textFill>
                  <w14:solidFill>
                    <w14:schemeClr w14:val="tx1"/>
                  </w14:solidFill>
                </w14:textFill>
              </w:rPr>
            </w:pPr>
          </w:p>
        </w:tc>
        <w:tc>
          <w:tcPr>
            <w:tcW w:w="539" w:type="pct"/>
            <w:vMerge w:val="continue"/>
            <w:vAlign w:val="center"/>
          </w:tcPr>
          <w:p>
            <w:pPr>
              <w:spacing w:line="280" w:lineRule="exact"/>
              <w:ind w:firstLine="0"/>
              <w:jc w:val="center"/>
              <w:rPr>
                <w:rFonts w:hint="eastAsia"/>
                <w:color w:val="000000" w:themeColor="text1"/>
                <w:spacing w:val="-17"/>
                <w:sz w:val="21"/>
                <w:szCs w:val="21"/>
                <w14:textFill>
                  <w14:solidFill>
                    <w14:schemeClr w14:val="tx1"/>
                  </w14:solidFill>
                </w14:textFill>
              </w:rPr>
            </w:pPr>
          </w:p>
        </w:tc>
        <w:tc>
          <w:tcPr>
            <w:tcW w:w="471" w:type="pct"/>
            <w:vMerge w:val="continue"/>
            <w:vAlign w:val="center"/>
          </w:tcPr>
          <w:p>
            <w:pPr>
              <w:spacing w:line="280" w:lineRule="exact"/>
              <w:ind w:firstLine="0"/>
              <w:jc w:val="center"/>
              <w:rPr>
                <w:rFonts w:hint="eastAsia" w:ascii="Times New Roman"/>
                <w:color w:val="000000" w:themeColor="text1"/>
                <w:spacing w:val="-17"/>
                <w:sz w:val="21"/>
                <w:szCs w:val="21"/>
                <w14:textFill>
                  <w14:solidFill>
                    <w14:schemeClr w14:val="tx1"/>
                  </w14:solidFill>
                </w14:textFill>
              </w:rPr>
            </w:pPr>
          </w:p>
        </w:tc>
        <w:tc>
          <w:tcPr>
            <w:tcW w:w="456" w:type="pct"/>
            <w:vMerge w:val="continue"/>
            <w:vAlign w:val="center"/>
          </w:tcPr>
          <w:p>
            <w:pPr>
              <w:spacing w:line="280" w:lineRule="exact"/>
              <w:ind w:firstLine="0"/>
              <w:jc w:val="center"/>
              <w:rPr>
                <w:rFonts w:hint="eastAsia" w:ascii="Times New Roman"/>
                <w:color w:val="000000" w:themeColor="text1"/>
                <w:spacing w:val="-17"/>
                <w:sz w:val="21"/>
                <w:szCs w:val="21"/>
                <w:lang w:val="en-US" w:eastAsia="zh-CN"/>
                <w14:textFill>
                  <w14:solidFill>
                    <w14:schemeClr w14:val="tx1"/>
                  </w14:solidFill>
                </w14:textFill>
              </w:rPr>
            </w:pPr>
          </w:p>
        </w:tc>
        <w:tc>
          <w:tcPr>
            <w:tcW w:w="229" w:type="pct"/>
            <w:vMerge w:val="continue"/>
            <w:vAlign w:val="center"/>
          </w:tcPr>
          <w:p>
            <w:pPr>
              <w:spacing w:line="280" w:lineRule="exact"/>
              <w:ind w:firstLine="0"/>
              <w:jc w:val="center"/>
              <w:rPr>
                <w:rFonts w:hint="eastAsia"/>
                <w:color w:val="000000" w:themeColor="text1"/>
                <w:spacing w:val="-17"/>
                <w:sz w:val="21"/>
                <w:szCs w:val="21"/>
                <w14:textFill>
                  <w14:solidFill>
                    <w14:schemeClr w14:val="tx1"/>
                  </w14:solidFill>
                </w14:textFill>
              </w:rPr>
            </w:pPr>
          </w:p>
        </w:tc>
        <w:tc>
          <w:tcPr>
            <w:tcW w:w="369" w:type="pct"/>
            <w:vAlign w:val="center"/>
          </w:tcPr>
          <w:p>
            <w:pPr>
              <w:spacing w:line="280" w:lineRule="exact"/>
              <w:ind w:firstLine="0"/>
              <w:jc w:val="center"/>
              <w:rPr>
                <w:rFonts w:hint="eastAsia" w:eastAsia="宋体"/>
                <w:color w:val="000000" w:themeColor="text1"/>
                <w:spacing w:val="-17"/>
                <w:sz w:val="21"/>
                <w:szCs w:val="21"/>
                <w:lang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NH</w:t>
            </w:r>
            <w:r>
              <w:rPr>
                <w:rFonts w:hint="eastAsia" w:ascii="Times New Roman" w:hAnsi="Times New Roman"/>
                <w:color w:val="000000" w:themeColor="text1"/>
                <w:spacing w:val="-17"/>
                <w:sz w:val="21"/>
                <w:szCs w:val="21"/>
                <w:vertAlign w:val="subscript"/>
                <w:lang w:val="en-US" w:eastAsia="zh-CN"/>
                <w14:textFill>
                  <w14:solidFill>
                    <w14:schemeClr w14:val="tx1"/>
                  </w14:solidFill>
                </w14:textFill>
              </w:rPr>
              <w:t>3</w:t>
            </w:r>
          </w:p>
        </w:tc>
        <w:tc>
          <w:tcPr>
            <w:tcW w:w="419"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229" w:type="pc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ascii="Times New Roman" w:hAnsi="Times New Roman"/>
                <w:color w:val="000000" w:themeColor="text1"/>
                <w:spacing w:val="-17"/>
                <w:sz w:val="21"/>
                <w:szCs w:val="21"/>
                <w14:textFill>
                  <w14:solidFill>
                    <w14:schemeClr w14:val="tx1"/>
                  </w14:solidFill>
                </w14:textFill>
              </w:rPr>
              <w:t>1</w:t>
            </w:r>
          </w:p>
        </w:tc>
        <w:tc>
          <w:tcPr>
            <w:tcW w:w="280" w:type="pct"/>
            <w:vAlign w:val="center"/>
          </w:tcPr>
          <w:p>
            <w:pPr>
              <w:spacing w:line="280" w:lineRule="exact"/>
              <w:ind w:firstLine="0"/>
              <w:jc w:val="center"/>
              <w:rPr>
                <w:rFonts w:hint="eastAsia" w:eastAsia="宋体"/>
                <w:color w:val="000000" w:themeColor="text1"/>
                <w:spacing w:val="-17"/>
                <w:sz w:val="21"/>
                <w:szCs w:val="21"/>
                <w:lang w:eastAsia="zh-CN"/>
                <w14:textFill>
                  <w14:solidFill>
                    <w14:schemeClr w14:val="tx1"/>
                  </w14:solidFill>
                </w14:textFill>
              </w:rPr>
            </w:pPr>
            <w:r>
              <w:rPr>
                <w:rFonts w:hint="eastAsia"/>
                <w:color w:val="000000" w:themeColor="text1"/>
                <w:spacing w:val="-17"/>
                <w:sz w:val="21"/>
                <w:szCs w:val="21"/>
                <w:lang w:eastAsia="zh-CN"/>
                <w14:textFill>
                  <w14:solidFill>
                    <w14:schemeClr w14:val="tx1"/>
                  </w14:solidFill>
                </w14:textFill>
              </w:rPr>
              <w:t>尾气吸收塔</w:t>
            </w:r>
          </w:p>
        </w:tc>
        <w:tc>
          <w:tcPr>
            <w:tcW w:w="243"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70</w:t>
            </w:r>
          </w:p>
        </w:tc>
        <w:tc>
          <w:tcPr>
            <w:tcW w:w="243"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87</w:t>
            </w:r>
          </w:p>
        </w:tc>
        <w:tc>
          <w:tcPr>
            <w:tcW w:w="539"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601</w:t>
            </w:r>
          </w:p>
        </w:tc>
        <w:tc>
          <w:tcPr>
            <w:tcW w:w="472" w:type="pc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ascii="Times New Roman" w:hAnsi="Times New Roman"/>
                <w:color w:val="000000" w:themeColor="text1"/>
                <w:spacing w:val="-17"/>
                <w:sz w:val="21"/>
                <w:szCs w:val="21"/>
                <w14:textFill>
                  <w14:solidFill>
                    <w14:schemeClr w14:val="tx1"/>
                  </w14:solidFill>
                </w14:textFill>
              </w:rPr>
              <w:t>15</w:t>
            </w:r>
          </w:p>
        </w:tc>
        <w:tc>
          <w:tcPr>
            <w:tcW w:w="505"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0</w:t>
            </w:r>
            <w:r>
              <w:rPr>
                <w:rFonts w:hint="eastAsia"/>
                <w:color w:val="000000" w:themeColor="text1"/>
                <w:spacing w:val="-17"/>
                <w:sz w:val="21"/>
                <w:szCs w:val="21"/>
                <w:lang w:val="en-US" w:eastAsia="zh-CN"/>
                <w14:textFill>
                  <w14:solidFill>
                    <w14:schemeClr w14:val="tx1"/>
                  </w14:solidFill>
                </w14:textFill>
              </w:rPr>
              <w:t>.</w:t>
            </w:r>
            <w:r>
              <w:rPr>
                <w:rFonts w:hint="eastAsia" w:ascii="Times New Roman" w:hAnsi="Times New Roman"/>
                <w:color w:val="000000" w:themeColor="text1"/>
                <w:spacing w:val="-17"/>
                <w:sz w:val="21"/>
                <w:szCs w:val="21"/>
                <w:lang w:val="en-US" w:eastAsia="zh-CN"/>
                <w14:textFill>
                  <w14:solidFill>
                    <w14:schemeClr w14:val="tx1"/>
                  </w14:solidFill>
                </w14:textFill>
              </w:rPr>
              <w:t>3</w:t>
            </w:r>
          </w:p>
        </w:tc>
        <w:tc>
          <w:tcPr>
            <w:tcW w:w="539"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1</w:t>
            </w:r>
            <w:r>
              <w:rPr>
                <w:rFonts w:hint="eastAsia"/>
                <w:color w:val="000000" w:themeColor="text1"/>
                <w:spacing w:val="-17"/>
                <w:sz w:val="21"/>
                <w:szCs w:val="21"/>
                <w:lang w:val="en-US" w:eastAsia="zh-CN"/>
                <w14:textFill>
                  <w14:solidFill>
                    <w14:schemeClr w14:val="tx1"/>
                  </w14:solidFill>
                </w14:textFill>
              </w:rPr>
              <w:t>.</w:t>
            </w:r>
            <w:r>
              <w:rPr>
                <w:rFonts w:hint="eastAsia" w:ascii="Times New Roman" w:hAnsi="Times New Roman"/>
                <w:color w:val="000000" w:themeColor="text1"/>
                <w:spacing w:val="-17"/>
                <w:sz w:val="21"/>
                <w:szCs w:val="21"/>
                <w:lang w:val="en-US" w:eastAsia="zh-CN"/>
                <w14:textFill>
                  <w14:solidFill>
                    <w14:schemeClr w14:val="tx1"/>
                  </w14:solidFill>
                </w14:textFill>
              </w:rPr>
              <w:t>4</w:t>
            </w:r>
          </w:p>
        </w:tc>
        <w:tc>
          <w:tcPr>
            <w:tcW w:w="471" w:type="pc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ascii="Times New Roman" w:hAnsi="Times New Roman"/>
                <w:color w:val="000000" w:themeColor="text1"/>
                <w:spacing w:val="-17"/>
                <w:sz w:val="21"/>
                <w:szCs w:val="21"/>
                <w14:textFill>
                  <w14:solidFill>
                    <w14:schemeClr w14:val="tx1"/>
                  </w14:solidFill>
                </w14:textFill>
              </w:rPr>
              <w:t>25</w:t>
            </w:r>
          </w:p>
        </w:tc>
        <w:tc>
          <w:tcPr>
            <w:tcW w:w="456" w:type="pc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80</w:t>
            </w:r>
            <w:r>
              <w:rPr>
                <w:rFonts w:hint="eastAsia" w:ascii="Times New Roman" w:hAnsi="Times New Roman"/>
                <w:color w:val="000000" w:themeColor="text1"/>
                <w:spacing w:val="-17"/>
                <w:sz w:val="21"/>
                <w:szCs w:val="21"/>
                <w14:textFill>
                  <w14:solidFill>
                    <w14:schemeClr w14:val="tx1"/>
                  </w14:solidFill>
                </w14:textFill>
              </w:rPr>
              <w:t>00</w:t>
            </w:r>
          </w:p>
        </w:tc>
        <w:tc>
          <w:tcPr>
            <w:tcW w:w="229" w:type="pct"/>
            <w:vAlign w:val="center"/>
          </w:tcPr>
          <w:p>
            <w:pPr>
              <w:spacing w:line="280" w:lineRule="exact"/>
              <w:ind w:firstLine="0"/>
              <w:jc w:val="center"/>
              <w:rPr>
                <w:color w:val="000000" w:themeColor="text1"/>
                <w:spacing w:val="-17"/>
                <w:sz w:val="21"/>
                <w:szCs w:val="21"/>
                <w14:textFill>
                  <w14:solidFill>
                    <w14:schemeClr w14:val="tx1"/>
                  </w14:solidFill>
                </w14:textFill>
              </w:rPr>
            </w:pPr>
            <w:r>
              <w:rPr>
                <w:rFonts w:hint="eastAsia"/>
                <w:color w:val="000000" w:themeColor="text1"/>
                <w:spacing w:val="-17"/>
                <w:sz w:val="21"/>
                <w:szCs w:val="21"/>
                <w14:textFill>
                  <w14:solidFill>
                    <w14:schemeClr w14:val="tx1"/>
                  </w14:solidFill>
                </w14:textFill>
              </w:rPr>
              <w:t>正常</w:t>
            </w:r>
          </w:p>
        </w:tc>
        <w:tc>
          <w:tcPr>
            <w:tcW w:w="369"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0</w:t>
            </w:r>
            <w:r>
              <w:rPr>
                <w:rFonts w:hint="eastAsia"/>
                <w:color w:val="000000" w:themeColor="text1"/>
                <w:spacing w:val="-17"/>
                <w:sz w:val="21"/>
                <w:szCs w:val="21"/>
                <w:lang w:val="en-US" w:eastAsia="zh-CN"/>
                <w14:textFill>
                  <w14:solidFill>
                    <w14:schemeClr w14:val="tx1"/>
                  </w14:solidFill>
                </w14:textFill>
              </w:rPr>
              <w:t>.</w:t>
            </w:r>
            <w:r>
              <w:rPr>
                <w:rFonts w:hint="eastAsia" w:ascii="Times New Roman" w:hAnsi="Times New Roman"/>
                <w:color w:val="000000" w:themeColor="text1"/>
                <w:spacing w:val="-17"/>
                <w:sz w:val="21"/>
                <w:szCs w:val="21"/>
                <w:lang w:val="en-US" w:eastAsia="zh-CN"/>
                <w14:textFill>
                  <w14:solidFill>
                    <w14:schemeClr w14:val="tx1"/>
                  </w14:solidFill>
                </w14:textFill>
              </w:rPr>
              <w:t>3037</w:t>
            </w:r>
          </w:p>
        </w:tc>
        <w:tc>
          <w:tcPr>
            <w:tcW w:w="419" w:type="pct"/>
            <w:vAlign w:val="center"/>
          </w:tcPr>
          <w:p>
            <w:pPr>
              <w:spacing w:line="280" w:lineRule="exact"/>
              <w:ind w:firstLine="0"/>
              <w:jc w:val="center"/>
              <w:rPr>
                <w:rFonts w:hint="default" w:eastAsia="宋体"/>
                <w:color w:val="000000" w:themeColor="text1"/>
                <w:spacing w:val="-17"/>
                <w:sz w:val="21"/>
                <w:szCs w:val="21"/>
                <w:lang w:val="en-US" w:eastAsia="zh-CN"/>
                <w14:textFill>
                  <w14:solidFill>
                    <w14:schemeClr w14:val="tx1"/>
                  </w14:solidFill>
                </w14:textFill>
              </w:rPr>
            </w:pPr>
            <w:r>
              <w:rPr>
                <w:rFonts w:hint="eastAsia" w:ascii="Times New Roman" w:hAnsi="Times New Roman"/>
                <w:color w:val="000000" w:themeColor="text1"/>
                <w:spacing w:val="-17"/>
                <w:sz w:val="21"/>
                <w:szCs w:val="21"/>
                <w:lang w:val="en-US" w:eastAsia="zh-CN"/>
                <w14:textFill>
                  <w14:solidFill>
                    <w14:schemeClr w14:val="tx1"/>
                  </w14:solidFill>
                </w14:textFill>
              </w:rPr>
              <w:t>0</w:t>
            </w:r>
            <w:r>
              <w:rPr>
                <w:rFonts w:hint="eastAsia" w:ascii="Times New Roman" w:hAnsi="Times New Roman"/>
                <w:color w:val="000000" w:themeColor="text1"/>
                <w:spacing w:val="-17"/>
                <w:sz w:val="21"/>
                <w:szCs w:val="21"/>
                <w:lang w:val="en-US" w:eastAsia="zh-CN"/>
                <w14:textFill>
                  <w14:solidFill>
                    <w14:schemeClr w14:val="tx1"/>
                  </w14:solidFill>
                </w14:textFill>
              </w:rPr>
              <w:t>.</w:t>
            </w:r>
            <w:r>
              <w:rPr>
                <w:rFonts w:hint="eastAsia" w:ascii="Times New Roman" w:hAnsi="Times New Roman"/>
                <w:color w:val="000000" w:themeColor="text1"/>
                <w:spacing w:val="-17"/>
                <w:sz w:val="21"/>
                <w:szCs w:val="21"/>
                <w:lang w:val="en-US" w:eastAsia="zh-CN"/>
                <w14:textFill>
                  <w14:solidFill>
                    <w14:schemeClr w14:val="tx1"/>
                  </w14:solidFill>
                </w14:textFill>
              </w:rPr>
              <w:t>00013</w:t>
            </w:r>
          </w:p>
        </w:tc>
      </w:tr>
    </w:tbl>
    <w:p>
      <w:pPr>
        <w:keepNext w:val="0"/>
        <w:keepLines w:val="0"/>
        <w:pageBreakBefore w:val="0"/>
        <w:widowControl w:val="0"/>
        <w:kinsoku/>
        <w:wordWrap/>
        <w:overflowPunct/>
        <w:topLinePunct w:val="0"/>
        <w:autoSpaceDE/>
        <w:autoSpaceDN/>
        <w:bidi w:val="0"/>
        <w:adjustRightInd/>
        <w:snapToGrid/>
        <w:ind w:firstLine="482"/>
        <w:jc w:val="center"/>
        <w:textAlignment w:val="auto"/>
        <w:rPr>
          <w:rFonts w:hAnsi="宋体"/>
          <w:b/>
          <w:color w:val="000000" w:themeColor="text1"/>
          <w:spacing w:val="4"/>
          <w:sz w:val="21"/>
          <w:szCs w:val="21"/>
          <w:lang w:bidi="ar"/>
          <w14:textFill>
            <w14:solidFill>
              <w14:schemeClr w14:val="tx1"/>
            </w14:solidFill>
          </w14:textFill>
        </w:rPr>
      </w:pPr>
      <w:r>
        <w:rPr>
          <w:rFonts w:hAnsi="宋体"/>
          <w:b/>
          <w:color w:val="000000" w:themeColor="text1"/>
          <w:spacing w:val="4"/>
          <w:sz w:val="21"/>
          <w:szCs w:val="21"/>
          <w:lang w:bidi="ar"/>
          <w14:textFill>
            <w14:solidFill>
              <w14:schemeClr w14:val="tx1"/>
            </w14:solidFill>
          </w14:textFill>
        </w:rPr>
        <w:t>表</w:t>
      </w:r>
      <w:r>
        <w:rPr>
          <w:rFonts w:hint="eastAsia" w:ascii="Times New Roman" w:hAnsi="Times New Roman"/>
          <w:b/>
          <w:color w:val="000000" w:themeColor="text1"/>
          <w:spacing w:val="4"/>
          <w:sz w:val="21"/>
          <w:szCs w:val="21"/>
          <w:lang w:bidi="ar"/>
          <w14:textFill>
            <w14:solidFill>
              <w14:schemeClr w14:val="tx1"/>
            </w14:solidFill>
          </w14:textFill>
        </w:rPr>
        <w:t>6</w:t>
      </w:r>
      <w:r>
        <w:rPr>
          <w:rFonts w:hint="eastAsia" w:ascii="Times New Roman"/>
          <w:b/>
          <w:color w:val="000000" w:themeColor="text1"/>
          <w:spacing w:val="4"/>
          <w:sz w:val="21"/>
          <w:szCs w:val="21"/>
          <w:lang w:bidi="ar"/>
          <w14:textFill>
            <w14:solidFill>
              <w14:schemeClr w14:val="tx1"/>
            </w14:solidFill>
          </w14:textFill>
        </w:rPr>
        <w:t>.</w:t>
      </w:r>
      <w:r>
        <w:rPr>
          <w:rFonts w:hint="eastAsia" w:ascii="Times New Roman" w:hAnsi="Times New Roman"/>
          <w:b/>
          <w:color w:val="000000" w:themeColor="text1"/>
          <w:spacing w:val="4"/>
          <w:sz w:val="21"/>
          <w:szCs w:val="21"/>
          <w:lang w:bidi="ar"/>
          <w14:textFill>
            <w14:solidFill>
              <w14:schemeClr w14:val="tx1"/>
            </w14:solidFill>
          </w14:textFill>
        </w:rPr>
        <w:t>2</w:t>
      </w:r>
      <w:r>
        <w:rPr>
          <w:rFonts w:hint="eastAsia" w:ascii="Times New Roman"/>
          <w:b/>
          <w:color w:val="000000" w:themeColor="text1"/>
          <w:spacing w:val="4"/>
          <w:sz w:val="21"/>
          <w:szCs w:val="21"/>
          <w:lang w:bidi="ar"/>
          <w14:textFill>
            <w14:solidFill>
              <w14:schemeClr w14:val="tx1"/>
            </w14:solidFill>
          </w14:textFill>
        </w:rPr>
        <w:t>-</w:t>
      </w:r>
      <w:r>
        <w:rPr>
          <w:rFonts w:hint="eastAsia" w:ascii="Times New Roman" w:hAnsi="Times New Roman"/>
          <w:b/>
          <w:color w:val="000000" w:themeColor="text1"/>
          <w:spacing w:val="4"/>
          <w:sz w:val="21"/>
          <w:szCs w:val="21"/>
          <w:lang w:val="en-US" w:eastAsia="zh-CN" w:bidi="ar"/>
          <w14:textFill>
            <w14:solidFill>
              <w14:schemeClr w14:val="tx1"/>
            </w14:solidFill>
          </w14:textFill>
        </w:rPr>
        <w:t>8</w:t>
      </w:r>
      <w:r>
        <w:rPr>
          <w:rFonts w:hint="eastAsia"/>
          <w:b/>
          <w:color w:val="000000" w:themeColor="text1"/>
          <w:spacing w:val="4"/>
          <w:sz w:val="21"/>
          <w:szCs w:val="21"/>
          <w:lang w:bidi="ar"/>
          <w14:textFill>
            <w14:solidFill>
              <w14:schemeClr w14:val="tx1"/>
            </w14:solidFill>
          </w14:textFill>
        </w:rPr>
        <w:t xml:space="preserve">  </w:t>
      </w:r>
      <w:r>
        <w:rPr>
          <w:rFonts w:hAnsi="宋体"/>
          <w:b/>
          <w:color w:val="000000" w:themeColor="text1"/>
          <w:spacing w:val="4"/>
          <w:sz w:val="21"/>
          <w:szCs w:val="21"/>
          <w:lang w:bidi="ar"/>
          <w14:textFill>
            <w14:solidFill>
              <w14:schemeClr w14:val="tx1"/>
            </w14:solidFill>
          </w14:textFill>
        </w:rPr>
        <w:t>无组织废气（面源）污染源</w:t>
      </w:r>
      <w:r>
        <w:rPr>
          <w:rFonts w:hint="eastAsia" w:hAnsi="宋体"/>
          <w:b/>
          <w:color w:val="000000" w:themeColor="text1"/>
          <w:spacing w:val="4"/>
          <w:sz w:val="21"/>
          <w:szCs w:val="21"/>
          <w:lang w:bidi="ar"/>
          <w14:textFill>
            <w14:solidFill>
              <w14:schemeClr w14:val="tx1"/>
            </w14:solidFill>
          </w14:textFill>
        </w:rPr>
        <w:t>源强</w:t>
      </w:r>
      <w:r>
        <w:rPr>
          <w:rFonts w:hAnsi="宋体"/>
          <w:b/>
          <w:color w:val="000000" w:themeColor="text1"/>
          <w:spacing w:val="4"/>
          <w:sz w:val="21"/>
          <w:szCs w:val="21"/>
          <w:lang w:bidi="ar"/>
          <w14:textFill>
            <w14:solidFill>
              <w14:schemeClr w14:val="tx1"/>
            </w14:solidFill>
          </w14:textFill>
        </w:rPr>
        <w:t>参数一览表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739"/>
        <w:gridCol w:w="426"/>
        <w:gridCol w:w="411"/>
        <w:gridCol w:w="793"/>
        <w:gridCol w:w="798"/>
        <w:gridCol w:w="798"/>
        <w:gridCol w:w="749"/>
        <w:gridCol w:w="1133"/>
        <w:gridCol w:w="1010"/>
        <w:gridCol w:w="655"/>
        <w:gridCol w:w="1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序号</w:t>
            </w:r>
          </w:p>
        </w:tc>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污染源名称</w:t>
            </w:r>
          </w:p>
        </w:tc>
        <w:tc>
          <w:tcPr>
            <w:tcW w:w="837" w:type="dxa"/>
            <w:gridSpan w:val="2"/>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面源起</w:t>
            </w:r>
          </w:p>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点坐标</w:t>
            </w:r>
          </w:p>
        </w:tc>
        <w:tc>
          <w:tcPr>
            <w:tcW w:w="793" w:type="dxa"/>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面源海拔高度/</w:t>
            </w:r>
            <w:r>
              <w:rPr>
                <w:rFonts w:hint="eastAsia" w:ascii="Times New Roman" w:hAnsi="Times New Roman"/>
                <w:color w:val="000000" w:themeColor="text1"/>
                <w:spacing w:val="-11"/>
                <w:sz w:val="21"/>
                <w:szCs w:val="21"/>
                <w14:textFill>
                  <w14:solidFill>
                    <w14:schemeClr w14:val="tx1"/>
                  </w14:solidFill>
                </w14:textFill>
              </w:rPr>
              <w:t>m</w:t>
            </w:r>
          </w:p>
        </w:tc>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面源长度/</w:t>
            </w:r>
            <w:r>
              <w:rPr>
                <w:rFonts w:hint="eastAsia" w:ascii="Times New Roman" w:hAnsi="Times New Roman"/>
                <w:color w:val="000000" w:themeColor="text1"/>
                <w:spacing w:val="-11"/>
                <w:sz w:val="21"/>
                <w:szCs w:val="21"/>
                <w14:textFill>
                  <w14:solidFill>
                    <w14:schemeClr w14:val="tx1"/>
                  </w14:solidFill>
                </w14:textFill>
              </w:rPr>
              <w:t>m</w:t>
            </w:r>
          </w:p>
        </w:tc>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面源宽度/</w:t>
            </w:r>
            <w:r>
              <w:rPr>
                <w:rFonts w:hint="eastAsia" w:ascii="Times New Roman" w:hAnsi="Times New Roman"/>
                <w:color w:val="000000" w:themeColor="text1"/>
                <w:spacing w:val="-11"/>
                <w:sz w:val="21"/>
                <w:szCs w:val="21"/>
                <w14:textFill>
                  <w14:solidFill>
                    <w14:schemeClr w14:val="tx1"/>
                  </w14:solidFill>
                </w14:textFill>
              </w:rPr>
              <w:t>m</w:t>
            </w:r>
          </w:p>
        </w:tc>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与正北</w:t>
            </w:r>
          </w:p>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向夹角/°</w:t>
            </w:r>
          </w:p>
        </w:tc>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面源有效排放高度/</w:t>
            </w:r>
            <w:r>
              <w:rPr>
                <w:rFonts w:hint="eastAsia" w:ascii="Times New Roman" w:hAnsi="Times New Roman"/>
                <w:color w:val="000000" w:themeColor="text1"/>
                <w:spacing w:val="-11"/>
                <w:sz w:val="21"/>
                <w:szCs w:val="21"/>
                <w14:textFill>
                  <w14:solidFill>
                    <w14:schemeClr w14:val="tx1"/>
                  </w14:solidFill>
                </w14:textFill>
              </w:rPr>
              <w:t>m</w:t>
            </w:r>
          </w:p>
        </w:tc>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年排放小时数/</w:t>
            </w:r>
            <w:r>
              <w:rPr>
                <w:rFonts w:hint="eastAsia" w:ascii="Times New Roman" w:hAnsi="Times New Roman"/>
                <w:color w:val="000000" w:themeColor="text1"/>
                <w:spacing w:val="-11"/>
                <w:sz w:val="21"/>
                <w:szCs w:val="21"/>
                <w14:textFill>
                  <w14:solidFill>
                    <w14:schemeClr w14:val="tx1"/>
                  </w14:solidFill>
                </w14:textFill>
              </w:rPr>
              <w:t>h</w:t>
            </w:r>
          </w:p>
        </w:tc>
        <w:tc>
          <w:tcPr>
            <w:tcW w:w="0" w:type="auto"/>
            <w:vMerge w:val="restart"/>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排放工况</w:t>
            </w:r>
          </w:p>
        </w:tc>
        <w:tc>
          <w:tcPr>
            <w:tcW w:w="0" w:type="auto"/>
            <w:vAlign w:val="center"/>
          </w:tcPr>
          <w:p>
            <w:pPr>
              <w:spacing w:line="260" w:lineRule="exact"/>
              <w:ind w:firstLine="0"/>
              <w:jc w:val="center"/>
              <w:rPr>
                <w:rFonts w:hint="default"/>
                <w:color w:val="000000" w:themeColor="text1"/>
                <w:spacing w:val="-11"/>
                <w:sz w:val="21"/>
                <w:szCs w:val="21"/>
                <w:lang w:val="en-US" w:eastAsia="zh-CN"/>
                <w14:textFill>
                  <w14:solidFill>
                    <w14:schemeClr w14:val="tx1"/>
                  </w14:solidFill>
                </w14:textFill>
              </w:rPr>
            </w:pPr>
            <w:r>
              <w:rPr>
                <w:rFonts w:hint="eastAsia"/>
                <w:color w:val="000000" w:themeColor="text1"/>
                <w:spacing w:val="-11"/>
                <w:sz w:val="21"/>
                <w:szCs w:val="21"/>
                <w:lang w:val="en-US" w:eastAsia="zh-CN"/>
                <w14:textFill>
                  <w14:solidFill>
                    <w14:schemeClr w14:val="tx1"/>
                  </w14:solidFill>
                </w14:textFill>
              </w:rPr>
              <w:t>排放速率</w:t>
            </w:r>
            <w:r>
              <w:rPr>
                <w:rFonts w:hint="eastAsia" w:ascii="Times New Roman" w:hAnsi="Times New Roman"/>
                <w:color w:val="000000" w:themeColor="text1"/>
                <w:spacing w:val="-11"/>
                <w:sz w:val="21"/>
                <w:szCs w:val="21"/>
                <w:lang w:val="en-US" w:eastAsia="zh-CN"/>
                <w14:textFill>
                  <w14:solidFill>
                    <w14:schemeClr w14:val="tx1"/>
                  </w14:solidFill>
                </w14:textFill>
              </w:rPr>
              <w:t>kg</w:t>
            </w:r>
            <w:r>
              <w:rPr>
                <w:rFonts w:hint="eastAsia"/>
                <w:color w:val="000000" w:themeColor="text1"/>
                <w:spacing w:val="-11"/>
                <w:sz w:val="21"/>
                <w:szCs w:val="21"/>
                <w:lang w:val="en-US" w:eastAsia="zh-CN"/>
                <w14:textFill>
                  <w14:solidFill>
                    <w14:schemeClr w14:val="tx1"/>
                  </w14:solidFill>
                </w14:textFill>
              </w:rPr>
              <w:t>/</w:t>
            </w:r>
            <w:r>
              <w:rPr>
                <w:rFonts w:hint="eastAsia" w:ascii="Times New Roman" w:hAnsi="Times New Roman"/>
                <w:color w:val="000000" w:themeColor="text1"/>
                <w:spacing w:val="-11"/>
                <w:sz w:val="21"/>
                <w:szCs w:val="21"/>
                <w:lang w:val="en-US" w:eastAsia="zh-CN"/>
                <w14:textFill>
                  <w14:solidFill>
                    <w14:schemeClr w14:val="tx1"/>
                  </w14:solidFill>
                </w14:textFill>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426" w:type="dxa"/>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ascii="Times New Roman" w:hAnsi="Times New Roman"/>
                <w:color w:val="000000" w:themeColor="text1"/>
                <w:spacing w:val="-11"/>
                <w:sz w:val="21"/>
                <w:szCs w:val="21"/>
                <w14:textFill>
                  <w14:solidFill>
                    <w14:schemeClr w14:val="tx1"/>
                  </w14:solidFill>
                </w14:textFill>
              </w:rPr>
              <w:t>X</w:t>
            </w:r>
          </w:p>
        </w:tc>
        <w:tc>
          <w:tcPr>
            <w:tcW w:w="411" w:type="dxa"/>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ascii="Times New Roman" w:hAnsi="Times New Roman"/>
                <w:color w:val="000000" w:themeColor="text1"/>
                <w:spacing w:val="-11"/>
                <w:sz w:val="21"/>
                <w:szCs w:val="21"/>
                <w14:textFill>
                  <w14:solidFill>
                    <w14:schemeClr w14:val="tx1"/>
                  </w14:solidFill>
                </w14:textFill>
              </w:rPr>
              <w:t>Y</w:t>
            </w:r>
          </w:p>
        </w:tc>
        <w:tc>
          <w:tcPr>
            <w:tcW w:w="793" w:type="dxa"/>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0" w:type="auto"/>
            <w:vMerge w:val="continue"/>
            <w:vAlign w:val="center"/>
          </w:tcPr>
          <w:p>
            <w:pPr>
              <w:spacing w:line="260" w:lineRule="exact"/>
              <w:ind w:firstLine="0"/>
              <w:jc w:val="center"/>
              <w:rPr>
                <w:color w:val="000000" w:themeColor="text1"/>
                <w:spacing w:val="-11"/>
                <w:sz w:val="21"/>
                <w:szCs w:val="21"/>
                <w14:textFill>
                  <w14:solidFill>
                    <w14:schemeClr w14:val="tx1"/>
                  </w14:solidFill>
                </w14:textFill>
              </w:rPr>
            </w:pPr>
          </w:p>
        </w:tc>
        <w:tc>
          <w:tcPr>
            <w:tcW w:w="1175" w:type="dxa"/>
            <w:vAlign w:val="center"/>
          </w:tcPr>
          <w:p>
            <w:pPr>
              <w:spacing w:line="260" w:lineRule="exact"/>
              <w:ind w:firstLine="0" w:firstLineChars="0"/>
              <w:jc w:val="center"/>
              <w:rPr>
                <w:rFonts w:hint="default" w:ascii="宋体" w:hAnsi="宋体" w:eastAsia="宋体" w:cs="Times New Roman"/>
                <w:color w:val="000000" w:themeColor="text1"/>
                <w:spacing w:val="-11"/>
                <w:sz w:val="21"/>
                <w:szCs w:val="21"/>
                <w:lang w:val="en-US" w:eastAsia="zh-CN" w:bidi="ar-SA"/>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0" w:type="auto"/>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ascii="Times New Roman" w:hAnsi="Times New Roman"/>
                <w:color w:val="000000" w:themeColor="text1"/>
                <w:spacing w:val="-11"/>
                <w:sz w:val="21"/>
                <w:szCs w:val="21"/>
                <w14:textFill>
                  <w14:solidFill>
                    <w14:schemeClr w14:val="tx1"/>
                  </w14:solidFill>
                </w14:textFill>
              </w:rPr>
              <w:t>1</w:t>
            </w:r>
          </w:p>
        </w:tc>
        <w:tc>
          <w:tcPr>
            <w:tcW w:w="0" w:type="auto"/>
            <w:vAlign w:val="center"/>
          </w:tcPr>
          <w:p>
            <w:pPr>
              <w:spacing w:line="260" w:lineRule="exact"/>
              <w:ind w:firstLine="0"/>
              <w:jc w:val="center"/>
              <w:rPr>
                <w:rFonts w:hint="eastAsia" w:eastAsia="宋体"/>
                <w:color w:val="000000" w:themeColor="text1"/>
                <w:spacing w:val="-11"/>
                <w:sz w:val="21"/>
                <w:szCs w:val="21"/>
                <w:lang w:eastAsia="zh-CN"/>
                <w14:textFill>
                  <w14:solidFill>
                    <w14:schemeClr w14:val="tx1"/>
                  </w14:solidFill>
                </w14:textFill>
              </w:rPr>
            </w:pPr>
            <w:r>
              <w:rPr>
                <w:rFonts w:hint="eastAsia"/>
                <w:color w:val="000000" w:themeColor="text1"/>
                <w:spacing w:val="-11"/>
                <w:sz w:val="21"/>
                <w:szCs w:val="21"/>
                <w:lang w:eastAsia="zh-CN"/>
                <w14:textFill>
                  <w14:solidFill>
                    <w14:schemeClr w14:val="tx1"/>
                  </w14:solidFill>
                </w14:textFill>
              </w:rPr>
              <w:t>产品罐区</w:t>
            </w:r>
          </w:p>
        </w:tc>
        <w:tc>
          <w:tcPr>
            <w:tcW w:w="426" w:type="dxa"/>
            <w:vAlign w:val="center"/>
          </w:tcPr>
          <w:p>
            <w:pPr>
              <w:spacing w:line="260" w:lineRule="exact"/>
              <w:ind w:firstLine="0"/>
              <w:jc w:val="center"/>
              <w:rPr>
                <w:rFonts w:hint="default" w:eastAsia="宋体"/>
                <w:color w:val="000000" w:themeColor="text1"/>
                <w:spacing w:val="-11"/>
                <w:sz w:val="21"/>
                <w:szCs w:val="21"/>
                <w:lang w:val="en-US" w:eastAsia="zh-CN"/>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70</w:t>
            </w:r>
          </w:p>
        </w:tc>
        <w:tc>
          <w:tcPr>
            <w:tcW w:w="411" w:type="dxa"/>
            <w:vAlign w:val="center"/>
          </w:tcPr>
          <w:p>
            <w:pPr>
              <w:spacing w:line="260" w:lineRule="exact"/>
              <w:ind w:firstLine="0"/>
              <w:jc w:val="center"/>
              <w:rPr>
                <w:rFonts w:hint="eastAsia" w:eastAsia="宋体"/>
                <w:color w:val="000000" w:themeColor="text1"/>
                <w:spacing w:val="-11"/>
                <w:sz w:val="21"/>
                <w:szCs w:val="21"/>
                <w:lang w:val="en-US" w:eastAsia="zh-CN"/>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1</w:t>
            </w:r>
          </w:p>
        </w:tc>
        <w:tc>
          <w:tcPr>
            <w:tcW w:w="793" w:type="dxa"/>
            <w:vAlign w:val="center"/>
          </w:tcPr>
          <w:p>
            <w:pPr>
              <w:spacing w:line="260" w:lineRule="exact"/>
              <w:ind w:firstLine="0"/>
              <w:jc w:val="center"/>
              <w:rPr>
                <w:rFonts w:hint="default" w:eastAsia="宋体"/>
                <w:color w:val="000000" w:themeColor="text1"/>
                <w:spacing w:val="-11"/>
                <w:sz w:val="21"/>
                <w:szCs w:val="21"/>
                <w:lang w:val="en-US" w:eastAsia="zh-CN"/>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604</w:t>
            </w:r>
          </w:p>
        </w:tc>
        <w:tc>
          <w:tcPr>
            <w:tcW w:w="0" w:type="auto"/>
            <w:vAlign w:val="center"/>
          </w:tcPr>
          <w:p>
            <w:pPr>
              <w:spacing w:line="260" w:lineRule="exact"/>
              <w:ind w:firstLine="0"/>
              <w:jc w:val="center"/>
              <w:rPr>
                <w:rFonts w:hint="default" w:eastAsia="宋体"/>
                <w:color w:val="000000" w:themeColor="text1"/>
                <w:spacing w:val="-11"/>
                <w:sz w:val="21"/>
                <w:szCs w:val="21"/>
                <w:lang w:val="en-US" w:eastAsia="zh-CN"/>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40</w:t>
            </w:r>
          </w:p>
        </w:tc>
        <w:tc>
          <w:tcPr>
            <w:tcW w:w="0" w:type="auto"/>
            <w:vAlign w:val="center"/>
          </w:tcPr>
          <w:p>
            <w:pPr>
              <w:spacing w:line="260" w:lineRule="exact"/>
              <w:ind w:firstLine="0"/>
              <w:jc w:val="center"/>
              <w:rPr>
                <w:rFonts w:hint="default" w:eastAsia="宋体"/>
                <w:color w:val="000000" w:themeColor="text1"/>
                <w:spacing w:val="-11"/>
                <w:sz w:val="21"/>
                <w:szCs w:val="21"/>
                <w:lang w:val="en-US" w:eastAsia="zh-CN"/>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40</w:t>
            </w:r>
          </w:p>
        </w:tc>
        <w:tc>
          <w:tcPr>
            <w:tcW w:w="0" w:type="auto"/>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0</w:t>
            </w:r>
          </w:p>
        </w:tc>
        <w:tc>
          <w:tcPr>
            <w:tcW w:w="0" w:type="auto"/>
            <w:vAlign w:val="center"/>
          </w:tcPr>
          <w:p>
            <w:pPr>
              <w:spacing w:line="260" w:lineRule="exact"/>
              <w:ind w:firstLine="0"/>
              <w:jc w:val="center"/>
              <w:rPr>
                <w:rFonts w:hint="default" w:eastAsia="宋体"/>
                <w:color w:val="000000" w:themeColor="text1"/>
                <w:spacing w:val="-11"/>
                <w:sz w:val="21"/>
                <w:szCs w:val="21"/>
                <w:lang w:val="en-US" w:eastAsia="zh-CN"/>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10</w:t>
            </w:r>
          </w:p>
        </w:tc>
        <w:tc>
          <w:tcPr>
            <w:tcW w:w="0" w:type="auto"/>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80</w:t>
            </w:r>
            <w:r>
              <w:rPr>
                <w:rFonts w:hint="eastAsia" w:ascii="Times New Roman" w:hAnsi="Times New Roman"/>
                <w:color w:val="000000" w:themeColor="text1"/>
                <w:spacing w:val="-11"/>
                <w:sz w:val="21"/>
                <w:szCs w:val="21"/>
                <w14:textFill>
                  <w14:solidFill>
                    <w14:schemeClr w14:val="tx1"/>
                  </w14:solidFill>
                </w14:textFill>
              </w:rPr>
              <w:t>00</w:t>
            </w:r>
          </w:p>
        </w:tc>
        <w:tc>
          <w:tcPr>
            <w:tcW w:w="0" w:type="auto"/>
            <w:vAlign w:val="center"/>
          </w:tcPr>
          <w:p>
            <w:pPr>
              <w:spacing w:line="260" w:lineRule="exact"/>
              <w:ind w:firstLine="0"/>
              <w:jc w:val="center"/>
              <w:rPr>
                <w:color w:val="000000" w:themeColor="text1"/>
                <w:spacing w:val="-11"/>
                <w:sz w:val="21"/>
                <w:szCs w:val="21"/>
                <w14:textFill>
                  <w14:solidFill>
                    <w14:schemeClr w14:val="tx1"/>
                  </w14:solidFill>
                </w14:textFill>
              </w:rPr>
            </w:pPr>
            <w:r>
              <w:rPr>
                <w:rFonts w:hint="eastAsia"/>
                <w:color w:val="000000" w:themeColor="text1"/>
                <w:spacing w:val="-11"/>
                <w:sz w:val="21"/>
                <w:szCs w:val="21"/>
                <w14:textFill>
                  <w14:solidFill>
                    <w14:schemeClr w14:val="tx1"/>
                  </w14:solidFill>
                </w14:textFill>
              </w:rPr>
              <w:t>正常</w:t>
            </w:r>
          </w:p>
        </w:tc>
        <w:tc>
          <w:tcPr>
            <w:tcW w:w="1175" w:type="dxa"/>
            <w:vAlign w:val="center"/>
          </w:tcPr>
          <w:p>
            <w:pPr>
              <w:spacing w:line="260" w:lineRule="exact"/>
              <w:ind w:firstLine="0"/>
              <w:jc w:val="center"/>
              <w:rPr>
                <w:rFonts w:hint="default" w:eastAsia="宋体"/>
                <w:color w:val="000000" w:themeColor="text1"/>
                <w:spacing w:val="-11"/>
                <w:sz w:val="21"/>
                <w:szCs w:val="21"/>
                <w:lang w:val="en-US" w:eastAsia="zh-CN"/>
                <w14:textFill>
                  <w14:solidFill>
                    <w14:schemeClr w14:val="tx1"/>
                  </w14:solidFill>
                </w14:textFill>
              </w:rPr>
            </w:pPr>
            <w:r>
              <w:rPr>
                <w:rFonts w:hint="eastAsia" w:ascii="Times New Roman" w:hAnsi="Times New Roman"/>
                <w:color w:val="000000" w:themeColor="text1"/>
                <w:spacing w:val="-11"/>
                <w:sz w:val="21"/>
                <w:szCs w:val="21"/>
                <w:lang w:val="en-US" w:eastAsia="zh-CN"/>
                <w14:textFill>
                  <w14:solidFill>
                    <w14:schemeClr w14:val="tx1"/>
                  </w14:solidFill>
                </w14:textFill>
              </w:rPr>
              <w:t>0</w:t>
            </w:r>
            <w:r>
              <w:rPr>
                <w:rFonts w:hint="eastAsia" w:ascii="Times New Roman" w:hAnsi="Times New Roman"/>
                <w:color w:val="000000" w:themeColor="text1"/>
                <w:spacing w:val="-11"/>
                <w:sz w:val="21"/>
                <w:szCs w:val="21"/>
                <w:lang w:val="en-US" w:eastAsia="zh-CN"/>
                <w14:textFill>
                  <w14:solidFill>
                    <w14:schemeClr w14:val="tx1"/>
                  </w14:solidFill>
                </w14:textFill>
              </w:rPr>
              <w:t>.</w:t>
            </w:r>
            <w:r>
              <w:rPr>
                <w:rFonts w:hint="eastAsia" w:ascii="Times New Roman" w:hAnsi="Times New Roman"/>
                <w:color w:val="000000" w:themeColor="text1"/>
                <w:spacing w:val="-11"/>
                <w:sz w:val="21"/>
                <w:szCs w:val="21"/>
                <w:lang w:val="en-US" w:eastAsia="zh-CN"/>
                <w14:textFill>
                  <w14:solidFill>
                    <w14:schemeClr w14:val="tx1"/>
                  </w14:solidFill>
                </w14:textFill>
              </w:rPr>
              <w:t>173</w:t>
            </w:r>
          </w:p>
        </w:tc>
      </w:tr>
    </w:tbl>
    <w:p>
      <w:pPr>
        <w:pStyle w:val="20"/>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eastAsia" w:eastAsia="宋体"/>
          <w:color w:val="auto"/>
          <w:lang w:eastAsia="zh-CN"/>
        </w:rPr>
      </w:pPr>
      <w:r>
        <w:rPr>
          <w:rFonts w:hint="eastAsia"/>
          <w:color w:val="auto"/>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color w:val="auto"/>
        </w:rPr>
        <w:t xml:space="preserve">  </w:t>
      </w:r>
      <w:r>
        <w:rPr>
          <w:rFonts w:hint="eastAsia"/>
          <w:color w:val="auto"/>
          <w:lang w:eastAsia="zh-CN"/>
        </w:rPr>
        <w:t>区域倍量削减源</w:t>
      </w:r>
      <w:r>
        <w:rPr>
          <w:rFonts w:hint="eastAsia"/>
          <w:color w:val="auto"/>
        </w:rPr>
        <w:t>（点源）污染源参数一览表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92"/>
        <w:gridCol w:w="505"/>
        <w:gridCol w:w="505"/>
        <w:gridCol w:w="967"/>
        <w:gridCol w:w="689"/>
        <w:gridCol w:w="646"/>
        <w:gridCol w:w="887"/>
        <w:gridCol w:w="1004"/>
        <w:gridCol w:w="892"/>
        <w:gridCol w:w="457"/>
        <w:gridCol w:w="13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序号</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污染源名称</w:t>
            </w:r>
          </w:p>
        </w:tc>
        <w:tc>
          <w:tcPr>
            <w:tcW w:w="0" w:type="auto"/>
            <w:gridSpan w:val="2"/>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排气筒底</w:t>
            </w:r>
          </w:p>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部中心坐标</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排气筒底部海拔高度</w:t>
            </w:r>
          </w:p>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w:t>
            </w:r>
            <w:r>
              <w:rPr>
                <w:rFonts w:hint="eastAsia" w:ascii="Times New Roman" w:hAnsi="Times New Roman"/>
                <w:color w:val="auto"/>
                <w:spacing w:val="-17"/>
                <w:w w:val="100"/>
                <w:sz w:val="21"/>
                <w:szCs w:val="21"/>
              </w:rPr>
              <w:t>m</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排气筒高度</w:t>
            </w:r>
          </w:p>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w:t>
            </w:r>
            <w:r>
              <w:rPr>
                <w:rFonts w:hint="eastAsia" w:ascii="Times New Roman" w:hAnsi="Times New Roman"/>
                <w:color w:val="auto"/>
                <w:spacing w:val="-17"/>
                <w:w w:val="100"/>
                <w:sz w:val="21"/>
                <w:szCs w:val="21"/>
              </w:rPr>
              <w:t>m</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排气筒出</w:t>
            </w:r>
          </w:p>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口内径/</w:t>
            </w:r>
            <w:r>
              <w:rPr>
                <w:rFonts w:hint="eastAsia" w:ascii="Times New Roman" w:hAnsi="Times New Roman"/>
                <w:color w:val="auto"/>
                <w:spacing w:val="-17"/>
                <w:w w:val="100"/>
                <w:sz w:val="21"/>
                <w:szCs w:val="21"/>
              </w:rPr>
              <w:t>m</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烟气流速</w:t>
            </w:r>
          </w:p>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w:t>
            </w:r>
            <w:r>
              <w:rPr>
                <w:rFonts w:hint="eastAsia" w:ascii="Times New Roman" w:hAnsi="Times New Roman"/>
                <w:color w:val="auto"/>
                <w:spacing w:val="-17"/>
                <w:w w:val="100"/>
                <w:sz w:val="21"/>
                <w:szCs w:val="21"/>
              </w:rPr>
              <w:t>m</w:t>
            </w:r>
            <w:r>
              <w:rPr>
                <w:rFonts w:hint="eastAsia"/>
                <w:color w:val="auto"/>
                <w:spacing w:val="-17"/>
                <w:w w:val="100"/>
                <w:sz w:val="21"/>
                <w:szCs w:val="21"/>
              </w:rPr>
              <w:t>/</w:t>
            </w:r>
            <w:r>
              <w:rPr>
                <w:rFonts w:hint="eastAsia" w:ascii="Times New Roman" w:hAnsi="Times New Roman"/>
                <w:color w:val="auto"/>
                <w:spacing w:val="-17"/>
                <w:w w:val="100"/>
                <w:sz w:val="21"/>
                <w:szCs w:val="21"/>
              </w:rPr>
              <w:t>s</w:t>
            </w:r>
            <w:r>
              <w:rPr>
                <w:rFonts w:hint="eastAsia"/>
                <w:color w:val="auto"/>
                <w:spacing w:val="-17"/>
                <w:w w:val="100"/>
                <w:sz w:val="21"/>
                <w:szCs w:val="21"/>
              </w:rPr>
              <w:t>）</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烟气温度（</w:t>
            </w:r>
            <w:r>
              <w:rPr>
                <w:rFonts w:hint="eastAsia" w:hAnsi="宋体" w:cs="宋体"/>
                <w:color w:val="auto"/>
                <w:spacing w:val="-17"/>
                <w:w w:val="100"/>
                <w:sz w:val="21"/>
                <w:szCs w:val="21"/>
              </w:rPr>
              <w:t>℃</w:t>
            </w:r>
            <w:r>
              <w:rPr>
                <w:rFonts w:hint="eastAsia"/>
                <w:color w:val="auto"/>
                <w:spacing w:val="-17"/>
                <w:w w:val="100"/>
                <w:sz w:val="21"/>
                <w:szCs w:val="21"/>
              </w:rPr>
              <w:t>）</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年排放小时数/</w:t>
            </w:r>
            <w:r>
              <w:rPr>
                <w:rFonts w:hint="eastAsia" w:ascii="Times New Roman" w:hAnsi="Times New Roman"/>
                <w:color w:val="auto"/>
                <w:spacing w:val="-17"/>
                <w:w w:val="100"/>
                <w:sz w:val="21"/>
                <w:szCs w:val="21"/>
              </w:rPr>
              <w:t>h</w:t>
            </w:r>
          </w:p>
        </w:tc>
        <w:tc>
          <w:tcPr>
            <w:tcW w:w="0" w:type="auto"/>
            <w:vMerge w:val="restart"/>
            <w:vAlign w:val="center"/>
          </w:tcPr>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排放</w:t>
            </w:r>
          </w:p>
          <w:p>
            <w:pPr>
              <w:spacing w:line="240" w:lineRule="auto"/>
              <w:ind w:firstLine="0"/>
              <w:jc w:val="center"/>
              <w:rPr>
                <w:rFonts w:hint="eastAsia"/>
                <w:color w:val="auto"/>
                <w:spacing w:val="-17"/>
                <w:w w:val="100"/>
                <w:sz w:val="21"/>
                <w:szCs w:val="21"/>
              </w:rPr>
            </w:pPr>
            <w:r>
              <w:rPr>
                <w:rFonts w:hint="eastAsia"/>
                <w:color w:val="auto"/>
                <w:spacing w:val="-17"/>
                <w:w w:val="100"/>
                <w:sz w:val="21"/>
                <w:szCs w:val="21"/>
              </w:rPr>
              <w:t>工况</w:t>
            </w:r>
          </w:p>
        </w:tc>
        <w:tc>
          <w:tcPr>
            <w:tcW w:w="0" w:type="auto"/>
            <w:vAlign w:val="center"/>
          </w:tcPr>
          <w:p>
            <w:pPr>
              <w:spacing w:line="240" w:lineRule="auto"/>
              <w:ind w:firstLine="0"/>
              <w:jc w:val="center"/>
              <w:rPr>
                <w:rFonts w:hint="eastAsia"/>
                <w:color w:val="auto"/>
                <w:spacing w:val="-17"/>
                <w:w w:val="100"/>
                <w:sz w:val="21"/>
                <w:szCs w:val="21"/>
                <w:lang w:eastAsia="zh-CN"/>
              </w:rPr>
            </w:pPr>
            <w:r>
              <w:rPr>
                <w:rFonts w:hint="eastAsia"/>
                <w:color w:val="auto"/>
                <w:spacing w:val="-17"/>
                <w:w w:val="100"/>
                <w:sz w:val="21"/>
                <w:szCs w:val="21"/>
                <w:lang w:eastAsia="zh-CN"/>
              </w:rPr>
              <w:t>污染物排放速率（</w:t>
            </w:r>
            <w:r>
              <w:rPr>
                <w:rFonts w:hint="eastAsia" w:ascii="Times New Roman" w:hAnsi="Times New Roman"/>
                <w:color w:val="auto"/>
                <w:spacing w:val="-17"/>
                <w:w w:val="100"/>
                <w:sz w:val="21"/>
                <w:szCs w:val="21"/>
                <w:lang w:val="en-US" w:eastAsia="zh-CN"/>
              </w:rPr>
              <w:t>kg</w:t>
            </w:r>
            <w:r>
              <w:rPr>
                <w:rFonts w:hint="eastAsia"/>
                <w:color w:val="auto"/>
                <w:spacing w:val="-17"/>
                <w:w w:val="100"/>
                <w:sz w:val="21"/>
                <w:szCs w:val="21"/>
                <w:lang w:val="en-US" w:eastAsia="zh-CN"/>
              </w:rPr>
              <w:t>/</w:t>
            </w:r>
            <w:r>
              <w:rPr>
                <w:rFonts w:hint="eastAsia" w:ascii="Times New Roman" w:hAnsi="Times New Roman"/>
                <w:color w:val="auto"/>
                <w:spacing w:val="-17"/>
                <w:w w:val="100"/>
                <w:sz w:val="21"/>
                <w:szCs w:val="21"/>
                <w:lang w:val="en-US" w:eastAsia="zh-CN"/>
              </w:rPr>
              <w:t>h</w:t>
            </w:r>
            <w:r>
              <w:rPr>
                <w:rFonts w:hint="eastAsia"/>
                <w:color w:val="auto"/>
                <w:spacing w:val="-17"/>
                <w:w w:val="10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Align w:val="center"/>
          </w:tcPr>
          <w:p>
            <w:pPr>
              <w:spacing w:line="240" w:lineRule="auto"/>
              <w:ind w:firstLine="0"/>
              <w:jc w:val="center"/>
              <w:rPr>
                <w:rFonts w:hint="eastAsia"/>
                <w:color w:val="auto"/>
                <w:spacing w:val="-17"/>
                <w:w w:val="100"/>
                <w:sz w:val="21"/>
                <w:szCs w:val="21"/>
              </w:rPr>
            </w:pPr>
            <w:r>
              <w:rPr>
                <w:rFonts w:hint="eastAsia" w:ascii="Times New Roman" w:hAnsi="Times New Roman"/>
                <w:color w:val="auto"/>
                <w:spacing w:val="-17"/>
                <w:w w:val="100"/>
                <w:sz w:val="21"/>
                <w:szCs w:val="21"/>
              </w:rPr>
              <w:t>X</w:t>
            </w:r>
          </w:p>
        </w:tc>
        <w:tc>
          <w:tcPr>
            <w:tcW w:w="0" w:type="auto"/>
            <w:vAlign w:val="center"/>
          </w:tcPr>
          <w:p>
            <w:pPr>
              <w:spacing w:line="240" w:lineRule="auto"/>
              <w:ind w:firstLine="0"/>
              <w:jc w:val="center"/>
              <w:rPr>
                <w:rFonts w:hint="eastAsia"/>
                <w:color w:val="auto"/>
                <w:spacing w:val="-17"/>
                <w:w w:val="100"/>
                <w:sz w:val="21"/>
                <w:szCs w:val="21"/>
              </w:rPr>
            </w:pPr>
            <w:r>
              <w:rPr>
                <w:rFonts w:hint="eastAsia" w:ascii="Times New Roman" w:hAnsi="Times New Roman"/>
                <w:color w:val="auto"/>
                <w:spacing w:val="-17"/>
                <w:w w:val="100"/>
                <w:sz w:val="21"/>
                <w:szCs w:val="21"/>
              </w:rPr>
              <w:t>Y</w:t>
            </w: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Merge w:val="continue"/>
            <w:vAlign w:val="center"/>
          </w:tcPr>
          <w:p>
            <w:pPr>
              <w:spacing w:line="240" w:lineRule="auto"/>
              <w:ind w:firstLine="0"/>
              <w:jc w:val="center"/>
              <w:rPr>
                <w:rFonts w:hint="eastAsia"/>
                <w:color w:val="auto"/>
                <w:spacing w:val="-17"/>
                <w:w w:val="100"/>
                <w:sz w:val="21"/>
                <w:szCs w:val="21"/>
              </w:rPr>
            </w:pPr>
          </w:p>
        </w:tc>
        <w:tc>
          <w:tcPr>
            <w:tcW w:w="0" w:type="auto"/>
            <w:vAlign w:val="center"/>
          </w:tcPr>
          <w:p>
            <w:pPr>
              <w:spacing w:line="240" w:lineRule="auto"/>
              <w:ind w:firstLine="0" w:firstLineChars="0"/>
              <w:jc w:val="center"/>
              <w:rPr>
                <w:rFonts w:hint="default" w:ascii="Times New Roman" w:hAnsi="Times New Roman"/>
                <w:color w:val="auto"/>
                <w:spacing w:val="-17"/>
                <w:w w:val="100"/>
                <w:sz w:val="21"/>
                <w:szCs w:val="21"/>
                <w:lang w:val="en-US" w:eastAsia="zh-CN" w:bidi="ar-SA"/>
              </w:rPr>
            </w:pPr>
            <w:r>
              <w:rPr>
                <w:rFonts w:hint="eastAsia" w:ascii="Times New Roman" w:hAnsi="Times New Roman"/>
                <w:color w:val="auto"/>
                <w:spacing w:val="-17"/>
                <w:w w:val="100"/>
                <w:sz w:val="21"/>
                <w:szCs w:val="21"/>
                <w:lang w:val="en-US" w:eastAsia="zh-CN" w:bidi="ar-SA"/>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vAlign w:val="center"/>
          </w:tcPr>
          <w:p>
            <w:pPr>
              <w:spacing w:line="240" w:lineRule="auto"/>
              <w:ind w:firstLine="0"/>
              <w:jc w:val="center"/>
              <w:rPr>
                <w:rFonts w:hint="eastAsia"/>
                <w:color w:val="auto"/>
                <w:spacing w:val="-17"/>
                <w:w w:val="100"/>
                <w:sz w:val="21"/>
                <w:szCs w:val="21"/>
              </w:rPr>
            </w:pPr>
            <w:r>
              <w:rPr>
                <w:rFonts w:hint="eastAsia" w:ascii="Times New Roman" w:hAnsi="Times New Roman"/>
                <w:color w:val="auto"/>
                <w:spacing w:val="-17"/>
                <w:w w:val="100"/>
                <w:sz w:val="21"/>
                <w:szCs w:val="21"/>
              </w:rPr>
              <w:t>1</w:t>
            </w:r>
          </w:p>
        </w:tc>
        <w:tc>
          <w:tcPr>
            <w:tcW w:w="0" w:type="auto"/>
            <w:vAlign w:val="center"/>
          </w:tcPr>
          <w:p>
            <w:pPr>
              <w:spacing w:line="240" w:lineRule="auto"/>
              <w:ind w:firstLine="0"/>
              <w:jc w:val="center"/>
              <w:rPr>
                <w:rFonts w:hint="default" w:eastAsia="宋体"/>
                <w:color w:val="auto"/>
                <w:spacing w:val="-17"/>
                <w:w w:val="100"/>
                <w:sz w:val="21"/>
                <w:szCs w:val="21"/>
                <w:lang w:val="en-US" w:eastAsia="zh-CN"/>
              </w:rPr>
            </w:pPr>
            <w:r>
              <w:rPr>
                <w:rFonts w:hint="eastAsia" w:ascii="Times New Roman" w:hAnsi="Times New Roman"/>
                <w:color w:val="auto"/>
                <w:spacing w:val="-17"/>
                <w:w w:val="100"/>
                <w:sz w:val="21"/>
                <w:szCs w:val="21"/>
                <w:lang w:val="en-US" w:eastAsia="zh-CN"/>
              </w:rPr>
              <w:t>PA</w:t>
            </w:r>
            <w:r>
              <w:rPr>
                <w:rFonts w:hint="eastAsia"/>
                <w:color w:val="auto"/>
                <w:spacing w:val="-17"/>
                <w:w w:val="100"/>
                <w:sz w:val="21"/>
                <w:szCs w:val="21"/>
                <w:lang w:val="en-US" w:eastAsia="zh-CN"/>
              </w:rPr>
              <w:t>车间水洗塔</w:t>
            </w:r>
          </w:p>
        </w:tc>
        <w:tc>
          <w:tcPr>
            <w:tcW w:w="0" w:type="auto"/>
            <w:vAlign w:val="center"/>
          </w:tcPr>
          <w:p>
            <w:pPr>
              <w:spacing w:line="240" w:lineRule="auto"/>
              <w:ind w:firstLine="0" w:firstLineChars="0"/>
              <w:jc w:val="center"/>
              <w:rPr>
                <w:rFonts w:hint="default" w:eastAsia="宋体"/>
                <w:color w:val="auto"/>
                <w:spacing w:val="-17"/>
                <w:w w:val="100"/>
                <w:sz w:val="21"/>
                <w:szCs w:val="21"/>
                <w:lang w:val="en-US" w:eastAsia="zh-CN"/>
              </w:rPr>
            </w:pPr>
            <w:r>
              <w:rPr>
                <w:rFonts w:hint="eastAsia" w:ascii="Times New Roman" w:hAnsi="Times New Roman"/>
                <w:color w:val="auto"/>
                <w:spacing w:val="-17"/>
                <w:w w:val="100"/>
                <w:sz w:val="21"/>
                <w:szCs w:val="21"/>
                <w:lang w:val="en-US" w:eastAsia="zh-CN"/>
              </w:rPr>
              <w:t>184</w:t>
            </w:r>
          </w:p>
        </w:tc>
        <w:tc>
          <w:tcPr>
            <w:tcW w:w="0" w:type="auto"/>
            <w:vAlign w:val="center"/>
          </w:tcPr>
          <w:p>
            <w:pPr>
              <w:spacing w:line="240" w:lineRule="auto"/>
              <w:ind w:firstLine="0" w:firstLineChars="0"/>
              <w:jc w:val="center"/>
              <w:rPr>
                <w:rFonts w:hint="default" w:eastAsia="宋体"/>
                <w:color w:val="auto"/>
                <w:spacing w:val="-17"/>
                <w:w w:val="100"/>
                <w:sz w:val="21"/>
                <w:szCs w:val="21"/>
                <w:lang w:val="en-US" w:eastAsia="zh-CN"/>
              </w:rPr>
            </w:pPr>
            <w:r>
              <w:rPr>
                <w:rFonts w:hint="eastAsia"/>
                <w:color w:val="auto"/>
                <w:spacing w:val="-17"/>
                <w:w w:val="100"/>
                <w:sz w:val="21"/>
                <w:szCs w:val="21"/>
                <w:lang w:val="en-US" w:eastAsia="zh-CN"/>
              </w:rPr>
              <w:t>-</w:t>
            </w:r>
            <w:r>
              <w:rPr>
                <w:rFonts w:hint="eastAsia" w:ascii="Times New Roman" w:hAnsi="Times New Roman"/>
                <w:color w:val="auto"/>
                <w:spacing w:val="-17"/>
                <w:w w:val="100"/>
                <w:sz w:val="21"/>
                <w:szCs w:val="21"/>
                <w:lang w:val="en-US" w:eastAsia="zh-CN"/>
              </w:rPr>
              <w:t>99</w:t>
            </w:r>
          </w:p>
        </w:tc>
        <w:tc>
          <w:tcPr>
            <w:tcW w:w="0" w:type="auto"/>
            <w:vAlign w:val="center"/>
          </w:tcPr>
          <w:p>
            <w:pPr>
              <w:spacing w:line="240" w:lineRule="auto"/>
              <w:ind w:firstLine="0" w:firstLineChars="0"/>
              <w:jc w:val="center"/>
              <w:rPr>
                <w:rFonts w:hint="default" w:eastAsia="宋体"/>
                <w:color w:val="auto"/>
                <w:spacing w:val="-17"/>
                <w:w w:val="100"/>
                <w:sz w:val="21"/>
                <w:szCs w:val="21"/>
                <w:lang w:val="en-US" w:eastAsia="zh-CN"/>
              </w:rPr>
            </w:pPr>
            <w:r>
              <w:rPr>
                <w:rFonts w:hint="eastAsia" w:ascii="Times New Roman" w:hAnsi="Times New Roman" w:cs="Times New Roman"/>
                <w:color w:val="auto"/>
                <w:spacing w:val="-17"/>
                <w:w w:val="100"/>
                <w:sz w:val="21"/>
                <w:szCs w:val="21"/>
                <w:lang w:val="en-US" w:eastAsia="zh-CN"/>
              </w:rPr>
              <w:t>607</w:t>
            </w:r>
          </w:p>
        </w:tc>
        <w:tc>
          <w:tcPr>
            <w:tcW w:w="0" w:type="auto"/>
            <w:vAlign w:val="center"/>
          </w:tcPr>
          <w:p>
            <w:pPr>
              <w:spacing w:line="240" w:lineRule="auto"/>
              <w:ind w:firstLine="0" w:firstLineChars="0"/>
              <w:jc w:val="center"/>
              <w:rPr>
                <w:rFonts w:hint="default"/>
                <w:color w:val="auto"/>
                <w:spacing w:val="-17"/>
                <w:w w:val="100"/>
                <w:sz w:val="21"/>
                <w:szCs w:val="21"/>
                <w:lang w:val="en-US"/>
              </w:rPr>
            </w:pPr>
            <w:r>
              <w:rPr>
                <w:rFonts w:hint="eastAsia" w:ascii="Times New Roman" w:hAnsi="Times New Roman" w:cs="Times New Roman"/>
                <w:color w:val="auto"/>
                <w:spacing w:val="-17"/>
                <w:w w:val="100"/>
                <w:sz w:val="21"/>
                <w:szCs w:val="21"/>
                <w:lang w:val="en-US" w:eastAsia="zh-CN"/>
              </w:rPr>
              <w:t>40</w:t>
            </w:r>
          </w:p>
        </w:tc>
        <w:tc>
          <w:tcPr>
            <w:tcW w:w="0" w:type="auto"/>
            <w:vAlign w:val="center"/>
          </w:tcPr>
          <w:p>
            <w:pPr>
              <w:spacing w:line="240" w:lineRule="auto"/>
              <w:ind w:firstLine="0" w:firstLineChars="0"/>
              <w:jc w:val="center"/>
              <w:rPr>
                <w:rFonts w:hint="default" w:eastAsia="宋体"/>
                <w:color w:val="auto"/>
                <w:spacing w:val="-17"/>
                <w:w w:val="100"/>
                <w:sz w:val="21"/>
                <w:szCs w:val="21"/>
                <w:lang w:val="en-US" w:eastAsia="zh-CN"/>
              </w:rPr>
            </w:pPr>
            <w:r>
              <w:rPr>
                <w:rFonts w:hint="eastAsia" w:ascii="Times New Roman" w:hAnsi="Times New Roman" w:cs="Times New Roman"/>
                <w:color w:val="auto"/>
                <w:spacing w:val="-17"/>
                <w:w w:val="100"/>
                <w:sz w:val="21"/>
                <w:szCs w:val="21"/>
                <w:lang w:val="en-US" w:eastAsia="zh-CN"/>
              </w:rPr>
              <w:t>0</w:t>
            </w:r>
            <w:r>
              <w:rPr>
                <w:rFonts w:hint="eastAsia" w:ascii="Times New Roman" w:hAnsi="Times New Roman" w:cs="Times New Roman"/>
                <w:color w:val="auto"/>
                <w:spacing w:val="-17"/>
                <w:w w:val="100"/>
                <w:sz w:val="21"/>
                <w:szCs w:val="21"/>
                <w:lang w:val="en-US" w:eastAsia="zh-CN"/>
              </w:rPr>
              <w:t>.</w:t>
            </w:r>
            <w:r>
              <w:rPr>
                <w:rFonts w:hint="eastAsia" w:ascii="Times New Roman" w:hAnsi="Times New Roman" w:cs="Times New Roman"/>
                <w:color w:val="auto"/>
                <w:spacing w:val="-17"/>
                <w:w w:val="100"/>
                <w:sz w:val="21"/>
                <w:szCs w:val="21"/>
                <w:lang w:val="en-US" w:eastAsia="zh-CN"/>
              </w:rPr>
              <w:t>3</w:t>
            </w:r>
          </w:p>
        </w:tc>
        <w:tc>
          <w:tcPr>
            <w:tcW w:w="0" w:type="auto"/>
            <w:vAlign w:val="center"/>
          </w:tcPr>
          <w:p>
            <w:pPr>
              <w:spacing w:line="240" w:lineRule="auto"/>
              <w:ind w:firstLine="0" w:firstLineChars="0"/>
              <w:jc w:val="center"/>
              <w:rPr>
                <w:rFonts w:hint="default" w:ascii="Times New Roman"/>
                <w:color w:val="auto"/>
                <w:spacing w:val="-17"/>
                <w:w w:val="100"/>
                <w:sz w:val="21"/>
                <w:szCs w:val="21"/>
                <w:lang w:val="en-US" w:eastAsia="zh-CN"/>
              </w:rPr>
            </w:pPr>
            <w:r>
              <w:rPr>
                <w:rFonts w:hint="eastAsia" w:ascii="Times New Roman" w:hAnsi="Times New Roman" w:cs="Times New Roman"/>
                <w:color w:val="auto"/>
                <w:spacing w:val="-17"/>
                <w:w w:val="100"/>
                <w:sz w:val="21"/>
                <w:szCs w:val="21"/>
                <w:lang w:val="en-US" w:eastAsia="zh-CN"/>
              </w:rPr>
              <w:t>1</w:t>
            </w:r>
            <w:r>
              <w:rPr>
                <w:rFonts w:hint="eastAsia" w:ascii="Times New Roman" w:hAnsi="Times New Roman" w:cs="Times New Roman"/>
                <w:color w:val="auto"/>
                <w:spacing w:val="-17"/>
                <w:w w:val="100"/>
                <w:sz w:val="21"/>
                <w:szCs w:val="21"/>
                <w:lang w:val="en-US" w:eastAsia="zh-CN"/>
              </w:rPr>
              <w:t>.</w:t>
            </w:r>
            <w:r>
              <w:rPr>
                <w:rFonts w:hint="eastAsia" w:ascii="Times New Roman" w:hAnsi="Times New Roman" w:cs="Times New Roman"/>
                <w:color w:val="auto"/>
                <w:spacing w:val="-17"/>
                <w:w w:val="100"/>
                <w:sz w:val="21"/>
                <w:szCs w:val="21"/>
                <w:lang w:val="en-US" w:eastAsia="zh-CN"/>
              </w:rPr>
              <w:t>0</w:t>
            </w:r>
          </w:p>
        </w:tc>
        <w:tc>
          <w:tcPr>
            <w:tcW w:w="0" w:type="auto"/>
            <w:vAlign w:val="center"/>
          </w:tcPr>
          <w:p>
            <w:pPr>
              <w:spacing w:line="240" w:lineRule="auto"/>
              <w:ind w:firstLine="0" w:firstLineChars="0"/>
              <w:jc w:val="center"/>
              <w:rPr>
                <w:rFonts w:hint="default" w:eastAsia="宋体"/>
                <w:color w:val="auto"/>
                <w:spacing w:val="-17"/>
                <w:w w:val="100"/>
                <w:sz w:val="21"/>
                <w:szCs w:val="21"/>
                <w:lang w:val="en-US" w:eastAsia="zh-CN"/>
              </w:rPr>
            </w:pPr>
            <w:r>
              <w:rPr>
                <w:rFonts w:hint="eastAsia" w:ascii="Times New Roman" w:hAnsi="Times New Roman" w:cs="Times New Roman"/>
                <w:color w:val="auto"/>
                <w:spacing w:val="-17"/>
                <w:w w:val="100"/>
                <w:sz w:val="21"/>
                <w:szCs w:val="21"/>
                <w:lang w:val="en-US" w:eastAsia="zh-CN"/>
              </w:rPr>
              <w:t>25</w:t>
            </w:r>
          </w:p>
        </w:tc>
        <w:tc>
          <w:tcPr>
            <w:tcW w:w="0" w:type="auto"/>
            <w:vAlign w:val="center"/>
          </w:tcPr>
          <w:p>
            <w:pPr>
              <w:spacing w:line="240" w:lineRule="auto"/>
              <w:ind w:firstLine="0" w:firstLineChars="0"/>
              <w:jc w:val="center"/>
              <w:rPr>
                <w:rFonts w:hint="default" w:eastAsia="宋体"/>
                <w:color w:val="auto"/>
                <w:spacing w:val="-17"/>
                <w:w w:val="100"/>
                <w:sz w:val="21"/>
                <w:szCs w:val="21"/>
                <w:lang w:val="en-US" w:eastAsia="zh-CN"/>
              </w:rPr>
            </w:pPr>
            <w:r>
              <w:rPr>
                <w:rFonts w:hint="eastAsia" w:ascii="Times New Roman" w:hAnsi="Times New Roman" w:cs="Times New Roman"/>
                <w:color w:val="auto"/>
                <w:spacing w:val="-17"/>
                <w:w w:val="100"/>
                <w:sz w:val="21"/>
                <w:szCs w:val="21"/>
                <w:lang w:val="en-US" w:eastAsia="zh-CN"/>
              </w:rPr>
              <w:t>8000</w:t>
            </w:r>
          </w:p>
        </w:tc>
        <w:tc>
          <w:tcPr>
            <w:tcW w:w="0" w:type="auto"/>
            <w:vAlign w:val="center"/>
          </w:tcPr>
          <w:p>
            <w:pPr>
              <w:wordWrap/>
              <w:adjustRightInd/>
              <w:spacing w:line="240" w:lineRule="exact"/>
              <w:ind w:firstLine="0" w:firstLineChars="0"/>
              <w:jc w:val="center"/>
              <w:textAlignment w:val="auto"/>
              <w:rPr>
                <w:rFonts w:hint="eastAsia"/>
                <w:color w:val="auto"/>
                <w:spacing w:val="-17"/>
                <w:w w:val="100"/>
                <w:sz w:val="21"/>
                <w:szCs w:val="21"/>
              </w:rPr>
            </w:pPr>
            <w:r>
              <w:rPr>
                <w:rFonts w:hint="eastAsia" w:ascii="宋体" w:eastAsia="宋体" w:cs="Times New Roman"/>
                <w:color w:val="auto"/>
                <w:spacing w:val="-17"/>
                <w:w w:val="100"/>
                <w:sz w:val="20"/>
              </w:rPr>
              <w:t>正常</w:t>
            </w:r>
          </w:p>
        </w:tc>
        <w:tc>
          <w:tcPr>
            <w:tcW w:w="0" w:type="auto"/>
            <w:vAlign w:val="center"/>
          </w:tcPr>
          <w:p>
            <w:pPr>
              <w:spacing w:line="240" w:lineRule="auto"/>
              <w:ind w:firstLine="0" w:firstLineChars="0"/>
              <w:jc w:val="center"/>
              <w:rPr>
                <w:rFonts w:hint="default" w:ascii="宋体" w:eastAsia="宋体"/>
                <w:color w:val="auto"/>
                <w:spacing w:val="-17"/>
                <w:w w:val="100"/>
                <w:sz w:val="21"/>
                <w:szCs w:val="21"/>
                <w:lang w:val="en-US" w:eastAsia="zh-CN" w:bidi="ar-SA"/>
              </w:rPr>
            </w:pPr>
            <w:r>
              <w:rPr>
                <w:rFonts w:hint="eastAsia" w:ascii="Times New Roman" w:hAnsi="Times New Roman"/>
                <w:color w:val="auto"/>
                <w:spacing w:val="-17"/>
                <w:w w:val="100"/>
                <w:sz w:val="21"/>
                <w:szCs w:val="21"/>
                <w:lang w:val="en-US" w:eastAsia="zh-CN" w:bidi="ar-SA"/>
              </w:rPr>
              <w:t>0</w:t>
            </w:r>
            <w:r>
              <w:rPr>
                <w:rFonts w:hint="eastAsia"/>
                <w:color w:val="auto"/>
                <w:spacing w:val="-17"/>
                <w:w w:val="100"/>
                <w:sz w:val="21"/>
                <w:szCs w:val="21"/>
                <w:lang w:val="en-US" w:eastAsia="zh-CN" w:bidi="ar-SA"/>
              </w:rPr>
              <w:t>.</w:t>
            </w:r>
            <w:r>
              <w:rPr>
                <w:rFonts w:hint="eastAsia" w:ascii="Times New Roman" w:hAnsi="Times New Roman"/>
                <w:color w:val="auto"/>
                <w:spacing w:val="-17"/>
                <w:w w:val="100"/>
                <w:sz w:val="21"/>
                <w:szCs w:val="21"/>
                <w:lang w:val="en-US" w:eastAsia="zh-CN" w:bidi="ar-SA"/>
              </w:rPr>
              <w:t>00027</w:t>
            </w:r>
          </w:p>
        </w:tc>
      </w:tr>
    </w:tbl>
    <w:p>
      <w:pPr>
        <w:pStyle w:val="20"/>
        <w:spacing w:before="163"/>
        <w:rPr>
          <w:rFonts w:hint="eastAsia"/>
          <w:color w:val="FF0000"/>
        </w:rPr>
      </w:pPr>
      <w:r>
        <w:rPr>
          <w:rFonts w:hint="eastAsia"/>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2</w:t>
      </w:r>
      <w:r>
        <w:rPr>
          <w:rFonts w:hint="eastAsia" w:ascii="Times New Roman" w:hAnsi="Times New Roman"/>
          <w:lang w:val="en-US" w:eastAsia="zh-CN"/>
        </w:rPr>
        <w:t>-</w:t>
      </w:r>
      <w:r>
        <w:rPr>
          <w:rFonts w:hint="eastAsia" w:ascii="Times New Roman" w:hAnsi="Times New Roman"/>
          <w:lang w:val="en-US" w:eastAsia="zh-CN"/>
        </w:rPr>
        <w:t>10</w:t>
      </w:r>
      <w:r>
        <w:rPr>
          <w:rFonts w:hint="eastAsia"/>
        </w:rPr>
        <w:t xml:space="preserve">  非正常工况排放参数一览表</w:t>
      </w:r>
    </w:p>
    <w:tbl>
      <w:tblPr>
        <w:tblStyle w:val="80"/>
        <w:tblW w:w="501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460"/>
        <w:gridCol w:w="959"/>
        <w:gridCol w:w="1160"/>
        <w:gridCol w:w="1274"/>
        <w:gridCol w:w="1149"/>
        <w:gridCol w:w="896"/>
        <w:gridCol w:w="815"/>
        <w:gridCol w:w="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68" w:type="pct"/>
            <w:vMerge w:val="restart"/>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序号</w:t>
            </w:r>
          </w:p>
        </w:tc>
        <w:tc>
          <w:tcPr>
            <w:tcW w:w="793" w:type="pct"/>
            <w:vMerge w:val="restart"/>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污染源名称</w:t>
            </w:r>
          </w:p>
        </w:tc>
        <w:tc>
          <w:tcPr>
            <w:tcW w:w="521" w:type="pct"/>
            <w:vMerge w:val="restart"/>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排气筒高度/</w:t>
            </w:r>
            <w:r>
              <w:rPr>
                <w:rFonts w:hint="eastAsia" w:ascii="Times New Roman" w:hAnsi="Times New Roman"/>
                <w:spacing w:val="-17"/>
                <w:w w:val="100"/>
                <w:sz w:val="21"/>
                <w:szCs w:val="21"/>
              </w:rPr>
              <w:t>m</w:t>
            </w:r>
          </w:p>
        </w:tc>
        <w:tc>
          <w:tcPr>
            <w:tcW w:w="630" w:type="pct"/>
            <w:vMerge w:val="restart"/>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排气筒出口内径/</w:t>
            </w:r>
            <w:r>
              <w:rPr>
                <w:rFonts w:hint="eastAsia" w:ascii="Times New Roman" w:hAnsi="Times New Roman"/>
                <w:spacing w:val="-17"/>
                <w:w w:val="100"/>
                <w:sz w:val="21"/>
                <w:szCs w:val="21"/>
              </w:rPr>
              <w:t>m</w:t>
            </w:r>
          </w:p>
        </w:tc>
        <w:tc>
          <w:tcPr>
            <w:tcW w:w="692" w:type="pct"/>
            <w:vMerge w:val="restart"/>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烟气流速（</w:t>
            </w:r>
            <w:r>
              <w:rPr>
                <w:rFonts w:hint="eastAsia" w:ascii="Times New Roman" w:hAnsi="Times New Roman"/>
                <w:spacing w:val="-17"/>
                <w:w w:val="100"/>
                <w:sz w:val="21"/>
                <w:szCs w:val="21"/>
              </w:rPr>
              <w:t>m</w:t>
            </w:r>
            <w:r>
              <w:rPr>
                <w:rFonts w:hint="eastAsia"/>
                <w:spacing w:val="-17"/>
                <w:w w:val="100"/>
                <w:sz w:val="21"/>
                <w:szCs w:val="21"/>
              </w:rPr>
              <w:t>/</w:t>
            </w:r>
            <w:r>
              <w:rPr>
                <w:rFonts w:hint="eastAsia" w:ascii="Times New Roman" w:hAnsi="Times New Roman"/>
                <w:spacing w:val="-17"/>
                <w:w w:val="100"/>
                <w:sz w:val="21"/>
                <w:szCs w:val="21"/>
              </w:rPr>
              <w:t>s</w:t>
            </w:r>
            <w:r>
              <w:rPr>
                <w:rFonts w:hint="eastAsia"/>
                <w:spacing w:val="-17"/>
                <w:w w:val="100"/>
                <w:sz w:val="21"/>
                <w:szCs w:val="21"/>
              </w:rPr>
              <w:t>）</w:t>
            </w:r>
          </w:p>
        </w:tc>
        <w:tc>
          <w:tcPr>
            <w:tcW w:w="624" w:type="pct"/>
            <w:vMerge w:val="restart"/>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烟气温度（</w:t>
            </w:r>
            <w:r>
              <w:rPr>
                <w:rFonts w:hint="eastAsia" w:hAnsi="宋体" w:cs="宋体"/>
                <w:spacing w:val="-17"/>
                <w:w w:val="100"/>
                <w:sz w:val="21"/>
                <w:szCs w:val="21"/>
              </w:rPr>
              <w:t>℃</w:t>
            </w:r>
            <w:r>
              <w:rPr>
                <w:rFonts w:hint="eastAsia"/>
                <w:spacing w:val="-17"/>
                <w:w w:val="100"/>
                <w:sz w:val="21"/>
                <w:szCs w:val="21"/>
              </w:rPr>
              <w:t>）</w:t>
            </w:r>
          </w:p>
        </w:tc>
        <w:tc>
          <w:tcPr>
            <w:tcW w:w="487" w:type="pct"/>
            <w:vMerge w:val="restart"/>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排放小时数/</w:t>
            </w:r>
            <w:r>
              <w:rPr>
                <w:rFonts w:hint="eastAsia" w:ascii="Times New Roman" w:hAnsi="Times New Roman"/>
                <w:spacing w:val="-17"/>
                <w:w w:val="100"/>
                <w:sz w:val="21"/>
                <w:szCs w:val="21"/>
              </w:rPr>
              <w:t>h</w:t>
            </w:r>
          </w:p>
        </w:tc>
        <w:tc>
          <w:tcPr>
            <w:tcW w:w="981" w:type="pct"/>
            <w:gridSpan w:val="2"/>
            <w:noWrap w:val="0"/>
            <w:vAlign w:val="center"/>
          </w:tcPr>
          <w:p>
            <w:pPr>
              <w:spacing w:line="240" w:lineRule="auto"/>
              <w:ind w:firstLine="0"/>
              <w:jc w:val="center"/>
              <w:rPr>
                <w:rFonts w:hint="eastAsia"/>
                <w:spacing w:val="-17"/>
                <w:w w:val="100"/>
                <w:sz w:val="21"/>
                <w:szCs w:val="21"/>
              </w:rPr>
            </w:pPr>
            <w:r>
              <w:rPr>
                <w:rFonts w:hint="eastAsia"/>
                <w:spacing w:val="-17"/>
                <w:w w:val="100"/>
                <w:sz w:val="21"/>
                <w:szCs w:val="21"/>
              </w:rPr>
              <w:t>污染物排放速率（</w:t>
            </w:r>
            <w:r>
              <w:rPr>
                <w:rFonts w:hint="eastAsia" w:ascii="Times New Roman" w:hAnsi="Times New Roman"/>
                <w:spacing w:val="-17"/>
                <w:w w:val="100"/>
                <w:sz w:val="21"/>
                <w:szCs w:val="21"/>
              </w:rPr>
              <w:t>kg</w:t>
            </w:r>
            <w:r>
              <w:rPr>
                <w:rFonts w:hint="eastAsia"/>
                <w:spacing w:val="-17"/>
                <w:w w:val="100"/>
                <w:sz w:val="21"/>
                <w:szCs w:val="21"/>
              </w:rPr>
              <w:t>/</w:t>
            </w:r>
            <w:r>
              <w:rPr>
                <w:rFonts w:hint="eastAsia" w:ascii="Times New Roman" w:hAnsi="Times New Roman"/>
                <w:spacing w:val="-17"/>
                <w:w w:val="100"/>
                <w:sz w:val="21"/>
                <w:szCs w:val="21"/>
              </w:rPr>
              <w:t>h</w:t>
            </w:r>
            <w:r>
              <w:rPr>
                <w:rFonts w:hint="eastAsia"/>
                <w:spacing w:val="-17"/>
                <w:w w:val="1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68" w:type="pct"/>
            <w:vMerge w:val="continue"/>
            <w:noWrap w:val="0"/>
            <w:vAlign w:val="center"/>
          </w:tcPr>
          <w:p>
            <w:pPr>
              <w:spacing w:line="240" w:lineRule="auto"/>
              <w:ind w:firstLine="0"/>
              <w:jc w:val="center"/>
              <w:rPr>
                <w:rFonts w:hint="eastAsia"/>
                <w:spacing w:val="-17"/>
                <w:w w:val="100"/>
                <w:sz w:val="20"/>
                <w:szCs w:val="20"/>
              </w:rPr>
            </w:pPr>
          </w:p>
        </w:tc>
        <w:tc>
          <w:tcPr>
            <w:tcW w:w="793" w:type="pct"/>
            <w:vMerge w:val="continue"/>
            <w:noWrap w:val="0"/>
            <w:vAlign w:val="center"/>
          </w:tcPr>
          <w:p>
            <w:pPr>
              <w:spacing w:line="240" w:lineRule="auto"/>
              <w:ind w:firstLine="0"/>
              <w:jc w:val="center"/>
              <w:rPr>
                <w:rFonts w:hint="eastAsia"/>
                <w:spacing w:val="-17"/>
                <w:w w:val="100"/>
                <w:sz w:val="20"/>
                <w:szCs w:val="20"/>
              </w:rPr>
            </w:pPr>
          </w:p>
        </w:tc>
        <w:tc>
          <w:tcPr>
            <w:tcW w:w="521" w:type="pct"/>
            <w:vMerge w:val="continue"/>
            <w:noWrap w:val="0"/>
            <w:vAlign w:val="center"/>
          </w:tcPr>
          <w:p>
            <w:pPr>
              <w:spacing w:line="240" w:lineRule="auto"/>
              <w:ind w:firstLine="0"/>
              <w:jc w:val="center"/>
              <w:rPr>
                <w:rFonts w:hint="eastAsia"/>
                <w:spacing w:val="-17"/>
                <w:w w:val="100"/>
                <w:sz w:val="20"/>
                <w:szCs w:val="20"/>
              </w:rPr>
            </w:pPr>
          </w:p>
        </w:tc>
        <w:tc>
          <w:tcPr>
            <w:tcW w:w="630" w:type="pct"/>
            <w:vMerge w:val="continue"/>
            <w:noWrap w:val="0"/>
            <w:vAlign w:val="center"/>
          </w:tcPr>
          <w:p>
            <w:pPr>
              <w:spacing w:line="240" w:lineRule="auto"/>
              <w:ind w:firstLine="0"/>
              <w:jc w:val="center"/>
              <w:rPr>
                <w:rFonts w:hint="eastAsia"/>
                <w:spacing w:val="-17"/>
                <w:w w:val="100"/>
                <w:sz w:val="20"/>
                <w:szCs w:val="20"/>
              </w:rPr>
            </w:pPr>
          </w:p>
        </w:tc>
        <w:tc>
          <w:tcPr>
            <w:tcW w:w="692" w:type="pct"/>
            <w:vMerge w:val="continue"/>
            <w:noWrap w:val="0"/>
            <w:vAlign w:val="center"/>
          </w:tcPr>
          <w:p>
            <w:pPr>
              <w:spacing w:line="240" w:lineRule="auto"/>
              <w:ind w:firstLine="0"/>
              <w:jc w:val="center"/>
              <w:rPr>
                <w:rFonts w:hint="eastAsia"/>
                <w:spacing w:val="-17"/>
                <w:w w:val="100"/>
                <w:sz w:val="20"/>
                <w:szCs w:val="20"/>
              </w:rPr>
            </w:pPr>
          </w:p>
        </w:tc>
        <w:tc>
          <w:tcPr>
            <w:tcW w:w="624" w:type="pct"/>
            <w:vMerge w:val="continue"/>
            <w:noWrap w:val="0"/>
            <w:vAlign w:val="center"/>
          </w:tcPr>
          <w:p>
            <w:pPr>
              <w:spacing w:line="240" w:lineRule="auto"/>
              <w:ind w:firstLine="0"/>
              <w:jc w:val="center"/>
              <w:rPr>
                <w:rFonts w:hint="eastAsia"/>
                <w:spacing w:val="-17"/>
                <w:w w:val="100"/>
                <w:sz w:val="20"/>
                <w:szCs w:val="20"/>
              </w:rPr>
            </w:pPr>
          </w:p>
        </w:tc>
        <w:tc>
          <w:tcPr>
            <w:tcW w:w="487" w:type="pct"/>
            <w:vMerge w:val="continue"/>
            <w:noWrap w:val="0"/>
            <w:vAlign w:val="center"/>
          </w:tcPr>
          <w:p>
            <w:pPr>
              <w:spacing w:line="240" w:lineRule="auto"/>
              <w:ind w:firstLine="0"/>
              <w:jc w:val="center"/>
              <w:rPr>
                <w:rFonts w:hint="eastAsia"/>
                <w:spacing w:val="-17"/>
                <w:w w:val="100"/>
                <w:sz w:val="20"/>
                <w:szCs w:val="20"/>
              </w:rPr>
            </w:pPr>
          </w:p>
        </w:tc>
        <w:tc>
          <w:tcPr>
            <w:tcW w:w="443" w:type="pct"/>
            <w:noWrap w:val="0"/>
            <w:vAlign w:val="center"/>
          </w:tcPr>
          <w:p>
            <w:pPr>
              <w:spacing w:line="240" w:lineRule="auto"/>
              <w:ind w:firstLine="0"/>
              <w:jc w:val="center"/>
              <w:rPr>
                <w:rFonts w:hint="default" w:ascii="Times New Roman" w:eastAsia="宋体"/>
                <w:spacing w:val="-17"/>
                <w:w w:val="100"/>
                <w:sz w:val="20"/>
                <w:szCs w:val="20"/>
                <w:lang w:val="en-US" w:eastAsia="zh-CN"/>
              </w:rPr>
            </w:pPr>
            <w:r>
              <w:rPr>
                <w:rFonts w:hint="eastAsia" w:ascii="Times New Roman" w:hAnsi="Times New Roman"/>
                <w:spacing w:val="-17"/>
                <w:w w:val="100"/>
                <w:sz w:val="20"/>
                <w:szCs w:val="20"/>
                <w:lang w:val="en-US" w:eastAsia="zh-CN"/>
              </w:rPr>
              <w:t>氨</w:t>
            </w:r>
          </w:p>
        </w:tc>
        <w:tc>
          <w:tcPr>
            <w:tcW w:w="538" w:type="pct"/>
            <w:noWrap w:val="0"/>
            <w:vAlign w:val="center"/>
          </w:tcPr>
          <w:p>
            <w:pPr>
              <w:spacing w:line="240" w:lineRule="auto"/>
              <w:ind w:firstLine="0"/>
              <w:jc w:val="center"/>
              <w:rPr>
                <w:rFonts w:hint="default" w:ascii="Times New Roman" w:eastAsia="宋体"/>
                <w:spacing w:val="-17"/>
                <w:w w:val="100"/>
                <w:sz w:val="20"/>
                <w:szCs w:val="20"/>
                <w:lang w:val="en-US" w:eastAsia="zh-CN"/>
              </w:rPr>
            </w:pPr>
            <w:r>
              <w:rPr>
                <w:rFonts w:hint="eastAsia" w:ascii="Times New Roman" w:hAnsi="Times New Roman"/>
                <w:spacing w:val="-17"/>
                <w:w w:val="100"/>
                <w:sz w:val="20"/>
                <w:szCs w:val="20"/>
                <w:lang w:val="en-US" w:eastAsia="zh-CN"/>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68" w:type="pct"/>
            <w:noWrap w:val="0"/>
            <w:vAlign w:val="center"/>
          </w:tcPr>
          <w:p>
            <w:pPr>
              <w:spacing w:line="240" w:lineRule="auto"/>
              <w:ind w:firstLine="0"/>
              <w:jc w:val="center"/>
              <w:rPr>
                <w:rFonts w:hint="eastAsia"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1</w:t>
            </w:r>
          </w:p>
        </w:tc>
        <w:tc>
          <w:tcPr>
            <w:tcW w:w="793" w:type="pct"/>
            <w:noWrap w:val="0"/>
            <w:vAlign w:val="center"/>
          </w:tcPr>
          <w:p>
            <w:pPr>
              <w:spacing w:line="240" w:lineRule="auto"/>
              <w:ind w:firstLine="0"/>
              <w:jc w:val="center"/>
              <w:rPr>
                <w:rFonts w:hint="default" w:ascii="Times New Roman" w:eastAsia="宋体"/>
                <w:spacing w:val="-17"/>
                <w:w w:val="100"/>
                <w:sz w:val="21"/>
                <w:szCs w:val="21"/>
                <w:lang w:val="en-US" w:eastAsia="zh-CN"/>
              </w:rPr>
            </w:pPr>
            <w:r>
              <w:rPr>
                <w:rFonts w:hint="eastAsia" w:ascii="Times New Roman"/>
                <w:spacing w:val="-17"/>
                <w:w w:val="100"/>
                <w:sz w:val="21"/>
                <w:szCs w:val="21"/>
                <w:lang w:val="en-US" w:eastAsia="zh-CN"/>
              </w:rPr>
              <w:t>生产工艺废气+二级酸吸收</w:t>
            </w:r>
          </w:p>
        </w:tc>
        <w:tc>
          <w:tcPr>
            <w:tcW w:w="521" w:type="pct"/>
            <w:noWrap w:val="0"/>
            <w:vAlign w:val="center"/>
          </w:tcPr>
          <w:p>
            <w:pPr>
              <w:spacing w:line="240" w:lineRule="auto"/>
              <w:ind w:firstLine="0"/>
              <w:jc w:val="center"/>
              <w:rPr>
                <w:rFonts w:hint="default"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15</w:t>
            </w:r>
          </w:p>
        </w:tc>
        <w:tc>
          <w:tcPr>
            <w:tcW w:w="630" w:type="pct"/>
            <w:noWrap w:val="0"/>
            <w:vAlign w:val="center"/>
          </w:tcPr>
          <w:p>
            <w:pPr>
              <w:spacing w:line="240" w:lineRule="auto"/>
              <w:ind w:firstLine="0"/>
              <w:jc w:val="center"/>
              <w:rPr>
                <w:rFonts w:hint="default"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0</w:t>
            </w:r>
            <w:r>
              <w:rPr>
                <w:rFonts w:hint="eastAsia" w:ascii="Times New Roman" w:hAnsi="Times New Roman"/>
                <w:spacing w:val="-17"/>
                <w:w w:val="100"/>
                <w:sz w:val="21"/>
                <w:szCs w:val="21"/>
                <w:lang w:val="en-US" w:eastAsia="zh-CN"/>
              </w:rPr>
              <w:t>.</w:t>
            </w:r>
            <w:r>
              <w:rPr>
                <w:rFonts w:hint="eastAsia" w:ascii="Times New Roman" w:hAnsi="Times New Roman"/>
                <w:spacing w:val="-17"/>
                <w:w w:val="100"/>
                <w:sz w:val="21"/>
                <w:szCs w:val="21"/>
                <w:lang w:val="en-US" w:eastAsia="zh-CN"/>
              </w:rPr>
              <w:t>3</w:t>
            </w:r>
          </w:p>
        </w:tc>
        <w:tc>
          <w:tcPr>
            <w:tcW w:w="692" w:type="pct"/>
            <w:noWrap w:val="0"/>
            <w:vAlign w:val="center"/>
          </w:tcPr>
          <w:p>
            <w:pPr>
              <w:spacing w:line="240" w:lineRule="auto"/>
              <w:ind w:firstLine="0"/>
              <w:jc w:val="center"/>
              <w:rPr>
                <w:rFonts w:hint="default"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1</w:t>
            </w:r>
            <w:r>
              <w:rPr>
                <w:rFonts w:hint="eastAsia" w:ascii="Times New Roman" w:hAnsi="Times New Roman"/>
                <w:spacing w:val="-17"/>
                <w:w w:val="100"/>
                <w:sz w:val="21"/>
                <w:szCs w:val="21"/>
                <w:lang w:val="en-US" w:eastAsia="zh-CN"/>
              </w:rPr>
              <w:t>.</w:t>
            </w:r>
            <w:r>
              <w:rPr>
                <w:rFonts w:hint="eastAsia" w:ascii="Times New Roman" w:hAnsi="Times New Roman"/>
                <w:spacing w:val="-17"/>
                <w:w w:val="100"/>
                <w:sz w:val="21"/>
                <w:szCs w:val="21"/>
                <w:lang w:val="en-US" w:eastAsia="zh-CN"/>
              </w:rPr>
              <w:t>4</w:t>
            </w:r>
          </w:p>
        </w:tc>
        <w:tc>
          <w:tcPr>
            <w:tcW w:w="624" w:type="pct"/>
            <w:noWrap w:val="0"/>
            <w:vAlign w:val="center"/>
          </w:tcPr>
          <w:p>
            <w:pPr>
              <w:spacing w:line="240" w:lineRule="auto"/>
              <w:ind w:firstLine="0"/>
              <w:jc w:val="center"/>
              <w:rPr>
                <w:rFonts w:hint="default"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25</w:t>
            </w:r>
          </w:p>
        </w:tc>
        <w:tc>
          <w:tcPr>
            <w:tcW w:w="487" w:type="pct"/>
            <w:noWrap w:val="0"/>
            <w:vAlign w:val="center"/>
          </w:tcPr>
          <w:p>
            <w:pPr>
              <w:spacing w:line="240" w:lineRule="auto"/>
              <w:ind w:firstLine="0"/>
              <w:jc w:val="center"/>
              <w:rPr>
                <w:rFonts w:hint="eastAsia"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1</w:t>
            </w:r>
          </w:p>
        </w:tc>
        <w:tc>
          <w:tcPr>
            <w:tcW w:w="443" w:type="pct"/>
            <w:noWrap w:val="0"/>
            <w:vAlign w:val="center"/>
          </w:tcPr>
          <w:p>
            <w:pPr>
              <w:spacing w:line="240" w:lineRule="auto"/>
              <w:ind w:firstLine="0"/>
              <w:jc w:val="center"/>
              <w:rPr>
                <w:rFonts w:hint="default"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3</w:t>
            </w:r>
            <w:r>
              <w:rPr>
                <w:rFonts w:hint="eastAsia" w:ascii="Times New Roman" w:hAnsi="Times New Roman"/>
                <w:spacing w:val="-17"/>
                <w:w w:val="100"/>
                <w:sz w:val="21"/>
                <w:szCs w:val="21"/>
                <w:lang w:val="en-US" w:eastAsia="zh-CN"/>
              </w:rPr>
              <w:t>.</w:t>
            </w:r>
            <w:r>
              <w:rPr>
                <w:rFonts w:hint="eastAsia" w:ascii="Times New Roman" w:hAnsi="Times New Roman"/>
                <w:spacing w:val="-17"/>
                <w:w w:val="100"/>
                <w:sz w:val="21"/>
                <w:szCs w:val="21"/>
                <w:lang w:val="en-US" w:eastAsia="zh-CN"/>
              </w:rPr>
              <w:t>037</w:t>
            </w:r>
          </w:p>
        </w:tc>
        <w:tc>
          <w:tcPr>
            <w:tcW w:w="538" w:type="pct"/>
            <w:noWrap w:val="0"/>
            <w:vAlign w:val="center"/>
          </w:tcPr>
          <w:p>
            <w:pPr>
              <w:spacing w:line="240" w:lineRule="auto"/>
              <w:ind w:firstLine="0"/>
              <w:jc w:val="center"/>
              <w:rPr>
                <w:rFonts w:hint="default" w:ascii="Times New Roman" w:eastAsia="宋体"/>
                <w:spacing w:val="-17"/>
                <w:w w:val="100"/>
                <w:sz w:val="21"/>
                <w:szCs w:val="21"/>
                <w:lang w:val="en-US" w:eastAsia="zh-CN"/>
              </w:rPr>
            </w:pPr>
            <w:r>
              <w:rPr>
                <w:rFonts w:hint="eastAsia" w:ascii="Times New Roman" w:hAnsi="Times New Roman"/>
                <w:spacing w:val="-17"/>
                <w:w w:val="100"/>
                <w:sz w:val="21"/>
                <w:szCs w:val="21"/>
                <w:lang w:val="en-US" w:eastAsia="zh-CN"/>
              </w:rPr>
              <w:t>0</w:t>
            </w:r>
            <w:r>
              <w:rPr>
                <w:rFonts w:hint="eastAsia" w:ascii="Times New Roman" w:hAnsi="Times New Roman"/>
                <w:spacing w:val="-17"/>
                <w:w w:val="100"/>
                <w:sz w:val="21"/>
                <w:szCs w:val="21"/>
                <w:lang w:val="en-US" w:eastAsia="zh-CN"/>
              </w:rPr>
              <w:t>.</w:t>
            </w:r>
            <w:r>
              <w:rPr>
                <w:rFonts w:hint="eastAsia" w:ascii="Times New Roman" w:hAnsi="Times New Roman"/>
                <w:spacing w:val="-17"/>
                <w:w w:val="100"/>
                <w:sz w:val="21"/>
                <w:szCs w:val="21"/>
                <w:lang w:val="en-US" w:eastAsia="zh-CN"/>
              </w:rPr>
              <w:t>0013</w:t>
            </w:r>
          </w:p>
        </w:tc>
      </w:tr>
    </w:tbl>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预测模式及说明</w:t>
      </w:r>
    </w:p>
    <w:p>
      <w:pPr>
        <w:rPr>
          <w:rFonts w:hint="eastAsia" w:eastAsia="宋体"/>
          <w:color w:val="auto"/>
          <w:lang w:eastAsia="zh-CN"/>
        </w:rPr>
      </w:pPr>
      <w:r>
        <w:rPr>
          <w:rFonts w:hint="eastAsia"/>
          <w:color w:val="auto"/>
          <w:lang w:eastAsia="zh-CN"/>
        </w:rPr>
        <w:t>（</w:t>
      </w:r>
      <w:r>
        <w:rPr>
          <w:rFonts w:hint="eastAsia" w:ascii="Times New Roman" w:hAnsi="Times New Roman"/>
          <w:color w:val="auto"/>
          <w:lang w:val="en-US" w:eastAsia="zh-CN"/>
        </w:rPr>
        <w:t>1</w:t>
      </w:r>
      <w:r>
        <w:rPr>
          <w:rFonts w:hint="eastAsia"/>
          <w:color w:val="auto"/>
          <w:lang w:eastAsia="zh-CN"/>
        </w:rPr>
        <w:t>）气象参数</w:t>
      </w:r>
    </w:p>
    <w:p>
      <w:pPr>
        <w:rPr>
          <w:rFonts w:hint="eastAsia" w:eastAsia="宋体"/>
          <w:color w:val="auto"/>
          <w:lang w:eastAsia="zh-CN"/>
        </w:rPr>
      </w:pPr>
      <w:r>
        <w:rPr>
          <w:rFonts w:hint="eastAsia"/>
          <w:color w:val="auto"/>
          <w:lang w:eastAsia="zh-CN"/>
        </w:rPr>
        <w:t>①地面气象数据</w:t>
      </w:r>
    </w:p>
    <w:p>
      <w:pPr>
        <w:rPr>
          <w:color w:val="auto"/>
        </w:rPr>
      </w:pPr>
      <w:r>
        <w:rPr>
          <w:color w:val="auto"/>
        </w:rPr>
        <w:t>预测模式采用《环境影响评价技术导则</w:t>
      </w:r>
      <w:r>
        <w:rPr>
          <w:rFonts w:hint="eastAsia"/>
          <w:color w:val="auto"/>
        </w:rPr>
        <w:t xml:space="preserve"> </w:t>
      </w:r>
      <w:r>
        <w:rPr>
          <w:color w:val="auto"/>
        </w:rPr>
        <w:t>大气环境》(</w:t>
      </w:r>
      <w:r>
        <w:rPr>
          <w:rFonts w:ascii="Times New Roman" w:hAnsi="Times New Roman"/>
          <w:color w:val="auto"/>
        </w:rPr>
        <w:t>HJ2</w:t>
      </w:r>
      <w:r>
        <w:rPr>
          <w:color w:val="auto"/>
        </w:rPr>
        <w:t>.</w:t>
      </w:r>
      <w:r>
        <w:rPr>
          <w:rFonts w:ascii="Times New Roman" w:hAnsi="Times New Roman"/>
          <w:color w:val="auto"/>
        </w:rPr>
        <w:t>2</w:t>
      </w:r>
      <w:r>
        <w:rPr>
          <w:color w:val="auto"/>
        </w:rPr>
        <w:t>-</w:t>
      </w:r>
      <w:r>
        <w:rPr>
          <w:rFonts w:ascii="Times New Roman" w:hAnsi="Times New Roman"/>
          <w:color w:val="auto"/>
        </w:rPr>
        <w:t>2018</w:t>
      </w:r>
      <w:r>
        <w:rPr>
          <w:color w:val="auto"/>
        </w:rPr>
        <w:t>)所推荐</w:t>
      </w:r>
      <w:r>
        <w:rPr>
          <w:rFonts w:ascii="Times New Roman" w:hAnsi="Times New Roman"/>
          <w:color w:val="auto"/>
        </w:rPr>
        <w:t>EIAProA2018</w:t>
      </w:r>
      <w:r>
        <w:rPr>
          <w:color w:val="auto"/>
        </w:rPr>
        <w:t>大气环评专业辅助系统的</w:t>
      </w:r>
      <w:r>
        <w:rPr>
          <w:rFonts w:hint="eastAsia" w:ascii="Times New Roman" w:hAnsi="Times New Roman"/>
          <w:color w:val="auto"/>
          <w:lang w:val="en-US" w:eastAsia="zh-CN"/>
        </w:rPr>
        <w:t>AERMOD</w:t>
      </w:r>
      <w:r>
        <w:rPr>
          <w:rFonts w:hint="eastAsia" w:ascii="Times New Roman" w:hAnsi="Times New Roman"/>
          <w:color w:val="auto"/>
          <w:lang w:val="en-US" w:eastAsia="zh-CN"/>
        </w:rPr>
        <w:t>模型</w:t>
      </w:r>
      <w:r>
        <w:rPr>
          <w:color w:val="auto"/>
        </w:rPr>
        <w:t>。</w:t>
      </w:r>
    </w:p>
    <w:p>
      <w:pPr>
        <w:rPr>
          <w:rFonts w:hint="eastAsia"/>
          <w:lang w:val="en-US" w:eastAsia="zh-CN"/>
        </w:rPr>
      </w:pPr>
      <w:r>
        <w:rPr>
          <w:rFonts w:hint="eastAsia"/>
          <w:color w:val="auto"/>
          <w:lang w:val="en-US" w:eastAsia="zh-CN"/>
        </w:rPr>
        <w:t>乌苏市气象站距离项目约</w:t>
      </w:r>
      <w:r>
        <w:rPr>
          <w:rFonts w:hint="eastAsia" w:ascii="Times New Roman" w:hAnsi="Times New Roman"/>
          <w:color w:val="auto"/>
          <w:lang w:val="en-US" w:eastAsia="zh-CN"/>
        </w:rPr>
        <w:t>33km</w:t>
      </w:r>
      <w:r>
        <w:rPr>
          <w:rFonts w:hint="eastAsia"/>
          <w:color w:val="auto"/>
          <w:lang w:val="en-US" w:eastAsia="zh-CN"/>
        </w:rPr>
        <w:t>，满足导则关于地面气象观测站与项目距离（＜</w:t>
      </w:r>
      <w:r>
        <w:rPr>
          <w:rFonts w:hint="eastAsia" w:ascii="Times New Roman" w:hAnsi="Times New Roman"/>
          <w:color w:val="auto"/>
          <w:lang w:val="en-US" w:eastAsia="zh-CN"/>
        </w:rPr>
        <w:t>50km</w:t>
      </w:r>
      <w:r>
        <w:rPr>
          <w:rFonts w:hint="eastAsia"/>
          <w:color w:val="auto"/>
          <w:lang w:val="en-US" w:eastAsia="zh-CN"/>
        </w:rPr>
        <w:t>）的要求。能够代表项目厂区区域气象情况。</w:t>
      </w:r>
    </w:p>
    <w:p>
      <w:pPr>
        <w:rPr>
          <w:rFonts w:hint="eastAsia"/>
          <w:color w:val="auto"/>
        </w:rPr>
      </w:pPr>
      <w:r>
        <w:rPr>
          <w:rFonts w:hint="eastAsia"/>
          <w:color w:val="auto"/>
        </w:rPr>
        <w:t>②高空气象数据</w:t>
      </w:r>
    </w:p>
    <w:p>
      <w:pPr>
        <w:rPr>
          <w:rFonts w:hint="eastAsia"/>
          <w:lang w:val="en-US" w:eastAsia="zh-CN"/>
        </w:rPr>
      </w:pPr>
      <w:r>
        <w:rPr>
          <w:rFonts w:hint="eastAsia"/>
          <w:color w:val="auto"/>
        </w:rPr>
        <w:t>采用的原始数据有地形高度、土地利用、陆地-水体标志、植被组成等数据，数据源主要为美国的</w:t>
      </w:r>
      <w:r>
        <w:rPr>
          <w:rFonts w:hint="eastAsia" w:ascii="Times New Roman" w:hAnsi="Times New Roman"/>
          <w:color w:val="auto"/>
        </w:rPr>
        <w:t>NOAA</w:t>
      </w:r>
      <w:r>
        <w:rPr>
          <w:rFonts w:hint="eastAsia"/>
          <w:color w:val="auto"/>
        </w:rPr>
        <w:t>/</w:t>
      </w:r>
      <w:r>
        <w:rPr>
          <w:rFonts w:hint="eastAsia" w:ascii="Times New Roman" w:hAnsi="Times New Roman"/>
          <w:color w:val="auto"/>
        </w:rPr>
        <w:t>ESRL</w:t>
      </w:r>
      <w:r>
        <w:rPr>
          <w:rFonts w:hint="eastAsia"/>
          <w:color w:val="auto"/>
        </w:rPr>
        <w:t>数据。本数据网格点数据包含逐日（每日</w:t>
      </w:r>
      <w:r>
        <w:rPr>
          <w:rFonts w:hint="eastAsia" w:ascii="Times New Roman" w:hAnsi="Times New Roman"/>
          <w:color w:val="auto"/>
        </w:rPr>
        <w:t>08</w:t>
      </w:r>
      <w:r>
        <w:rPr>
          <w:rFonts w:hint="eastAsia"/>
          <w:color w:val="auto"/>
        </w:rPr>
        <w:t>时、</w:t>
      </w:r>
      <w:r>
        <w:rPr>
          <w:rFonts w:hint="eastAsia" w:ascii="Times New Roman" w:hAnsi="Times New Roman"/>
          <w:color w:val="auto"/>
        </w:rPr>
        <w:t>20</w:t>
      </w:r>
      <w:r>
        <w:rPr>
          <w:rFonts w:hint="eastAsia"/>
          <w:color w:val="auto"/>
        </w:rPr>
        <w:t>时两次）气象数据，主要参数包括气压、离地高度和干球温度，离地高度</w:t>
      </w:r>
      <w:r>
        <w:rPr>
          <w:rFonts w:hint="eastAsia" w:ascii="Times New Roman" w:hAnsi="Times New Roman"/>
          <w:color w:val="auto"/>
        </w:rPr>
        <w:t>5000m</w:t>
      </w:r>
      <w:r>
        <w:rPr>
          <w:rFonts w:hint="eastAsia"/>
          <w:color w:val="auto"/>
        </w:rPr>
        <w:t>以下有效数据层数为</w:t>
      </w:r>
      <w:r>
        <w:rPr>
          <w:rFonts w:hint="eastAsia" w:ascii="Times New Roman" w:hAnsi="Times New Roman"/>
          <w:color w:val="auto"/>
        </w:rPr>
        <w:t>5</w:t>
      </w:r>
      <w:r>
        <w:rPr>
          <w:rFonts w:hint="eastAsia"/>
          <w:color w:val="auto"/>
        </w:rPr>
        <w:t>层。模拟探空站距项目所在地满足导则关于常规高空气象观测站与项目距离（＜</w:t>
      </w:r>
      <w:r>
        <w:rPr>
          <w:rFonts w:hint="eastAsia" w:ascii="Times New Roman" w:hAnsi="Times New Roman"/>
          <w:color w:val="auto"/>
        </w:rPr>
        <w:t>50km</w:t>
      </w:r>
      <w:r>
        <w:rPr>
          <w:rFonts w:hint="eastAsia"/>
          <w:color w:val="auto"/>
        </w:rPr>
        <w:t>）的要求。</w:t>
      </w:r>
    </w:p>
    <w:p>
      <w:pPr>
        <w:rPr>
          <w:rFonts w:hint="eastAsia"/>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）地形参数</w:t>
      </w:r>
    </w:p>
    <w:p>
      <w:pPr>
        <w:rPr>
          <w:rFonts w:hint="default"/>
          <w:color w:val="auto"/>
        </w:rPr>
      </w:pPr>
      <w:r>
        <w:rPr>
          <w:rFonts w:hint="eastAsia"/>
          <w:color w:val="auto"/>
        </w:rPr>
        <w:t>根据导则要求，预测计算考虑输入区域地形数据，所用地形数据为</w:t>
      </w:r>
      <w:r>
        <w:rPr>
          <w:rFonts w:hint="eastAsia" w:ascii="Times New Roman" w:hAnsi="Times New Roman"/>
          <w:color w:val="auto"/>
        </w:rPr>
        <w:t>SRTM</w:t>
      </w:r>
      <w:r>
        <w:rPr>
          <w:rFonts w:hint="eastAsia"/>
          <w:color w:val="auto"/>
        </w:rPr>
        <w:t xml:space="preserve"> </w:t>
      </w:r>
      <w:r>
        <w:rPr>
          <w:rFonts w:hint="eastAsia" w:ascii="Times New Roman" w:hAnsi="Times New Roman"/>
          <w:color w:val="auto"/>
        </w:rPr>
        <w:t>DEM</w:t>
      </w:r>
      <w:r>
        <w:rPr>
          <w:rFonts w:hint="eastAsia"/>
          <w:color w:val="auto"/>
        </w:rPr>
        <w:t xml:space="preserve"> </w:t>
      </w:r>
      <w:r>
        <w:rPr>
          <w:rFonts w:hint="eastAsia" w:ascii="Times New Roman" w:hAnsi="Times New Roman"/>
          <w:color w:val="auto"/>
        </w:rPr>
        <w:t>UTM</w:t>
      </w:r>
      <w:r>
        <w:rPr>
          <w:rFonts w:hint="eastAsia"/>
          <w:color w:val="auto"/>
        </w:rPr>
        <w:t xml:space="preserve"> </w:t>
      </w:r>
      <w:r>
        <w:rPr>
          <w:rFonts w:hint="eastAsia" w:ascii="Times New Roman" w:hAnsi="Times New Roman"/>
          <w:color w:val="auto"/>
        </w:rPr>
        <w:t>90m</w:t>
      </w:r>
      <w:r>
        <w:rPr>
          <w:rFonts w:hint="eastAsia"/>
          <w:color w:val="auto"/>
        </w:rPr>
        <w:t>分辨率数字高程数据。地形高程数据采用软件所需的数字高程（</w:t>
      </w:r>
      <w:r>
        <w:rPr>
          <w:rFonts w:hint="eastAsia" w:ascii="Times New Roman" w:hAnsi="Times New Roman"/>
          <w:color w:val="auto"/>
        </w:rPr>
        <w:t>DEM</w:t>
      </w:r>
      <w:r>
        <w:rPr>
          <w:rFonts w:hint="eastAsia"/>
          <w:color w:val="auto"/>
        </w:rPr>
        <w:t>）文件，覆盖范围包含本次评价范围。</w:t>
      </w:r>
      <w:r>
        <w:rPr>
          <w:rFonts w:hint="eastAsia"/>
          <w:color w:val="auto"/>
          <w:lang w:eastAsia="zh-CN"/>
        </w:rPr>
        <w:t>项目所在地通过处理形成的地形见图</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p>
    <w:p>
      <w:pPr>
        <w:pStyle w:val="20"/>
        <w:bidi w:val="0"/>
        <w:rPr>
          <w:rFonts w:hint="eastAsia"/>
        </w:rPr>
      </w:pPr>
      <w:r>
        <w:rPr>
          <w:rFonts w:ascii="宋体" w:hAnsi="宋体" w:eastAsia="宋体" w:cs="宋体"/>
          <w:kern w:val="0"/>
          <w:sz w:val="24"/>
          <w:szCs w:val="24"/>
          <w:lang w:val="en-US" w:eastAsia="zh-CN" w:bidi="ar"/>
        </w:rPr>
        <w:drawing>
          <wp:anchor distT="0" distB="0" distL="114300" distR="114300" simplePos="0" relativeHeight="251676672" behindDoc="0" locked="0" layoutInCell="1" allowOverlap="1">
            <wp:simplePos x="0" y="0"/>
            <wp:positionH relativeFrom="column">
              <wp:posOffset>820420</wp:posOffset>
            </wp:positionH>
            <wp:positionV relativeFrom="paragraph">
              <wp:posOffset>15875</wp:posOffset>
            </wp:positionV>
            <wp:extent cx="4010025" cy="3696970"/>
            <wp:effectExtent l="0" t="0" r="9525" b="17780"/>
            <wp:wrapTopAndBottom/>
            <wp:docPr id="3"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descr="IMG_256"/>
                    <pic:cNvPicPr>
                      <a:picLocks noChangeAspect="1"/>
                    </pic:cNvPicPr>
                  </pic:nvPicPr>
                  <pic:blipFill>
                    <a:blip r:embed="rId66"/>
                    <a:stretch>
                      <a:fillRect/>
                    </a:stretch>
                  </pic:blipFill>
                  <pic:spPr>
                    <a:xfrm>
                      <a:off x="0" y="0"/>
                      <a:ext cx="4010025" cy="3696970"/>
                    </a:xfrm>
                    <a:prstGeom prst="rect">
                      <a:avLst/>
                    </a:prstGeom>
                    <a:noFill/>
                    <a:ln w="9525">
                      <a:noFill/>
                    </a:ln>
                  </pic:spPr>
                </pic:pic>
              </a:graphicData>
            </a:graphic>
          </wp:anchor>
        </w:drawing>
      </w:r>
      <w:r>
        <w:rPr>
          <w:rFonts w:hint="eastAsia"/>
          <w:color w:val="auto"/>
          <w:lang w:eastAsia="zh-CN"/>
        </w:rPr>
        <w:t>图</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3</w:t>
      </w:r>
      <w:r>
        <w:rPr>
          <w:rFonts w:hint="eastAsia"/>
          <w:color w:val="auto"/>
          <w:lang w:val="en-US" w:eastAsia="zh-CN"/>
        </w:rPr>
        <w:t xml:space="preserve">  </w:t>
      </w:r>
      <w:r>
        <w:rPr>
          <w:rFonts w:hint="eastAsia" w:ascii="Times New Roman" w:hAnsi="Times New Roman"/>
          <w:color w:val="auto"/>
          <w:lang w:val="en-US" w:eastAsia="zh-CN"/>
        </w:rPr>
        <w:t>DEM</w:t>
      </w:r>
      <w:r>
        <w:rPr>
          <w:rFonts w:hint="eastAsia"/>
          <w:color w:val="auto"/>
          <w:lang w:val="en-US" w:eastAsia="zh-CN"/>
        </w:rPr>
        <w:t>数据地形高程图</w:t>
      </w:r>
    </w:p>
    <w:p>
      <w:pPr>
        <w:bidi w:val="0"/>
        <w:rPr>
          <w:rFonts w:hint="eastAsia"/>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）地表参数</w:t>
      </w:r>
    </w:p>
    <w:p>
      <w:pPr>
        <w:bidi w:val="0"/>
        <w:rPr>
          <w:rFonts w:hint="eastAsia" w:ascii="Times New Roman" w:hAnsi="Times New Roman"/>
          <w:color w:val="000000"/>
          <w:lang w:val="en-US" w:eastAsia="zh-CN"/>
        </w:rPr>
      </w:pPr>
      <w:r>
        <w:rPr>
          <w:rFonts w:hint="eastAsia"/>
        </w:rPr>
        <w:t>根据中国干湿地区划分，项目所在属于干燥地区。本次预测采用</w:t>
      </w:r>
      <w:r>
        <w:rPr>
          <w:rFonts w:hint="eastAsia" w:ascii="Times New Roman" w:hAnsi="Times New Roman"/>
        </w:rPr>
        <w:t>AERSURFACE</w:t>
      </w:r>
      <w:r>
        <w:rPr>
          <w:rFonts w:hint="eastAsia"/>
        </w:rPr>
        <w:t>直接读取可识别的土地利用数据文件。模式地表参数选择见表</w:t>
      </w: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11</w:t>
      </w:r>
      <w:r>
        <w:rPr>
          <w:rFonts w:hint="eastAsia"/>
        </w:rPr>
        <w:t>。</w:t>
      </w:r>
    </w:p>
    <w:p>
      <w:pPr>
        <w:pStyle w:val="20"/>
        <w:spacing w:before="163"/>
        <w:rPr>
          <w:rFonts w:hint="eastAsia"/>
        </w:rPr>
      </w:pPr>
      <w:r>
        <w:rPr>
          <w:rFonts w:hint="eastAsia"/>
        </w:rPr>
        <w:t>表</w:t>
      </w: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11</w:t>
      </w:r>
      <w:r>
        <w:rPr>
          <w:rFonts w:hint="eastAsia"/>
        </w:rPr>
        <w:t xml:space="preserve">  模式参数选择</w:t>
      </w:r>
    </w:p>
    <w:tbl>
      <w:tblPr>
        <w:tblStyle w:val="80"/>
        <w:tblW w:w="502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803"/>
        <w:gridCol w:w="1277"/>
        <w:gridCol w:w="2544"/>
        <w:gridCol w:w="1874"/>
        <w:gridCol w:w="1397"/>
        <w:gridCol w:w="1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sz w:val="21"/>
                <w:szCs w:val="21"/>
              </w:rPr>
              <w:t>序号</w:t>
            </w:r>
          </w:p>
        </w:tc>
        <w:tc>
          <w:tcPr>
            <w:tcW w:w="705" w:type="pct"/>
            <w:noWrap w:val="0"/>
            <w:vAlign w:val="center"/>
          </w:tcPr>
          <w:p>
            <w:pPr>
              <w:spacing w:line="260" w:lineRule="exact"/>
              <w:ind w:firstLine="0"/>
              <w:jc w:val="center"/>
              <w:rPr>
                <w:sz w:val="21"/>
                <w:szCs w:val="21"/>
              </w:rPr>
            </w:pPr>
            <w:r>
              <w:rPr>
                <w:rFonts w:hint="eastAsia"/>
                <w:sz w:val="21"/>
                <w:szCs w:val="21"/>
              </w:rPr>
              <w:t>扇区</w:t>
            </w:r>
          </w:p>
        </w:tc>
        <w:tc>
          <w:tcPr>
            <w:tcW w:w="1404" w:type="pct"/>
            <w:noWrap w:val="0"/>
            <w:vAlign w:val="center"/>
          </w:tcPr>
          <w:p>
            <w:pPr>
              <w:spacing w:line="260" w:lineRule="exact"/>
              <w:ind w:firstLine="0"/>
              <w:jc w:val="center"/>
              <w:rPr>
                <w:sz w:val="21"/>
                <w:szCs w:val="21"/>
              </w:rPr>
            </w:pPr>
            <w:r>
              <w:rPr>
                <w:rFonts w:hint="eastAsia"/>
                <w:sz w:val="21"/>
                <w:szCs w:val="21"/>
              </w:rPr>
              <w:t>时段</w:t>
            </w:r>
          </w:p>
        </w:tc>
        <w:tc>
          <w:tcPr>
            <w:tcW w:w="1034" w:type="pct"/>
            <w:noWrap w:val="0"/>
            <w:vAlign w:val="center"/>
          </w:tcPr>
          <w:p>
            <w:pPr>
              <w:spacing w:line="260" w:lineRule="exact"/>
              <w:ind w:firstLine="0"/>
              <w:jc w:val="center"/>
              <w:rPr>
                <w:sz w:val="21"/>
                <w:szCs w:val="21"/>
              </w:rPr>
            </w:pPr>
            <w:r>
              <w:rPr>
                <w:rFonts w:hint="eastAsia"/>
                <w:sz w:val="21"/>
                <w:szCs w:val="21"/>
              </w:rPr>
              <w:t>正午反照率</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BOWEN</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粗糙度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25</w:t>
            </w:r>
            <w:r>
              <w:rPr>
                <w:rFonts w:hint="eastAsia"/>
                <w:sz w:val="21"/>
                <w:szCs w:val="21"/>
              </w:rPr>
              <w:t>-</w:t>
            </w:r>
            <w:r>
              <w:rPr>
                <w:rFonts w:hint="eastAsia" w:ascii="Times New Roman" w:hAnsi="Times New Roman"/>
                <w:sz w:val="21"/>
                <w:szCs w:val="21"/>
              </w:rPr>
              <w:t>105</w:t>
            </w:r>
          </w:p>
        </w:tc>
        <w:tc>
          <w:tcPr>
            <w:tcW w:w="1404" w:type="pct"/>
            <w:noWrap w:val="0"/>
            <w:vAlign w:val="center"/>
          </w:tcPr>
          <w:p>
            <w:pPr>
              <w:spacing w:line="260" w:lineRule="exact"/>
              <w:ind w:firstLine="0"/>
              <w:jc w:val="center"/>
              <w:rPr>
                <w:sz w:val="21"/>
                <w:szCs w:val="21"/>
              </w:rPr>
            </w:pPr>
            <w:r>
              <w:rPr>
                <w:rFonts w:hint="eastAsia"/>
                <w:sz w:val="21"/>
                <w:szCs w:val="21"/>
              </w:rPr>
              <w:t>冬季(</w:t>
            </w:r>
            <w:r>
              <w:rPr>
                <w:rFonts w:hint="eastAsia" w:ascii="Times New Roman" w:hAnsi="Times New Roman"/>
                <w:sz w:val="21"/>
                <w:szCs w:val="21"/>
              </w:rPr>
              <w:t>12</w:t>
            </w:r>
            <w:r>
              <w:rPr>
                <w:rFonts w:hint="eastAsia"/>
                <w:sz w:val="21"/>
                <w:szCs w:val="21"/>
              </w:rPr>
              <w:t>,</w:t>
            </w: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2</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45</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10</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2</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25</w:t>
            </w:r>
            <w:r>
              <w:rPr>
                <w:rFonts w:hint="eastAsia"/>
                <w:sz w:val="21"/>
                <w:szCs w:val="21"/>
              </w:rPr>
              <w:t>-</w:t>
            </w:r>
            <w:r>
              <w:rPr>
                <w:rFonts w:hint="eastAsia" w:ascii="Times New Roman" w:hAnsi="Times New Roman"/>
                <w:sz w:val="21"/>
                <w:szCs w:val="21"/>
              </w:rPr>
              <w:t>105</w:t>
            </w:r>
          </w:p>
        </w:tc>
        <w:tc>
          <w:tcPr>
            <w:tcW w:w="1404" w:type="pct"/>
            <w:noWrap w:val="0"/>
            <w:vAlign w:val="center"/>
          </w:tcPr>
          <w:p>
            <w:pPr>
              <w:spacing w:line="260" w:lineRule="exact"/>
              <w:ind w:firstLine="0"/>
              <w:jc w:val="center"/>
              <w:rPr>
                <w:sz w:val="21"/>
                <w:szCs w:val="21"/>
              </w:rPr>
            </w:pPr>
            <w:r>
              <w:rPr>
                <w:rFonts w:hint="eastAsia"/>
                <w:sz w:val="21"/>
                <w:szCs w:val="21"/>
              </w:rPr>
              <w:t>春季(</w:t>
            </w:r>
            <w:r>
              <w:rPr>
                <w:rFonts w:hint="eastAsia" w:ascii="Times New Roman" w:hAnsi="Times New Roman"/>
                <w:sz w:val="21"/>
                <w:szCs w:val="21"/>
              </w:rPr>
              <w:t>3</w:t>
            </w:r>
            <w:r>
              <w:rPr>
                <w:rFonts w:hint="eastAsia"/>
                <w:sz w:val="21"/>
                <w:szCs w:val="21"/>
              </w:rPr>
              <w:t>,</w:t>
            </w:r>
            <w:r>
              <w:rPr>
                <w:rFonts w:hint="eastAsia" w:ascii="Times New Roman" w:hAnsi="Times New Roman"/>
                <w:sz w:val="21"/>
                <w:szCs w:val="21"/>
              </w:rPr>
              <w:t>4</w:t>
            </w:r>
            <w:r>
              <w:rPr>
                <w:rFonts w:hint="eastAsia"/>
                <w:sz w:val="21"/>
                <w:szCs w:val="21"/>
              </w:rPr>
              <w:t>,</w:t>
            </w:r>
            <w:r>
              <w:rPr>
                <w:rFonts w:hint="eastAsia" w:ascii="Times New Roman" w:hAnsi="Times New Roman"/>
                <w:sz w:val="21"/>
                <w:szCs w:val="21"/>
              </w:rPr>
              <w:t>5</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3</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5</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3</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25</w:t>
            </w:r>
            <w:r>
              <w:rPr>
                <w:rFonts w:hint="eastAsia"/>
                <w:sz w:val="21"/>
                <w:szCs w:val="21"/>
              </w:rPr>
              <w:t>-</w:t>
            </w:r>
            <w:r>
              <w:rPr>
                <w:rFonts w:hint="eastAsia" w:ascii="Times New Roman" w:hAnsi="Times New Roman"/>
                <w:sz w:val="21"/>
                <w:szCs w:val="21"/>
              </w:rPr>
              <w:t>105</w:t>
            </w:r>
          </w:p>
        </w:tc>
        <w:tc>
          <w:tcPr>
            <w:tcW w:w="1404" w:type="pct"/>
            <w:noWrap w:val="0"/>
            <w:vAlign w:val="center"/>
          </w:tcPr>
          <w:p>
            <w:pPr>
              <w:spacing w:line="260" w:lineRule="exact"/>
              <w:ind w:firstLine="0"/>
              <w:jc w:val="center"/>
              <w:rPr>
                <w:sz w:val="21"/>
                <w:szCs w:val="21"/>
              </w:rPr>
            </w:pPr>
            <w:r>
              <w:rPr>
                <w:rFonts w:hint="eastAsia"/>
                <w:sz w:val="21"/>
                <w:szCs w:val="21"/>
              </w:rPr>
              <w:t>夏季(</w:t>
            </w:r>
            <w:r>
              <w:rPr>
                <w:rFonts w:hint="eastAsia" w:ascii="Times New Roman" w:hAnsi="Times New Roman"/>
                <w:sz w:val="21"/>
                <w:szCs w:val="21"/>
              </w:rPr>
              <w:t>6</w:t>
            </w:r>
            <w:r>
              <w:rPr>
                <w:rFonts w:hint="eastAsia"/>
                <w:sz w:val="21"/>
                <w:szCs w:val="21"/>
              </w:rPr>
              <w:t>,</w:t>
            </w:r>
            <w:r>
              <w:rPr>
                <w:rFonts w:hint="eastAsia" w:ascii="Times New Roman" w:hAnsi="Times New Roman"/>
                <w:sz w:val="21"/>
                <w:szCs w:val="21"/>
              </w:rPr>
              <w:t>7</w:t>
            </w:r>
            <w:r>
              <w:rPr>
                <w:rFonts w:hint="eastAsia"/>
                <w:sz w:val="21"/>
                <w:szCs w:val="21"/>
              </w:rPr>
              <w:t>,</w:t>
            </w:r>
            <w:r>
              <w:rPr>
                <w:rFonts w:hint="eastAsia" w:ascii="Times New Roman" w:hAnsi="Times New Roman"/>
                <w:sz w:val="21"/>
                <w:szCs w:val="21"/>
              </w:rPr>
              <w:t>8</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28</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6</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4</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25</w:t>
            </w:r>
            <w:r>
              <w:rPr>
                <w:rFonts w:hint="eastAsia"/>
                <w:sz w:val="21"/>
                <w:szCs w:val="21"/>
              </w:rPr>
              <w:t>-</w:t>
            </w:r>
            <w:r>
              <w:rPr>
                <w:rFonts w:hint="eastAsia" w:ascii="Times New Roman" w:hAnsi="Times New Roman"/>
                <w:sz w:val="21"/>
                <w:szCs w:val="21"/>
              </w:rPr>
              <w:t>105</w:t>
            </w:r>
          </w:p>
        </w:tc>
        <w:tc>
          <w:tcPr>
            <w:tcW w:w="1404" w:type="pct"/>
            <w:noWrap w:val="0"/>
            <w:vAlign w:val="center"/>
          </w:tcPr>
          <w:p>
            <w:pPr>
              <w:spacing w:line="260" w:lineRule="exact"/>
              <w:ind w:firstLine="0"/>
              <w:jc w:val="center"/>
              <w:rPr>
                <w:sz w:val="21"/>
                <w:szCs w:val="21"/>
              </w:rPr>
            </w:pPr>
            <w:r>
              <w:rPr>
                <w:rFonts w:hint="eastAsia"/>
                <w:sz w:val="21"/>
                <w:szCs w:val="21"/>
              </w:rPr>
              <w:t>秋季(</w:t>
            </w:r>
            <w:r>
              <w:rPr>
                <w:rFonts w:hint="eastAsia" w:ascii="Times New Roman" w:hAnsi="Times New Roman"/>
                <w:sz w:val="21"/>
                <w:szCs w:val="21"/>
              </w:rPr>
              <w:t>9</w:t>
            </w:r>
            <w:r>
              <w:rPr>
                <w:rFonts w:hint="eastAsia"/>
                <w:sz w:val="21"/>
                <w:szCs w:val="21"/>
              </w:rPr>
              <w:t>,</w:t>
            </w:r>
            <w:r>
              <w:rPr>
                <w:rFonts w:hint="eastAsia" w:ascii="Times New Roman" w:hAnsi="Times New Roman"/>
                <w:sz w:val="21"/>
                <w:szCs w:val="21"/>
              </w:rPr>
              <w:t>10</w:t>
            </w:r>
            <w:r>
              <w:rPr>
                <w:rFonts w:hint="eastAsia"/>
                <w:sz w:val="21"/>
                <w:szCs w:val="21"/>
              </w:rPr>
              <w:t>,</w:t>
            </w:r>
            <w:r>
              <w:rPr>
                <w:rFonts w:hint="eastAsia" w:ascii="Times New Roman" w:hAnsi="Times New Roman"/>
                <w:sz w:val="21"/>
                <w:szCs w:val="21"/>
              </w:rPr>
              <w:t>11</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28</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10</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5</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105</w:t>
            </w:r>
            <w:r>
              <w:rPr>
                <w:rFonts w:hint="eastAsia"/>
                <w:sz w:val="21"/>
                <w:szCs w:val="21"/>
              </w:rPr>
              <w:t>-</w:t>
            </w:r>
            <w:r>
              <w:rPr>
                <w:rFonts w:hint="eastAsia" w:ascii="Times New Roman" w:hAnsi="Times New Roman"/>
                <w:sz w:val="21"/>
                <w:szCs w:val="21"/>
              </w:rPr>
              <w:t>265</w:t>
            </w:r>
          </w:p>
        </w:tc>
        <w:tc>
          <w:tcPr>
            <w:tcW w:w="1404" w:type="pct"/>
            <w:noWrap w:val="0"/>
            <w:vAlign w:val="center"/>
          </w:tcPr>
          <w:p>
            <w:pPr>
              <w:spacing w:line="260" w:lineRule="exact"/>
              <w:ind w:firstLine="0"/>
              <w:jc w:val="center"/>
              <w:rPr>
                <w:sz w:val="21"/>
                <w:szCs w:val="21"/>
              </w:rPr>
            </w:pPr>
            <w:r>
              <w:rPr>
                <w:rFonts w:hint="eastAsia"/>
                <w:sz w:val="21"/>
                <w:szCs w:val="21"/>
              </w:rPr>
              <w:t>冬季(</w:t>
            </w:r>
            <w:r>
              <w:rPr>
                <w:rFonts w:hint="eastAsia" w:ascii="Times New Roman" w:hAnsi="Times New Roman"/>
                <w:sz w:val="21"/>
                <w:szCs w:val="21"/>
              </w:rPr>
              <w:t>12</w:t>
            </w:r>
            <w:r>
              <w:rPr>
                <w:rFonts w:hint="eastAsia"/>
                <w:sz w:val="21"/>
                <w:szCs w:val="21"/>
              </w:rPr>
              <w:t>,</w:t>
            </w: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2</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6</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5</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6</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105</w:t>
            </w:r>
            <w:r>
              <w:rPr>
                <w:rFonts w:hint="eastAsia"/>
                <w:sz w:val="21"/>
                <w:szCs w:val="21"/>
              </w:rPr>
              <w:t>-</w:t>
            </w:r>
            <w:r>
              <w:rPr>
                <w:rFonts w:hint="eastAsia" w:ascii="Times New Roman" w:hAnsi="Times New Roman"/>
                <w:sz w:val="21"/>
                <w:szCs w:val="21"/>
              </w:rPr>
              <w:t>265</w:t>
            </w:r>
          </w:p>
        </w:tc>
        <w:tc>
          <w:tcPr>
            <w:tcW w:w="1404" w:type="pct"/>
            <w:noWrap w:val="0"/>
            <w:vAlign w:val="center"/>
          </w:tcPr>
          <w:p>
            <w:pPr>
              <w:spacing w:line="260" w:lineRule="exact"/>
              <w:ind w:firstLine="0"/>
              <w:jc w:val="center"/>
              <w:rPr>
                <w:sz w:val="21"/>
                <w:szCs w:val="21"/>
              </w:rPr>
            </w:pPr>
            <w:r>
              <w:rPr>
                <w:rFonts w:hint="eastAsia"/>
                <w:sz w:val="21"/>
                <w:szCs w:val="21"/>
              </w:rPr>
              <w:t>春季(</w:t>
            </w:r>
            <w:r>
              <w:rPr>
                <w:rFonts w:hint="eastAsia" w:ascii="Times New Roman" w:hAnsi="Times New Roman"/>
                <w:sz w:val="21"/>
                <w:szCs w:val="21"/>
              </w:rPr>
              <w:t>3</w:t>
            </w:r>
            <w:r>
              <w:rPr>
                <w:rFonts w:hint="eastAsia"/>
                <w:sz w:val="21"/>
                <w:szCs w:val="21"/>
              </w:rPr>
              <w:t>,</w:t>
            </w:r>
            <w:r>
              <w:rPr>
                <w:rFonts w:hint="eastAsia" w:ascii="Times New Roman" w:hAnsi="Times New Roman"/>
                <w:sz w:val="21"/>
                <w:szCs w:val="21"/>
              </w:rPr>
              <w:t>4</w:t>
            </w:r>
            <w:r>
              <w:rPr>
                <w:rFonts w:hint="eastAsia"/>
                <w:sz w:val="21"/>
                <w:szCs w:val="21"/>
              </w:rPr>
              <w:t>,</w:t>
            </w:r>
            <w:r>
              <w:rPr>
                <w:rFonts w:hint="eastAsia" w:ascii="Times New Roman" w:hAnsi="Times New Roman"/>
                <w:sz w:val="21"/>
                <w:szCs w:val="21"/>
              </w:rPr>
              <w:t>5</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18</w:t>
            </w:r>
          </w:p>
        </w:tc>
        <w:tc>
          <w:tcPr>
            <w:tcW w:w="771"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4</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7</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105</w:t>
            </w:r>
            <w:r>
              <w:rPr>
                <w:rFonts w:hint="eastAsia"/>
                <w:sz w:val="21"/>
                <w:szCs w:val="21"/>
              </w:rPr>
              <w:t>-</w:t>
            </w:r>
            <w:r>
              <w:rPr>
                <w:rFonts w:hint="eastAsia" w:ascii="Times New Roman" w:hAnsi="Times New Roman"/>
                <w:sz w:val="21"/>
                <w:szCs w:val="21"/>
              </w:rPr>
              <w:t>265</w:t>
            </w:r>
          </w:p>
        </w:tc>
        <w:tc>
          <w:tcPr>
            <w:tcW w:w="1404" w:type="pct"/>
            <w:noWrap w:val="0"/>
            <w:vAlign w:val="center"/>
          </w:tcPr>
          <w:p>
            <w:pPr>
              <w:spacing w:line="260" w:lineRule="exact"/>
              <w:ind w:firstLine="0"/>
              <w:jc w:val="center"/>
              <w:rPr>
                <w:sz w:val="21"/>
                <w:szCs w:val="21"/>
              </w:rPr>
            </w:pPr>
            <w:r>
              <w:rPr>
                <w:rFonts w:hint="eastAsia"/>
                <w:sz w:val="21"/>
                <w:szCs w:val="21"/>
              </w:rPr>
              <w:t>夏季(</w:t>
            </w:r>
            <w:r>
              <w:rPr>
                <w:rFonts w:hint="eastAsia" w:ascii="Times New Roman" w:hAnsi="Times New Roman"/>
                <w:sz w:val="21"/>
                <w:szCs w:val="21"/>
              </w:rPr>
              <w:t>6</w:t>
            </w:r>
            <w:r>
              <w:rPr>
                <w:rFonts w:hint="eastAsia"/>
                <w:sz w:val="21"/>
                <w:szCs w:val="21"/>
              </w:rPr>
              <w:t>,</w:t>
            </w:r>
            <w:r>
              <w:rPr>
                <w:rFonts w:hint="eastAsia" w:ascii="Times New Roman" w:hAnsi="Times New Roman"/>
                <w:sz w:val="21"/>
                <w:szCs w:val="21"/>
              </w:rPr>
              <w:t>7</w:t>
            </w:r>
            <w:r>
              <w:rPr>
                <w:rFonts w:hint="eastAsia"/>
                <w:sz w:val="21"/>
                <w:szCs w:val="21"/>
              </w:rPr>
              <w:t>,</w:t>
            </w:r>
            <w:r>
              <w:rPr>
                <w:rFonts w:hint="eastAsia" w:ascii="Times New Roman" w:hAnsi="Times New Roman"/>
                <w:sz w:val="21"/>
                <w:szCs w:val="21"/>
              </w:rPr>
              <w:t>8</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18</w:t>
            </w:r>
          </w:p>
        </w:tc>
        <w:tc>
          <w:tcPr>
            <w:tcW w:w="771"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8</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8</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105</w:t>
            </w:r>
            <w:r>
              <w:rPr>
                <w:rFonts w:hint="eastAsia"/>
                <w:sz w:val="21"/>
                <w:szCs w:val="21"/>
              </w:rPr>
              <w:t>-</w:t>
            </w:r>
            <w:r>
              <w:rPr>
                <w:rFonts w:hint="eastAsia" w:ascii="Times New Roman" w:hAnsi="Times New Roman"/>
                <w:sz w:val="21"/>
                <w:szCs w:val="21"/>
              </w:rPr>
              <w:t>265</w:t>
            </w:r>
          </w:p>
        </w:tc>
        <w:tc>
          <w:tcPr>
            <w:tcW w:w="1404" w:type="pct"/>
            <w:noWrap w:val="0"/>
            <w:vAlign w:val="center"/>
          </w:tcPr>
          <w:p>
            <w:pPr>
              <w:spacing w:line="260" w:lineRule="exact"/>
              <w:ind w:firstLine="0"/>
              <w:jc w:val="center"/>
              <w:rPr>
                <w:sz w:val="21"/>
                <w:szCs w:val="21"/>
              </w:rPr>
            </w:pPr>
            <w:r>
              <w:rPr>
                <w:rFonts w:hint="eastAsia"/>
                <w:sz w:val="21"/>
                <w:szCs w:val="21"/>
              </w:rPr>
              <w:t>秋季(</w:t>
            </w:r>
            <w:r>
              <w:rPr>
                <w:rFonts w:hint="eastAsia" w:ascii="Times New Roman" w:hAnsi="Times New Roman"/>
                <w:sz w:val="21"/>
                <w:szCs w:val="21"/>
              </w:rPr>
              <w:t>9</w:t>
            </w:r>
            <w:r>
              <w:rPr>
                <w:rFonts w:hint="eastAsia"/>
                <w:sz w:val="21"/>
                <w:szCs w:val="21"/>
              </w:rPr>
              <w:t>,</w:t>
            </w:r>
            <w:r>
              <w:rPr>
                <w:rFonts w:hint="eastAsia" w:ascii="Times New Roman" w:hAnsi="Times New Roman"/>
                <w:sz w:val="21"/>
                <w:szCs w:val="21"/>
              </w:rPr>
              <w:t>10</w:t>
            </w:r>
            <w:r>
              <w:rPr>
                <w:rFonts w:hint="eastAsia"/>
                <w:sz w:val="21"/>
                <w:szCs w:val="21"/>
              </w:rPr>
              <w:t>,</w:t>
            </w:r>
            <w:r>
              <w:rPr>
                <w:rFonts w:hint="eastAsia" w:ascii="Times New Roman" w:hAnsi="Times New Roman"/>
                <w:sz w:val="21"/>
                <w:szCs w:val="21"/>
              </w:rPr>
              <w:t>11</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2</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1</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9</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265</w:t>
            </w:r>
            <w:r>
              <w:rPr>
                <w:rFonts w:hint="eastAsia"/>
                <w:sz w:val="21"/>
                <w:szCs w:val="21"/>
              </w:rPr>
              <w:t>-</w:t>
            </w:r>
            <w:r>
              <w:rPr>
                <w:rFonts w:hint="eastAsia" w:ascii="Times New Roman" w:hAnsi="Times New Roman"/>
                <w:sz w:val="21"/>
                <w:szCs w:val="21"/>
              </w:rPr>
              <w:t>350</w:t>
            </w:r>
          </w:p>
        </w:tc>
        <w:tc>
          <w:tcPr>
            <w:tcW w:w="1404" w:type="pct"/>
            <w:noWrap w:val="0"/>
            <w:vAlign w:val="center"/>
          </w:tcPr>
          <w:p>
            <w:pPr>
              <w:spacing w:line="260" w:lineRule="exact"/>
              <w:ind w:firstLine="0"/>
              <w:jc w:val="center"/>
              <w:rPr>
                <w:sz w:val="21"/>
                <w:szCs w:val="21"/>
              </w:rPr>
            </w:pPr>
            <w:r>
              <w:rPr>
                <w:rFonts w:hint="eastAsia"/>
                <w:sz w:val="21"/>
                <w:szCs w:val="21"/>
              </w:rPr>
              <w:t>冬季(</w:t>
            </w:r>
            <w:r>
              <w:rPr>
                <w:rFonts w:hint="eastAsia" w:ascii="Times New Roman" w:hAnsi="Times New Roman"/>
                <w:sz w:val="21"/>
                <w:szCs w:val="21"/>
              </w:rPr>
              <w:t>12</w:t>
            </w:r>
            <w:r>
              <w:rPr>
                <w:rFonts w:hint="eastAsia"/>
                <w:sz w:val="21"/>
                <w:szCs w:val="21"/>
              </w:rPr>
              <w:t>,</w:t>
            </w: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2</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6</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5</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10</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265</w:t>
            </w:r>
            <w:r>
              <w:rPr>
                <w:rFonts w:hint="eastAsia"/>
                <w:sz w:val="21"/>
                <w:szCs w:val="21"/>
              </w:rPr>
              <w:t>-</w:t>
            </w:r>
            <w:r>
              <w:rPr>
                <w:rFonts w:hint="eastAsia" w:ascii="Times New Roman" w:hAnsi="Times New Roman"/>
                <w:sz w:val="21"/>
                <w:szCs w:val="21"/>
              </w:rPr>
              <w:t>350</w:t>
            </w:r>
          </w:p>
        </w:tc>
        <w:tc>
          <w:tcPr>
            <w:tcW w:w="1404" w:type="pct"/>
            <w:noWrap w:val="0"/>
            <w:vAlign w:val="center"/>
          </w:tcPr>
          <w:p>
            <w:pPr>
              <w:spacing w:line="260" w:lineRule="exact"/>
              <w:ind w:firstLine="0"/>
              <w:jc w:val="center"/>
              <w:rPr>
                <w:sz w:val="21"/>
                <w:szCs w:val="21"/>
              </w:rPr>
            </w:pPr>
            <w:r>
              <w:rPr>
                <w:rFonts w:hint="eastAsia"/>
                <w:sz w:val="21"/>
                <w:szCs w:val="21"/>
              </w:rPr>
              <w:t>春季(</w:t>
            </w:r>
            <w:r>
              <w:rPr>
                <w:rFonts w:hint="eastAsia" w:ascii="Times New Roman" w:hAnsi="Times New Roman"/>
                <w:sz w:val="21"/>
                <w:szCs w:val="21"/>
              </w:rPr>
              <w:t>3</w:t>
            </w:r>
            <w:r>
              <w:rPr>
                <w:rFonts w:hint="eastAsia"/>
                <w:sz w:val="21"/>
                <w:szCs w:val="21"/>
              </w:rPr>
              <w:t>,</w:t>
            </w:r>
            <w:r>
              <w:rPr>
                <w:rFonts w:hint="eastAsia" w:ascii="Times New Roman" w:hAnsi="Times New Roman"/>
                <w:sz w:val="21"/>
                <w:szCs w:val="21"/>
              </w:rPr>
              <w:t>4</w:t>
            </w:r>
            <w:r>
              <w:rPr>
                <w:rFonts w:hint="eastAsia"/>
                <w:sz w:val="21"/>
                <w:szCs w:val="21"/>
              </w:rPr>
              <w:t>,</w:t>
            </w:r>
            <w:r>
              <w:rPr>
                <w:rFonts w:hint="eastAsia" w:ascii="Times New Roman" w:hAnsi="Times New Roman"/>
                <w:sz w:val="21"/>
                <w:szCs w:val="21"/>
              </w:rPr>
              <w:t>5</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18</w:t>
            </w:r>
          </w:p>
        </w:tc>
        <w:tc>
          <w:tcPr>
            <w:tcW w:w="771"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4</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11</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265</w:t>
            </w:r>
            <w:r>
              <w:rPr>
                <w:rFonts w:hint="eastAsia"/>
                <w:sz w:val="21"/>
                <w:szCs w:val="21"/>
              </w:rPr>
              <w:t>-</w:t>
            </w:r>
            <w:r>
              <w:rPr>
                <w:rFonts w:hint="eastAsia" w:ascii="Times New Roman" w:hAnsi="Times New Roman"/>
                <w:sz w:val="21"/>
                <w:szCs w:val="21"/>
              </w:rPr>
              <w:t>350</w:t>
            </w:r>
          </w:p>
        </w:tc>
        <w:tc>
          <w:tcPr>
            <w:tcW w:w="1404" w:type="pct"/>
            <w:noWrap w:val="0"/>
            <w:vAlign w:val="center"/>
          </w:tcPr>
          <w:p>
            <w:pPr>
              <w:spacing w:line="260" w:lineRule="exact"/>
              <w:ind w:firstLine="0"/>
              <w:jc w:val="center"/>
              <w:rPr>
                <w:sz w:val="21"/>
                <w:szCs w:val="21"/>
              </w:rPr>
            </w:pPr>
            <w:r>
              <w:rPr>
                <w:rFonts w:hint="eastAsia"/>
                <w:sz w:val="21"/>
                <w:szCs w:val="21"/>
              </w:rPr>
              <w:t>夏季(</w:t>
            </w:r>
            <w:r>
              <w:rPr>
                <w:rFonts w:hint="eastAsia" w:ascii="Times New Roman" w:hAnsi="Times New Roman"/>
                <w:sz w:val="21"/>
                <w:szCs w:val="21"/>
              </w:rPr>
              <w:t>6</w:t>
            </w:r>
            <w:r>
              <w:rPr>
                <w:rFonts w:hint="eastAsia"/>
                <w:sz w:val="21"/>
                <w:szCs w:val="21"/>
              </w:rPr>
              <w:t>,</w:t>
            </w:r>
            <w:r>
              <w:rPr>
                <w:rFonts w:hint="eastAsia" w:ascii="Times New Roman" w:hAnsi="Times New Roman"/>
                <w:sz w:val="21"/>
                <w:szCs w:val="21"/>
              </w:rPr>
              <w:t>7</w:t>
            </w:r>
            <w:r>
              <w:rPr>
                <w:rFonts w:hint="eastAsia"/>
                <w:sz w:val="21"/>
                <w:szCs w:val="21"/>
              </w:rPr>
              <w:t>,</w:t>
            </w:r>
            <w:r>
              <w:rPr>
                <w:rFonts w:hint="eastAsia" w:ascii="Times New Roman" w:hAnsi="Times New Roman"/>
                <w:sz w:val="21"/>
                <w:szCs w:val="21"/>
              </w:rPr>
              <w:t>8</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18</w:t>
            </w:r>
          </w:p>
        </w:tc>
        <w:tc>
          <w:tcPr>
            <w:tcW w:w="771"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8</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12</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265</w:t>
            </w:r>
            <w:r>
              <w:rPr>
                <w:rFonts w:hint="eastAsia"/>
                <w:sz w:val="21"/>
                <w:szCs w:val="21"/>
              </w:rPr>
              <w:t>-</w:t>
            </w:r>
            <w:r>
              <w:rPr>
                <w:rFonts w:hint="eastAsia" w:ascii="Times New Roman" w:hAnsi="Times New Roman"/>
                <w:sz w:val="21"/>
                <w:szCs w:val="21"/>
              </w:rPr>
              <w:t>350</w:t>
            </w:r>
          </w:p>
        </w:tc>
        <w:tc>
          <w:tcPr>
            <w:tcW w:w="1404" w:type="pct"/>
            <w:noWrap w:val="0"/>
            <w:vAlign w:val="center"/>
          </w:tcPr>
          <w:p>
            <w:pPr>
              <w:spacing w:line="260" w:lineRule="exact"/>
              <w:ind w:firstLine="0"/>
              <w:jc w:val="center"/>
              <w:rPr>
                <w:sz w:val="21"/>
                <w:szCs w:val="21"/>
              </w:rPr>
            </w:pPr>
            <w:r>
              <w:rPr>
                <w:rFonts w:hint="eastAsia"/>
                <w:sz w:val="21"/>
                <w:szCs w:val="21"/>
              </w:rPr>
              <w:t>秋季(</w:t>
            </w:r>
            <w:r>
              <w:rPr>
                <w:rFonts w:hint="eastAsia" w:ascii="Times New Roman" w:hAnsi="Times New Roman"/>
                <w:sz w:val="21"/>
                <w:szCs w:val="21"/>
              </w:rPr>
              <w:t>9</w:t>
            </w:r>
            <w:r>
              <w:rPr>
                <w:rFonts w:hint="eastAsia"/>
                <w:sz w:val="21"/>
                <w:szCs w:val="21"/>
              </w:rPr>
              <w:t>,</w:t>
            </w:r>
            <w:r>
              <w:rPr>
                <w:rFonts w:hint="eastAsia" w:ascii="Times New Roman" w:hAnsi="Times New Roman"/>
                <w:sz w:val="21"/>
                <w:szCs w:val="21"/>
              </w:rPr>
              <w:t>10</w:t>
            </w:r>
            <w:r>
              <w:rPr>
                <w:rFonts w:hint="eastAsia"/>
                <w:sz w:val="21"/>
                <w:szCs w:val="21"/>
              </w:rPr>
              <w:t>,</w:t>
            </w:r>
            <w:r>
              <w:rPr>
                <w:rFonts w:hint="eastAsia" w:ascii="Times New Roman" w:hAnsi="Times New Roman"/>
                <w:sz w:val="21"/>
                <w:szCs w:val="21"/>
              </w:rPr>
              <w:t>11</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2</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1</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13</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350</w:t>
            </w:r>
            <w:r>
              <w:rPr>
                <w:rFonts w:hint="eastAsia"/>
                <w:sz w:val="21"/>
                <w:szCs w:val="21"/>
              </w:rPr>
              <w:t>-</w:t>
            </w:r>
            <w:r>
              <w:rPr>
                <w:rFonts w:hint="eastAsia" w:ascii="Times New Roman" w:hAnsi="Times New Roman"/>
                <w:sz w:val="21"/>
                <w:szCs w:val="21"/>
              </w:rPr>
              <w:t>25</w:t>
            </w:r>
          </w:p>
        </w:tc>
        <w:tc>
          <w:tcPr>
            <w:tcW w:w="1404" w:type="pct"/>
            <w:noWrap w:val="0"/>
            <w:vAlign w:val="center"/>
          </w:tcPr>
          <w:p>
            <w:pPr>
              <w:spacing w:line="260" w:lineRule="exact"/>
              <w:ind w:firstLine="0"/>
              <w:jc w:val="center"/>
              <w:rPr>
                <w:sz w:val="21"/>
                <w:szCs w:val="21"/>
              </w:rPr>
            </w:pPr>
            <w:r>
              <w:rPr>
                <w:rFonts w:hint="eastAsia"/>
                <w:sz w:val="21"/>
                <w:szCs w:val="21"/>
              </w:rPr>
              <w:t>冬季(</w:t>
            </w:r>
            <w:r>
              <w:rPr>
                <w:rFonts w:hint="eastAsia" w:ascii="Times New Roman" w:hAnsi="Times New Roman"/>
                <w:sz w:val="21"/>
                <w:szCs w:val="21"/>
              </w:rPr>
              <w:t>12</w:t>
            </w:r>
            <w:r>
              <w:rPr>
                <w:rFonts w:hint="eastAsia"/>
                <w:sz w:val="21"/>
                <w:szCs w:val="21"/>
              </w:rPr>
              <w:t>,</w:t>
            </w: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2</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6</w:t>
            </w:r>
          </w:p>
        </w:tc>
        <w:tc>
          <w:tcPr>
            <w:tcW w:w="771" w:type="pct"/>
            <w:noWrap w:val="0"/>
            <w:vAlign w:val="center"/>
          </w:tcPr>
          <w:p>
            <w:pPr>
              <w:spacing w:line="260" w:lineRule="exact"/>
              <w:ind w:firstLine="0"/>
              <w:jc w:val="center"/>
              <w:rPr>
                <w:sz w:val="21"/>
                <w:szCs w:val="21"/>
              </w:rPr>
            </w:pPr>
            <w:r>
              <w:rPr>
                <w:rFonts w:hint="eastAsia" w:ascii="Times New Roman" w:hAnsi="Times New Roman"/>
                <w:sz w:val="21"/>
                <w:szCs w:val="21"/>
              </w:rPr>
              <w:t>1</w:t>
            </w:r>
            <w:r>
              <w:rPr>
                <w:rFonts w:hint="eastAsia"/>
                <w:sz w:val="21"/>
                <w:szCs w:val="21"/>
              </w:rPr>
              <w:t>.</w:t>
            </w:r>
            <w:r>
              <w:rPr>
                <w:rFonts w:hint="eastAsia" w:ascii="Times New Roman" w:hAnsi="Times New Roman"/>
                <w:sz w:val="21"/>
                <w:szCs w:val="21"/>
              </w:rPr>
              <w:t>5</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14</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350</w:t>
            </w:r>
            <w:r>
              <w:rPr>
                <w:rFonts w:hint="eastAsia"/>
                <w:sz w:val="21"/>
                <w:szCs w:val="21"/>
              </w:rPr>
              <w:t>-</w:t>
            </w:r>
            <w:r>
              <w:rPr>
                <w:rFonts w:hint="eastAsia" w:ascii="Times New Roman" w:hAnsi="Times New Roman"/>
                <w:sz w:val="21"/>
                <w:szCs w:val="21"/>
              </w:rPr>
              <w:t>25</w:t>
            </w:r>
          </w:p>
        </w:tc>
        <w:tc>
          <w:tcPr>
            <w:tcW w:w="1404" w:type="pct"/>
            <w:noWrap w:val="0"/>
            <w:vAlign w:val="center"/>
          </w:tcPr>
          <w:p>
            <w:pPr>
              <w:spacing w:line="260" w:lineRule="exact"/>
              <w:ind w:firstLine="0"/>
              <w:jc w:val="center"/>
              <w:rPr>
                <w:sz w:val="21"/>
                <w:szCs w:val="21"/>
              </w:rPr>
            </w:pPr>
            <w:r>
              <w:rPr>
                <w:rFonts w:hint="eastAsia"/>
                <w:sz w:val="21"/>
                <w:szCs w:val="21"/>
              </w:rPr>
              <w:t>春季(</w:t>
            </w:r>
            <w:r>
              <w:rPr>
                <w:rFonts w:hint="eastAsia" w:ascii="Times New Roman" w:hAnsi="Times New Roman"/>
                <w:sz w:val="21"/>
                <w:szCs w:val="21"/>
              </w:rPr>
              <w:t>3</w:t>
            </w:r>
            <w:r>
              <w:rPr>
                <w:rFonts w:hint="eastAsia"/>
                <w:sz w:val="21"/>
                <w:szCs w:val="21"/>
              </w:rPr>
              <w:t>,</w:t>
            </w:r>
            <w:r>
              <w:rPr>
                <w:rFonts w:hint="eastAsia" w:ascii="Times New Roman" w:hAnsi="Times New Roman"/>
                <w:sz w:val="21"/>
                <w:szCs w:val="21"/>
              </w:rPr>
              <w:t>4</w:t>
            </w:r>
            <w:r>
              <w:rPr>
                <w:rFonts w:hint="eastAsia"/>
                <w:sz w:val="21"/>
                <w:szCs w:val="21"/>
              </w:rPr>
              <w:t>,</w:t>
            </w:r>
            <w:r>
              <w:rPr>
                <w:rFonts w:hint="eastAsia" w:ascii="Times New Roman" w:hAnsi="Times New Roman"/>
                <w:sz w:val="21"/>
                <w:szCs w:val="21"/>
              </w:rPr>
              <w:t>5</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18</w:t>
            </w:r>
          </w:p>
        </w:tc>
        <w:tc>
          <w:tcPr>
            <w:tcW w:w="771"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4</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5"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15</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350</w:t>
            </w:r>
            <w:r>
              <w:rPr>
                <w:rFonts w:hint="eastAsia"/>
                <w:sz w:val="21"/>
                <w:szCs w:val="21"/>
              </w:rPr>
              <w:t>-</w:t>
            </w:r>
            <w:r>
              <w:rPr>
                <w:rFonts w:hint="eastAsia" w:ascii="Times New Roman" w:hAnsi="Times New Roman"/>
                <w:sz w:val="21"/>
                <w:szCs w:val="21"/>
              </w:rPr>
              <w:t>25</w:t>
            </w:r>
          </w:p>
        </w:tc>
        <w:tc>
          <w:tcPr>
            <w:tcW w:w="1404" w:type="pct"/>
            <w:noWrap w:val="0"/>
            <w:vAlign w:val="center"/>
          </w:tcPr>
          <w:p>
            <w:pPr>
              <w:spacing w:line="260" w:lineRule="exact"/>
              <w:ind w:firstLine="0"/>
              <w:jc w:val="center"/>
              <w:rPr>
                <w:sz w:val="21"/>
                <w:szCs w:val="21"/>
              </w:rPr>
            </w:pPr>
            <w:r>
              <w:rPr>
                <w:rFonts w:hint="eastAsia"/>
                <w:sz w:val="21"/>
                <w:szCs w:val="21"/>
              </w:rPr>
              <w:t>夏季(</w:t>
            </w:r>
            <w:r>
              <w:rPr>
                <w:rFonts w:hint="eastAsia" w:ascii="Times New Roman" w:hAnsi="Times New Roman"/>
                <w:sz w:val="21"/>
                <w:szCs w:val="21"/>
              </w:rPr>
              <w:t>6</w:t>
            </w:r>
            <w:r>
              <w:rPr>
                <w:rFonts w:hint="eastAsia"/>
                <w:sz w:val="21"/>
                <w:szCs w:val="21"/>
              </w:rPr>
              <w:t>,</w:t>
            </w:r>
            <w:r>
              <w:rPr>
                <w:rFonts w:hint="eastAsia" w:ascii="Times New Roman" w:hAnsi="Times New Roman"/>
                <w:sz w:val="21"/>
                <w:szCs w:val="21"/>
              </w:rPr>
              <w:t>7</w:t>
            </w:r>
            <w:r>
              <w:rPr>
                <w:rFonts w:hint="eastAsia"/>
                <w:sz w:val="21"/>
                <w:szCs w:val="21"/>
              </w:rPr>
              <w:t>,</w:t>
            </w:r>
            <w:r>
              <w:rPr>
                <w:rFonts w:hint="eastAsia" w:ascii="Times New Roman" w:hAnsi="Times New Roman"/>
                <w:sz w:val="21"/>
                <w:szCs w:val="21"/>
              </w:rPr>
              <w:t>8</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18</w:t>
            </w:r>
          </w:p>
        </w:tc>
        <w:tc>
          <w:tcPr>
            <w:tcW w:w="771"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8</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00" w:hRule="exact"/>
          <w:jc w:val="center"/>
        </w:trPr>
        <w:tc>
          <w:tcPr>
            <w:tcW w:w="443" w:type="pct"/>
            <w:tcBorders>
              <w:left w:val="single" w:color="auto" w:sz="12" w:space="0"/>
            </w:tcBorders>
            <w:noWrap w:val="0"/>
            <w:vAlign w:val="center"/>
          </w:tcPr>
          <w:p>
            <w:pPr>
              <w:spacing w:line="260" w:lineRule="exact"/>
              <w:ind w:firstLine="0"/>
              <w:jc w:val="center"/>
              <w:rPr>
                <w:sz w:val="21"/>
                <w:szCs w:val="21"/>
              </w:rPr>
            </w:pPr>
            <w:r>
              <w:rPr>
                <w:rFonts w:hint="eastAsia" w:ascii="Times New Roman" w:hAnsi="Times New Roman"/>
                <w:sz w:val="21"/>
                <w:szCs w:val="21"/>
              </w:rPr>
              <w:t>16</w:t>
            </w:r>
          </w:p>
        </w:tc>
        <w:tc>
          <w:tcPr>
            <w:tcW w:w="705" w:type="pct"/>
            <w:noWrap w:val="0"/>
            <w:vAlign w:val="center"/>
          </w:tcPr>
          <w:p>
            <w:pPr>
              <w:spacing w:line="260" w:lineRule="exact"/>
              <w:ind w:firstLine="0"/>
              <w:jc w:val="center"/>
              <w:rPr>
                <w:sz w:val="21"/>
                <w:szCs w:val="21"/>
              </w:rPr>
            </w:pPr>
            <w:r>
              <w:rPr>
                <w:rFonts w:hint="eastAsia" w:ascii="Times New Roman" w:hAnsi="Times New Roman"/>
                <w:sz w:val="21"/>
                <w:szCs w:val="21"/>
              </w:rPr>
              <w:t>350</w:t>
            </w:r>
            <w:r>
              <w:rPr>
                <w:rFonts w:hint="eastAsia"/>
                <w:sz w:val="21"/>
                <w:szCs w:val="21"/>
              </w:rPr>
              <w:t>-</w:t>
            </w:r>
            <w:r>
              <w:rPr>
                <w:rFonts w:hint="eastAsia" w:ascii="Times New Roman" w:hAnsi="Times New Roman"/>
                <w:sz w:val="21"/>
                <w:szCs w:val="21"/>
              </w:rPr>
              <w:t>25</w:t>
            </w:r>
          </w:p>
        </w:tc>
        <w:tc>
          <w:tcPr>
            <w:tcW w:w="1404" w:type="pct"/>
            <w:noWrap w:val="0"/>
            <w:vAlign w:val="center"/>
          </w:tcPr>
          <w:p>
            <w:pPr>
              <w:spacing w:line="260" w:lineRule="exact"/>
              <w:ind w:firstLine="0"/>
              <w:jc w:val="center"/>
              <w:rPr>
                <w:sz w:val="21"/>
                <w:szCs w:val="21"/>
              </w:rPr>
            </w:pPr>
            <w:r>
              <w:rPr>
                <w:rFonts w:hint="eastAsia"/>
                <w:sz w:val="21"/>
                <w:szCs w:val="21"/>
              </w:rPr>
              <w:t>秋季(</w:t>
            </w:r>
            <w:r>
              <w:rPr>
                <w:rFonts w:hint="eastAsia" w:ascii="Times New Roman" w:hAnsi="Times New Roman"/>
                <w:sz w:val="21"/>
                <w:szCs w:val="21"/>
              </w:rPr>
              <w:t>9</w:t>
            </w:r>
            <w:r>
              <w:rPr>
                <w:rFonts w:hint="eastAsia"/>
                <w:sz w:val="21"/>
                <w:szCs w:val="21"/>
              </w:rPr>
              <w:t>,</w:t>
            </w:r>
            <w:r>
              <w:rPr>
                <w:rFonts w:hint="eastAsia" w:ascii="Times New Roman" w:hAnsi="Times New Roman"/>
                <w:sz w:val="21"/>
                <w:szCs w:val="21"/>
              </w:rPr>
              <w:t>10</w:t>
            </w:r>
            <w:r>
              <w:rPr>
                <w:rFonts w:hint="eastAsia"/>
                <w:sz w:val="21"/>
                <w:szCs w:val="21"/>
              </w:rPr>
              <w:t>,</w:t>
            </w:r>
            <w:r>
              <w:rPr>
                <w:rFonts w:hint="eastAsia" w:ascii="Times New Roman" w:hAnsi="Times New Roman"/>
                <w:sz w:val="21"/>
                <w:szCs w:val="21"/>
              </w:rPr>
              <w:t>11</w:t>
            </w:r>
            <w:r>
              <w:rPr>
                <w:rFonts w:hint="eastAsia"/>
                <w:sz w:val="21"/>
                <w:szCs w:val="21"/>
              </w:rPr>
              <w:t>月)</w:t>
            </w:r>
          </w:p>
        </w:tc>
        <w:tc>
          <w:tcPr>
            <w:tcW w:w="1034"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2</w:t>
            </w:r>
          </w:p>
        </w:tc>
        <w:tc>
          <w:tcPr>
            <w:tcW w:w="771" w:type="pct"/>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1</w:t>
            </w:r>
          </w:p>
        </w:tc>
        <w:tc>
          <w:tcPr>
            <w:tcW w:w="640" w:type="pct"/>
            <w:tcBorders>
              <w:right w:val="single" w:color="auto" w:sz="12" w:space="0"/>
            </w:tcBorders>
            <w:noWrap w:val="0"/>
            <w:vAlign w:val="center"/>
          </w:tcPr>
          <w:p>
            <w:pPr>
              <w:spacing w:line="260" w:lineRule="exact"/>
              <w:ind w:firstLine="0"/>
              <w:jc w:val="center"/>
              <w:rPr>
                <w:sz w:val="21"/>
                <w:szCs w:val="21"/>
              </w:rPr>
            </w:pPr>
            <w:r>
              <w:rPr>
                <w:rFonts w:hint="eastAsia"/>
                <w:sz w:val="21"/>
                <w:szCs w:val="21"/>
              </w:rPr>
              <w:t>.</w:t>
            </w:r>
            <w:r>
              <w:rPr>
                <w:rFonts w:hint="eastAsia" w:ascii="Times New Roman" w:hAnsi="Times New Roman"/>
                <w:sz w:val="21"/>
                <w:szCs w:val="21"/>
              </w:rPr>
              <w:t>01</w:t>
            </w:r>
          </w:p>
        </w:tc>
      </w:tr>
    </w:tbl>
    <w:p>
      <w:pPr>
        <w:pStyle w:val="6"/>
        <w:spacing w:before="163"/>
        <w:rPr>
          <w:rFonts w:hint="eastAsia"/>
          <w:lang w:val="en-US" w:eastAsia="zh-CN"/>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rPr>
        <w:t>2</w:t>
      </w:r>
      <w:r>
        <w:rPr>
          <w:rFonts w:hint="eastAsia"/>
        </w:rPr>
        <w:t>.</w:t>
      </w:r>
      <w:r>
        <w:rPr>
          <w:rFonts w:hint="eastAsia" w:ascii="Times New Roman" w:hAnsi="Times New Roman"/>
          <w:lang w:val="en-US" w:eastAsia="zh-CN"/>
        </w:rPr>
        <w:t>6</w:t>
      </w:r>
      <w:r>
        <w:rPr>
          <w:rFonts w:hint="eastAsia"/>
          <w:lang w:val="en-US" w:eastAsia="zh-CN"/>
        </w:rPr>
        <w:t>预测内容和预测情景</w:t>
      </w:r>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）预测因子</w:t>
      </w:r>
    </w:p>
    <w:p>
      <w:pPr>
        <w:bidi w:val="0"/>
        <w:rPr>
          <w:rFonts w:hint="default"/>
          <w:lang w:val="en-US" w:eastAsia="zh-CN"/>
        </w:rPr>
      </w:pP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NMHC</w:t>
      </w:r>
      <w:r>
        <w:rPr>
          <w:rFonts w:hint="eastAsia"/>
          <w:lang w:val="en-US" w:eastAsia="zh-CN"/>
        </w:rPr>
        <w:t>。</w:t>
      </w:r>
    </w:p>
    <w:p>
      <w:pPr>
        <w:bidi w:val="0"/>
        <w:rPr>
          <w:rFonts w:hint="eastAsia"/>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）预测内容</w:t>
      </w:r>
    </w:p>
    <w:p>
      <w:pPr>
        <w:bidi w:val="0"/>
        <w:rPr>
          <w:rFonts w:hint="default"/>
          <w:lang w:val="en-US" w:eastAsia="zh-CN"/>
        </w:rPr>
      </w:pPr>
      <w:r>
        <w:rPr>
          <w:rFonts w:hint="eastAsia"/>
          <w:lang w:val="en-US" w:eastAsia="zh-CN"/>
        </w:rPr>
        <w:t>①项目正常排放条件下，预测环境空气保护目标和网格点主要污染物的短期浓度和长期浓度贡献值，评价其最大浓度占标率。</w:t>
      </w:r>
    </w:p>
    <w:p>
      <w:pPr>
        <w:bidi w:val="0"/>
        <w:rPr>
          <w:rFonts w:hint="eastAsia"/>
          <w:lang w:val="en-US" w:eastAsia="zh-CN"/>
        </w:rPr>
      </w:pPr>
      <w:r>
        <w:rPr>
          <w:rFonts w:hint="eastAsia"/>
          <w:lang w:val="en-US" w:eastAsia="zh-CN"/>
        </w:rPr>
        <w:t>②区域环境质量的整体变化情况。</w:t>
      </w:r>
    </w:p>
    <w:p>
      <w:pPr>
        <w:bidi w:val="0"/>
        <w:rPr>
          <w:rFonts w:hint="eastAsia"/>
          <w:lang w:val="en-US" w:eastAsia="zh-CN"/>
        </w:rPr>
      </w:pPr>
      <w:r>
        <w:rPr>
          <w:rFonts w:hint="eastAsia"/>
          <w:lang w:val="en-US" w:eastAsia="zh-CN"/>
        </w:rPr>
        <w:t>③项目非正常排放条件下，预测环境空气保护目标网格点主要污染物的</w:t>
      </w:r>
      <w:r>
        <w:rPr>
          <w:rFonts w:hint="eastAsia" w:ascii="Times New Roman" w:hAnsi="Times New Roman"/>
          <w:lang w:val="en-US" w:eastAsia="zh-CN"/>
        </w:rPr>
        <w:t>1h</w:t>
      </w:r>
      <w:r>
        <w:rPr>
          <w:rFonts w:hint="eastAsia"/>
          <w:lang w:val="en-US" w:eastAsia="zh-CN"/>
        </w:rPr>
        <w:t>最大浓度贡献值，评价其最大浓度占标率。</w:t>
      </w:r>
    </w:p>
    <w:p>
      <w:pPr>
        <w:bidi w:val="0"/>
        <w:rPr>
          <w:rFonts w:hint="eastAsia"/>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）预测情景</w:t>
      </w:r>
    </w:p>
    <w:p>
      <w:pPr>
        <w:bidi w:val="0"/>
        <w:rPr>
          <w:rFonts w:hint="default"/>
          <w:lang w:val="en-US" w:eastAsia="zh-CN"/>
        </w:rPr>
      </w:pPr>
      <w:r>
        <w:rPr>
          <w:rFonts w:hint="eastAsia"/>
          <w:lang w:val="en-US" w:eastAsia="zh-CN"/>
        </w:rPr>
        <w:t>本项目位于环境空气质量达标区，本次大气环境影响评价采取验证预测方式，通过在当地环境背景浓度叠加下本项目对环境空气质量影响进行预测验证，预测本项目所在区域环境空气质量的变化情况。主要预测情景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12</w:t>
      </w:r>
      <w:r>
        <w:rPr>
          <w:rFonts w:hint="eastAsia"/>
          <w:lang w:val="en-US" w:eastAsia="zh-CN"/>
        </w:rPr>
        <w:t>。</w:t>
      </w:r>
    </w:p>
    <w:p>
      <w:pPr>
        <w:pStyle w:val="20"/>
        <w:bidi w:val="0"/>
      </w:pPr>
      <w: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12</w:t>
      </w:r>
      <w:r>
        <w:t xml:space="preserve">  大气环境影响预测情景表</w:t>
      </w:r>
    </w:p>
    <w:tbl>
      <w:tblPr>
        <w:tblStyle w:val="80"/>
        <w:tblW w:w="89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4"/>
        <w:gridCol w:w="2476"/>
        <w:gridCol w:w="1012"/>
        <w:gridCol w:w="1850"/>
        <w:gridCol w:w="1745"/>
        <w:gridCol w:w="12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tcBorders>
              <w:top w:val="single" w:color="auto" w:sz="12" w:space="0"/>
              <w:left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eastAsia="宋体"/>
                <w:color w:val="auto"/>
                <w:spacing w:val="-11"/>
                <w:sz w:val="21"/>
                <w:szCs w:val="16"/>
                <w:lang w:eastAsia="zh-CN"/>
              </w:rPr>
            </w:pPr>
            <w:r>
              <w:rPr>
                <w:rFonts w:hint="eastAsia"/>
                <w:color w:val="auto"/>
                <w:spacing w:val="-11"/>
                <w:sz w:val="21"/>
                <w:szCs w:val="16"/>
                <w:lang w:eastAsia="zh-CN"/>
              </w:rPr>
              <w:t>评价对象</w:t>
            </w:r>
          </w:p>
        </w:tc>
        <w:tc>
          <w:tcPr>
            <w:tcW w:w="2476" w:type="dxa"/>
            <w:tcBorders>
              <w:top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污染源类别</w:t>
            </w:r>
          </w:p>
        </w:tc>
        <w:tc>
          <w:tcPr>
            <w:tcW w:w="1012" w:type="dxa"/>
            <w:tcBorders>
              <w:top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排放方案</w:t>
            </w:r>
          </w:p>
        </w:tc>
        <w:tc>
          <w:tcPr>
            <w:tcW w:w="1850" w:type="dxa"/>
            <w:tcBorders>
              <w:top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预测因子</w:t>
            </w:r>
          </w:p>
        </w:tc>
        <w:tc>
          <w:tcPr>
            <w:tcW w:w="1745" w:type="dxa"/>
            <w:tcBorders>
              <w:top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评价内容</w:t>
            </w:r>
          </w:p>
        </w:tc>
        <w:tc>
          <w:tcPr>
            <w:tcW w:w="1290" w:type="dxa"/>
            <w:tcBorders>
              <w:top w:val="single" w:color="auto" w:sz="12" w:space="0"/>
              <w:right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预测内容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vMerge w:val="restart"/>
            <w:tcBorders>
              <w:left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eastAsia="宋体"/>
                <w:color w:val="auto"/>
                <w:spacing w:val="-11"/>
                <w:sz w:val="21"/>
                <w:szCs w:val="16"/>
                <w:lang w:eastAsia="zh-CN"/>
              </w:rPr>
            </w:pPr>
            <w:r>
              <w:rPr>
                <w:rFonts w:hint="eastAsia"/>
                <w:color w:val="auto"/>
                <w:spacing w:val="-11"/>
                <w:sz w:val="21"/>
                <w:szCs w:val="16"/>
                <w:lang w:eastAsia="zh-CN"/>
              </w:rPr>
              <w:t>达标区评价项目</w:t>
            </w:r>
          </w:p>
        </w:tc>
        <w:tc>
          <w:tcPr>
            <w:tcW w:w="247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eastAsia="宋体"/>
                <w:color w:val="auto"/>
                <w:spacing w:val="-11"/>
                <w:sz w:val="21"/>
                <w:szCs w:val="16"/>
                <w:lang w:val="en-US" w:eastAsia="zh-CN"/>
              </w:rPr>
            </w:pPr>
            <w:r>
              <w:rPr>
                <w:rFonts w:hint="eastAsia"/>
                <w:color w:val="auto"/>
                <w:spacing w:val="-11"/>
                <w:sz w:val="21"/>
                <w:szCs w:val="16"/>
                <w:lang w:val="en-US" w:eastAsia="zh-CN"/>
              </w:rPr>
              <w:t>新增污染源</w:t>
            </w:r>
          </w:p>
        </w:tc>
        <w:tc>
          <w:tcPr>
            <w:tcW w:w="1012" w:type="dxa"/>
            <w:vMerge w:val="restart"/>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正常</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eastAsia="宋体"/>
                <w:color w:val="auto"/>
                <w:spacing w:val="-11"/>
                <w:sz w:val="21"/>
                <w:szCs w:val="16"/>
                <w:lang w:eastAsia="zh-CN"/>
              </w:rPr>
            </w:pPr>
            <w:r>
              <w:rPr>
                <w:rFonts w:hint="eastAsia"/>
                <w:color w:val="auto"/>
                <w:spacing w:val="-11"/>
                <w:sz w:val="21"/>
                <w:szCs w:val="16"/>
                <w:lang w:val="en-US" w:eastAsia="zh-CN"/>
              </w:rPr>
              <w:t>排放</w:t>
            </w:r>
          </w:p>
        </w:tc>
        <w:tc>
          <w:tcPr>
            <w:tcW w:w="1850" w:type="dxa"/>
            <w:vMerge w:val="restart"/>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eastAsia="宋体"/>
                <w:color w:val="auto"/>
                <w:spacing w:val="-11"/>
                <w:sz w:val="21"/>
                <w:szCs w:val="16"/>
                <w:lang w:val="en-US" w:eastAsia="zh-CN"/>
              </w:rPr>
            </w:pPr>
            <w:r>
              <w:rPr>
                <w:rFonts w:hint="eastAsia" w:ascii="Times New Roman" w:hAnsi="Times New Roman"/>
                <w:color w:val="auto"/>
                <w:spacing w:val="-11"/>
                <w:sz w:val="21"/>
                <w:szCs w:val="16"/>
                <w:lang w:val="en-US" w:eastAsia="zh-CN"/>
              </w:rPr>
              <w:t>NH</w:t>
            </w:r>
            <w:r>
              <w:rPr>
                <w:rFonts w:hint="eastAsia" w:ascii="Times New Roman" w:hAnsi="Times New Roman"/>
                <w:color w:val="auto"/>
                <w:spacing w:val="-11"/>
                <w:sz w:val="21"/>
                <w:szCs w:val="16"/>
                <w:vertAlign w:val="subscript"/>
                <w:lang w:val="en-US" w:eastAsia="zh-CN"/>
              </w:rPr>
              <w:t>3</w:t>
            </w:r>
            <w:r>
              <w:rPr>
                <w:rFonts w:hint="eastAsia"/>
                <w:color w:val="auto"/>
                <w:spacing w:val="-11"/>
                <w:sz w:val="21"/>
                <w:szCs w:val="16"/>
                <w:lang w:val="en-US" w:eastAsia="zh-CN"/>
              </w:rPr>
              <w:t>、</w:t>
            </w:r>
            <w:r>
              <w:rPr>
                <w:rFonts w:hint="eastAsia" w:ascii="Times New Roman" w:hAnsi="Times New Roman"/>
                <w:color w:val="auto"/>
                <w:spacing w:val="-11"/>
                <w:sz w:val="21"/>
                <w:szCs w:val="16"/>
                <w:lang w:val="en-US" w:eastAsia="zh-CN"/>
              </w:rPr>
              <w:t>NMHC</w:t>
            </w:r>
          </w:p>
        </w:tc>
        <w:tc>
          <w:tcPr>
            <w:tcW w:w="174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最大浓度占标率</w:t>
            </w:r>
          </w:p>
        </w:tc>
        <w:tc>
          <w:tcPr>
            <w:tcW w:w="1290" w:type="dxa"/>
            <w:tcBorders>
              <w:right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短期浓度</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长期浓度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vMerge w:val="continue"/>
            <w:tcBorders>
              <w:left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p>
        </w:tc>
        <w:tc>
          <w:tcPr>
            <w:tcW w:w="247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color w:val="auto"/>
                <w:spacing w:val="-11"/>
                <w:sz w:val="21"/>
                <w:szCs w:val="16"/>
                <w:lang w:val="en-US" w:eastAsia="zh-CN"/>
              </w:rPr>
            </w:pPr>
            <w:r>
              <w:rPr>
                <w:rFonts w:hint="eastAsia"/>
                <w:color w:val="auto"/>
                <w:spacing w:val="-11"/>
                <w:sz w:val="21"/>
                <w:szCs w:val="16"/>
                <w:lang w:val="en-US" w:eastAsia="zh-CN"/>
              </w:rPr>
              <w:t>新增污染源</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color w:val="auto"/>
                <w:spacing w:val="-11"/>
                <w:sz w:val="21"/>
                <w:szCs w:val="16"/>
                <w:lang w:val="en-US" w:eastAsia="zh-CN"/>
              </w:rPr>
            </w:pPr>
            <w:r>
              <w:rPr>
                <w:rFonts w:hint="eastAsia"/>
                <w:color w:val="auto"/>
                <w:spacing w:val="-11"/>
                <w:sz w:val="21"/>
                <w:szCs w:val="16"/>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color w:val="auto"/>
                <w:spacing w:val="-11"/>
                <w:sz w:val="21"/>
                <w:szCs w:val="16"/>
                <w:lang w:val="en-US" w:eastAsia="zh-CN"/>
              </w:rPr>
            </w:pPr>
            <w:r>
              <w:rPr>
                <w:rFonts w:hint="eastAsia"/>
                <w:color w:val="auto"/>
                <w:spacing w:val="-11"/>
                <w:sz w:val="21"/>
                <w:szCs w:val="16"/>
                <w:lang w:val="en-US" w:eastAsia="zh-CN"/>
              </w:rPr>
              <w:t>“以新代老”污染源（如有）</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color w:val="auto"/>
                <w:spacing w:val="-11"/>
                <w:sz w:val="21"/>
                <w:szCs w:val="16"/>
                <w:lang w:val="en-US" w:eastAsia="zh-CN"/>
              </w:rPr>
            </w:pPr>
            <w:r>
              <w:rPr>
                <w:rFonts w:hint="eastAsia"/>
                <w:color w:val="auto"/>
                <w:spacing w:val="-11"/>
                <w:sz w:val="21"/>
                <w:szCs w:val="16"/>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color w:val="auto"/>
                <w:spacing w:val="-11"/>
                <w:sz w:val="21"/>
                <w:szCs w:val="16"/>
                <w:lang w:val="en-US" w:eastAsia="zh-CN"/>
              </w:rPr>
            </w:pPr>
            <w:r>
              <w:rPr>
                <w:rFonts w:hint="eastAsia"/>
                <w:color w:val="auto"/>
                <w:spacing w:val="-11"/>
                <w:sz w:val="21"/>
                <w:szCs w:val="16"/>
                <w:lang w:val="en-US" w:eastAsia="zh-CN"/>
              </w:rPr>
              <w:t>区域削减污染源（如有）</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color w:val="auto"/>
                <w:spacing w:val="-11"/>
                <w:sz w:val="21"/>
                <w:szCs w:val="16"/>
                <w:lang w:val="en-US" w:eastAsia="zh-CN"/>
              </w:rPr>
            </w:pPr>
            <w:r>
              <w:rPr>
                <w:rFonts w:hint="eastAsia"/>
                <w:color w:val="auto"/>
                <w:spacing w:val="-11"/>
                <w:sz w:val="21"/>
                <w:szCs w:val="16"/>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eastAsia="宋体"/>
                <w:color w:val="auto"/>
                <w:spacing w:val="-11"/>
                <w:sz w:val="21"/>
                <w:szCs w:val="16"/>
                <w:lang w:val="en-US" w:eastAsia="zh-CN"/>
              </w:rPr>
            </w:pPr>
            <w:r>
              <w:rPr>
                <w:rFonts w:hint="eastAsia"/>
                <w:color w:val="auto"/>
                <w:spacing w:val="-11"/>
                <w:sz w:val="21"/>
                <w:szCs w:val="16"/>
                <w:lang w:val="en-US" w:eastAsia="zh-CN"/>
              </w:rPr>
              <w:t>其他在建、拟建污染源（如有）</w:t>
            </w:r>
          </w:p>
        </w:tc>
        <w:tc>
          <w:tcPr>
            <w:tcW w:w="1012" w:type="dxa"/>
            <w:vMerge w:val="continue"/>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p>
        </w:tc>
        <w:tc>
          <w:tcPr>
            <w:tcW w:w="1850" w:type="dxa"/>
            <w:vMerge w:val="continue"/>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color w:val="auto"/>
                <w:spacing w:val="-11"/>
                <w:sz w:val="21"/>
                <w:szCs w:val="16"/>
                <w:lang w:val="en-US" w:eastAsia="zh-CN"/>
              </w:rPr>
            </w:pPr>
          </w:p>
        </w:tc>
        <w:tc>
          <w:tcPr>
            <w:tcW w:w="174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eastAsia="宋体"/>
                <w:color w:val="auto"/>
                <w:spacing w:val="-11"/>
                <w:sz w:val="21"/>
                <w:szCs w:val="16"/>
                <w:lang w:val="en-US" w:eastAsia="zh-CN"/>
              </w:rPr>
            </w:pPr>
            <w:r>
              <w:rPr>
                <w:rFonts w:hint="eastAsia"/>
                <w:color w:val="auto"/>
                <w:spacing w:val="-11"/>
                <w:sz w:val="21"/>
                <w:szCs w:val="16"/>
                <w:lang w:val="en-US" w:eastAsia="zh-CN"/>
              </w:rPr>
              <w:t>叠加环境质量现状浓度后的保证率日平均质量浓度和年平均质量浓度的占标率、或短期浓度的达标情况</w:t>
            </w:r>
          </w:p>
        </w:tc>
        <w:tc>
          <w:tcPr>
            <w:tcW w:w="1290" w:type="dxa"/>
            <w:tcBorders>
              <w:right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短期浓度</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eastAsia="宋体"/>
                <w:color w:val="auto"/>
                <w:spacing w:val="-11"/>
                <w:sz w:val="21"/>
                <w:szCs w:val="16"/>
                <w:lang w:val="en-US" w:eastAsia="zh-CN"/>
              </w:rPr>
            </w:pPr>
            <w:r>
              <w:rPr>
                <w:color w:val="auto"/>
                <w:spacing w:val="-11"/>
                <w:sz w:val="21"/>
                <w:szCs w:val="16"/>
              </w:rPr>
              <w:t>长期浓度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vMerge w:val="continue"/>
            <w:tcBorders>
              <w:left w:val="single" w:color="auto" w:sz="12" w:space="0"/>
              <w:bottom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p>
        </w:tc>
        <w:tc>
          <w:tcPr>
            <w:tcW w:w="2476" w:type="dxa"/>
            <w:tcBorders>
              <w:bottom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rFonts w:hint="eastAsia"/>
                <w:color w:val="auto"/>
                <w:spacing w:val="-11"/>
                <w:sz w:val="21"/>
                <w:szCs w:val="16"/>
                <w:lang w:val="en-US" w:eastAsia="zh-CN"/>
              </w:rPr>
              <w:t>新增</w:t>
            </w:r>
            <w:r>
              <w:rPr>
                <w:color w:val="auto"/>
                <w:spacing w:val="-11"/>
                <w:sz w:val="21"/>
                <w:szCs w:val="16"/>
              </w:rPr>
              <w:t>污染源</w:t>
            </w:r>
          </w:p>
        </w:tc>
        <w:tc>
          <w:tcPr>
            <w:tcW w:w="1012" w:type="dxa"/>
            <w:tcBorders>
              <w:bottom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color w:val="auto"/>
                <w:spacing w:val="-11"/>
                <w:sz w:val="21"/>
                <w:szCs w:val="16"/>
              </w:rPr>
            </w:pPr>
            <w:r>
              <w:rPr>
                <w:rFonts w:hint="eastAsia"/>
                <w:color w:val="auto"/>
                <w:spacing w:val="-11"/>
                <w:sz w:val="21"/>
                <w:szCs w:val="16"/>
              </w:rPr>
              <w:t>非正常</w:t>
            </w:r>
          </w:p>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eastAsia" w:eastAsia="宋体"/>
                <w:color w:val="auto"/>
                <w:spacing w:val="-11"/>
                <w:sz w:val="21"/>
                <w:szCs w:val="16"/>
                <w:lang w:eastAsia="zh-CN"/>
              </w:rPr>
            </w:pPr>
            <w:r>
              <w:rPr>
                <w:rFonts w:hint="eastAsia"/>
                <w:color w:val="auto"/>
                <w:spacing w:val="-11"/>
                <w:sz w:val="21"/>
                <w:szCs w:val="16"/>
                <w:lang w:val="en-US" w:eastAsia="zh-CN"/>
              </w:rPr>
              <w:t>排放</w:t>
            </w:r>
          </w:p>
        </w:tc>
        <w:tc>
          <w:tcPr>
            <w:tcW w:w="1850" w:type="dxa"/>
            <w:tcBorders>
              <w:bottom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eastAsia="宋体"/>
                <w:color w:val="auto"/>
                <w:spacing w:val="-11"/>
                <w:sz w:val="21"/>
                <w:szCs w:val="16"/>
                <w:lang w:val="en-US" w:eastAsia="zh-CN"/>
              </w:rPr>
            </w:pPr>
            <w:r>
              <w:rPr>
                <w:rFonts w:hint="eastAsia" w:ascii="Times New Roman" w:hAnsi="Times New Roman"/>
                <w:color w:val="auto"/>
                <w:spacing w:val="-11"/>
                <w:sz w:val="21"/>
                <w:szCs w:val="16"/>
                <w:lang w:val="en-US" w:eastAsia="zh-CN"/>
              </w:rPr>
              <w:t>NH</w:t>
            </w:r>
            <w:r>
              <w:rPr>
                <w:rFonts w:hint="eastAsia" w:ascii="Times New Roman" w:hAnsi="Times New Roman"/>
                <w:color w:val="auto"/>
                <w:spacing w:val="-11"/>
                <w:sz w:val="21"/>
                <w:szCs w:val="16"/>
                <w:vertAlign w:val="subscript"/>
                <w:lang w:val="en-US" w:eastAsia="zh-CN"/>
              </w:rPr>
              <w:t>3</w:t>
            </w:r>
            <w:r>
              <w:rPr>
                <w:rFonts w:hint="eastAsia"/>
                <w:color w:val="auto"/>
                <w:spacing w:val="-11"/>
                <w:sz w:val="21"/>
                <w:szCs w:val="16"/>
                <w:lang w:val="en-US" w:eastAsia="zh-CN"/>
              </w:rPr>
              <w:t>、</w:t>
            </w:r>
            <w:r>
              <w:rPr>
                <w:rFonts w:hint="eastAsia" w:ascii="Times New Roman" w:hAnsi="Times New Roman"/>
                <w:color w:val="auto"/>
                <w:spacing w:val="-11"/>
                <w:sz w:val="21"/>
                <w:szCs w:val="16"/>
                <w:lang w:val="en-US" w:eastAsia="zh-CN"/>
              </w:rPr>
              <w:t>NMHC</w:t>
            </w:r>
          </w:p>
        </w:tc>
        <w:tc>
          <w:tcPr>
            <w:tcW w:w="1745" w:type="dxa"/>
            <w:tcBorders>
              <w:bottom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color w:val="auto"/>
                <w:spacing w:val="-11"/>
                <w:sz w:val="21"/>
                <w:szCs w:val="16"/>
              </w:rPr>
            </w:pPr>
            <w:r>
              <w:rPr>
                <w:color w:val="auto"/>
                <w:spacing w:val="-11"/>
                <w:sz w:val="21"/>
                <w:szCs w:val="16"/>
              </w:rPr>
              <w:t>最大浓度占标率</w:t>
            </w:r>
          </w:p>
        </w:tc>
        <w:tc>
          <w:tcPr>
            <w:tcW w:w="1290" w:type="dxa"/>
            <w:tcBorders>
              <w:bottom w:val="single" w:color="auto" w:sz="12" w:space="0"/>
              <w:right w:val="single" w:color="auto" w:sz="12"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jc w:val="center"/>
              <w:textAlignment w:val="auto"/>
              <w:rPr>
                <w:rFonts w:hint="default" w:eastAsia="宋体"/>
                <w:color w:val="auto"/>
                <w:spacing w:val="-11"/>
                <w:sz w:val="21"/>
                <w:szCs w:val="16"/>
                <w:lang w:val="en-US" w:eastAsia="zh-CN"/>
              </w:rPr>
            </w:pPr>
            <w:r>
              <w:rPr>
                <w:rFonts w:hint="eastAsia" w:ascii="Times New Roman" w:hAnsi="Times New Roman"/>
                <w:color w:val="auto"/>
                <w:spacing w:val="-11"/>
                <w:sz w:val="21"/>
                <w:szCs w:val="16"/>
                <w:lang w:val="en-US" w:eastAsia="zh-CN"/>
              </w:rPr>
              <w:t>1h</w:t>
            </w:r>
            <w:r>
              <w:rPr>
                <w:rFonts w:hint="eastAsia"/>
                <w:color w:val="auto"/>
                <w:spacing w:val="-11"/>
                <w:sz w:val="21"/>
                <w:szCs w:val="16"/>
                <w:lang w:val="en-US" w:eastAsia="zh-CN"/>
              </w:rPr>
              <w:t>平均质量浓度</w:t>
            </w:r>
          </w:p>
        </w:tc>
      </w:tr>
    </w:tbl>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7</w:t>
      </w:r>
      <w:r>
        <w:rPr>
          <w:rFonts w:hint="eastAsia"/>
          <w:lang w:val="en-US" w:eastAsia="zh-CN"/>
        </w:rPr>
        <w:t>环境背景状况</w:t>
      </w:r>
    </w:p>
    <w:p>
      <w:pPr>
        <w:bidi w:val="0"/>
        <w:rPr>
          <w:rFonts w:hint="default" w:eastAsia="宋体"/>
          <w:lang w:val="en-US" w:eastAsia="zh-CN"/>
        </w:rPr>
      </w:pPr>
      <w:r>
        <w:rPr>
          <w:rFonts w:hint="eastAsia"/>
          <w:lang w:val="en-US" w:eastAsia="zh-CN"/>
        </w:rPr>
        <w:t>本项目环境影响评价大气预测叠加背景采用区域环境质量调查数据和实测的</w:t>
      </w:r>
      <w:r>
        <w:rPr>
          <w:rFonts w:hint="eastAsia" w:ascii="Times New Roman" w:hAnsi="Times New Roman"/>
          <w:lang w:val="en-US" w:eastAsia="zh-CN"/>
        </w:rPr>
        <w:t>7d</w:t>
      </w:r>
      <w:r>
        <w:rPr>
          <w:rFonts w:hint="eastAsia"/>
          <w:lang w:val="en-US" w:eastAsia="zh-CN"/>
        </w:rPr>
        <w:t>最大小时浓度，汇总叠加背景浓度见表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13</w:t>
      </w:r>
      <w:r>
        <w:rPr>
          <w:rFonts w:hint="eastAsia"/>
          <w:color w:val="auto"/>
          <w:lang w:val="en-US" w:eastAsia="zh-CN"/>
        </w:rPr>
        <w:t>。</w:t>
      </w:r>
    </w:p>
    <w:p>
      <w:pPr>
        <w:pStyle w:val="20"/>
        <w:bidi w:val="0"/>
        <w:rPr>
          <w:b/>
          <w:snapToGrid w:val="0"/>
          <w:kern w:val="0"/>
          <w:szCs w:val="21"/>
          <w:lang w:bidi="en-US"/>
        </w:rPr>
      </w:pPr>
      <w:r>
        <w:rPr>
          <w:b/>
          <w:snapToGrid w:val="0"/>
          <w:kern w:val="0"/>
          <w:szCs w:val="21"/>
          <w:lang w:bidi="en-US"/>
        </w:rPr>
        <w:t>表</w:t>
      </w:r>
      <w:r>
        <w:rPr>
          <w:rFonts w:hint="eastAsia" w:ascii="Times New Roman" w:hAnsi="Times New Roman"/>
          <w:b/>
          <w:snapToGrid w:val="0"/>
          <w:kern w:val="0"/>
          <w:szCs w:val="21"/>
          <w:lang w:val="en-US" w:eastAsia="zh-CN" w:bidi="en-US"/>
        </w:rPr>
        <w:t>6</w:t>
      </w:r>
      <w:r>
        <w:rPr>
          <w:rFonts w:hint="eastAsia"/>
          <w:b/>
          <w:snapToGrid w:val="0"/>
          <w:kern w:val="0"/>
          <w:szCs w:val="21"/>
          <w:lang w:val="en-US" w:eastAsia="zh-CN" w:bidi="en-US"/>
        </w:rPr>
        <w:t>.</w:t>
      </w:r>
      <w:r>
        <w:rPr>
          <w:rFonts w:hint="eastAsia" w:ascii="Times New Roman" w:hAnsi="Times New Roman"/>
          <w:b/>
          <w:snapToGrid w:val="0"/>
          <w:kern w:val="0"/>
          <w:szCs w:val="21"/>
          <w:lang w:val="en-US" w:eastAsia="zh-CN" w:bidi="en-US"/>
        </w:rPr>
        <w:t>2</w:t>
      </w:r>
      <w:r>
        <w:rPr>
          <w:rFonts w:hint="eastAsia"/>
          <w:b/>
          <w:snapToGrid w:val="0"/>
          <w:kern w:val="0"/>
          <w:szCs w:val="21"/>
          <w:lang w:val="en-US" w:eastAsia="zh-CN" w:bidi="en-US"/>
        </w:rPr>
        <w:t>-</w:t>
      </w:r>
      <w:r>
        <w:rPr>
          <w:rFonts w:hint="eastAsia" w:ascii="Times New Roman" w:hAnsi="Times New Roman"/>
          <w:b/>
          <w:snapToGrid w:val="0"/>
          <w:kern w:val="0"/>
          <w:szCs w:val="21"/>
          <w:lang w:val="en-US" w:eastAsia="zh-CN" w:bidi="en-US"/>
        </w:rPr>
        <w:t>13</w:t>
      </w:r>
      <w:r>
        <w:rPr>
          <w:b/>
          <w:snapToGrid w:val="0"/>
          <w:kern w:val="0"/>
          <w:szCs w:val="21"/>
          <w:lang w:bidi="en-US"/>
        </w:rPr>
        <w:t xml:space="preserve">  环境保护目标处各污染因子</w:t>
      </w:r>
      <w:r>
        <w:rPr>
          <w:rFonts w:hint="eastAsia"/>
          <w:b/>
          <w:snapToGrid w:val="0"/>
          <w:kern w:val="0"/>
          <w:szCs w:val="21"/>
          <w:lang w:val="en-US" w:eastAsia="zh-CN" w:bidi="en-US"/>
        </w:rPr>
        <w:t>叠加</w:t>
      </w:r>
      <w:r>
        <w:rPr>
          <w:b/>
          <w:snapToGrid w:val="0"/>
          <w:kern w:val="0"/>
          <w:szCs w:val="21"/>
          <w:lang w:bidi="en-US"/>
        </w:rPr>
        <w:t>背景值，</w:t>
      </w:r>
      <w:r>
        <w:rPr>
          <w:rFonts w:ascii="Times New Roman" w:hAnsi="Times New Roman"/>
          <w:b/>
          <w:snapToGrid w:val="0"/>
          <w:kern w:val="0"/>
          <w:szCs w:val="21"/>
          <w:lang w:bidi="en-US"/>
        </w:rPr>
        <w:t>mg</w:t>
      </w:r>
      <w:r>
        <w:rPr>
          <w:b/>
          <w:snapToGrid w:val="0"/>
          <w:kern w:val="0"/>
          <w:szCs w:val="21"/>
          <w:lang w:bidi="en-US"/>
        </w:rPr>
        <w:t>/</w:t>
      </w:r>
      <w:r>
        <w:rPr>
          <w:rFonts w:ascii="Times New Roman" w:hAnsi="Times New Roman"/>
          <w:b/>
          <w:snapToGrid w:val="0"/>
          <w:kern w:val="0"/>
          <w:szCs w:val="21"/>
          <w:lang w:bidi="en-US"/>
        </w:rPr>
        <w:t>m</w:t>
      </w:r>
      <w:r>
        <w:rPr>
          <w:rFonts w:ascii="Times New Roman" w:hAnsi="Times New Roman"/>
          <w:b/>
          <w:snapToGrid w:val="0"/>
          <w:kern w:val="0"/>
          <w:szCs w:val="21"/>
          <w:vertAlign w:val="superscript"/>
          <w:lang w:bidi="en-US"/>
        </w:rPr>
        <w:t>3</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257"/>
        <w:gridCol w:w="3093"/>
        <w:gridCol w:w="1800"/>
        <w:gridCol w:w="22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sz w:val="21"/>
                <w:szCs w:val="16"/>
                <w:vertAlign w:val="baseline"/>
                <w:lang w:val="en-US" w:eastAsia="zh-CN"/>
              </w:rPr>
            </w:pPr>
            <w:r>
              <w:rPr>
                <w:rFonts w:hint="eastAsia"/>
                <w:sz w:val="21"/>
                <w:szCs w:val="16"/>
                <w:vertAlign w:val="baseline"/>
                <w:lang w:val="en-US" w:eastAsia="zh-CN"/>
              </w:rPr>
              <w:t>序号</w:t>
            </w: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sz w:val="21"/>
                <w:szCs w:val="16"/>
                <w:vertAlign w:val="baseline"/>
                <w:lang w:val="en-US" w:eastAsia="zh-CN"/>
              </w:rPr>
            </w:pPr>
            <w:r>
              <w:rPr>
                <w:rFonts w:hint="eastAsia"/>
                <w:sz w:val="21"/>
                <w:szCs w:val="16"/>
                <w:vertAlign w:val="baseline"/>
                <w:lang w:val="en-US" w:eastAsia="zh-CN"/>
              </w:rPr>
              <w:t>污染因子</w:t>
            </w:r>
          </w:p>
        </w:tc>
        <w:tc>
          <w:tcPr>
            <w:tcW w:w="3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sz w:val="21"/>
                <w:szCs w:val="16"/>
                <w:vertAlign w:val="baseline"/>
                <w:lang w:val="en-US" w:eastAsia="zh-CN"/>
              </w:rPr>
            </w:pPr>
            <w:r>
              <w:rPr>
                <w:rFonts w:hint="eastAsia"/>
                <w:sz w:val="21"/>
                <w:szCs w:val="16"/>
                <w:vertAlign w:val="baseline"/>
                <w:lang w:val="en-US" w:eastAsia="zh-CN"/>
              </w:rPr>
              <w:t>监测数据类型</w:t>
            </w:r>
          </w:p>
        </w:tc>
        <w:tc>
          <w:tcPr>
            <w:tcW w:w="1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sz w:val="21"/>
                <w:szCs w:val="16"/>
                <w:vertAlign w:val="baseline"/>
                <w:lang w:val="en-US" w:eastAsia="zh-CN"/>
              </w:rPr>
            </w:pPr>
            <w:r>
              <w:rPr>
                <w:rFonts w:hint="eastAsia"/>
                <w:sz w:val="21"/>
                <w:szCs w:val="16"/>
                <w:vertAlign w:val="baseline"/>
                <w:lang w:val="en-US" w:eastAsia="zh-CN"/>
              </w:rPr>
              <w:t>背景值</w:t>
            </w:r>
          </w:p>
        </w:tc>
        <w:tc>
          <w:tcPr>
            <w:tcW w:w="2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sz w:val="21"/>
                <w:szCs w:val="16"/>
                <w:vertAlign w:val="baseline"/>
                <w:lang w:val="en-US" w:eastAsia="zh-CN"/>
              </w:rPr>
            </w:pPr>
            <w:r>
              <w:rPr>
                <w:rFonts w:hint="eastAsia"/>
                <w:sz w:val="21"/>
                <w:szCs w:val="16"/>
                <w:vertAlign w:val="baseline"/>
                <w:lang w:val="en-US" w:eastAsia="zh-CN"/>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ascii="Times New Roman" w:hAnsi="Times New Roman"/>
                <w:sz w:val="21"/>
                <w:szCs w:val="16"/>
                <w:vertAlign w:val="baseline"/>
                <w:lang w:val="en-US" w:eastAsia="zh-CN"/>
              </w:rPr>
              <w:t>1</w:t>
            </w: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ascii="Times New Roman" w:hAnsi="Times New Roman"/>
                <w:sz w:val="21"/>
                <w:szCs w:val="16"/>
                <w:vertAlign w:val="baseline"/>
                <w:lang w:val="en-US" w:eastAsia="zh-CN"/>
              </w:rPr>
              <w:t>NMHC</w:t>
            </w:r>
          </w:p>
        </w:tc>
        <w:tc>
          <w:tcPr>
            <w:tcW w:w="3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ascii="Times New Roman" w:hAnsi="Times New Roman"/>
                <w:sz w:val="21"/>
                <w:szCs w:val="16"/>
                <w:vertAlign w:val="baseline"/>
                <w:lang w:val="en-US" w:eastAsia="zh-CN"/>
              </w:rPr>
              <w:t>7d</w:t>
            </w:r>
            <w:r>
              <w:rPr>
                <w:rFonts w:hint="eastAsia"/>
                <w:sz w:val="21"/>
                <w:szCs w:val="16"/>
                <w:vertAlign w:val="baseline"/>
                <w:lang w:val="en-US" w:eastAsia="zh-CN"/>
              </w:rPr>
              <w:t>最大小时</w:t>
            </w:r>
          </w:p>
        </w:tc>
        <w:tc>
          <w:tcPr>
            <w:tcW w:w="1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92</w:t>
            </w:r>
          </w:p>
        </w:tc>
        <w:tc>
          <w:tcPr>
            <w:tcW w:w="22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sz w:val="21"/>
                <w:szCs w:val="16"/>
                <w:vertAlign w:val="baseline"/>
                <w:lang w:val="en-US" w:eastAsia="zh-CN"/>
              </w:rPr>
              <w:t>实测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ascii="Times New Roman" w:hAnsi="Times New Roman"/>
                <w:sz w:val="21"/>
                <w:szCs w:val="16"/>
                <w:vertAlign w:val="baseline"/>
                <w:lang w:val="en-US" w:eastAsia="zh-CN"/>
              </w:rPr>
              <w:t>2</w:t>
            </w: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sz w:val="21"/>
                <w:szCs w:val="16"/>
                <w:vertAlign w:val="baseline"/>
                <w:lang w:val="en-US" w:eastAsia="zh-CN"/>
              </w:rPr>
              <w:t>氨</w:t>
            </w:r>
          </w:p>
        </w:tc>
        <w:tc>
          <w:tcPr>
            <w:tcW w:w="30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ascii="Times New Roman" w:hAnsi="Times New Roman"/>
                <w:sz w:val="21"/>
                <w:szCs w:val="16"/>
                <w:vertAlign w:val="baseline"/>
                <w:lang w:val="en-US" w:eastAsia="zh-CN"/>
              </w:rPr>
              <w:t>7d</w:t>
            </w:r>
            <w:r>
              <w:rPr>
                <w:rFonts w:hint="eastAsia"/>
                <w:sz w:val="21"/>
                <w:szCs w:val="16"/>
                <w:vertAlign w:val="baseline"/>
                <w:lang w:val="en-US" w:eastAsia="zh-CN"/>
              </w:rPr>
              <w:t>最大小时</w:t>
            </w:r>
          </w:p>
        </w:tc>
        <w:tc>
          <w:tcPr>
            <w:tcW w:w="1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sz w:val="21"/>
                <w:szCs w:val="16"/>
                <w:vertAlign w:val="baseline"/>
                <w:lang w:val="en-US" w:eastAsia="zh-CN"/>
              </w:rPr>
            </w:pPr>
            <w:r>
              <w:rPr>
                <w:rFonts w:hint="eastAsia" w:ascii="Times New Roman" w:hAnsi="Times New Roman"/>
                <w:sz w:val="21"/>
                <w:szCs w:val="16"/>
                <w:vertAlign w:val="baseline"/>
                <w:lang w:val="en-US" w:eastAsia="zh-CN"/>
              </w:rPr>
              <w:t>0</w:t>
            </w:r>
            <w:r>
              <w:rPr>
                <w:rFonts w:hint="eastAsia"/>
                <w:sz w:val="21"/>
                <w:szCs w:val="16"/>
                <w:vertAlign w:val="baseline"/>
                <w:lang w:val="en-US" w:eastAsia="zh-CN"/>
              </w:rPr>
              <w:t>.</w:t>
            </w:r>
            <w:r>
              <w:rPr>
                <w:rFonts w:hint="eastAsia" w:ascii="Times New Roman" w:hAnsi="Times New Roman"/>
                <w:sz w:val="21"/>
                <w:szCs w:val="16"/>
                <w:vertAlign w:val="baseline"/>
                <w:lang w:val="en-US" w:eastAsia="zh-CN"/>
              </w:rPr>
              <w:t>17</w:t>
            </w:r>
          </w:p>
        </w:tc>
        <w:tc>
          <w:tcPr>
            <w:tcW w:w="22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sz w:val="21"/>
                <w:szCs w:val="16"/>
                <w:vertAlign w:val="baseline"/>
                <w:lang w:val="en-US" w:eastAsia="zh-CN"/>
              </w:rPr>
            </w:pPr>
          </w:p>
        </w:tc>
      </w:tr>
    </w:tbl>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8</w:t>
      </w:r>
      <w:r>
        <w:rPr>
          <w:rFonts w:hint="eastAsia"/>
          <w:lang w:val="en-US" w:eastAsia="zh-CN"/>
        </w:rPr>
        <w:t>预测结果分析</w:t>
      </w:r>
    </w:p>
    <w:p>
      <w:pPr>
        <w:bidi w:val="0"/>
        <w:rPr>
          <w:rFonts w:hint="eastAsia" w:eastAsia="宋体"/>
          <w:lang w:eastAsia="zh-CN"/>
        </w:rPr>
      </w:pPr>
      <w:r>
        <w:rPr>
          <w:rFonts w:hint="eastAsia"/>
          <w:lang w:eastAsia="zh-CN"/>
        </w:rPr>
        <w:t>（</w:t>
      </w:r>
      <w:r>
        <w:rPr>
          <w:rFonts w:hint="eastAsia" w:ascii="Times New Roman" w:hAnsi="Times New Roman"/>
          <w:lang w:val="en-US" w:eastAsia="zh-CN"/>
        </w:rPr>
        <w:t>1</w:t>
      </w:r>
      <w:r>
        <w:rPr>
          <w:rFonts w:hint="eastAsia"/>
          <w:lang w:eastAsia="zh-CN"/>
        </w:rPr>
        <w:t>）最大落地浓度贡献值预测与评价</w:t>
      </w:r>
    </w:p>
    <w:p>
      <w:pPr>
        <w:bidi w:val="0"/>
        <w:rPr>
          <w:rFonts w:hint="default" w:eastAsia="宋体"/>
          <w:color w:val="000000"/>
          <w:lang w:val="en-US" w:eastAsia="zh-CN"/>
        </w:rPr>
      </w:pPr>
      <w:r>
        <w:rPr>
          <w:rFonts w:hint="eastAsia"/>
          <w:color w:val="000000"/>
          <w:lang w:eastAsia="zh-CN"/>
        </w:rPr>
        <w:t>正常排放情况下，本项目各预测因子在环境空气关心点、监测点和各网络点的预测结果分别见表</w:t>
      </w:r>
      <w:r>
        <w:rPr>
          <w:rFonts w:hint="eastAsia" w:ascii="Times New Roman" w:hAnsi="Times New Roman"/>
          <w:color w:val="000000"/>
          <w:lang w:val="en-US" w:eastAsia="zh-CN"/>
        </w:rPr>
        <w:t>6</w:t>
      </w:r>
      <w:r>
        <w:rPr>
          <w:rFonts w:hint="eastAsia"/>
          <w:color w:val="000000"/>
          <w:lang w:val="en-US" w:eastAsia="zh-CN"/>
        </w:rPr>
        <w:t>.</w:t>
      </w:r>
      <w:r>
        <w:rPr>
          <w:rFonts w:hint="eastAsia" w:ascii="Times New Roman" w:hAnsi="Times New Roman"/>
          <w:color w:val="000000"/>
          <w:lang w:val="en-US" w:eastAsia="zh-CN"/>
        </w:rPr>
        <w:t>2</w:t>
      </w:r>
      <w:r>
        <w:rPr>
          <w:rFonts w:hint="eastAsia"/>
          <w:color w:val="000000"/>
          <w:lang w:val="en-US" w:eastAsia="zh-CN"/>
        </w:rPr>
        <w:t>-</w:t>
      </w:r>
      <w:r>
        <w:rPr>
          <w:rFonts w:hint="eastAsia" w:ascii="Times New Roman" w:hAnsi="Times New Roman"/>
          <w:color w:val="000000"/>
          <w:lang w:val="en-US" w:eastAsia="zh-CN"/>
        </w:rPr>
        <w:t>14</w:t>
      </w:r>
      <w:r>
        <w:rPr>
          <w:rFonts w:hint="eastAsia"/>
          <w:color w:val="000000"/>
          <w:lang w:val="en-US" w:eastAsia="zh-CN"/>
        </w:rPr>
        <w:t>～</w:t>
      </w:r>
      <w:r>
        <w:rPr>
          <w:rFonts w:hint="eastAsia" w:ascii="Times New Roman" w:hAnsi="Times New Roman"/>
          <w:color w:val="000000"/>
          <w:lang w:val="en-US" w:eastAsia="zh-CN"/>
        </w:rPr>
        <w:t>6</w:t>
      </w:r>
      <w:r>
        <w:rPr>
          <w:rFonts w:hint="eastAsia"/>
          <w:color w:val="000000"/>
          <w:lang w:val="en-US" w:eastAsia="zh-CN"/>
        </w:rPr>
        <w:t>.</w:t>
      </w:r>
      <w:r>
        <w:rPr>
          <w:rFonts w:hint="eastAsia" w:ascii="Times New Roman" w:hAnsi="Times New Roman"/>
          <w:color w:val="000000"/>
          <w:lang w:val="en-US" w:eastAsia="zh-CN"/>
        </w:rPr>
        <w:t>2</w:t>
      </w:r>
      <w:r>
        <w:rPr>
          <w:rFonts w:hint="eastAsia"/>
          <w:color w:val="000000"/>
          <w:lang w:val="en-US" w:eastAsia="zh-CN"/>
        </w:rPr>
        <w:t>-</w:t>
      </w:r>
      <w:r>
        <w:rPr>
          <w:rFonts w:hint="eastAsia" w:ascii="Times New Roman" w:hAnsi="Times New Roman"/>
          <w:color w:val="000000"/>
          <w:lang w:val="en-US" w:eastAsia="zh-CN"/>
        </w:rPr>
        <w:t>15</w:t>
      </w:r>
      <w:r>
        <w:rPr>
          <w:rFonts w:hint="eastAsia"/>
          <w:color w:val="000000"/>
          <w:lang w:val="en-US" w:eastAsia="zh-CN"/>
        </w:rPr>
        <w:t>，图</w:t>
      </w:r>
      <w:r>
        <w:rPr>
          <w:rFonts w:hint="eastAsia" w:ascii="Times New Roman" w:hAnsi="Times New Roman"/>
          <w:color w:val="000000"/>
          <w:lang w:val="en-US" w:eastAsia="zh-CN"/>
        </w:rPr>
        <w:t>6</w:t>
      </w:r>
      <w:r>
        <w:rPr>
          <w:rFonts w:hint="eastAsia"/>
          <w:color w:val="000000"/>
          <w:lang w:val="en-US" w:eastAsia="zh-CN"/>
        </w:rPr>
        <w:t>.</w:t>
      </w:r>
      <w:r>
        <w:rPr>
          <w:rFonts w:hint="eastAsia" w:ascii="Times New Roman" w:hAnsi="Times New Roman"/>
          <w:color w:val="000000"/>
          <w:lang w:val="en-US" w:eastAsia="zh-CN"/>
        </w:rPr>
        <w:t>2</w:t>
      </w:r>
      <w:r>
        <w:rPr>
          <w:rFonts w:hint="eastAsia"/>
          <w:color w:val="000000"/>
          <w:lang w:val="en-US" w:eastAsia="zh-CN"/>
        </w:rPr>
        <w:t>-</w:t>
      </w:r>
      <w:r>
        <w:rPr>
          <w:rFonts w:hint="eastAsia" w:ascii="Times New Roman" w:hAnsi="Times New Roman"/>
          <w:color w:val="000000"/>
          <w:lang w:val="en-US" w:eastAsia="zh-CN"/>
        </w:rPr>
        <w:t>4</w:t>
      </w:r>
      <w:r>
        <w:rPr>
          <w:rFonts w:hint="eastAsia"/>
          <w:color w:val="000000"/>
          <w:lang w:val="en-US" w:eastAsia="zh-CN"/>
        </w:rPr>
        <w:t>～</w:t>
      </w:r>
      <w:r>
        <w:rPr>
          <w:rFonts w:hint="eastAsia" w:ascii="Times New Roman" w:hAnsi="Times New Roman"/>
          <w:color w:val="000000"/>
          <w:lang w:val="en-US" w:eastAsia="zh-CN"/>
        </w:rPr>
        <w:t>6</w:t>
      </w:r>
      <w:r>
        <w:rPr>
          <w:rFonts w:hint="eastAsia"/>
          <w:color w:val="000000"/>
          <w:lang w:val="en-US" w:eastAsia="zh-CN"/>
        </w:rPr>
        <w:t>.</w:t>
      </w:r>
      <w:r>
        <w:rPr>
          <w:rFonts w:hint="eastAsia" w:ascii="Times New Roman" w:hAnsi="Times New Roman"/>
          <w:color w:val="000000"/>
          <w:lang w:val="en-US" w:eastAsia="zh-CN"/>
        </w:rPr>
        <w:t>2</w:t>
      </w:r>
      <w:r>
        <w:rPr>
          <w:rFonts w:hint="eastAsia"/>
          <w:color w:val="000000"/>
          <w:lang w:val="en-US" w:eastAsia="zh-CN"/>
        </w:rPr>
        <w:t>-</w:t>
      </w:r>
      <w:r>
        <w:rPr>
          <w:rFonts w:hint="eastAsia" w:ascii="Times New Roman" w:hAnsi="Times New Roman"/>
          <w:color w:val="000000"/>
          <w:lang w:val="en-US" w:eastAsia="zh-CN"/>
        </w:rPr>
        <w:t>5</w:t>
      </w:r>
      <w:r>
        <w:rPr>
          <w:rFonts w:hint="eastAsia"/>
          <w:color w:val="000000"/>
          <w:lang w:val="en-US" w:eastAsia="zh-CN"/>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14</w:t>
      </w:r>
      <w:r>
        <w:rPr>
          <w:rFonts w:hint="eastAsia"/>
          <w:lang w:val="en-US" w:eastAsia="zh-CN"/>
        </w:rPr>
        <w:t xml:space="preserve">  </w:t>
      </w:r>
      <w:r>
        <w:rPr>
          <w:rFonts w:hint="eastAsia" w:ascii="Times New Roman" w:hAnsi="Times New Roman"/>
          <w:lang w:val="en-US" w:eastAsia="zh-CN"/>
        </w:rPr>
        <w:t>NMHC</w:t>
      </w:r>
      <w:r>
        <w:rPr>
          <w:rFonts w:hint="eastAsia"/>
          <w:lang w:val="en-US" w:eastAsia="zh-CN"/>
        </w:rPr>
        <w:t>浓度贡献预测结果统计表</w:t>
      </w:r>
    </w:p>
    <w:tbl>
      <w:tblPr>
        <w:tblStyle w:val="8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982"/>
        <w:gridCol w:w="1362"/>
        <w:gridCol w:w="2259"/>
        <w:gridCol w:w="1612"/>
        <w:gridCol w:w="832"/>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预测点名称</w:t>
            </w:r>
          </w:p>
        </w:tc>
        <w:tc>
          <w:tcPr>
            <w:tcW w:w="535" w:type="pc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浓度类型</w:t>
            </w:r>
          </w:p>
        </w:tc>
        <w:tc>
          <w:tcPr>
            <w:tcW w:w="742" w:type="pc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浓度增量(</w:t>
            </w:r>
            <w:r>
              <w:rPr>
                <w:rFonts w:hint="eastAsia" w:ascii="Times New Roman" w:hAnsi="Times New Roman" w:cs="宋体"/>
                <w:spacing w:val="-11"/>
                <w:sz w:val="21"/>
                <w:szCs w:val="21"/>
              </w:rPr>
              <w:t>mg</w:t>
            </w:r>
            <w:r>
              <w:rPr>
                <w:rFonts w:hint="eastAsia" w:hAnsi="宋体" w:cs="宋体"/>
                <w:spacing w:val="-11"/>
                <w:sz w:val="21"/>
                <w:szCs w:val="21"/>
              </w:rPr>
              <w:t>/</w:t>
            </w:r>
            <w:r>
              <w:rPr>
                <w:rFonts w:hint="eastAsia" w:ascii="Times New Roman" w:hAnsi="Times New Roman" w:cs="宋体"/>
                <w:spacing w:val="-11"/>
                <w:sz w:val="21"/>
                <w:szCs w:val="21"/>
              </w:rPr>
              <w:t>m</w:t>
            </w:r>
            <w:r>
              <w:rPr>
                <w:rFonts w:hint="eastAsia" w:ascii="Times New Roman" w:hAnsi="Times New Roman" w:cs="宋体"/>
                <w:spacing w:val="-11"/>
                <w:sz w:val="21"/>
                <w:szCs w:val="21"/>
                <w:vertAlign w:val="superscript"/>
              </w:rPr>
              <w:t>3</w:t>
            </w:r>
            <w:r>
              <w:rPr>
                <w:rFonts w:hint="eastAsia" w:hAnsi="宋体" w:cs="宋体"/>
                <w:spacing w:val="-11"/>
                <w:sz w:val="21"/>
                <w:szCs w:val="21"/>
              </w:rPr>
              <w:t>)</w:t>
            </w:r>
          </w:p>
        </w:tc>
        <w:tc>
          <w:tcPr>
            <w:tcW w:w="1230" w:type="pc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出现时间(</w:t>
            </w:r>
            <w:r>
              <w:rPr>
                <w:rFonts w:hint="eastAsia" w:ascii="Times New Roman" w:hAnsi="Times New Roman" w:cs="宋体"/>
                <w:spacing w:val="-11"/>
                <w:sz w:val="21"/>
                <w:szCs w:val="21"/>
              </w:rPr>
              <w:t>YYMMDDHH</w:t>
            </w:r>
            <w:r>
              <w:rPr>
                <w:rFonts w:hint="eastAsia" w:hAnsi="宋体" w:cs="宋体"/>
                <w:spacing w:val="-11"/>
                <w:sz w:val="21"/>
                <w:szCs w:val="21"/>
              </w:rPr>
              <w:t>)</w:t>
            </w:r>
          </w:p>
        </w:tc>
        <w:tc>
          <w:tcPr>
            <w:tcW w:w="878" w:type="pc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评价标准(</w:t>
            </w:r>
            <w:r>
              <w:rPr>
                <w:rFonts w:hint="eastAsia" w:ascii="Times New Roman" w:hAnsi="Times New Roman" w:cs="宋体"/>
                <w:spacing w:val="-11"/>
                <w:sz w:val="21"/>
                <w:szCs w:val="21"/>
              </w:rPr>
              <w:t>mg</w:t>
            </w:r>
            <w:r>
              <w:rPr>
                <w:rFonts w:hint="eastAsia" w:hAnsi="宋体" w:cs="宋体"/>
                <w:spacing w:val="-11"/>
                <w:sz w:val="21"/>
                <w:szCs w:val="21"/>
              </w:rPr>
              <w:t>/</w:t>
            </w:r>
            <w:r>
              <w:rPr>
                <w:rFonts w:hint="eastAsia" w:ascii="Times New Roman" w:hAnsi="Times New Roman" w:cs="宋体"/>
                <w:spacing w:val="-11"/>
                <w:sz w:val="21"/>
                <w:szCs w:val="21"/>
              </w:rPr>
              <w:t>m</w:t>
            </w:r>
            <w:r>
              <w:rPr>
                <w:rFonts w:hint="eastAsia" w:ascii="Times New Roman" w:hAnsi="Times New Roman" w:cs="宋体"/>
                <w:spacing w:val="-11"/>
                <w:sz w:val="21"/>
                <w:szCs w:val="21"/>
                <w:vertAlign w:val="superscript"/>
              </w:rPr>
              <w:t>3</w:t>
            </w:r>
            <w:r>
              <w:rPr>
                <w:rFonts w:hint="eastAsia" w:hAnsi="宋体" w:cs="宋体"/>
                <w:spacing w:val="-11"/>
                <w:sz w:val="21"/>
                <w:szCs w:val="21"/>
              </w:rPr>
              <w:t>)</w:t>
            </w:r>
          </w:p>
        </w:tc>
        <w:tc>
          <w:tcPr>
            <w:tcW w:w="453" w:type="pc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占标率%</w:t>
            </w:r>
          </w:p>
        </w:tc>
        <w:tc>
          <w:tcPr>
            <w:tcW w:w="489" w:type="pct"/>
            <w:noWrap w:val="0"/>
            <w:vAlign w:val="center"/>
          </w:tcPr>
          <w:p>
            <w:pPr>
              <w:spacing w:line="240" w:lineRule="auto"/>
              <w:ind w:firstLine="0"/>
              <w:jc w:val="center"/>
              <w:rPr>
                <w:rFonts w:hint="eastAsia" w:hAnsi="宋体" w:cs="宋体"/>
                <w:spacing w:val="-11"/>
                <w:sz w:val="21"/>
                <w:szCs w:val="21"/>
              </w:rPr>
            </w:pPr>
            <w:r>
              <w:rPr>
                <w:rFonts w:hint="eastAsia" w:hAnsi="宋体" w:cs="宋体"/>
                <w:spacing w:val="-11"/>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noWrap w:val="0"/>
            <w:vAlign w:val="center"/>
          </w:tcPr>
          <w:p>
            <w:pPr>
              <w:spacing w:line="240" w:lineRule="auto"/>
              <w:ind w:firstLine="0"/>
              <w:jc w:val="center"/>
              <w:rPr>
                <w:rFonts w:hint="default" w:eastAsia="宋体"/>
                <w:spacing w:val="-11"/>
                <w:sz w:val="21"/>
                <w:szCs w:val="21"/>
                <w:lang w:val="en-US" w:eastAsia="zh-CN"/>
              </w:rPr>
            </w:pPr>
            <w:r>
              <w:rPr>
                <w:rFonts w:hint="eastAsia"/>
                <w:spacing w:val="-11"/>
                <w:sz w:val="21"/>
                <w:szCs w:val="21"/>
                <w:lang w:eastAsia="zh-CN"/>
              </w:rPr>
              <w:t>牧民新村</w:t>
            </w:r>
          </w:p>
        </w:tc>
        <w:tc>
          <w:tcPr>
            <w:tcW w:w="535" w:type="pct"/>
            <w:noWrap w:val="0"/>
            <w:vAlign w:val="center"/>
          </w:tcPr>
          <w:p>
            <w:pPr>
              <w:spacing w:line="240" w:lineRule="auto"/>
              <w:ind w:firstLine="0"/>
              <w:jc w:val="center"/>
              <w:rPr>
                <w:rFonts w:hint="eastAsia"/>
                <w:spacing w:val="-11"/>
                <w:sz w:val="21"/>
                <w:szCs w:val="21"/>
              </w:rPr>
            </w:pPr>
            <w:bookmarkStart w:id="202" w:name="_Toc4157"/>
            <w:bookmarkStart w:id="203" w:name="_Toc26162"/>
            <w:r>
              <w:rPr>
                <w:rFonts w:hint="eastAsia" w:ascii="Times New Roman" w:hAnsi="Times New Roman"/>
                <w:spacing w:val="-11"/>
                <w:sz w:val="21"/>
                <w:szCs w:val="21"/>
              </w:rPr>
              <w:t>1</w:t>
            </w:r>
            <w:r>
              <w:rPr>
                <w:rFonts w:hint="eastAsia"/>
                <w:spacing w:val="-11"/>
                <w:sz w:val="21"/>
                <w:szCs w:val="21"/>
              </w:rPr>
              <w:t>小时</w:t>
            </w:r>
            <w:bookmarkEnd w:id="202"/>
            <w:bookmarkEnd w:id="203"/>
          </w:p>
        </w:tc>
        <w:tc>
          <w:tcPr>
            <w:tcW w:w="742"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9</w:t>
            </w:r>
            <w:r>
              <w:rPr>
                <w:rFonts w:hint="eastAsia"/>
                <w:spacing w:val="-11"/>
                <w:sz w:val="21"/>
                <w:szCs w:val="21"/>
                <w:lang w:val="en-US" w:eastAsia="zh-CN"/>
              </w:rPr>
              <w:t>.</w:t>
            </w:r>
            <w:r>
              <w:rPr>
                <w:rFonts w:hint="eastAsia" w:ascii="Times New Roman" w:hAnsi="Times New Roman"/>
                <w:spacing w:val="-11"/>
                <w:sz w:val="21"/>
                <w:szCs w:val="21"/>
                <w:lang w:val="en-US" w:eastAsia="zh-CN"/>
              </w:rPr>
              <w:t>20E</w:t>
            </w:r>
            <w:r>
              <w:rPr>
                <w:rFonts w:hint="eastAsia"/>
                <w:spacing w:val="-11"/>
                <w:sz w:val="21"/>
                <w:szCs w:val="21"/>
                <w:lang w:val="en-US" w:eastAsia="zh-CN"/>
              </w:rPr>
              <w:t>-</w:t>
            </w:r>
            <w:r>
              <w:rPr>
                <w:rFonts w:hint="eastAsia" w:ascii="Times New Roman" w:hAnsi="Times New Roman"/>
                <w:spacing w:val="-11"/>
                <w:sz w:val="21"/>
                <w:szCs w:val="21"/>
                <w:lang w:val="en-US" w:eastAsia="zh-CN"/>
              </w:rPr>
              <w:t>04</w:t>
            </w:r>
          </w:p>
        </w:tc>
        <w:tc>
          <w:tcPr>
            <w:tcW w:w="1230"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21020112</w:t>
            </w:r>
          </w:p>
        </w:tc>
        <w:tc>
          <w:tcPr>
            <w:tcW w:w="878"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2</w:t>
            </w:r>
          </w:p>
        </w:tc>
        <w:tc>
          <w:tcPr>
            <w:tcW w:w="453"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0</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05</w:t>
            </w:r>
          </w:p>
        </w:tc>
        <w:tc>
          <w:tcPr>
            <w:tcW w:w="489" w:type="pct"/>
            <w:noWrap w:val="0"/>
            <w:vAlign w:val="center"/>
          </w:tcPr>
          <w:p>
            <w:pPr>
              <w:spacing w:line="240" w:lineRule="auto"/>
              <w:ind w:firstLine="0"/>
              <w:jc w:val="center"/>
              <w:rPr>
                <w:rFonts w:hint="eastAsia"/>
                <w:spacing w:val="-11"/>
                <w:sz w:val="21"/>
                <w:szCs w:val="21"/>
              </w:rPr>
            </w:pPr>
            <w:bookmarkStart w:id="204" w:name="_Toc18739"/>
            <w:bookmarkStart w:id="205" w:name="_Toc30670"/>
            <w:r>
              <w:rPr>
                <w:rFonts w:hint="eastAsia"/>
                <w:spacing w:val="-11"/>
                <w:sz w:val="21"/>
                <w:szCs w:val="21"/>
              </w:rPr>
              <w:t>达标</w:t>
            </w:r>
            <w:bookmarkEnd w:id="204"/>
            <w:bookmarkEnd w:id="20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noWrap w:val="0"/>
            <w:vAlign w:val="center"/>
          </w:tcPr>
          <w:p>
            <w:pPr>
              <w:spacing w:line="240" w:lineRule="auto"/>
              <w:ind w:firstLine="0"/>
              <w:jc w:val="center"/>
              <w:rPr>
                <w:rFonts w:hint="default" w:eastAsia="宋体"/>
                <w:spacing w:val="-11"/>
                <w:sz w:val="21"/>
                <w:szCs w:val="21"/>
                <w:lang w:val="en-US" w:eastAsia="zh-CN"/>
              </w:rPr>
            </w:pPr>
            <w:r>
              <w:rPr>
                <w:rFonts w:hint="eastAsia"/>
                <w:spacing w:val="-11"/>
                <w:sz w:val="21"/>
                <w:szCs w:val="21"/>
                <w:lang w:eastAsia="zh-CN"/>
              </w:rPr>
              <w:t>哈尔扎木村</w:t>
            </w:r>
          </w:p>
        </w:tc>
        <w:tc>
          <w:tcPr>
            <w:tcW w:w="535" w:type="pct"/>
            <w:noWrap w:val="0"/>
            <w:vAlign w:val="center"/>
          </w:tcPr>
          <w:p>
            <w:pPr>
              <w:spacing w:line="240" w:lineRule="auto"/>
              <w:ind w:firstLine="0"/>
              <w:jc w:val="center"/>
              <w:rPr>
                <w:rFonts w:hint="eastAsia"/>
                <w:spacing w:val="-11"/>
                <w:sz w:val="21"/>
                <w:szCs w:val="21"/>
              </w:rPr>
            </w:pPr>
            <w:r>
              <w:rPr>
                <w:rFonts w:hint="eastAsia" w:ascii="Times New Roman" w:hAnsi="Times New Roman"/>
                <w:spacing w:val="-11"/>
                <w:sz w:val="21"/>
                <w:szCs w:val="21"/>
              </w:rPr>
              <w:t>1</w:t>
            </w:r>
            <w:r>
              <w:rPr>
                <w:rFonts w:hint="eastAsia"/>
                <w:spacing w:val="-11"/>
                <w:sz w:val="21"/>
                <w:szCs w:val="21"/>
              </w:rPr>
              <w:t>小时</w:t>
            </w:r>
          </w:p>
        </w:tc>
        <w:tc>
          <w:tcPr>
            <w:tcW w:w="742" w:type="pct"/>
            <w:noWrap w:val="0"/>
            <w:vAlign w:val="center"/>
          </w:tcPr>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1</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14E</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02</w:t>
            </w:r>
          </w:p>
        </w:tc>
        <w:tc>
          <w:tcPr>
            <w:tcW w:w="1230"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21091403</w:t>
            </w:r>
          </w:p>
        </w:tc>
        <w:tc>
          <w:tcPr>
            <w:tcW w:w="878" w:type="pct"/>
            <w:noWrap w:val="0"/>
            <w:vAlign w:val="center"/>
          </w:tcPr>
          <w:p>
            <w:pPr>
              <w:spacing w:line="240" w:lineRule="auto"/>
              <w:ind w:firstLine="0"/>
              <w:jc w:val="center"/>
              <w:rPr>
                <w:rFonts w:hint="eastAsia" w:eastAsia="宋体"/>
                <w:spacing w:val="-11"/>
                <w:sz w:val="21"/>
                <w:szCs w:val="21"/>
                <w:lang w:val="en-US" w:eastAsia="zh-CN"/>
              </w:rPr>
            </w:pPr>
            <w:r>
              <w:rPr>
                <w:rFonts w:hint="eastAsia" w:ascii="Times New Roman" w:hAnsi="Times New Roman"/>
                <w:spacing w:val="-11"/>
                <w:sz w:val="21"/>
                <w:szCs w:val="21"/>
                <w:lang w:val="en-US" w:eastAsia="zh-CN"/>
              </w:rPr>
              <w:t>2</w:t>
            </w:r>
          </w:p>
        </w:tc>
        <w:tc>
          <w:tcPr>
            <w:tcW w:w="453"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0</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57</w:t>
            </w:r>
          </w:p>
        </w:tc>
        <w:tc>
          <w:tcPr>
            <w:tcW w:w="489" w:type="pct"/>
            <w:noWrap w:val="0"/>
            <w:vAlign w:val="center"/>
          </w:tcPr>
          <w:p>
            <w:pPr>
              <w:spacing w:line="240" w:lineRule="auto"/>
              <w:ind w:firstLine="0"/>
              <w:jc w:val="center"/>
              <w:rPr>
                <w:rFonts w:hint="eastAsia"/>
                <w:spacing w:val="-11"/>
                <w:sz w:val="21"/>
                <w:szCs w:val="21"/>
              </w:rPr>
            </w:pPr>
            <w:r>
              <w:rPr>
                <w:rFonts w:hint="eastAsia"/>
                <w:spacing w:val="-11"/>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noWrap w:val="0"/>
            <w:vAlign w:val="center"/>
          </w:tcPr>
          <w:p>
            <w:pPr>
              <w:spacing w:line="240" w:lineRule="auto"/>
              <w:ind w:firstLine="0"/>
              <w:jc w:val="center"/>
              <w:rPr>
                <w:rFonts w:hint="eastAsia"/>
                <w:spacing w:val="-11"/>
                <w:sz w:val="21"/>
                <w:szCs w:val="21"/>
                <w:lang w:eastAsia="zh-CN"/>
              </w:rPr>
            </w:pPr>
            <w:bookmarkStart w:id="206" w:name="_Toc8768"/>
            <w:bookmarkStart w:id="207" w:name="_Toc19336"/>
            <w:r>
              <w:rPr>
                <w:rFonts w:hint="eastAsia"/>
                <w:spacing w:val="-11"/>
                <w:sz w:val="21"/>
                <w:szCs w:val="21"/>
                <w:lang w:eastAsia="zh-CN"/>
              </w:rPr>
              <w:t>园区办公室</w:t>
            </w:r>
          </w:p>
        </w:tc>
        <w:tc>
          <w:tcPr>
            <w:tcW w:w="535" w:type="pct"/>
            <w:noWrap w:val="0"/>
            <w:vAlign w:val="center"/>
          </w:tcPr>
          <w:p>
            <w:pPr>
              <w:spacing w:line="240" w:lineRule="auto"/>
              <w:ind w:firstLine="0"/>
              <w:jc w:val="center"/>
              <w:rPr>
                <w:rFonts w:hint="eastAsia" w:ascii="Times New Roman" w:hAnsi="Times New Roman" w:eastAsia="宋体"/>
                <w:spacing w:val="-11"/>
                <w:sz w:val="21"/>
                <w:szCs w:val="21"/>
                <w:lang w:val="en-US" w:eastAsia="zh-CN"/>
              </w:rPr>
            </w:pPr>
            <w:r>
              <w:rPr>
                <w:rFonts w:hint="eastAsia" w:ascii="Times New Roman" w:hAnsi="Times New Roman"/>
                <w:spacing w:val="-11"/>
                <w:sz w:val="21"/>
                <w:szCs w:val="21"/>
                <w:lang w:val="en-US" w:eastAsia="zh-CN"/>
              </w:rPr>
              <w:t>1</w:t>
            </w:r>
            <w:r>
              <w:rPr>
                <w:rFonts w:hint="eastAsia" w:ascii="Times New Roman" w:hAnsi="Times New Roman"/>
                <w:spacing w:val="-11"/>
                <w:sz w:val="21"/>
                <w:szCs w:val="21"/>
                <w:lang w:val="en-US" w:eastAsia="zh-CN"/>
              </w:rPr>
              <w:t>小时</w:t>
            </w:r>
          </w:p>
        </w:tc>
        <w:tc>
          <w:tcPr>
            <w:tcW w:w="742" w:type="pct"/>
            <w:noWrap w:val="0"/>
            <w:vAlign w:val="center"/>
          </w:tcPr>
          <w:p>
            <w:pPr>
              <w:spacing w:line="240" w:lineRule="auto"/>
              <w:ind w:firstLine="0"/>
              <w:jc w:val="center"/>
              <w:rPr>
                <w:rFonts w:hint="default" w:ascii="Times New Roman" w:hAnsi="Times New Roman"/>
                <w:spacing w:val="-11"/>
                <w:sz w:val="21"/>
                <w:szCs w:val="21"/>
                <w:lang w:val="en-US" w:eastAsia="zh-CN"/>
              </w:rPr>
            </w:pPr>
            <w:r>
              <w:rPr>
                <w:rFonts w:hint="eastAsia" w:ascii="Times New Roman" w:hAnsi="Times New Roman"/>
                <w:spacing w:val="-11"/>
                <w:sz w:val="21"/>
                <w:szCs w:val="21"/>
                <w:lang w:val="en-US" w:eastAsia="zh-CN"/>
              </w:rPr>
              <w:t>8</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44E</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03</w:t>
            </w:r>
          </w:p>
        </w:tc>
        <w:tc>
          <w:tcPr>
            <w:tcW w:w="1230" w:type="pct"/>
            <w:noWrap w:val="0"/>
            <w:vAlign w:val="center"/>
          </w:tcPr>
          <w:p>
            <w:pPr>
              <w:spacing w:line="240" w:lineRule="auto"/>
              <w:ind w:firstLine="0"/>
              <w:jc w:val="center"/>
              <w:rPr>
                <w:rFonts w:hint="eastAsia" w:ascii="Times New Roman" w:hAnsi="Times New Roman"/>
                <w:spacing w:val="-11"/>
                <w:sz w:val="21"/>
                <w:szCs w:val="21"/>
                <w:lang w:val="en-US" w:eastAsia="zh-CN"/>
              </w:rPr>
            </w:pPr>
            <w:r>
              <w:rPr>
                <w:rFonts w:hint="eastAsia" w:ascii="Times New Roman" w:hAnsi="Times New Roman"/>
                <w:spacing w:val="-11"/>
                <w:sz w:val="21"/>
                <w:szCs w:val="21"/>
                <w:lang w:val="en-US" w:eastAsia="zh-CN"/>
              </w:rPr>
              <w:t>21081302</w:t>
            </w:r>
          </w:p>
        </w:tc>
        <w:tc>
          <w:tcPr>
            <w:tcW w:w="878" w:type="pct"/>
            <w:noWrap w:val="0"/>
            <w:vAlign w:val="center"/>
          </w:tcPr>
          <w:p>
            <w:pPr>
              <w:spacing w:line="240" w:lineRule="auto"/>
              <w:ind w:firstLine="0"/>
              <w:jc w:val="center"/>
              <w:rPr>
                <w:rFonts w:hint="eastAsia" w:ascii="Times New Roman" w:hAnsi="Times New Roman" w:eastAsia="宋体"/>
                <w:spacing w:val="-11"/>
                <w:sz w:val="21"/>
                <w:szCs w:val="21"/>
                <w:lang w:val="en-US" w:eastAsia="zh-CN"/>
              </w:rPr>
            </w:pPr>
            <w:r>
              <w:rPr>
                <w:rFonts w:hint="eastAsia" w:ascii="Times New Roman" w:hAnsi="Times New Roman"/>
                <w:spacing w:val="-11"/>
                <w:sz w:val="21"/>
                <w:szCs w:val="21"/>
                <w:lang w:val="en-US" w:eastAsia="zh-CN"/>
              </w:rPr>
              <w:t>2</w:t>
            </w:r>
          </w:p>
        </w:tc>
        <w:tc>
          <w:tcPr>
            <w:tcW w:w="453" w:type="pct"/>
            <w:noWrap w:val="0"/>
            <w:vAlign w:val="center"/>
          </w:tcPr>
          <w:p>
            <w:pPr>
              <w:spacing w:line="240" w:lineRule="auto"/>
              <w:ind w:firstLine="0"/>
              <w:jc w:val="center"/>
              <w:rPr>
                <w:rFonts w:hint="default" w:ascii="Times New Roman" w:hAnsi="Times New Roman"/>
                <w:spacing w:val="-11"/>
                <w:sz w:val="21"/>
                <w:szCs w:val="21"/>
                <w:lang w:val="en-US" w:eastAsia="zh-CN"/>
              </w:rPr>
            </w:pPr>
            <w:r>
              <w:rPr>
                <w:rFonts w:hint="eastAsia" w:ascii="Times New Roman" w:hAnsi="Times New Roman"/>
                <w:spacing w:val="-11"/>
                <w:sz w:val="21"/>
                <w:szCs w:val="21"/>
                <w:lang w:val="en-US" w:eastAsia="zh-CN"/>
              </w:rPr>
              <w:t>0</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42</w:t>
            </w:r>
          </w:p>
        </w:tc>
        <w:tc>
          <w:tcPr>
            <w:tcW w:w="489"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noWrap w:val="0"/>
            <w:vAlign w:val="center"/>
          </w:tcPr>
          <w:p>
            <w:pPr>
              <w:spacing w:line="240" w:lineRule="auto"/>
              <w:ind w:firstLine="0"/>
              <w:jc w:val="center"/>
              <w:rPr>
                <w:rFonts w:hint="eastAsia"/>
                <w:spacing w:val="-11"/>
                <w:sz w:val="21"/>
                <w:szCs w:val="21"/>
              </w:rPr>
            </w:pPr>
            <w:r>
              <w:rPr>
                <w:rFonts w:hint="eastAsia"/>
                <w:spacing w:val="-11"/>
                <w:sz w:val="21"/>
                <w:szCs w:val="21"/>
              </w:rPr>
              <w:t>网格</w:t>
            </w:r>
            <w:bookmarkEnd w:id="206"/>
            <w:bookmarkEnd w:id="207"/>
          </w:p>
        </w:tc>
        <w:tc>
          <w:tcPr>
            <w:tcW w:w="535" w:type="pct"/>
            <w:noWrap w:val="0"/>
            <w:vAlign w:val="center"/>
          </w:tcPr>
          <w:p>
            <w:pPr>
              <w:spacing w:line="240" w:lineRule="auto"/>
              <w:ind w:firstLine="0"/>
              <w:jc w:val="center"/>
              <w:rPr>
                <w:rFonts w:hint="eastAsia"/>
                <w:spacing w:val="-11"/>
                <w:sz w:val="21"/>
                <w:szCs w:val="21"/>
              </w:rPr>
            </w:pPr>
            <w:bookmarkStart w:id="208" w:name="_Toc6930"/>
            <w:bookmarkStart w:id="209" w:name="_Toc26086"/>
            <w:r>
              <w:rPr>
                <w:rFonts w:hint="eastAsia" w:ascii="Times New Roman" w:hAnsi="Times New Roman"/>
                <w:spacing w:val="-11"/>
                <w:sz w:val="21"/>
                <w:szCs w:val="21"/>
              </w:rPr>
              <w:t>1</w:t>
            </w:r>
            <w:r>
              <w:rPr>
                <w:rFonts w:hint="eastAsia"/>
                <w:spacing w:val="-11"/>
                <w:sz w:val="21"/>
                <w:szCs w:val="21"/>
              </w:rPr>
              <w:t>小时</w:t>
            </w:r>
            <w:bookmarkEnd w:id="208"/>
            <w:bookmarkEnd w:id="209"/>
          </w:p>
        </w:tc>
        <w:tc>
          <w:tcPr>
            <w:tcW w:w="742"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0</w:t>
            </w:r>
            <w:r>
              <w:rPr>
                <w:rFonts w:hint="eastAsia"/>
                <w:spacing w:val="-11"/>
                <w:sz w:val="21"/>
                <w:szCs w:val="21"/>
                <w:lang w:val="en-US" w:eastAsia="zh-CN"/>
              </w:rPr>
              <w:t>.</w:t>
            </w:r>
            <w:r>
              <w:rPr>
                <w:rFonts w:hint="eastAsia" w:ascii="Times New Roman" w:hAnsi="Times New Roman"/>
                <w:spacing w:val="-11"/>
                <w:sz w:val="21"/>
                <w:szCs w:val="21"/>
                <w:lang w:val="en-US" w:eastAsia="zh-CN"/>
              </w:rPr>
              <w:t>116</w:t>
            </w:r>
          </w:p>
        </w:tc>
        <w:tc>
          <w:tcPr>
            <w:tcW w:w="1230"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21010710</w:t>
            </w:r>
          </w:p>
        </w:tc>
        <w:tc>
          <w:tcPr>
            <w:tcW w:w="878" w:type="pct"/>
            <w:noWrap w:val="0"/>
            <w:vAlign w:val="center"/>
          </w:tcPr>
          <w:p>
            <w:pPr>
              <w:spacing w:line="240" w:lineRule="auto"/>
              <w:ind w:firstLine="0"/>
              <w:jc w:val="center"/>
              <w:rPr>
                <w:rFonts w:hint="eastAsia" w:eastAsia="宋体"/>
                <w:spacing w:val="-11"/>
                <w:sz w:val="21"/>
                <w:szCs w:val="21"/>
                <w:lang w:val="en-US" w:eastAsia="zh-CN"/>
              </w:rPr>
            </w:pPr>
            <w:r>
              <w:rPr>
                <w:rFonts w:hint="eastAsia" w:ascii="Times New Roman" w:hAnsi="Times New Roman"/>
                <w:spacing w:val="-11"/>
                <w:sz w:val="21"/>
                <w:szCs w:val="21"/>
                <w:lang w:val="en-US" w:eastAsia="zh-CN"/>
              </w:rPr>
              <w:t>2</w:t>
            </w:r>
          </w:p>
        </w:tc>
        <w:tc>
          <w:tcPr>
            <w:tcW w:w="453" w:type="pct"/>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5</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80</w:t>
            </w:r>
          </w:p>
        </w:tc>
        <w:tc>
          <w:tcPr>
            <w:tcW w:w="489" w:type="pct"/>
            <w:noWrap w:val="0"/>
            <w:vAlign w:val="center"/>
          </w:tcPr>
          <w:p>
            <w:pPr>
              <w:spacing w:line="240" w:lineRule="auto"/>
              <w:ind w:firstLine="0"/>
              <w:jc w:val="center"/>
              <w:rPr>
                <w:rFonts w:hint="eastAsia"/>
                <w:spacing w:val="-11"/>
                <w:sz w:val="21"/>
                <w:szCs w:val="21"/>
              </w:rPr>
            </w:pPr>
            <w:r>
              <w:rPr>
                <w:rFonts w:hint="eastAsia"/>
                <w:spacing w:val="-11"/>
                <w:sz w:val="21"/>
                <w:szCs w:val="21"/>
              </w:rPr>
              <w:t>达标</w:t>
            </w:r>
          </w:p>
        </w:tc>
      </w:tr>
    </w:tbl>
    <w:p>
      <w:pPr>
        <w:pStyle w:val="20"/>
        <w:bidi w:val="0"/>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15</w:t>
      </w:r>
      <w:r>
        <w:rPr>
          <w:rFonts w:hint="eastAsia"/>
          <w:lang w:val="en-US" w:eastAsia="zh-CN"/>
        </w:rPr>
        <w:t xml:space="preserve">  氨浓度贡献预测结果统计表</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060"/>
        <w:gridCol w:w="1520"/>
        <w:gridCol w:w="1800"/>
        <w:gridCol w:w="1113"/>
        <w:gridCol w:w="885"/>
        <w:gridCol w:w="1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577"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预测点名称</w:t>
            </w:r>
          </w:p>
        </w:tc>
        <w:tc>
          <w:tcPr>
            <w:tcW w:w="1060"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浓度</w:t>
            </w:r>
          </w:p>
          <w:p>
            <w:pPr>
              <w:spacing w:line="240" w:lineRule="auto"/>
              <w:ind w:firstLine="0"/>
              <w:jc w:val="center"/>
              <w:rPr>
                <w:rFonts w:hint="eastAsia" w:hAnsi="宋体" w:cs="宋体"/>
                <w:sz w:val="21"/>
                <w:szCs w:val="21"/>
              </w:rPr>
            </w:pPr>
            <w:r>
              <w:rPr>
                <w:rFonts w:hint="eastAsia" w:hAnsi="宋体" w:cs="宋体"/>
                <w:sz w:val="21"/>
                <w:szCs w:val="21"/>
              </w:rPr>
              <w:t>类型</w:t>
            </w:r>
          </w:p>
        </w:tc>
        <w:tc>
          <w:tcPr>
            <w:tcW w:w="1520"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浓度增量(</w:t>
            </w:r>
            <w:r>
              <w:rPr>
                <w:rFonts w:hint="eastAsia" w:ascii="Times New Roman" w:hAnsi="Times New Roman" w:cs="宋体"/>
                <w:sz w:val="21"/>
                <w:szCs w:val="21"/>
              </w:rPr>
              <w:t>mg</w:t>
            </w:r>
            <w:r>
              <w:rPr>
                <w:rFonts w:hint="eastAsia" w:hAnsi="宋体" w:cs="宋体"/>
                <w:sz w:val="21"/>
                <w:szCs w:val="21"/>
              </w:rPr>
              <w:t>/</w:t>
            </w:r>
            <w:r>
              <w:rPr>
                <w:rFonts w:hint="eastAsia" w:ascii="Times New Roman" w:hAnsi="Times New Roman" w:cs="宋体"/>
                <w:sz w:val="21"/>
                <w:szCs w:val="21"/>
              </w:rPr>
              <w:t>m</w:t>
            </w:r>
            <w:r>
              <w:rPr>
                <w:rFonts w:hint="eastAsia" w:ascii="Times New Roman" w:hAnsi="Times New Roman" w:cs="宋体"/>
                <w:sz w:val="21"/>
                <w:szCs w:val="21"/>
                <w:vertAlign w:val="superscript"/>
              </w:rPr>
              <w:t>3</w:t>
            </w:r>
            <w:r>
              <w:rPr>
                <w:rFonts w:hint="eastAsia" w:hAnsi="宋体" w:cs="宋体"/>
                <w:sz w:val="21"/>
                <w:szCs w:val="21"/>
              </w:rPr>
              <w:t>)</w:t>
            </w:r>
          </w:p>
        </w:tc>
        <w:tc>
          <w:tcPr>
            <w:tcW w:w="1800"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出现时间(</w:t>
            </w:r>
            <w:r>
              <w:rPr>
                <w:rFonts w:hint="eastAsia" w:ascii="Times New Roman" w:hAnsi="Times New Roman" w:cs="宋体"/>
                <w:sz w:val="21"/>
                <w:szCs w:val="21"/>
              </w:rPr>
              <w:t>YYMMDDHH</w:t>
            </w:r>
            <w:r>
              <w:rPr>
                <w:rFonts w:hint="eastAsia" w:hAnsi="宋体" w:cs="宋体"/>
                <w:sz w:val="21"/>
                <w:szCs w:val="21"/>
              </w:rPr>
              <w:t>)</w:t>
            </w:r>
          </w:p>
        </w:tc>
        <w:tc>
          <w:tcPr>
            <w:tcW w:w="1113"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评价标准(</w:t>
            </w:r>
            <w:r>
              <w:rPr>
                <w:rFonts w:hint="eastAsia" w:ascii="Times New Roman" w:hAnsi="Times New Roman" w:cs="宋体"/>
                <w:sz w:val="21"/>
                <w:szCs w:val="21"/>
              </w:rPr>
              <w:t>mg</w:t>
            </w:r>
            <w:r>
              <w:rPr>
                <w:rFonts w:hint="eastAsia" w:hAnsi="宋体" w:cs="宋体"/>
                <w:sz w:val="21"/>
                <w:szCs w:val="21"/>
              </w:rPr>
              <w:t>/</w:t>
            </w:r>
            <w:r>
              <w:rPr>
                <w:rFonts w:hint="eastAsia" w:ascii="Times New Roman" w:hAnsi="Times New Roman" w:cs="宋体"/>
                <w:sz w:val="21"/>
                <w:szCs w:val="21"/>
              </w:rPr>
              <w:t>m</w:t>
            </w:r>
            <w:r>
              <w:rPr>
                <w:rFonts w:hint="eastAsia" w:ascii="Times New Roman" w:hAnsi="Times New Roman" w:cs="宋体"/>
                <w:sz w:val="21"/>
                <w:szCs w:val="21"/>
                <w:vertAlign w:val="superscript"/>
              </w:rPr>
              <w:t>3</w:t>
            </w:r>
            <w:r>
              <w:rPr>
                <w:rFonts w:hint="eastAsia" w:hAnsi="宋体" w:cs="宋体"/>
                <w:sz w:val="21"/>
                <w:szCs w:val="21"/>
              </w:rPr>
              <w:t>)</w:t>
            </w:r>
          </w:p>
        </w:tc>
        <w:tc>
          <w:tcPr>
            <w:tcW w:w="885"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占标率%</w:t>
            </w:r>
          </w:p>
        </w:tc>
        <w:tc>
          <w:tcPr>
            <w:tcW w:w="121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77" w:type="dxa"/>
            <w:noWrap w:val="0"/>
            <w:vAlign w:val="center"/>
          </w:tcPr>
          <w:p>
            <w:pPr>
              <w:spacing w:line="240" w:lineRule="auto"/>
              <w:ind w:firstLine="0" w:firstLineChars="0"/>
              <w:jc w:val="center"/>
              <w:rPr>
                <w:rFonts w:hint="eastAsia"/>
                <w:sz w:val="21"/>
                <w:szCs w:val="21"/>
              </w:rPr>
            </w:pPr>
            <w:r>
              <w:rPr>
                <w:rFonts w:hint="eastAsia"/>
                <w:spacing w:val="-11"/>
                <w:sz w:val="21"/>
                <w:szCs w:val="21"/>
                <w:lang w:eastAsia="zh-CN"/>
              </w:rPr>
              <w:t>牧民新村</w:t>
            </w:r>
          </w:p>
        </w:tc>
        <w:tc>
          <w:tcPr>
            <w:tcW w:w="1060" w:type="dxa"/>
            <w:noWrap w:val="0"/>
            <w:vAlign w:val="center"/>
          </w:tcPr>
          <w:p>
            <w:pPr>
              <w:spacing w:line="240" w:lineRule="auto"/>
              <w:ind w:firstLine="0" w:firstLineChars="0"/>
              <w:jc w:val="center"/>
              <w:rPr>
                <w:rFonts w:hint="eastAsia" w:eastAsia="宋体"/>
                <w:color w:val="auto"/>
                <w:sz w:val="21"/>
                <w:szCs w:val="21"/>
                <w:lang w:val="en-US"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小时</w:t>
            </w:r>
          </w:p>
        </w:tc>
        <w:tc>
          <w:tcPr>
            <w:tcW w:w="1520"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w:t>
            </w:r>
            <w:r>
              <w:rPr>
                <w:rFonts w:hint="eastAsia" w:ascii="Times New Roman" w:hAnsi="Times New Roman"/>
                <w:color w:val="auto"/>
                <w:sz w:val="21"/>
                <w:szCs w:val="21"/>
                <w:lang w:val="en-US" w:eastAsia="zh-CN"/>
              </w:rPr>
              <w:t>06E</w:t>
            </w:r>
            <w:r>
              <w:rPr>
                <w:rFonts w:hint="eastAsia"/>
                <w:color w:val="auto"/>
                <w:sz w:val="21"/>
                <w:szCs w:val="21"/>
                <w:lang w:val="en-US" w:eastAsia="zh-CN"/>
              </w:rPr>
              <w:t>-</w:t>
            </w:r>
            <w:r>
              <w:rPr>
                <w:rFonts w:hint="eastAsia" w:ascii="Times New Roman" w:hAnsi="Times New Roman"/>
                <w:color w:val="auto"/>
                <w:sz w:val="21"/>
                <w:szCs w:val="21"/>
                <w:lang w:val="en-US" w:eastAsia="zh-CN"/>
              </w:rPr>
              <w:t>03</w:t>
            </w:r>
          </w:p>
        </w:tc>
        <w:tc>
          <w:tcPr>
            <w:tcW w:w="1800"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21020112</w:t>
            </w:r>
          </w:p>
        </w:tc>
        <w:tc>
          <w:tcPr>
            <w:tcW w:w="1113"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2</w:t>
            </w:r>
          </w:p>
        </w:tc>
        <w:tc>
          <w:tcPr>
            <w:tcW w:w="885"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53</w:t>
            </w:r>
          </w:p>
        </w:tc>
        <w:tc>
          <w:tcPr>
            <w:tcW w:w="1219" w:type="dxa"/>
            <w:noWrap w:val="0"/>
            <w:vAlign w:val="center"/>
          </w:tcPr>
          <w:p>
            <w:pPr>
              <w:spacing w:line="240" w:lineRule="auto"/>
              <w:ind w:firstLine="0"/>
              <w:jc w:val="center"/>
              <w:rPr>
                <w:rFonts w:hint="eastAsia"/>
                <w:sz w:val="21"/>
                <w:szCs w:val="21"/>
              </w:rPr>
            </w:pPr>
            <w:r>
              <w:rPr>
                <w:rFonts w:hint="eastAsia"/>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77" w:type="dxa"/>
            <w:noWrap w:val="0"/>
            <w:vAlign w:val="center"/>
          </w:tcPr>
          <w:p>
            <w:pPr>
              <w:spacing w:line="240" w:lineRule="auto"/>
              <w:ind w:firstLine="0" w:firstLineChars="0"/>
              <w:jc w:val="center"/>
              <w:rPr>
                <w:rFonts w:hint="eastAsia"/>
                <w:sz w:val="21"/>
                <w:szCs w:val="21"/>
              </w:rPr>
            </w:pPr>
            <w:r>
              <w:rPr>
                <w:rFonts w:hint="eastAsia"/>
                <w:spacing w:val="-11"/>
                <w:sz w:val="21"/>
                <w:szCs w:val="21"/>
                <w:lang w:eastAsia="zh-CN"/>
              </w:rPr>
              <w:t>哈尔扎木村</w:t>
            </w:r>
          </w:p>
        </w:tc>
        <w:tc>
          <w:tcPr>
            <w:tcW w:w="1060" w:type="dxa"/>
            <w:noWrap w:val="0"/>
            <w:vAlign w:val="center"/>
          </w:tcPr>
          <w:p>
            <w:pPr>
              <w:spacing w:line="240" w:lineRule="auto"/>
              <w:ind w:firstLine="0" w:firstLineChars="0"/>
              <w:jc w:val="center"/>
              <w:rPr>
                <w:rFonts w:hint="eastAsia" w:eastAsia="宋体"/>
                <w:color w:val="auto"/>
                <w:sz w:val="21"/>
                <w:szCs w:val="21"/>
                <w:lang w:val="en-US"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小时</w:t>
            </w:r>
          </w:p>
        </w:tc>
        <w:tc>
          <w:tcPr>
            <w:tcW w:w="1520" w:type="dxa"/>
            <w:noWrap w:val="0"/>
            <w:vAlign w:val="center"/>
          </w:tcPr>
          <w:p>
            <w:pPr>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olor w:val="auto"/>
                <w:sz w:val="21"/>
                <w:szCs w:val="21"/>
                <w:lang w:val="en-US" w:eastAsia="zh-CN"/>
              </w:rPr>
              <w:t>3</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44E</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03</w:t>
            </w:r>
          </w:p>
        </w:tc>
        <w:tc>
          <w:tcPr>
            <w:tcW w:w="1800"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21052921</w:t>
            </w:r>
          </w:p>
        </w:tc>
        <w:tc>
          <w:tcPr>
            <w:tcW w:w="1113"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2</w:t>
            </w:r>
          </w:p>
        </w:tc>
        <w:tc>
          <w:tcPr>
            <w:tcW w:w="885"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w:t>
            </w:r>
            <w:r>
              <w:rPr>
                <w:rFonts w:hint="eastAsia" w:ascii="Times New Roman" w:hAnsi="Times New Roman"/>
                <w:color w:val="auto"/>
                <w:sz w:val="21"/>
                <w:szCs w:val="21"/>
                <w:lang w:val="en-US" w:eastAsia="zh-CN"/>
              </w:rPr>
              <w:t>72</w:t>
            </w:r>
          </w:p>
        </w:tc>
        <w:tc>
          <w:tcPr>
            <w:tcW w:w="1219" w:type="dxa"/>
            <w:noWrap w:val="0"/>
            <w:vAlign w:val="center"/>
          </w:tcPr>
          <w:p>
            <w:pPr>
              <w:spacing w:line="240" w:lineRule="auto"/>
              <w:ind w:firstLine="0"/>
              <w:jc w:val="center"/>
              <w:rPr>
                <w:rFonts w:hint="eastAsia"/>
                <w:sz w:val="21"/>
                <w:szCs w:val="21"/>
              </w:rPr>
            </w:pPr>
            <w:r>
              <w:rPr>
                <w:rFonts w:hint="eastAsia"/>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77" w:type="dxa"/>
            <w:noWrap w:val="0"/>
            <w:vAlign w:val="center"/>
          </w:tcPr>
          <w:p>
            <w:pPr>
              <w:spacing w:line="240" w:lineRule="auto"/>
              <w:ind w:firstLine="0" w:firstLineChars="0"/>
              <w:jc w:val="center"/>
              <w:rPr>
                <w:rFonts w:hint="eastAsia"/>
                <w:sz w:val="21"/>
                <w:szCs w:val="21"/>
                <w:lang w:eastAsia="zh-CN"/>
              </w:rPr>
            </w:pPr>
            <w:r>
              <w:rPr>
                <w:rFonts w:hint="eastAsia"/>
                <w:spacing w:val="-11"/>
                <w:sz w:val="21"/>
                <w:szCs w:val="21"/>
                <w:lang w:eastAsia="zh-CN"/>
              </w:rPr>
              <w:t>园区办公室</w:t>
            </w:r>
          </w:p>
        </w:tc>
        <w:tc>
          <w:tcPr>
            <w:tcW w:w="1060" w:type="dxa"/>
            <w:noWrap w:val="0"/>
            <w:vAlign w:val="center"/>
          </w:tcPr>
          <w:p>
            <w:pPr>
              <w:spacing w:line="240" w:lineRule="auto"/>
              <w:ind w:firstLine="0" w:firstLineChars="0"/>
              <w:jc w:val="center"/>
              <w:rPr>
                <w:rFonts w:hint="default"/>
                <w:color w:val="auto"/>
                <w:sz w:val="21"/>
                <w:szCs w:val="21"/>
                <w:lang w:val="en-US"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小时</w:t>
            </w:r>
          </w:p>
        </w:tc>
        <w:tc>
          <w:tcPr>
            <w:tcW w:w="1520" w:type="dxa"/>
            <w:noWrap w:val="0"/>
            <w:vAlign w:val="center"/>
          </w:tcPr>
          <w:p>
            <w:pPr>
              <w:spacing w:line="240" w:lineRule="auto"/>
              <w:ind w:firstLine="0"/>
              <w:jc w:val="center"/>
              <w:rPr>
                <w:rFonts w:hint="default" w:ascii="Times New Roman"/>
                <w:color w:val="auto"/>
                <w:sz w:val="21"/>
                <w:szCs w:val="21"/>
                <w:lang w:val="en-US" w:eastAsia="zh-CN"/>
              </w:rPr>
            </w:pPr>
            <w:r>
              <w:rPr>
                <w:rFonts w:hint="eastAsia" w:ascii="Times New Roman" w:hAnsi="Times New Roman"/>
                <w:color w:val="auto"/>
                <w:sz w:val="21"/>
                <w:szCs w:val="21"/>
                <w:lang w:val="en-US" w:eastAsia="zh-CN"/>
              </w:rPr>
              <w:t>3</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04E</w:t>
            </w: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03</w:t>
            </w:r>
          </w:p>
        </w:tc>
        <w:tc>
          <w:tcPr>
            <w:tcW w:w="1800" w:type="dxa"/>
            <w:noWrap w:val="0"/>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21042807</w:t>
            </w:r>
          </w:p>
        </w:tc>
        <w:tc>
          <w:tcPr>
            <w:tcW w:w="1113" w:type="dxa"/>
            <w:noWrap w:val="0"/>
            <w:vAlign w:val="center"/>
          </w:tcPr>
          <w:p>
            <w:pPr>
              <w:spacing w:line="240" w:lineRule="auto"/>
              <w:ind w:firstLine="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0</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2</w:t>
            </w:r>
          </w:p>
        </w:tc>
        <w:tc>
          <w:tcPr>
            <w:tcW w:w="885" w:type="dxa"/>
            <w:noWrap w:val="0"/>
            <w:vAlign w:val="center"/>
          </w:tcPr>
          <w:p>
            <w:pPr>
              <w:spacing w:line="240" w:lineRule="auto"/>
              <w:ind w:firstLine="0"/>
              <w:jc w:val="center"/>
              <w:rPr>
                <w:rFonts w:hint="default"/>
                <w:color w:val="auto"/>
                <w:sz w:val="21"/>
                <w:szCs w:val="21"/>
                <w:lang w:val="en-US"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w:t>
            </w:r>
            <w:r>
              <w:rPr>
                <w:rFonts w:hint="eastAsia" w:ascii="Times New Roman" w:hAnsi="Times New Roman"/>
                <w:color w:val="auto"/>
                <w:sz w:val="21"/>
                <w:szCs w:val="21"/>
                <w:lang w:val="en-US" w:eastAsia="zh-CN"/>
              </w:rPr>
              <w:t>52</w:t>
            </w:r>
          </w:p>
        </w:tc>
        <w:tc>
          <w:tcPr>
            <w:tcW w:w="1219" w:type="dxa"/>
            <w:noWrap w:val="0"/>
            <w:vAlign w:val="center"/>
          </w:tcPr>
          <w:p>
            <w:pPr>
              <w:spacing w:line="240" w:lineRule="auto"/>
              <w:ind w:firstLine="0"/>
              <w:jc w:val="center"/>
              <w:rPr>
                <w:rFonts w:hint="eastAsia" w:eastAsia="宋体"/>
                <w:sz w:val="21"/>
                <w:szCs w:val="21"/>
                <w:lang w:eastAsia="zh-CN"/>
              </w:rPr>
            </w:pPr>
            <w:r>
              <w:rPr>
                <w:rFonts w:hint="eastAsia"/>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77" w:type="dxa"/>
            <w:noWrap w:val="0"/>
            <w:vAlign w:val="center"/>
          </w:tcPr>
          <w:p>
            <w:pPr>
              <w:spacing w:line="240" w:lineRule="auto"/>
              <w:ind w:firstLine="0" w:firstLineChars="0"/>
              <w:jc w:val="center"/>
              <w:rPr>
                <w:rFonts w:hint="eastAsia"/>
                <w:sz w:val="21"/>
                <w:szCs w:val="21"/>
              </w:rPr>
            </w:pPr>
            <w:r>
              <w:rPr>
                <w:rFonts w:hint="eastAsia"/>
                <w:spacing w:val="-11"/>
                <w:sz w:val="21"/>
                <w:szCs w:val="21"/>
              </w:rPr>
              <w:t>网格</w:t>
            </w:r>
          </w:p>
        </w:tc>
        <w:tc>
          <w:tcPr>
            <w:tcW w:w="1060" w:type="dxa"/>
            <w:noWrap w:val="0"/>
            <w:vAlign w:val="center"/>
          </w:tcPr>
          <w:p>
            <w:pPr>
              <w:spacing w:line="240" w:lineRule="auto"/>
              <w:ind w:firstLine="0" w:firstLineChars="0"/>
              <w:jc w:val="center"/>
              <w:rPr>
                <w:rFonts w:hint="eastAsia" w:eastAsia="宋体"/>
                <w:color w:val="auto"/>
                <w:sz w:val="21"/>
                <w:szCs w:val="21"/>
                <w:lang w:val="en-US" w:eastAsia="zh-CN"/>
              </w:rPr>
            </w:pPr>
            <w:r>
              <w:rPr>
                <w:rFonts w:hint="eastAsia" w:ascii="Times New Roman" w:hAnsi="Times New Roman"/>
                <w:color w:val="auto"/>
                <w:sz w:val="21"/>
                <w:szCs w:val="21"/>
                <w:lang w:val="en-US" w:eastAsia="zh-CN"/>
              </w:rPr>
              <w:t>1</w:t>
            </w:r>
            <w:r>
              <w:rPr>
                <w:rFonts w:hint="eastAsia"/>
                <w:color w:val="auto"/>
                <w:sz w:val="21"/>
                <w:szCs w:val="21"/>
                <w:lang w:val="en-US" w:eastAsia="zh-CN"/>
              </w:rPr>
              <w:t>小时</w:t>
            </w:r>
          </w:p>
        </w:tc>
        <w:tc>
          <w:tcPr>
            <w:tcW w:w="1520"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3</w:t>
            </w:r>
            <w:r>
              <w:rPr>
                <w:rFonts w:hint="eastAsia"/>
                <w:color w:val="auto"/>
                <w:sz w:val="21"/>
                <w:szCs w:val="21"/>
                <w:lang w:val="en-US" w:eastAsia="zh-CN"/>
              </w:rPr>
              <w:t>.</w:t>
            </w:r>
            <w:r>
              <w:rPr>
                <w:rFonts w:hint="eastAsia" w:ascii="Times New Roman" w:hAnsi="Times New Roman"/>
                <w:color w:val="auto"/>
                <w:sz w:val="21"/>
                <w:szCs w:val="21"/>
                <w:lang w:val="en-US" w:eastAsia="zh-CN"/>
              </w:rPr>
              <w:t>27E</w:t>
            </w:r>
            <w:r>
              <w:rPr>
                <w:rFonts w:hint="eastAsia"/>
                <w:color w:val="auto"/>
                <w:sz w:val="21"/>
                <w:szCs w:val="21"/>
                <w:lang w:val="en-US" w:eastAsia="zh-CN"/>
              </w:rPr>
              <w:t>-</w:t>
            </w:r>
            <w:r>
              <w:rPr>
                <w:rFonts w:hint="eastAsia" w:ascii="Times New Roman" w:hAnsi="Times New Roman"/>
                <w:color w:val="auto"/>
                <w:sz w:val="21"/>
                <w:szCs w:val="21"/>
                <w:lang w:val="en-US" w:eastAsia="zh-CN"/>
              </w:rPr>
              <w:t>02</w:t>
            </w:r>
          </w:p>
        </w:tc>
        <w:tc>
          <w:tcPr>
            <w:tcW w:w="1800"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21100419</w:t>
            </w:r>
          </w:p>
        </w:tc>
        <w:tc>
          <w:tcPr>
            <w:tcW w:w="1113"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0</w:t>
            </w:r>
            <w:r>
              <w:rPr>
                <w:rFonts w:hint="eastAsia"/>
                <w:color w:val="auto"/>
                <w:sz w:val="21"/>
                <w:szCs w:val="21"/>
                <w:lang w:val="en-US" w:eastAsia="zh-CN"/>
              </w:rPr>
              <w:t>.</w:t>
            </w:r>
            <w:r>
              <w:rPr>
                <w:rFonts w:hint="eastAsia" w:ascii="Times New Roman" w:hAnsi="Times New Roman"/>
                <w:color w:val="auto"/>
                <w:sz w:val="21"/>
                <w:szCs w:val="21"/>
                <w:lang w:val="en-US" w:eastAsia="zh-CN"/>
              </w:rPr>
              <w:t>2</w:t>
            </w:r>
          </w:p>
        </w:tc>
        <w:tc>
          <w:tcPr>
            <w:tcW w:w="885" w:type="dxa"/>
            <w:noWrap w:val="0"/>
            <w:vAlign w:val="center"/>
          </w:tcPr>
          <w:p>
            <w:pPr>
              <w:spacing w:line="240" w:lineRule="auto"/>
              <w:ind w:firstLine="0"/>
              <w:jc w:val="center"/>
              <w:rPr>
                <w:rFonts w:hint="default" w:eastAsia="宋体"/>
                <w:color w:val="auto"/>
                <w:sz w:val="21"/>
                <w:szCs w:val="21"/>
                <w:lang w:val="en-US" w:eastAsia="zh-CN"/>
              </w:rPr>
            </w:pPr>
            <w:r>
              <w:rPr>
                <w:rFonts w:hint="eastAsia" w:ascii="Times New Roman" w:hAnsi="Times New Roman"/>
                <w:color w:val="auto"/>
                <w:sz w:val="21"/>
                <w:szCs w:val="21"/>
                <w:lang w:val="en-US" w:eastAsia="zh-CN"/>
              </w:rPr>
              <w:t>16</w:t>
            </w:r>
            <w:r>
              <w:rPr>
                <w:rFonts w:hint="eastAsia"/>
                <w:color w:val="auto"/>
                <w:sz w:val="21"/>
                <w:szCs w:val="21"/>
                <w:lang w:val="en-US" w:eastAsia="zh-CN"/>
              </w:rPr>
              <w:t>.</w:t>
            </w:r>
            <w:r>
              <w:rPr>
                <w:rFonts w:hint="eastAsia" w:ascii="Times New Roman" w:hAnsi="Times New Roman"/>
                <w:color w:val="auto"/>
                <w:sz w:val="21"/>
                <w:szCs w:val="21"/>
                <w:lang w:val="en-US" w:eastAsia="zh-CN"/>
              </w:rPr>
              <w:t>36</w:t>
            </w:r>
          </w:p>
        </w:tc>
        <w:tc>
          <w:tcPr>
            <w:tcW w:w="1219" w:type="dxa"/>
            <w:noWrap w:val="0"/>
            <w:vAlign w:val="center"/>
          </w:tcPr>
          <w:p>
            <w:pPr>
              <w:spacing w:line="240" w:lineRule="auto"/>
              <w:ind w:firstLine="0"/>
              <w:jc w:val="center"/>
              <w:rPr>
                <w:rFonts w:hint="eastAsia"/>
                <w:sz w:val="21"/>
                <w:szCs w:val="21"/>
              </w:rPr>
            </w:pPr>
            <w:r>
              <w:rPr>
                <w:rFonts w:hint="eastAsia"/>
                <w:sz w:val="21"/>
                <w:szCs w:val="21"/>
              </w:rPr>
              <w:t>达标</w:t>
            </w:r>
          </w:p>
        </w:tc>
      </w:tr>
    </w:tbl>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0"/>
        <w:bidi w:val="0"/>
      </w:pPr>
      <w:r>
        <w:rPr>
          <w:rFonts w:hint="eastAsia"/>
        </w:rPr>
        <w:t>图</w:t>
      </w: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4</w:t>
      </w:r>
      <w:r>
        <w:rPr>
          <w:rFonts w:hint="eastAsia"/>
        </w:rPr>
        <w:t xml:space="preserve">  </w:t>
      </w:r>
      <w:r>
        <w:rPr>
          <w:rFonts w:hint="eastAsia" w:ascii="Times New Roman" w:hAnsi="Times New Roman"/>
          <w:lang w:val="en-US" w:eastAsia="zh-CN"/>
        </w:rPr>
        <w:t>NMHC</w:t>
      </w:r>
      <w:r>
        <w:rPr>
          <w:rFonts w:hint="eastAsia"/>
        </w:rPr>
        <w:t>最大小时贡献浓度等值线图（</w:t>
      </w:r>
      <w:r>
        <w:rPr>
          <w:rFonts w:hint="eastAsia" w:ascii="Times New Roman" w:hAnsi="Times New Roman"/>
          <w:lang w:val="en-US" w:eastAsia="zh-CN"/>
        </w:rPr>
        <w:t>m</w:t>
      </w:r>
      <w:r>
        <w:rPr>
          <w:rFonts w:hint="eastAsia" w:ascii="Times New Roman" w:hAnsi="Times New Roman"/>
        </w:rPr>
        <w:t>g</w:t>
      </w:r>
      <w:r>
        <w:rPr>
          <w:rFonts w:hint="eastAsia"/>
        </w:rPr>
        <w:t>/</w:t>
      </w:r>
      <w:r>
        <w:rPr>
          <w:rFonts w:hint="eastAsia" w:ascii="Times New Roman" w:hAnsi="Times New Roman"/>
        </w:rPr>
        <w:t>m</w:t>
      </w:r>
      <w:r>
        <w:rPr>
          <w:rFonts w:hint="eastAsia"/>
        </w:rPr>
        <w:t>³</w:t>
      </w:r>
      <w:r>
        <w:rPr>
          <w:rFonts w:ascii="宋体" w:hAnsi="宋体" w:eastAsia="宋体" w:cs="宋体"/>
          <w:kern w:val="0"/>
          <w:sz w:val="24"/>
          <w:szCs w:val="24"/>
          <w:lang w:val="en-US" w:eastAsia="zh-CN" w:bidi="ar"/>
        </w:rPr>
        <w:drawing>
          <wp:anchor distT="0" distB="0" distL="114300" distR="114300" simplePos="0" relativeHeight="251689984" behindDoc="0" locked="0" layoutInCell="1" allowOverlap="1">
            <wp:simplePos x="0" y="0"/>
            <wp:positionH relativeFrom="column">
              <wp:posOffset>306070</wp:posOffset>
            </wp:positionH>
            <wp:positionV relativeFrom="paragraph">
              <wp:posOffset>81915</wp:posOffset>
            </wp:positionV>
            <wp:extent cx="5092700" cy="3607435"/>
            <wp:effectExtent l="0" t="0" r="12700" b="12065"/>
            <wp:wrapTopAndBottom/>
            <wp:docPr id="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6"/>
                    <pic:cNvPicPr>
                      <a:picLocks noChangeAspect="1"/>
                    </pic:cNvPicPr>
                  </pic:nvPicPr>
                  <pic:blipFill>
                    <a:blip r:embed="rId67"/>
                    <a:stretch>
                      <a:fillRect/>
                    </a:stretch>
                  </pic:blipFill>
                  <pic:spPr>
                    <a:xfrm>
                      <a:off x="0" y="0"/>
                      <a:ext cx="5092700" cy="3607435"/>
                    </a:xfrm>
                    <a:prstGeom prst="rect">
                      <a:avLst/>
                    </a:prstGeom>
                    <a:noFill/>
                    <a:ln w="9525">
                      <a:noFill/>
                    </a:ln>
                  </pic:spPr>
                </pic:pic>
              </a:graphicData>
            </a:graphic>
          </wp:anchor>
        </w:drawing>
      </w:r>
      <w:r>
        <w:rPr>
          <w:rFonts w:hint="eastAsia"/>
          <w:lang w:eastAsia="zh-CN"/>
        </w:rPr>
        <w:t>）</w:t>
      </w:r>
    </w:p>
    <w:p>
      <w:pPr>
        <w:keepNext w:val="0"/>
        <w:keepLines w:val="0"/>
        <w:widowControl/>
        <w:suppressLineNumbers w:val="0"/>
        <w:jc w:val="left"/>
      </w:pPr>
    </w:p>
    <w:p>
      <w:pPr>
        <w:pStyle w:val="20"/>
        <w:bidi w:val="0"/>
        <w:rPr>
          <w:rFonts w:hint="default"/>
          <w:lang w:val="en-US" w:eastAsia="zh-CN"/>
        </w:rPr>
      </w:pPr>
      <w:r>
        <w:rPr>
          <w:rFonts w:hint="eastAsia"/>
        </w:rPr>
        <w:t>图</w:t>
      </w: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5</w:t>
      </w:r>
      <w:r>
        <w:rPr>
          <w:rFonts w:hint="eastAsia"/>
        </w:rPr>
        <w:t xml:space="preserve">  </w:t>
      </w:r>
      <w:r>
        <w:rPr>
          <w:rFonts w:hint="eastAsia" w:ascii="Times New Roman" w:hAnsi="Times New Roman"/>
          <w:lang w:val="en-US" w:eastAsia="zh-CN"/>
        </w:rPr>
        <w:t>NH</w:t>
      </w:r>
      <w:r>
        <w:rPr>
          <w:rStyle w:val="97"/>
          <w:rFonts w:hint="eastAsia" w:ascii="Times New Roman" w:hAnsi="Times New Roman"/>
          <w:b/>
          <w:bCs w:val="0"/>
          <w:vertAlign w:val="subscript"/>
          <w:lang w:val="en-US" w:eastAsia="zh-CN"/>
        </w:rPr>
        <w:t>3</w:t>
      </w:r>
      <w:r>
        <w:rPr>
          <w:rFonts w:hint="eastAsia"/>
        </w:rPr>
        <w:t>最大小时贡献浓度等值线图（</w:t>
      </w:r>
      <w:r>
        <w:rPr>
          <w:rFonts w:hint="eastAsia" w:ascii="Times New Roman" w:hAnsi="Times New Roman"/>
          <w:lang w:val="en-US" w:eastAsia="zh-CN"/>
        </w:rPr>
        <w:t>μ</w:t>
      </w:r>
      <w:r>
        <w:rPr>
          <w:rFonts w:hint="eastAsia" w:ascii="Times New Roman" w:hAnsi="Times New Roman"/>
        </w:rPr>
        <w:t>g</w:t>
      </w:r>
      <w:r>
        <w:rPr>
          <w:rFonts w:hint="eastAsia"/>
        </w:rPr>
        <w:t>/</w:t>
      </w:r>
      <w:r>
        <w:rPr>
          <w:rFonts w:hint="eastAsia" w:ascii="Times New Roman" w:hAnsi="Times New Roman"/>
        </w:rPr>
        <w:t>m</w:t>
      </w:r>
      <w:r>
        <w:rPr>
          <w:rFonts w:hint="eastAsia"/>
        </w:rPr>
        <w:t>³</w:t>
      </w:r>
      <w:r>
        <w:rPr>
          <w:rFonts w:hint="eastAsia"/>
          <w:lang w:eastAsia="zh-CN"/>
        </w:rPr>
        <w:t>）</w:t>
      </w:r>
      <w:r>
        <w:rPr>
          <w:rFonts w:ascii="宋体" w:hAnsi="宋体" w:eastAsia="宋体" w:cs="宋体"/>
          <w:kern w:val="0"/>
          <w:sz w:val="24"/>
          <w:szCs w:val="24"/>
          <w:lang w:val="en-US" w:eastAsia="zh-CN" w:bidi="ar"/>
        </w:rPr>
        <w:drawing>
          <wp:anchor distT="0" distB="0" distL="114300" distR="114300" simplePos="0" relativeHeight="251691008" behindDoc="0" locked="0" layoutInCell="1" allowOverlap="1">
            <wp:simplePos x="0" y="0"/>
            <wp:positionH relativeFrom="column">
              <wp:posOffset>263525</wp:posOffset>
            </wp:positionH>
            <wp:positionV relativeFrom="page">
              <wp:posOffset>5312410</wp:posOffset>
            </wp:positionV>
            <wp:extent cx="5123180" cy="3709670"/>
            <wp:effectExtent l="0" t="0" r="1270" b="5080"/>
            <wp:wrapTopAndBottom/>
            <wp:docPr id="2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56"/>
                    <pic:cNvPicPr>
                      <a:picLocks noChangeAspect="1"/>
                    </pic:cNvPicPr>
                  </pic:nvPicPr>
                  <pic:blipFill>
                    <a:blip r:embed="rId68"/>
                    <a:stretch>
                      <a:fillRect/>
                    </a:stretch>
                  </pic:blipFill>
                  <pic:spPr>
                    <a:xfrm>
                      <a:off x="0" y="0"/>
                      <a:ext cx="5123180" cy="3709670"/>
                    </a:xfrm>
                    <a:prstGeom prst="rect">
                      <a:avLst/>
                    </a:prstGeom>
                    <a:noFill/>
                    <a:ln w="9525">
                      <a:noFill/>
                    </a:ln>
                  </pic:spPr>
                </pic:pic>
              </a:graphicData>
            </a:graphic>
          </wp:anchor>
        </w:drawing>
      </w:r>
    </w:p>
    <w:p>
      <w:pPr>
        <w:bidi w:val="0"/>
        <w:rPr>
          <w:rFonts w:hint="eastAsia" w:eastAsia="宋体"/>
          <w:color w:val="000000"/>
          <w:lang w:eastAsia="zh-CN"/>
        </w:rPr>
      </w:pPr>
      <w:r>
        <w:rPr>
          <w:rFonts w:hint="eastAsia"/>
          <w:color w:val="000000"/>
          <w:lang w:eastAsia="zh-CN"/>
        </w:rPr>
        <w:t>（</w:t>
      </w:r>
      <w:r>
        <w:rPr>
          <w:rFonts w:hint="eastAsia" w:ascii="Times New Roman" w:hAnsi="Times New Roman"/>
          <w:color w:val="000000"/>
          <w:lang w:val="en-US" w:eastAsia="zh-CN"/>
        </w:rPr>
        <w:t>2</w:t>
      </w:r>
      <w:r>
        <w:rPr>
          <w:rFonts w:hint="eastAsia"/>
          <w:color w:val="000000"/>
          <w:lang w:eastAsia="zh-CN"/>
        </w:rPr>
        <w:t>）叠加背景值后预测结果分析</w:t>
      </w:r>
    </w:p>
    <w:p>
      <w:pPr>
        <w:keepNext w:val="0"/>
        <w:keepLines w:val="0"/>
        <w:widowControl/>
        <w:suppressLineNumbers w:val="0"/>
        <w:jc w:val="left"/>
      </w:pPr>
      <w:r>
        <w:rPr>
          <w:rFonts w:hint="eastAsia"/>
          <w:lang w:val="en-US" w:eastAsia="zh-CN"/>
        </w:rPr>
        <w:t>根据叠加值=现状值+贡献值-削减源，考虑了</w:t>
      </w:r>
      <w:r>
        <w:rPr>
          <w:rFonts w:hint="eastAsia" w:ascii="Times New Roman" w:hAnsi="Times New Roman"/>
          <w:lang w:val="en-US" w:eastAsia="zh-CN"/>
        </w:rPr>
        <w:t>PA</w:t>
      </w:r>
      <w:r>
        <w:rPr>
          <w:rFonts w:hint="eastAsia"/>
          <w:lang w:val="en-US" w:eastAsia="zh-CN"/>
        </w:rPr>
        <w:t>车间削减排放源和现状值，预测结果见表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16</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17</w:t>
      </w:r>
      <w:r>
        <w:rPr>
          <w:rFonts w:hint="eastAsia"/>
          <w:lang w:val="en-US" w:eastAsia="zh-CN"/>
        </w:rPr>
        <w:t>。</w:t>
      </w:r>
    </w:p>
    <w:p>
      <w:pPr>
        <w:pStyle w:val="20"/>
        <w:spacing w:before="0" w:beforeLines="0"/>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lang w:val="en-US" w:eastAsia="zh-CN"/>
        </w:rPr>
        <w:t>16</w:t>
      </w:r>
      <w:r>
        <w:rPr>
          <w:rFonts w:hint="eastAsia"/>
          <w:color w:val="auto"/>
        </w:rPr>
        <w:t xml:space="preserve">  </w:t>
      </w:r>
      <w:r>
        <w:rPr>
          <w:rFonts w:hint="eastAsia" w:ascii="Times New Roman" w:hAnsi="Times New Roman"/>
          <w:color w:val="auto"/>
          <w:lang w:val="en-US" w:eastAsia="zh-CN"/>
        </w:rPr>
        <w:t>NMHC</w:t>
      </w:r>
      <w:r>
        <w:rPr>
          <w:rFonts w:hint="eastAsia" w:ascii="Times New Roman" w:hAnsi="Times New Roman"/>
          <w:color w:val="auto"/>
          <w:lang w:val="en-US" w:eastAsia="zh-CN"/>
        </w:rPr>
        <w:t>叠加后环境质量</w:t>
      </w:r>
      <w:r>
        <w:rPr>
          <w:rFonts w:hint="eastAsia" w:ascii="Times New Roman" w:hAnsi="Times New Roman"/>
          <w:color w:val="auto"/>
        </w:rPr>
        <w:t>浓度</w:t>
      </w:r>
      <w:r>
        <w:rPr>
          <w:rFonts w:hint="eastAsia"/>
          <w:color w:val="auto"/>
        </w:rPr>
        <w:t>预测结果</w:t>
      </w:r>
      <w:r>
        <w:rPr>
          <w:rFonts w:hint="eastAsia"/>
          <w:color w:val="auto"/>
          <w:lang w:val="en-US" w:eastAsia="zh-CN"/>
        </w:rPr>
        <w:t>统计</w:t>
      </w:r>
      <w:r>
        <w:rPr>
          <w:rFonts w:hint="eastAsia"/>
          <w:color w:val="auto"/>
        </w:rPr>
        <w:t>表</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717"/>
        <w:gridCol w:w="1667"/>
        <w:gridCol w:w="1016"/>
        <w:gridCol w:w="1184"/>
        <w:gridCol w:w="1183"/>
        <w:gridCol w:w="1000"/>
        <w:gridCol w:w="817"/>
        <w:gridCol w:w="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4"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预测点</w:t>
            </w:r>
          </w:p>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名称</w:t>
            </w:r>
          </w:p>
        </w:tc>
        <w:tc>
          <w:tcPr>
            <w:tcW w:w="717"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浓度类型</w:t>
            </w:r>
          </w:p>
        </w:tc>
        <w:tc>
          <w:tcPr>
            <w:tcW w:w="1667"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出现时间(</w:t>
            </w:r>
            <w:r>
              <w:rPr>
                <w:rFonts w:hint="eastAsia" w:ascii="Times New Roman" w:hAnsi="Times New Roman" w:cs="宋体"/>
                <w:color w:val="auto"/>
                <w:spacing w:val="-11"/>
                <w:w w:val="100"/>
                <w:sz w:val="21"/>
                <w:szCs w:val="21"/>
              </w:rPr>
              <w:t>YYMMDDHH</w:t>
            </w:r>
            <w:r>
              <w:rPr>
                <w:rFonts w:hint="eastAsia" w:hAnsi="宋体" w:cs="宋体"/>
                <w:color w:val="auto"/>
                <w:spacing w:val="-11"/>
                <w:w w:val="100"/>
                <w:sz w:val="21"/>
                <w:szCs w:val="21"/>
              </w:rPr>
              <w:t>)</w:t>
            </w:r>
          </w:p>
        </w:tc>
        <w:tc>
          <w:tcPr>
            <w:tcW w:w="1016"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hAnsi="宋体" w:cs="宋体"/>
                <w:color w:val="auto"/>
                <w:spacing w:val="-11"/>
                <w:w w:val="100"/>
                <w:sz w:val="21"/>
                <w:szCs w:val="21"/>
                <w:lang w:eastAsia="zh-CN"/>
              </w:rPr>
              <w:t>贡献值</w:t>
            </w:r>
          </w:p>
          <w:p>
            <w:pPr>
              <w:spacing w:line="240" w:lineRule="auto"/>
              <w:ind w:firstLine="0"/>
              <w:jc w:val="center"/>
              <w:rPr>
                <w:rFonts w:hint="eastAsia" w:hAnsi="宋体" w:eastAsia="宋体" w:cs="宋体"/>
                <w:color w:val="auto"/>
                <w:spacing w:val="-11"/>
                <w:w w:val="100"/>
                <w:sz w:val="21"/>
                <w:szCs w:val="21"/>
                <w:lang w:eastAsia="zh-CN"/>
              </w:rPr>
            </w:pPr>
            <w:r>
              <w:rPr>
                <w:rFonts w:hint="eastAsia" w:hAnsi="宋体" w:cs="宋体"/>
                <w:color w:val="auto"/>
                <w:spacing w:val="-11"/>
                <w:w w:val="100"/>
                <w:sz w:val="21"/>
                <w:szCs w:val="21"/>
                <w:lang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r>
              <w:rPr>
                <w:rFonts w:hint="eastAsia" w:hAnsi="宋体" w:cs="宋体"/>
                <w:color w:val="auto"/>
                <w:spacing w:val="-11"/>
                <w:w w:val="100"/>
                <w:sz w:val="21"/>
                <w:szCs w:val="21"/>
                <w:lang w:eastAsia="zh-CN"/>
              </w:rPr>
              <w:t>）</w:t>
            </w:r>
          </w:p>
        </w:tc>
        <w:tc>
          <w:tcPr>
            <w:tcW w:w="1184"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cs="宋体"/>
                <w:color w:val="auto"/>
                <w:spacing w:val="-11"/>
                <w:w w:val="100"/>
                <w:sz w:val="21"/>
                <w:szCs w:val="21"/>
                <w:lang w:eastAsia="zh-CN"/>
              </w:rPr>
              <w:t>背景</w:t>
            </w:r>
            <w:r>
              <w:rPr>
                <w:rFonts w:hint="eastAsia" w:hAnsi="宋体" w:cs="宋体"/>
                <w:color w:val="auto"/>
                <w:spacing w:val="-11"/>
                <w:w w:val="100"/>
                <w:sz w:val="21"/>
                <w:szCs w:val="21"/>
                <w:lang w:eastAsia="zh-CN"/>
              </w:rPr>
              <w:t>浓度</w:t>
            </w:r>
          </w:p>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p>
        </w:tc>
        <w:tc>
          <w:tcPr>
            <w:tcW w:w="1183" w:type="dxa"/>
            <w:vAlign w:val="center"/>
          </w:tcPr>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rPr>
              <w:t>叠加后的浓度（</w:t>
            </w:r>
            <w:r>
              <w:rPr>
                <w:rFonts w:hint="eastAsia" w:ascii="Times New Roman" w:hAnsi="Times New Roman" w:cs="宋体"/>
                <w:color w:val="auto"/>
                <w:spacing w:val="-11"/>
                <w:w w:val="100"/>
                <w:sz w:val="21"/>
                <w:szCs w:val="21"/>
              </w:rPr>
              <w:t>mg</w:t>
            </w:r>
            <w:r>
              <w:rPr>
                <w:rFonts w:hint="eastAsia" w:hAnsi="宋体" w:cs="宋体"/>
                <w:color w:val="auto"/>
                <w:spacing w:val="-11"/>
                <w:w w:val="100"/>
                <w:sz w:val="21"/>
                <w:szCs w:val="21"/>
              </w:rPr>
              <w:t>/</w:t>
            </w:r>
            <w:r>
              <w:rPr>
                <w:rFonts w:hint="eastAsia" w:ascii="Times New Roman" w:hAnsi="Times New Roman" w:cs="宋体"/>
                <w:color w:val="auto"/>
                <w:spacing w:val="-11"/>
                <w:w w:val="100"/>
                <w:sz w:val="21"/>
                <w:szCs w:val="21"/>
              </w:rPr>
              <w:t>m</w:t>
            </w:r>
            <w:r>
              <w:rPr>
                <w:rFonts w:hint="eastAsia" w:hAnsi="宋体" w:cs="宋体"/>
                <w:color w:val="auto"/>
                <w:spacing w:val="-11"/>
                <w:w w:val="100"/>
                <w:sz w:val="21"/>
                <w:szCs w:val="21"/>
              </w:rPr>
              <w:t>³）</w:t>
            </w:r>
          </w:p>
        </w:tc>
        <w:tc>
          <w:tcPr>
            <w:tcW w:w="1000" w:type="dxa"/>
            <w:vAlign w:val="center"/>
          </w:tcPr>
          <w:p>
            <w:pPr>
              <w:spacing w:line="240" w:lineRule="auto"/>
              <w:ind w:firstLine="0"/>
              <w:jc w:val="center"/>
              <w:rPr>
                <w:rFonts w:hint="default" w:hAnsi="宋体" w:eastAsia="宋体" w:cs="宋体"/>
                <w:color w:val="auto"/>
                <w:spacing w:val="-11"/>
                <w:w w:val="100"/>
                <w:sz w:val="21"/>
                <w:szCs w:val="21"/>
                <w:lang w:val="en-US" w:eastAsia="zh-CN"/>
              </w:rPr>
            </w:pPr>
            <w:r>
              <w:rPr>
                <w:rFonts w:hint="eastAsia" w:cs="宋体"/>
                <w:color w:val="auto"/>
                <w:spacing w:val="-11"/>
                <w:w w:val="100"/>
                <w:sz w:val="21"/>
                <w:szCs w:val="21"/>
                <w:lang w:val="en-US" w:eastAsia="zh-CN"/>
              </w:rPr>
              <w:t>评价标准（</w:t>
            </w:r>
            <w:r>
              <w:rPr>
                <w:rFonts w:hint="eastAsia" w:ascii="Times New Roman" w:hAnsi="Times New Roman" w:cs="宋体"/>
                <w:color w:val="auto"/>
                <w:spacing w:val="-11"/>
                <w:w w:val="100"/>
                <w:sz w:val="21"/>
                <w:szCs w:val="21"/>
                <w:lang w:val="en-US" w:eastAsia="zh-CN"/>
              </w:rPr>
              <w:t>mg</w:t>
            </w:r>
            <w:r>
              <w:rPr>
                <w:rFonts w:hint="eastAsia"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cs="宋体"/>
                <w:color w:val="auto"/>
                <w:spacing w:val="-11"/>
                <w:w w:val="100"/>
                <w:sz w:val="21"/>
                <w:szCs w:val="21"/>
                <w:lang w:val="en-US" w:eastAsia="zh-CN"/>
              </w:rPr>
              <w:t>³）</w:t>
            </w:r>
          </w:p>
        </w:tc>
        <w:tc>
          <w:tcPr>
            <w:tcW w:w="817"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lang w:eastAsia="zh-CN"/>
              </w:rPr>
              <w:t>叠后</w:t>
            </w:r>
            <w:r>
              <w:rPr>
                <w:rFonts w:hint="eastAsia" w:hAnsi="宋体" w:cs="宋体"/>
                <w:color w:val="auto"/>
                <w:spacing w:val="-11"/>
                <w:w w:val="100"/>
                <w:sz w:val="21"/>
                <w:szCs w:val="21"/>
              </w:rPr>
              <w:t>占标率%</w:t>
            </w:r>
          </w:p>
        </w:tc>
        <w:tc>
          <w:tcPr>
            <w:tcW w:w="644"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4"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spacing w:val="-11"/>
                <w:w w:val="100"/>
                <w:sz w:val="21"/>
                <w:szCs w:val="21"/>
                <w:lang w:eastAsia="zh-CN"/>
              </w:rPr>
              <w:t>牧民新村</w:t>
            </w:r>
          </w:p>
        </w:tc>
        <w:tc>
          <w:tcPr>
            <w:tcW w:w="717" w:type="dxa"/>
            <w:vAlign w:val="center"/>
          </w:tcPr>
          <w:p>
            <w:pPr>
              <w:spacing w:line="240" w:lineRule="auto"/>
              <w:ind w:firstLine="0" w:firstLineChars="0"/>
              <w:jc w:val="center"/>
              <w:rPr>
                <w:rFonts w:hint="eastAsia"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67"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21020112</w:t>
            </w:r>
          </w:p>
        </w:tc>
        <w:tc>
          <w:tcPr>
            <w:tcW w:w="1016"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9</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19E</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04</w:t>
            </w:r>
          </w:p>
        </w:tc>
        <w:tc>
          <w:tcPr>
            <w:tcW w:w="1184"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795</w:t>
            </w:r>
          </w:p>
        </w:tc>
        <w:tc>
          <w:tcPr>
            <w:tcW w:w="1183"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796</w:t>
            </w:r>
          </w:p>
        </w:tc>
        <w:tc>
          <w:tcPr>
            <w:tcW w:w="1000"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ascii="Times New Roman" w:hAnsi="Times New Roman" w:eastAsia="宋体" w:cs="Times New Roman"/>
                <w:spacing w:val="-11"/>
                <w:w w:val="100"/>
                <w:sz w:val="21"/>
                <w:szCs w:val="21"/>
                <w:lang w:val="en-US" w:eastAsia="zh-CN" w:bidi="ar-SA"/>
              </w:rPr>
              <w:t>2</w:t>
            </w:r>
          </w:p>
        </w:tc>
        <w:tc>
          <w:tcPr>
            <w:tcW w:w="817"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39</w:t>
            </w:r>
            <w:r>
              <w:rPr>
                <w:rFonts w:hint="eastAsia"/>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82</w:t>
            </w:r>
          </w:p>
        </w:tc>
        <w:tc>
          <w:tcPr>
            <w:tcW w:w="644"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44" w:type="dxa"/>
            <w:vAlign w:val="center"/>
          </w:tcPr>
          <w:p>
            <w:pPr>
              <w:spacing w:line="240" w:lineRule="auto"/>
              <w:ind w:firstLine="0" w:firstLineChars="0"/>
              <w:jc w:val="center"/>
              <w:rPr>
                <w:rFonts w:hint="eastAsia" w:ascii="宋体" w:hAnsi="宋体" w:eastAsia="宋体" w:cs="Times New Roman"/>
                <w:spacing w:val="-11"/>
                <w:w w:val="100"/>
                <w:sz w:val="21"/>
                <w:szCs w:val="21"/>
                <w:lang w:val="en-US" w:eastAsia="zh-CN" w:bidi="ar-SA"/>
              </w:rPr>
            </w:pPr>
            <w:r>
              <w:rPr>
                <w:rFonts w:hint="eastAsia"/>
                <w:spacing w:val="-11"/>
                <w:w w:val="100"/>
                <w:sz w:val="21"/>
                <w:szCs w:val="21"/>
                <w:lang w:eastAsia="zh-CN"/>
              </w:rPr>
              <w:t>哈尔扎木村</w:t>
            </w:r>
          </w:p>
        </w:tc>
        <w:tc>
          <w:tcPr>
            <w:tcW w:w="717" w:type="dxa"/>
            <w:vAlign w:val="center"/>
          </w:tcPr>
          <w:p>
            <w:pPr>
              <w:spacing w:line="240" w:lineRule="auto"/>
              <w:ind w:firstLine="0" w:firstLineChars="0"/>
              <w:jc w:val="center"/>
              <w:rPr>
                <w:rFonts w:hint="eastAsia" w:ascii="Times New Roman" w:hAnsi="Times New Roman"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67"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21091403</w:t>
            </w:r>
          </w:p>
        </w:tc>
        <w:tc>
          <w:tcPr>
            <w:tcW w:w="1016"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0114</w:t>
            </w:r>
          </w:p>
        </w:tc>
        <w:tc>
          <w:tcPr>
            <w:tcW w:w="1184"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809</w:t>
            </w:r>
          </w:p>
        </w:tc>
        <w:tc>
          <w:tcPr>
            <w:tcW w:w="1183"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820</w:t>
            </w:r>
          </w:p>
        </w:tc>
        <w:tc>
          <w:tcPr>
            <w:tcW w:w="1000"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2</w:t>
            </w:r>
          </w:p>
        </w:tc>
        <w:tc>
          <w:tcPr>
            <w:tcW w:w="817"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41</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01</w:t>
            </w:r>
          </w:p>
        </w:tc>
        <w:tc>
          <w:tcPr>
            <w:tcW w:w="644"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44" w:type="dxa"/>
            <w:vAlign w:val="center"/>
          </w:tcPr>
          <w:p>
            <w:pPr>
              <w:spacing w:line="240" w:lineRule="auto"/>
              <w:ind w:firstLine="0" w:firstLineChars="0"/>
              <w:jc w:val="center"/>
              <w:rPr>
                <w:rFonts w:hint="eastAsia" w:ascii="宋体" w:hAnsi="宋体" w:eastAsia="宋体" w:cs="Times New Roman"/>
                <w:spacing w:val="-11"/>
                <w:w w:val="100"/>
                <w:sz w:val="21"/>
                <w:szCs w:val="21"/>
                <w:lang w:val="en-US" w:eastAsia="zh-CN" w:bidi="ar-SA"/>
              </w:rPr>
            </w:pPr>
            <w:r>
              <w:rPr>
                <w:rFonts w:hint="eastAsia"/>
                <w:spacing w:val="-11"/>
                <w:w w:val="100"/>
                <w:sz w:val="21"/>
                <w:szCs w:val="21"/>
                <w:lang w:eastAsia="zh-CN"/>
              </w:rPr>
              <w:t>园区办公室</w:t>
            </w:r>
          </w:p>
        </w:tc>
        <w:tc>
          <w:tcPr>
            <w:tcW w:w="717"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67"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21081302</w:t>
            </w:r>
          </w:p>
        </w:tc>
        <w:tc>
          <w:tcPr>
            <w:tcW w:w="1016"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00844</w:t>
            </w:r>
          </w:p>
        </w:tc>
        <w:tc>
          <w:tcPr>
            <w:tcW w:w="1184"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836</w:t>
            </w:r>
          </w:p>
        </w:tc>
        <w:tc>
          <w:tcPr>
            <w:tcW w:w="1183"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844</w:t>
            </w:r>
          </w:p>
        </w:tc>
        <w:tc>
          <w:tcPr>
            <w:tcW w:w="1000" w:type="dxa"/>
            <w:vAlign w:val="center"/>
          </w:tcPr>
          <w:p>
            <w:pPr>
              <w:spacing w:line="240" w:lineRule="auto"/>
              <w:ind w:firstLine="0" w:firstLineChars="0"/>
              <w:jc w:val="center"/>
              <w:rPr>
                <w:rFonts w:hint="default" w:ascii="Times New Roman"/>
                <w:spacing w:val="-11"/>
                <w:w w:val="100"/>
                <w:sz w:val="21"/>
                <w:szCs w:val="21"/>
                <w:lang w:val="en-US" w:eastAsia="zh-CN"/>
              </w:rPr>
            </w:pPr>
            <w:r>
              <w:rPr>
                <w:rFonts w:hint="eastAsia" w:ascii="Times New Roman" w:hAnsi="Times New Roman"/>
                <w:spacing w:val="-11"/>
                <w:w w:val="100"/>
                <w:sz w:val="21"/>
                <w:szCs w:val="21"/>
                <w:lang w:val="en-US" w:eastAsia="zh-CN"/>
              </w:rPr>
              <w:t>2</w:t>
            </w:r>
          </w:p>
        </w:tc>
        <w:tc>
          <w:tcPr>
            <w:tcW w:w="817"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42</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21</w:t>
            </w:r>
          </w:p>
        </w:tc>
        <w:tc>
          <w:tcPr>
            <w:tcW w:w="644" w:type="dxa"/>
            <w:vAlign w:val="center"/>
          </w:tcPr>
          <w:p>
            <w:pPr>
              <w:spacing w:line="240" w:lineRule="auto"/>
              <w:ind w:firstLine="0" w:firstLineChars="0"/>
              <w:jc w:val="center"/>
              <w:rPr>
                <w:rFonts w:hint="eastAsia"/>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44"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color w:val="auto"/>
                <w:spacing w:val="-11"/>
                <w:w w:val="100"/>
                <w:sz w:val="21"/>
                <w:szCs w:val="21"/>
                <w:lang w:eastAsia="zh-CN"/>
              </w:rPr>
              <w:t>网格</w:t>
            </w:r>
          </w:p>
        </w:tc>
        <w:tc>
          <w:tcPr>
            <w:tcW w:w="717"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67"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21021907</w:t>
            </w:r>
          </w:p>
        </w:tc>
        <w:tc>
          <w:tcPr>
            <w:tcW w:w="1016"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0293</w:t>
            </w:r>
          </w:p>
        </w:tc>
        <w:tc>
          <w:tcPr>
            <w:tcW w:w="1184"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893</w:t>
            </w:r>
          </w:p>
        </w:tc>
        <w:tc>
          <w:tcPr>
            <w:tcW w:w="1183"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922</w:t>
            </w:r>
          </w:p>
        </w:tc>
        <w:tc>
          <w:tcPr>
            <w:tcW w:w="1000" w:type="dxa"/>
            <w:vAlign w:val="center"/>
          </w:tcPr>
          <w:p>
            <w:pPr>
              <w:spacing w:line="240" w:lineRule="auto"/>
              <w:ind w:firstLine="0" w:firstLineChars="0"/>
              <w:jc w:val="center"/>
              <w:rPr>
                <w:rFonts w:hint="eastAsia"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2</w:t>
            </w:r>
          </w:p>
        </w:tc>
        <w:tc>
          <w:tcPr>
            <w:tcW w:w="817"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46</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09</w:t>
            </w:r>
          </w:p>
        </w:tc>
        <w:tc>
          <w:tcPr>
            <w:tcW w:w="644"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bl>
    <w:p>
      <w:pPr>
        <w:pStyle w:val="20"/>
        <w:spacing w:before="0" w:beforeLines="0"/>
        <w:rPr>
          <w:rFonts w:hint="eastAsia"/>
          <w:color w:val="auto"/>
        </w:rPr>
      </w:pPr>
      <w:r>
        <w:rPr>
          <w:rFonts w:hint="eastAsia"/>
          <w:color w:val="auto"/>
        </w:rPr>
        <w:t>表</w:t>
      </w:r>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2</w:t>
      </w:r>
      <w:r>
        <w:rPr>
          <w:rFonts w:hint="eastAsia"/>
          <w:color w:val="auto"/>
        </w:rPr>
        <w:t>-</w:t>
      </w:r>
      <w:r>
        <w:rPr>
          <w:rFonts w:hint="eastAsia" w:ascii="Times New Roman" w:hAnsi="Times New Roman"/>
          <w:color w:val="auto"/>
          <w:lang w:val="en-US" w:eastAsia="zh-CN"/>
        </w:rPr>
        <w:t>17</w:t>
      </w:r>
      <w:r>
        <w:rPr>
          <w:rFonts w:hint="eastAsia"/>
          <w:color w:val="auto"/>
        </w:rPr>
        <w:t xml:space="preserve">  </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ascii="Times New Roman" w:hAnsi="Times New Roman"/>
          <w:color w:val="auto"/>
          <w:lang w:val="en-US" w:eastAsia="zh-CN"/>
        </w:rPr>
        <w:t>叠加后环境质量</w:t>
      </w:r>
      <w:r>
        <w:rPr>
          <w:rFonts w:hint="eastAsia" w:ascii="Times New Roman" w:hAnsi="Times New Roman"/>
          <w:color w:val="auto"/>
        </w:rPr>
        <w:t>浓度</w:t>
      </w:r>
      <w:r>
        <w:rPr>
          <w:rFonts w:hint="eastAsia"/>
          <w:color w:val="auto"/>
        </w:rPr>
        <w:t>预测结果</w:t>
      </w:r>
      <w:r>
        <w:rPr>
          <w:rFonts w:hint="eastAsia"/>
          <w:color w:val="auto"/>
          <w:lang w:val="en-US" w:eastAsia="zh-CN"/>
        </w:rPr>
        <w:t>统计</w:t>
      </w:r>
      <w:r>
        <w:rPr>
          <w:rFonts w:hint="eastAsia"/>
          <w:color w:val="auto"/>
        </w:rPr>
        <w:t>表</w:t>
      </w:r>
    </w:p>
    <w:tbl>
      <w:tblPr>
        <w:tblStyle w:val="80"/>
        <w:tblW w:w="9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750"/>
        <w:gridCol w:w="1633"/>
        <w:gridCol w:w="1022"/>
        <w:gridCol w:w="1171"/>
        <w:gridCol w:w="1185"/>
        <w:gridCol w:w="1004"/>
        <w:gridCol w:w="862"/>
        <w:gridCol w:w="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11"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预测点</w:t>
            </w:r>
          </w:p>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名称</w:t>
            </w:r>
          </w:p>
        </w:tc>
        <w:tc>
          <w:tcPr>
            <w:tcW w:w="750"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浓度类型</w:t>
            </w:r>
          </w:p>
        </w:tc>
        <w:tc>
          <w:tcPr>
            <w:tcW w:w="1633"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出现时间(</w:t>
            </w:r>
            <w:r>
              <w:rPr>
                <w:rFonts w:hint="eastAsia" w:ascii="Times New Roman" w:hAnsi="Times New Roman" w:cs="宋体"/>
                <w:color w:val="auto"/>
                <w:spacing w:val="-11"/>
                <w:w w:val="100"/>
                <w:sz w:val="21"/>
                <w:szCs w:val="21"/>
              </w:rPr>
              <w:t>YYMMDDHH</w:t>
            </w:r>
            <w:r>
              <w:rPr>
                <w:rFonts w:hint="eastAsia" w:hAnsi="宋体" w:cs="宋体"/>
                <w:color w:val="auto"/>
                <w:spacing w:val="-11"/>
                <w:w w:val="100"/>
                <w:sz w:val="21"/>
                <w:szCs w:val="21"/>
              </w:rPr>
              <w:t>)</w:t>
            </w:r>
          </w:p>
        </w:tc>
        <w:tc>
          <w:tcPr>
            <w:tcW w:w="1022"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hAnsi="宋体" w:cs="宋体"/>
                <w:color w:val="auto"/>
                <w:spacing w:val="-11"/>
                <w:w w:val="100"/>
                <w:sz w:val="21"/>
                <w:szCs w:val="21"/>
                <w:lang w:eastAsia="zh-CN"/>
              </w:rPr>
              <w:t>贡献值</w:t>
            </w:r>
          </w:p>
          <w:p>
            <w:pPr>
              <w:spacing w:line="240" w:lineRule="auto"/>
              <w:ind w:firstLine="0"/>
              <w:jc w:val="center"/>
              <w:rPr>
                <w:rFonts w:hint="eastAsia" w:hAnsi="宋体" w:eastAsia="宋体" w:cs="宋体"/>
                <w:color w:val="auto"/>
                <w:spacing w:val="-11"/>
                <w:w w:val="100"/>
                <w:sz w:val="21"/>
                <w:szCs w:val="21"/>
                <w:lang w:eastAsia="zh-CN"/>
              </w:rPr>
            </w:pPr>
            <w:r>
              <w:rPr>
                <w:rFonts w:hint="eastAsia" w:hAnsi="宋体" w:cs="宋体"/>
                <w:color w:val="auto"/>
                <w:spacing w:val="-11"/>
                <w:w w:val="100"/>
                <w:sz w:val="21"/>
                <w:szCs w:val="21"/>
                <w:lang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r>
              <w:rPr>
                <w:rFonts w:hint="eastAsia" w:hAnsi="宋体" w:cs="宋体"/>
                <w:color w:val="auto"/>
                <w:spacing w:val="-11"/>
                <w:w w:val="100"/>
                <w:sz w:val="21"/>
                <w:szCs w:val="21"/>
                <w:lang w:eastAsia="zh-CN"/>
              </w:rPr>
              <w:t>）</w:t>
            </w:r>
          </w:p>
        </w:tc>
        <w:tc>
          <w:tcPr>
            <w:tcW w:w="1171"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cs="宋体"/>
                <w:color w:val="auto"/>
                <w:spacing w:val="-11"/>
                <w:w w:val="100"/>
                <w:sz w:val="21"/>
                <w:szCs w:val="21"/>
                <w:lang w:eastAsia="zh-CN"/>
              </w:rPr>
              <w:t>背景</w:t>
            </w:r>
            <w:r>
              <w:rPr>
                <w:rFonts w:hint="eastAsia" w:hAnsi="宋体" w:cs="宋体"/>
                <w:color w:val="auto"/>
                <w:spacing w:val="-11"/>
                <w:w w:val="100"/>
                <w:sz w:val="21"/>
                <w:szCs w:val="21"/>
                <w:lang w:eastAsia="zh-CN"/>
              </w:rPr>
              <w:t>浓度</w:t>
            </w:r>
          </w:p>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p>
        </w:tc>
        <w:tc>
          <w:tcPr>
            <w:tcW w:w="1185" w:type="dxa"/>
            <w:vAlign w:val="center"/>
          </w:tcPr>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rPr>
              <w:t>叠加后的浓度（</w:t>
            </w:r>
            <w:r>
              <w:rPr>
                <w:rFonts w:hint="eastAsia" w:ascii="Times New Roman" w:hAnsi="Times New Roman" w:cs="宋体"/>
                <w:color w:val="auto"/>
                <w:spacing w:val="-11"/>
                <w:w w:val="100"/>
                <w:sz w:val="21"/>
                <w:szCs w:val="21"/>
              </w:rPr>
              <w:t>mg</w:t>
            </w:r>
            <w:r>
              <w:rPr>
                <w:rFonts w:hint="eastAsia" w:hAnsi="宋体" w:cs="宋体"/>
                <w:color w:val="auto"/>
                <w:spacing w:val="-11"/>
                <w:w w:val="100"/>
                <w:sz w:val="21"/>
                <w:szCs w:val="21"/>
              </w:rPr>
              <w:t>/</w:t>
            </w:r>
            <w:r>
              <w:rPr>
                <w:rFonts w:hint="eastAsia" w:ascii="Times New Roman" w:hAnsi="Times New Roman" w:cs="宋体"/>
                <w:color w:val="auto"/>
                <w:spacing w:val="-11"/>
                <w:w w:val="100"/>
                <w:sz w:val="21"/>
                <w:szCs w:val="21"/>
              </w:rPr>
              <w:t>m</w:t>
            </w:r>
            <w:r>
              <w:rPr>
                <w:rFonts w:hint="eastAsia" w:hAnsi="宋体" w:cs="宋体"/>
                <w:color w:val="auto"/>
                <w:spacing w:val="-11"/>
                <w:w w:val="100"/>
                <w:sz w:val="21"/>
                <w:szCs w:val="21"/>
              </w:rPr>
              <w:t>³）</w:t>
            </w:r>
          </w:p>
        </w:tc>
        <w:tc>
          <w:tcPr>
            <w:tcW w:w="1004" w:type="dxa"/>
            <w:vAlign w:val="center"/>
          </w:tcPr>
          <w:p>
            <w:pPr>
              <w:spacing w:line="240" w:lineRule="auto"/>
              <w:ind w:firstLine="0"/>
              <w:jc w:val="center"/>
              <w:rPr>
                <w:rFonts w:hint="default" w:hAnsi="宋体" w:eastAsia="宋体" w:cs="宋体"/>
                <w:color w:val="auto"/>
                <w:spacing w:val="-11"/>
                <w:w w:val="100"/>
                <w:sz w:val="21"/>
                <w:szCs w:val="21"/>
                <w:lang w:val="en-US" w:eastAsia="zh-CN"/>
              </w:rPr>
            </w:pPr>
            <w:r>
              <w:rPr>
                <w:rFonts w:hint="eastAsia" w:cs="宋体"/>
                <w:color w:val="auto"/>
                <w:spacing w:val="-11"/>
                <w:w w:val="100"/>
                <w:sz w:val="21"/>
                <w:szCs w:val="21"/>
                <w:lang w:val="en-US" w:eastAsia="zh-CN"/>
              </w:rPr>
              <w:t>评价标准（</w:t>
            </w:r>
            <w:r>
              <w:rPr>
                <w:rFonts w:hint="eastAsia" w:ascii="Times New Roman" w:hAnsi="Times New Roman" w:cs="宋体"/>
                <w:color w:val="auto"/>
                <w:spacing w:val="-11"/>
                <w:w w:val="100"/>
                <w:sz w:val="21"/>
                <w:szCs w:val="21"/>
                <w:lang w:val="en-US" w:eastAsia="zh-CN"/>
              </w:rPr>
              <w:t>mg</w:t>
            </w:r>
            <w:r>
              <w:rPr>
                <w:rFonts w:hint="eastAsia"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cs="宋体"/>
                <w:color w:val="auto"/>
                <w:spacing w:val="-11"/>
                <w:w w:val="100"/>
                <w:sz w:val="21"/>
                <w:szCs w:val="21"/>
                <w:lang w:val="en-US" w:eastAsia="zh-CN"/>
              </w:rPr>
              <w:t>³）</w:t>
            </w:r>
          </w:p>
        </w:tc>
        <w:tc>
          <w:tcPr>
            <w:tcW w:w="862"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lang w:eastAsia="zh-CN"/>
              </w:rPr>
              <w:t>叠后</w:t>
            </w:r>
            <w:r>
              <w:rPr>
                <w:rFonts w:hint="eastAsia" w:hAnsi="宋体" w:cs="宋体"/>
                <w:color w:val="auto"/>
                <w:spacing w:val="-11"/>
                <w:w w:val="100"/>
                <w:sz w:val="21"/>
                <w:szCs w:val="21"/>
              </w:rPr>
              <w:t>占标率%</w:t>
            </w:r>
          </w:p>
        </w:tc>
        <w:tc>
          <w:tcPr>
            <w:tcW w:w="699"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spacing w:val="-11"/>
                <w:w w:val="100"/>
                <w:sz w:val="21"/>
                <w:szCs w:val="21"/>
                <w:lang w:eastAsia="zh-CN"/>
              </w:rPr>
              <w:t>牧民新村</w:t>
            </w:r>
          </w:p>
        </w:tc>
        <w:tc>
          <w:tcPr>
            <w:tcW w:w="750" w:type="dxa"/>
            <w:vAlign w:val="center"/>
          </w:tcPr>
          <w:p>
            <w:pPr>
              <w:spacing w:line="240" w:lineRule="auto"/>
              <w:ind w:firstLine="0" w:firstLineChars="0"/>
              <w:jc w:val="center"/>
              <w:rPr>
                <w:rFonts w:hint="eastAsia"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21020112</w:t>
            </w:r>
          </w:p>
        </w:tc>
        <w:tc>
          <w:tcPr>
            <w:tcW w:w="1022"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00106</w:t>
            </w:r>
          </w:p>
        </w:tc>
        <w:tc>
          <w:tcPr>
            <w:tcW w:w="1171"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153</w:t>
            </w:r>
          </w:p>
        </w:tc>
        <w:tc>
          <w:tcPr>
            <w:tcW w:w="1185"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154</w:t>
            </w:r>
          </w:p>
        </w:tc>
        <w:tc>
          <w:tcPr>
            <w:tcW w:w="1004"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ascii="Times New Roman" w:hAnsi="Times New Roman" w:cs="Times New Roman"/>
                <w:spacing w:val="-11"/>
                <w:w w:val="100"/>
                <w:sz w:val="21"/>
                <w:szCs w:val="21"/>
                <w:lang w:val="en-US" w:eastAsia="zh-CN" w:bidi="ar-SA"/>
              </w:rPr>
              <w:t>0</w:t>
            </w:r>
            <w:r>
              <w:rPr>
                <w:rFonts w:hint="eastAsia" w:cs="Times New Roman"/>
                <w:spacing w:val="-11"/>
                <w:w w:val="100"/>
                <w:sz w:val="21"/>
                <w:szCs w:val="21"/>
                <w:lang w:val="en-US" w:eastAsia="zh-CN" w:bidi="ar-SA"/>
              </w:rPr>
              <w:t>.</w:t>
            </w:r>
            <w:r>
              <w:rPr>
                <w:rFonts w:hint="eastAsia" w:ascii="Times New Roman" w:hAnsi="Times New Roman" w:cs="Times New Roman"/>
                <w:spacing w:val="-11"/>
                <w:w w:val="100"/>
                <w:sz w:val="21"/>
                <w:szCs w:val="21"/>
                <w:lang w:val="en-US" w:eastAsia="zh-CN" w:bidi="ar-SA"/>
              </w:rPr>
              <w:t>2</w:t>
            </w:r>
          </w:p>
        </w:tc>
        <w:tc>
          <w:tcPr>
            <w:tcW w:w="862"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76</w:t>
            </w:r>
            <w:r>
              <w:rPr>
                <w:rFonts w:hint="eastAsia"/>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94</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spacing w:val="-11"/>
                <w:w w:val="100"/>
                <w:sz w:val="21"/>
                <w:szCs w:val="21"/>
                <w:lang w:val="en-US" w:eastAsia="zh-CN" w:bidi="ar-SA"/>
              </w:rPr>
            </w:pPr>
            <w:r>
              <w:rPr>
                <w:rFonts w:hint="eastAsia"/>
                <w:spacing w:val="-11"/>
                <w:w w:val="100"/>
                <w:sz w:val="21"/>
                <w:szCs w:val="21"/>
                <w:lang w:eastAsia="zh-CN"/>
              </w:rPr>
              <w:t>哈尔扎木村</w:t>
            </w:r>
          </w:p>
        </w:tc>
        <w:tc>
          <w:tcPr>
            <w:tcW w:w="750" w:type="dxa"/>
            <w:vAlign w:val="center"/>
          </w:tcPr>
          <w:p>
            <w:pPr>
              <w:spacing w:line="240" w:lineRule="auto"/>
              <w:ind w:firstLine="0" w:firstLineChars="0"/>
              <w:jc w:val="center"/>
              <w:rPr>
                <w:rFonts w:hint="eastAsia" w:ascii="Times New Roman" w:hAnsi="Times New Roman"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21052921</w:t>
            </w:r>
          </w:p>
        </w:tc>
        <w:tc>
          <w:tcPr>
            <w:tcW w:w="1022"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00344</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155</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158</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0</w:t>
            </w:r>
            <w:r>
              <w:rPr>
                <w:rFonts w:hint="eastAsia" w:ascii="Times New Roman"/>
                <w:spacing w:val="-11"/>
                <w:w w:val="100"/>
                <w:sz w:val="21"/>
                <w:szCs w:val="21"/>
                <w:lang w:val="en-US" w:eastAsia="zh-CN"/>
              </w:rPr>
              <w:t>.</w:t>
            </w: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79</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14</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spacing w:val="-11"/>
                <w:w w:val="100"/>
                <w:sz w:val="21"/>
                <w:szCs w:val="21"/>
                <w:lang w:val="en-US" w:eastAsia="zh-CN" w:bidi="ar-SA"/>
              </w:rPr>
            </w:pPr>
            <w:r>
              <w:rPr>
                <w:rFonts w:hint="eastAsia"/>
                <w:spacing w:val="-11"/>
                <w:w w:val="100"/>
                <w:sz w:val="21"/>
                <w:szCs w:val="21"/>
                <w:lang w:eastAsia="zh-CN"/>
              </w:rPr>
              <w:t>园区办公室</w:t>
            </w:r>
          </w:p>
        </w:tc>
        <w:tc>
          <w:tcPr>
            <w:tcW w:w="750"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21042807</w:t>
            </w:r>
          </w:p>
        </w:tc>
        <w:tc>
          <w:tcPr>
            <w:tcW w:w="1022"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00304</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159</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162</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0</w:t>
            </w:r>
            <w:r>
              <w:rPr>
                <w:rFonts w:hint="eastAsia" w:ascii="Times New Roman"/>
                <w:spacing w:val="-11"/>
                <w:w w:val="100"/>
                <w:sz w:val="21"/>
                <w:szCs w:val="21"/>
                <w:lang w:val="en-US" w:eastAsia="zh-CN"/>
              </w:rPr>
              <w:t>.</w:t>
            </w: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80</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96</w:t>
            </w:r>
          </w:p>
        </w:tc>
        <w:tc>
          <w:tcPr>
            <w:tcW w:w="699" w:type="dxa"/>
            <w:vAlign w:val="center"/>
          </w:tcPr>
          <w:p>
            <w:pPr>
              <w:spacing w:line="240" w:lineRule="auto"/>
              <w:ind w:firstLine="0" w:firstLineChars="0"/>
              <w:jc w:val="center"/>
              <w:rPr>
                <w:rFonts w:hint="eastAsia"/>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color w:val="auto"/>
                <w:spacing w:val="-11"/>
                <w:w w:val="100"/>
                <w:sz w:val="21"/>
                <w:szCs w:val="21"/>
                <w:lang w:eastAsia="zh-CN"/>
              </w:rPr>
              <w:t>网格</w:t>
            </w:r>
          </w:p>
        </w:tc>
        <w:tc>
          <w:tcPr>
            <w:tcW w:w="750"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21091420</w:t>
            </w:r>
          </w:p>
        </w:tc>
        <w:tc>
          <w:tcPr>
            <w:tcW w:w="1022"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0271</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153</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180</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0</w:t>
            </w:r>
            <w:r>
              <w:rPr>
                <w:rFonts w:hint="eastAsia" w:ascii="Times New Roman"/>
                <w:spacing w:val="-11"/>
                <w:w w:val="100"/>
                <w:sz w:val="21"/>
                <w:szCs w:val="21"/>
                <w:lang w:val="en-US" w:eastAsia="zh-CN"/>
              </w:rPr>
              <w:t>.</w:t>
            </w: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90</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13</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bl>
    <w:p>
      <w:pPr>
        <w:bidi w:val="0"/>
        <w:rPr>
          <w:rFonts w:hint="eastAsia" w:eastAsia="宋体"/>
          <w:lang w:eastAsia="zh-CN"/>
        </w:rPr>
      </w:pPr>
      <w:r>
        <w:rPr>
          <w:rFonts w:hint="eastAsia"/>
          <w:lang w:eastAsia="zh-CN"/>
        </w:rPr>
        <w:t>（</w:t>
      </w:r>
      <w:r>
        <w:rPr>
          <w:rFonts w:hint="eastAsia" w:ascii="Times New Roman" w:hAnsi="Times New Roman"/>
          <w:lang w:val="en-US" w:eastAsia="zh-CN"/>
        </w:rPr>
        <w:t>3</w:t>
      </w:r>
      <w:r>
        <w:rPr>
          <w:rFonts w:hint="eastAsia"/>
          <w:lang w:eastAsia="zh-CN"/>
        </w:rPr>
        <w:t>）非正常排放</w:t>
      </w:r>
    </w:p>
    <w:p>
      <w:pPr>
        <w:widowControl/>
        <w:jc w:val="left"/>
        <w:rPr>
          <w:rFonts w:hint="eastAsia"/>
        </w:rPr>
      </w:pPr>
      <w:r>
        <w:rPr>
          <w:rFonts w:hint="eastAsia"/>
          <w:lang w:eastAsia="zh-CN"/>
        </w:rPr>
        <w:t>经叠加预测后，非正常工况下预测污染物浓度扩散结果</w:t>
      </w:r>
      <w:r>
        <w:rPr>
          <w:rFonts w:hint="eastAsia"/>
        </w:rPr>
        <w:t>见表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2</w:t>
      </w:r>
      <w:r>
        <w:rPr>
          <w:rFonts w:hint="eastAsia" w:ascii="Times New Roman"/>
          <w:lang w:val="en-US" w:eastAsia="zh-CN"/>
        </w:rPr>
        <w:t>-</w:t>
      </w:r>
      <w:r>
        <w:rPr>
          <w:rFonts w:hint="eastAsia" w:ascii="Times New Roman" w:hAnsi="Times New Roman"/>
          <w:lang w:val="en-US" w:eastAsia="zh-CN"/>
        </w:rPr>
        <w:t>18</w:t>
      </w:r>
      <w:r>
        <w:rPr>
          <w:rFonts w:hint="eastAsia" w:ascii="Times New Roman"/>
          <w:lang w:val="en-US" w:eastAsia="zh-CN"/>
        </w:rPr>
        <w:t>～表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2</w:t>
      </w:r>
      <w:r>
        <w:rPr>
          <w:rFonts w:hint="eastAsia" w:ascii="Times New Roman"/>
          <w:lang w:val="en-US" w:eastAsia="zh-CN"/>
        </w:rPr>
        <w:t>-</w:t>
      </w:r>
      <w:r>
        <w:rPr>
          <w:rFonts w:hint="eastAsia" w:ascii="Times New Roman" w:hAnsi="Times New Roman"/>
          <w:lang w:val="en-US" w:eastAsia="zh-CN"/>
        </w:rPr>
        <w:t>19</w:t>
      </w:r>
      <w:r>
        <w:rPr>
          <w:rFonts w:hint="eastAsia"/>
        </w:rPr>
        <w:t>。</w:t>
      </w:r>
    </w:p>
    <w:p>
      <w:pPr>
        <w:pStyle w:val="20"/>
        <w:rPr>
          <w:rFonts w:hint="eastAsia"/>
          <w:color w:val="auto"/>
          <w:lang w:val="en-US" w:eastAsia="zh-CN"/>
        </w:rPr>
      </w:pPr>
      <w:r>
        <w:rPr>
          <w:rFonts w:hint="eastAsia"/>
          <w:color w:val="auto"/>
          <w:lang w:eastAsia="zh-CN"/>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18</w:t>
      </w:r>
      <w:r>
        <w:rPr>
          <w:rFonts w:hint="eastAsia"/>
          <w:color w:val="auto"/>
          <w:lang w:val="en-US" w:eastAsia="zh-CN"/>
        </w:rPr>
        <w:t xml:space="preserve">  非正常工况</w:t>
      </w:r>
      <w:r>
        <w:rPr>
          <w:rFonts w:hint="eastAsia" w:ascii="Times New Roman" w:hAnsi="Times New Roman"/>
          <w:color w:val="auto"/>
          <w:lang w:val="en-US" w:eastAsia="zh-CN"/>
        </w:rPr>
        <w:t>NMHC</w:t>
      </w:r>
      <w:r>
        <w:rPr>
          <w:rFonts w:hint="eastAsia"/>
          <w:color w:val="auto"/>
          <w:lang w:val="en-US" w:eastAsia="zh-CN"/>
        </w:rPr>
        <w:t>浓度预测结果统计表</w:t>
      </w:r>
    </w:p>
    <w:tbl>
      <w:tblPr>
        <w:tblStyle w:val="80"/>
        <w:tblW w:w="9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750"/>
        <w:gridCol w:w="1633"/>
        <w:gridCol w:w="1022"/>
        <w:gridCol w:w="1171"/>
        <w:gridCol w:w="1185"/>
        <w:gridCol w:w="1004"/>
        <w:gridCol w:w="862"/>
        <w:gridCol w:w="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11"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预测点</w:t>
            </w:r>
          </w:p>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名称</w:t>
            </w:r>
          </w:p>
        </w:tc>
        <w:tc>
          <w:tcPr>
            <w:tcW w:w="750"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浓度类型</w:t>
            </w:r>
          </w:p>
        </w:tc>
        <w:tc>
          <w:tcPr>
            <w:tcW w:w="1633"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出现时间(</w:t>
            </w:r>
            <w:r>
              <w:rPr>
                <w:rFonts w:hint="eastAsia" w:ascii="Times New Roman" w:hAnsi="Times New Roman" w:cs="宋体"/>
                <w:color w:val="auto"/>
                <w:spacing w:val="-11"/>
                <w:w w:val="100"/>
                <w:sz w:val="21"/>
                <w:szCs w:val="21"/>
              </w:rPr>
              <w:t>YYMMDDHH</w:t>
            </w:r>
            <w:r>
              <w:rPr>
                <w:rFonts w:hint="eastAsia" w:hAnsi="宋体" w:cs="宋体"/>
                <w:color w:val="auto"/>
                <w:spacing w:val="-11"/>
                <w:w w:val="100"/>
                <w:sz w:val="21"/>
                <w:szCs w:val="21"/>
              </w:rPr>
              <w:t>)</w:t>
            </w:r>
          </w:p>
        </w:tc>
        <w:tc>
          <w:tcPr>
            <w:tcW w:w="1022"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hAnsi="宋体" w:cs="宋体"/>
                <w:color w:val="auto"/>
                <w:spacing w:val="-11"/>
                <w:w w:val="100"/>
                <w:sz w:val="21"/>
                <w:szCs w:val="21"/>
                <w:lang w:eastAsia="zh-CN"/>
              </w:rPr>
              <w:t>贡献值</w:t>
            </w:r>
          </w:p>
          <w:p>
            <w:pPr>
              <w:spacing w:line="240" w:lineRule="auto"/>
              <w:ind w:firstLine="0"/>
              <w:jc w:val="center"/>
              <w:rPr>
                <w:rFonts w:hint="eastAsia" w:hAnsi="宋体" w:eastAsia="宋体" w:cs="宋体"/>
                <w:color w:val="auto"/>
                <w:spacing w:val="-11"/>
                <w:w w:val="100"/>
                <w:sz w:val="21"/>
                <w:szCs w:val="21"/>
                <w:lang w:eastAsia="zh-CN"/>
              </w:rPr>
            </w:pPr>
            <w:r>
              <w:rPr>
                <w:rFonts w:hint="eastAsia" w:hAnsi="宋体" w:cs="宋体"/>
                <w:color w:val="auto"/>
                <w:spacing w:val="-11"/>
                <w:w w:val="100"/>
                <w:sz w:val="21"/>
                <w:szCs w:val="21"/>
                <w:lang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r>
              <w:rPr>
                <w:rFonts w:hint="eastAsia" w:hAnsi="宋体" w:cs="宋体"/>
                <w:color w:val="auto"/>
                <w:spacing w:val="-11"/>
                <w:w w:val="100"/>
                <w:sz w:val="21"/>
                <w:szCs w:val="21"/>
                <w:lang w:eastAsia="zh-CN"/>
              </w:rPr>
              <w:t>）</w:t>
            </w:r>
          </w:p>
        </w:tc>
        <w:tc>
          <w:tcPr>
            <w:tcW w:w="1171"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cs="宋体"/>
                <w:color w:val="auto"/>
                <w:spacing w:val="-11"/>
                <w:w w:val="100"/>
                <w:sz w:val="21"/>
                <w:szCs w:val="21"/>
                <w:lang w:eastAsia="zh-CN"/>
              </w:rPr>
              <w:t>背景</w:t>
            </w:r>
            <w:r>
              <w:rPr>
                <w:rFonts w:hint="eastAsia" w:hAnsi="宋体" w:cs="宋体"/>
                <w:color w:val="auto"/>
                <w:spacing w:val="-11"/>
                <w:w w:val="100"/>
                <w:sz w:val="21"/>
                <w:szCs w:val="21"/>
                <w:lang w:eastAsia="zh-CN"/>
              </w:rPr>
              <w:t>浓度</w:t>
            </w:r>
          </w:p>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p>
        </w:tc>
        <w:tc>
          <w:tcPr>
            <w:tcW w:w="1185" w:type="dxa"/>
            <w:vAlign w:val="center"/>
          </w:tcPr>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rPr>
              <w:t>叠加后的浓度（</w:t>
            </w:r>
            <w:r>
              <w:rPr>
                <w:rFonts w:hint="eastAsia" w:ascii="Times New Roman" w:hAnsi="Times New Roman" w:cs="宋体"/>
                <w:color w:val="auto"/>
                <w:spacing w:val="-11"/>
                <w:w w:val="100"/>
                <w:sz w:val="21"/>
                <w:szCs w:val="21"/>
              </w:rPr>
              <w:t>mg</w:t>
            </w:r>
            <w:r>
              <w:rPr>
                <w:rFonts w:hint="eastAsia" w:hAnsi="宋体" w:cs="宋体"/>
                <w:color w:val="auto"/>
                <w:spacing w:val="-11"/>
                <w:w w:val="100"/>
                <w:sz w:val="21"/>
                <w:szCs w:val="21"/>
              </w:rPr>
              <w:t>/</w:t>
            </w:r>
            <w:r>
              <w:rPr>
                <w:rFonts w:hint="eastAsia" w:ascii="Times New Roman" w:hAnsi="Times New Roman" w:cs="宋体"/>
                <w:color w:val="auto"/>
                <w:spacing w:val="-11"/>
                <w:w w:val="100"/>
                <w:sz w:val="21"/>
                <w:szCs w:val="21"/>
              </w:rPr>
              <w:t>m</w:t>
            </w:r>
            <w:r>
              <w:rPr>
                <w:rFonts w:hint="eastAsia" w:hAnsi="宋体" w:cs="宋体"/>
                <w:color w:val="auto"/>
                <w:spacing w:val="-11"/>
                <w:w w:val="100"/>
                <w:sz w:val="21"/>
                <w:szCs w:val="21"/>
              </w:rPr>
              <w:t>³）</w:t>
            </w:r>
          </w:p>
        </w:tc>
        <w:tc>
          <w:tcPr>
            <w:tcW w:w="1004" w:type="dxa"/>
            <w:vAlign w:val="center"/>
          </w:tcPr>
          <w:p>
            <w:pPr>
              <w:spacing w:line="240" w:lineRule="auto"/>
              <w:ind w:firstLine="0"/>
              <w:jc w:val="center"/>
              <w:rPr>
                <w:rFonts w:hint="default" w:hAnsi="宋体" w:eastAsia="宋体" w:cs="宋体"/>
                <w:color w:val="auto"/>
                <w:spacing w:val="-11"/>
                <w:w w:val="100"/>
                <w:sz w:val="21"/>
                <w:szCs w:val="21"/>
                <w:lang w:val="en-US" w:eastAsia="zh-CN"/>
              </w:rPr>
            </w:pPr>
            <w:r>
              <w:rPr>
                <w:rFonts w:hint="eastAsia" w:cs="宋体"/>
                <w:color w:val="auto"/>
                <w:spacing w:val="-11"/>
                <w:w w:val="100"/>
                <w:sz w:val="21"/>
                <w:szCs w:val="21"/>
                <w:lang w:val="en-US" w:eastAsia="zh-CN"/>
              </w:rPr>
              <w:t>评价标准（</w:t>
            </w:r>
            <w:r>
              <w:rPr>
                <w:rFonts w:hint="eastAsia" w:ascii="Times New Roman" w:hAnsi="Times New Roman" w:cs="宋体"/>
                <w:color w:val="auto"/>
                <w:spacing w:val="-11"/>
                <w:w w:val="100"/>
                <w:sz w:val="21"/>
                <w:szCs w:val="21"/>
                <w:lang w:val="en-US" w:eastAsia="zh-CN"/>
              </w:rPr>
              <w:t>mg</w:t>
            </w:r>
            <w:r>
              <w:rPr>
                <w:rFonts w:hint="eastAsia"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cs="宋体"/>
                <w:color w:val="auto"/>
                <w:spacing w:val="-11"/>
                <w:w w:val="100"/>
                <w:sz w:val="21"/>
                <w:szCs w:val="21"/>
                <w:lang w:val="en-US" w:eastAsia="zh-CN"/>
              </w:rPr>
              <w:t>³）</w:t>
            </w:r>
          </w:p>
        </w:tc>
        <w:tc>
          <w:tcPr>
            <w:tcW w:w="862"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lang w:eastAsia="zh-CN"/>
              </w:rPr>
              <w:t>叠后</w:t>
            </w:r>
            <w:r>
              <w:rPr>
                <w:rFonts w:hint="eastAsia" w:hAnsi="宋体" w:cs="宋体"/>
                <w:color w:val="auto"/>
                <w:spacing w:val="-11"/>
                <w:w w:val="100"/>
                <w:sz w:val="21"/>
                <w:szCs w:val="21"/>
              </w:rPr>
              <w:t>占标率%</w:t>
            </w:r>
          </w:p>
        </w:tc>
        <w:tc>
          <w:tcPr>
            <w:tcW w:w="699"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spacing w:val="-11"/>
                <w:w w:val="100"/>
                <w:sz w:val="21"/>
                <w:szCs w:val="21"/>
                <w:lang w:eastAsia="zh-CN"/>
              </w:rPr>
              <w:t>牧民新村</w:t>
            </w:r>
          </w:p>
        </w:tc>
        <w:tc>
          <w:tcPr>
            <w:tcW w:w="750" w:type="dxa"/>
            <w:vAlign w:val="center"/>
          </w:tcPr>
          <w:p>
            <w:pPr>
              <w:spacing w:line="240" w:lineRule="auto"/>
              <w:ind w:firstLine="0" w:firstLineChars="0"/>
              <w:jc w:val="center"/>
              <w:rPr>
                <w:rFonts w:hint="eastAsia"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21020112</w:t>
            </w:r>
          </w:p>
        </w:tc>
        <w:tc>
          <w:tcPr>
            <w:tcW w:w="1022"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9</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23E</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04</w:t>
            </w:r>
          </w:p>
        </w:tc>
        <w:tc>
          <w:tcPr>
            <w:tcW w:w="1171"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795</w:t>
            </w:r>
          </w:p>
        </w:tc>
        <w:tc>
          <w:tcPr>
            <w:tcW w:w="1185"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796</w:t>
            </w:r>
          </w:p>
        </w:tc>
        <w:tc>
          <w:tcPr>
            <w:tcW w:w="1004"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ascii="Times New Roman" w:hAnsi="Times New Roman" w:cs="Times New Roman"/>
                <w:spacing w:val="-11"/>
                <w:w w:val="100"/>
                <w:sz w:val="21"/>
                <w:szCs w:val="21"/>
                <w:lang w:val="en-US" w:eastAsia="zh-CN" w:bidi="ar-SA"/>
              </w:rPr>
              <w:t>2</w:t>
            </w:r>
          </w:p>
        </w:tc>
        <w:tc>
          <w:tcPr>
            <w:tcW w:w="862"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39</w:t>
            </w:r>
            <w:r>
              <w:rPr>
                <w:rFonts w:hint="eastAsia"/>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82</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spacing w:val="-11"/>
                <w:w w:val="100"/>
                <w:sz w:val="21"/>
                <w:szCs w:val="21"/>
                <w:lang w:eastAsia="zh-CN"/>
              </w:rPr>
              <w:t>哈尔扎木村</w:t>
            </w:r>
          </w:p>
        </w:tc>
        <w:tc>
          <w:tcPr>
            <w:tcW w:w="750" w:type="dxa"/>
            <w:vAlign w:val="center"/>
          </w:tcPr>
          <w:p>
            <w:pPr>
              <w:spacing w:line="240" w:lineRule="auto"/>
              <w:ind w:firstLine="0" w:firstLineChars="0"/>
              <w:jc w:val="center"/>
              <w:rPr>
                <w:rFonts w:hint="eastAsia" w:ascii="Times New Roman" w:hAnsi="Times New Roman"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21091403</w:t>
            </w:r>
          </w:p>
        </w:tc>
        <w:tc>
          <w:tcPr>
            <w:tcW w:w="1022"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0114</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809</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820</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41</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01</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spacing w:val="-11"/>
                <w:w w:val="100"/>
                <w:sz w:val="21"/>
                <w:szCs w:val="21"/>
                <w:lang w:val="en-US" w:eastAsia="zh-CN" w:bidi="ar-SA"/>
              </w:rPr>
            </w:pPr>
            <w:r>
              <w:rPr>
                <w:rFonts w:hint="eastAsia"/>
                <w:spacing w:val="-11"/>
                <w:w w:val="100"/>
                <w:sz w:val="21"/>
                <w:szCs w:val="21"/>
                <w:lang w:eastAsia="zh-CN"/>
              </w:rPr>
              <w:t>园区办公室</w:t>
            </w:r>
          </w:p>
        </w:tc>
        <w:tc>
          <w:tcPr>
            <w:tcW w:w="750"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21081302</w:t>
            </w:r>
          </w:p>
        </w:tc>
        <w:tc>
          <w:tcPr>
            <w:tcW w:w="1022"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8</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44E</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03</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836</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844</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42</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21</w:t>
            </w:r>
          </w:p>
        </w:tc>
        <w:tc>
          <w:tcPr>
            <w:tcW w:w="699" w:type="dxa"/>
            <w:vAlign w:val="center"/>
          </w:tcPr>
          <w:p>
            <w:pPr>
              <w:spacing w:line="240" w:lineRule="auto"/>
              <w:ind w:firstLine="0" w:firstLineChars="0"/>
              <w:jc w:val="center"/>
              <w:rPr>
                <w:rFonts w:hint="eastAsia"/>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color w:val="auto"/>
                <w:spacing w:val="-11"/>
                <w:w w:val="100"/>
                <w:sz w:val="21"/>
                <w:szCs w:val="21"/>
                <w:lang w:eastAsia="zh-CN"/>
              </w:rPr>
              <w:t>网格</w:t>
            </w:r>
          </w:p>
        </w:tc>
        <w:tc>
          <w:tcPr>
            <w:tcW w:w="750"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33"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21021907</w:t>
            </w:r>
          </w:p>
        </w:tc>
        <w:tc>
          <w:tcPr>
            <w:tcW w:w="1022"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0293</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893</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922</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46</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09</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bl>
    <w:p>
      <w:pPr>
        <w:pStyle w:val="20"/>
        <w:rPr>
          <w:rFonts w:hint="eastAsia"/>
          <w:color w:val="auto"/>
          <w:lang w:val="en-US" w:eastAsia="zh-CN"/>
        </w:rPr>
      </w:pPr>
      <w:r>
        <w:rPr>
          <w:rFonts w:hint="eastAsia"/>
          <w:color w:val="auto"/>
          <w:lang w:eastAsia="zh-CN"/>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19</w:t>
      </w:r>
      <w:r>
        <w:rPr>
          <w:rFonts w:hint="eastAsia"/>
          <w:color w:val="auto"/>
          <w:lang w:val="en-US" w:eastAsia="zh-CN"/>
        </w:rPr>
        <w:t xml:space="preserve">  非正常工况</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color w:val="auto"/>
          <w:lang w:val="en-US" w:eastAsia="zh-CN"/>
        </w:rPr>
        <w:t>浓度预测结果统计表</w:t>
      </w:r>
    </w:p>
    <w:tbl>
      <w:tblPr>
        <w:tblStyle w:val="80"/>
        <w:tblW w:w="92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750"/>
        <w:gridCol w:w="1616"/>
        <w:gridCol w:w="1039"/>
        <w:gridCol w:w="1171"/>
        <w:gridCol w:w="1185"/>
        <w:gridCol w:w="1004"/>
        <w:gridCol w:w="862"/>
        <w:gridCol w:w="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911"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预测点</w:t>
            </w:r>
          </w:p>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名称</w:t>
            </w:r>
          </w:p>
        </w:tc>
        <w:tc>
          <w:tcPr>
            <w:tcW w:w="750"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浓度类型</w:t>
            </w:r>
          </w:p>
        </w:tc>
        <w:tc>
          <w:tcPr>
            <w:tcW w:w="1616"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出现时间(</w:t>
            </w:r>
            <w:r>
              <w:rPr>
                <w:rFonts w:hint="eastAsia" w:ascii="Times New Roman" w:hAnsi="Times New Roman" w:cs="宋体"/>
                <w:color w:val="auto"/>
                <w:spacing w:val="-11"/>
                <w:w w:val="100"/>
                <w:sz w:val="21"/>
                <w:szCs w:val="21"/>
              </w:rPr>
              <w:t>YYMMDDHH</w:t>
            </w:r>
            <w:r>
              <w:rPr>
                <w:rFonts w:hint="eastAsia" w:hAnsi="宋体" w:cs="宋体"/>
                <w:color w:val="auto"/>
                <w:spacing w:val="-11"/>
                <w:w w:val="100"/>
                <w:sz w:val="21"/>
                <w:szCs w:val="21"/>
              </w:rPr>
              <w:t>)</w:t>
            </w:r>
          </w:p>
        </w:tc>
        <w:tc>
          <w:tcPr>
            <w:tcW w:w="1039"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hAnsi="宋体" w:cs="宋体"/>
                <w:color w:val="auto"/>
                <w:spacing w:val="-11"/>
                <w:w w:val="100"/>
                <w:sz w:val="21"/>
                <w:szCs w:val="21"/>
                <w:lang w:eastAsia="zh-CN"/>
              </w:rPr>
              <w:t>贡献值</w:t>
            </w:r>
          </w:p>
          <w:p>
            <w:pPr>
              <w:spacing w:line="240" w:lineRule="auto"/>
              <w:ind w:firstLine="0"/>
              <w:jc w:val="center"/>
              <w:rPr>
                <w:rFonts w:hint="eastAsia" w:hAnsi="宋体" w:eastAsia="宋体" w:cs="宋体"/>
                <w:color w:val="auto"/>
                <w:spacing w:val="-11"/>
                <w:w w:val="100"/>
                <w:sz w:val="21"/>
                <w:szCs w:val="21"/>
                <w:lang w:eastAsia="zh-CN"/>
              </w:rPr>
            </w:pPr>
            <w:r>
              <w:rPr>
                <w:rFonts w:hint="eastAsia" w:hAnsi="宋体" w:cs="宋体"/>
                <w:color w:val="auto"/>
                <w:spacing w:val="-11"/>
                <w:w w:val="100"/>
                <w:sz w:val="21"/>
                <w:szCs w:val="21"/>
                <w:lang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r>
              <w:rPr>
                <w:rFonts w:hint="eastAsia" w:hAnsi="宋体" w:cs="宋体"/>
                <w:color w:val="auto"/>
                <w:spacing w:val="-11"/>
                <w:w w:val="100"/>
                <w:sz w:val="21"/>
                <w:szCs w:val="21"/>
                <w:lang w:eastAsia="zh-CN"/>
              </w:rPr>
              <w:t>）</w:t>
            </w:r>
          </w:p>
        </w:tc>
        <w:tc>
          <w:tcPr>
            <w:tcW w:w="1171" w:type="dxa"/>
            <w:vAlign w:val="center"/>
          </w:tcPr>
          <w:p>
            <w:pPr>
              <w:spacing w:line="240" w:lineRule="auto"/>
              <w:ind w:firstLine="0"/>
              <w:jc w:val="center"/>
              <w:rPr>
                <w:rFonts w:hint="eastAsia" w:hAnsi="宋体" w:cs="宋体"/>
                <w:color w:val="auto"/>
                <w:spacing w:val="-11"/>
                <w:w w:val="100"/>
                <w:sz w:val="21"/>
                <w:szCs w:val="21"/>
                <w:lang w:eastAsia="zh-CN"/>
              </w:rPr>
            </w:pPr>
            <w:r>
              <w:rPr>
                <w:rFonts w:hint="eastAsia" w:cs="宋体"/>
                <w:color w:val="auto"/>
                <w:spacing w:val="-11"/>
                <w:w w:val="100"/>
                <w:sz w:val="21"/>
                <w:szCs w:val="21"/>
                <w:lang w:eastAsia="zh-CN"/>
              </w:rPr>
              <w:t>背景</w:t>
            </w:r>
            <w:r>
              <w:rPr>
                <w:rFonts w:hint="eastAsia" w:hAnsi="宋体" w:cs="宋体"/>
                <w:color w:val="auto"/>
                <w:spacing w:val="-11"/>
                <w:w w:val="100"/>
                <w:sz w:val="21"/>
                <w:szCs w:val="21"/>
                <w:lang w:eastAsia="zh-CN"/>
              </w:rPr>
              <w:t>浓度</w:t>
            </w:r>
          </w:p>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mg</w:t>
            </w:r>
            <w:r>
              <w:rPr>
                <w:rFonts w:hint="eastAsia" w:hAnsi="宋体"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hAnsi="宋体" w:cs="宋体"/>
                <w:color w:val="auto"/>
                <w:spacing w:val="-11"/>
                <w:w w:val="100"/>
                <w:sz w:val="21"/>
                <w:szCs w:val="21"/>
                <w:lang w:val="en-US" w:eastAsia="zh-CN"/>
              </w:rPr>
              <w:t>³）</w:t>
            </w:r>
          </w:p>
        </w:tc>
        <w:tc>
          <w:tcPr>
            <w:tcW w:w="1185" w:type="dxa"/>
            <w:vAlign w:val="center"/>
          </w:tcPr>
          <w:p>
            <w:pPr>
              <w:spacing w:line="240" w:lineRule="auto"/>
              <w:ind w:firstLine="0" w:firstLineChars="0"/>
              <w:jc w:val="center"/>
              <w:rPr>
                <w:rFonts w:hint="default" w:ascii="宋体" w:hAnsi="宋体" w:eastAsia="宋体" w:cs="宋体"/>
                <w:color w:val="auto"/>
                <w:spacing w:val="-11"/>
                <w:w w:val="100"/>
                <w:sz w:val="21"/>
                <w:szCs w:val="21"/>
                <w:lang w:val="en-US" w:eastAsia="zh-CN" w:bidi="ar-SA"/>
              </w:rPr>
            </w:pPr>
            <w:r>
              <w:rPr>
                <w:rFonts w:hint="eastAsia" w:hAnsi="宋体" w:cs="宋体"/>
                <w:color w:val="auto"/>
                <w:spacing w:val="-11"/>
                <w:w w:val="100"/>
                <w:sz w:val="21"/>
                <w:szCs w:val="21"/>
              </w:rPr>
              <w:t>叠加后的浓度（</w:t>
            </w:r>
            <w:r>
              <w:rPr>
                <w:rFonts w:hint="eastAsia" w:ascii="Times New Roman" w:hAnsi="Times New Roman" w:cs="宋体"/>
                <w:color w:val="auto"/>
                <w:spacing w:val="-11"/>
                <w:w w:val="100"/>
                <w:sz w:val="21"/>
                <w:szCs w:val="21"/>
              </w:rPr>
              <w:t>mg</w:t>
            </w:r>
            <w:r>
              <w:rPr>
                <w:rFonts w:hint="eastAsia" w:hAnsi="宋体" w:cs="宋体"/>
                <w:color w:val="auto"/>
                <w:spacing w:val="-11"/>
                <w:w w:val="100"/>
                <w:sz w:val="21"/>
                <w:szCs w:val="21"/>
              </w:rPr>
              <w:t>/</w:t>
            </w:r>
            <w:r>
              <w:rPr>
                <w:rFonts w:hint="eastAsia" w:ascii="Times New Roman" w:hAnsi="Times New Roman" w:cs="宋体"/>
                <w:color w:val="auto"/>
                <w:spacing w:val="-11"/>
                <w:w w:val="100"/>
                <w:sz w:val="21"/>
                <w:szCs w:val="21"/>
              </w:rPr>
              <w:t>m</w:t>
            </w:r>
            <w:r>
              <w:rPr>
                <w:rFonts w:hint="eastAsia" w:hAnsi="宋体" w:cs="宋体"/>
                <w:color w:val="auto"/>
                <w:spacing w:val="-11"/>
                <w:w w:val="100"/>
                <w:sz w:val="21"/>
                <w:szCs w:val="21"/>
              </w:rPr>
              <w:t>³）</w:t>
            </w:r>
          </w:p>
        </w:tc>
        <w:tc>
          <w:tcPr>
            <w:tcW w:w="1004" w:type="dxa"/>
            <w:vAlign w:val="center"/>
          </w:tcPr>
          <w:p>
            <w:pPr>
              <w:spacing w:line="240" w:lineRule="auto"/>
              <w:ind w:firstLine="0"/>
              <w:jc w:val="center"/>
              <w:rPr>
                <w:rFonts w:hint="default" w:hAnsi="宋体" w:eastAsia="宋体" w:cs="宋体"/>
                <w:color w:val="auto"/>
                <w:spacing w:val="-11"/>
                <w:w w:val="100"/>
                <w:sz w:val="21"/>
                <w:szCs w:val="21"/>
                <w:lang w:val="en-US" w:eastAsia="zh-CN"/>
              </w:rPr>
            </w:pPr>
            <w:r>
              <w:rPr>
                <w:rFonts w:hint="eastAsia" w:cs="宋体"/>
                <w:color w:val="auto"/>
                <w:spacing w:val="-11"/>
                <w:w w:val="100"/>
                <w:sz w:val="21"/>
                <w:szCs w:val="21"/>
                <w:lang w:val="en-US" w:eastAsia="zh-CN"/>
              </w:rPr>
              <w:t>评价标准（</w:t>
            </w:r>
            <w:r>
              <w:rPr>
                <w:rFonts w:hint="eastAsia" w:ascii="Times New Roman" w:hAnsi="Times New Roman" w:cs="宋体"/>
                <w:color w:val="auto"/>
                <w:spacing w:val="-11"/>
                <w:w w:val="100"/>
                <w:sz w:val="21"/>
                <w:szCs w:val="21"/>
                <w:lang w:val="en-US" w:eastAsia="zh-CN"/>
              </w:rPr>
              <w:t>mg</w:t>
            </w:r>
            <w:r>
              <w:rPr>
                <w:rFonts w:hint="eastAsia" w:cs="宋体"/>
                <w:color w:val="auto"/>
                <w:spacing w:val="-11"/>
                <w:w w:val="100"/>
                <w:sz w:val="21"/>
                <w:szCs w:val="21"/>
                <w:lang w:val="en-US" w:eastAsia="zh-CN"/>
              </w:rPr>
              <w:t>/</w:t>
            </w:r>
            <w:r>
              <w:rPr>
                <w:rFonts w:hint="eastAsia" w:ascii="Times New Roman" w:hAnsi="Times New Roman" w:cs="宋体"/>
                <w:color w:val="auto"/>
                <w:spacing w:val="-11"/>
                <w:w w:val="100"/>
                <w:sz w:val="21"/>
                <w:szCs w:val="21"/>
                <w:lang w:val="en-US" w:eastAsia="zh-CN"/>
              </w:rPr>
              <w:t>m</w:t>
            </w:r>
            <w:r>
              <w:rPr>
                <w:rFonts w:hint="eastAsia" w:cs="宋体"/>
                <w:color w:val="auto"/>
                <w:spacing w:val="-11"/>
                <w:w w:val="100"/>
                <w:sz w:val="21"/>
                <w:szCs w:val="21"/>
                <w:lang w:val="en-US" w:eastAsia="zh-CN"/>
              </w:rPr>
              <w:t>³）</w:t>
            </w:r>
          </w:p>
        </w:tc>
        <w:tc>
          <w:tcPr>
            <w:tcW w:w="862"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lang w:eastAsia="zh-CN"/>
              </w:rPr>
              <w:t>叠后</w:t>
            </w:r>
            <w:r>
              <w:rPr>
                <w:rFonts w:hint="eastAsia" w:hAnsi="宋体" w:cs="宋体"/>
                <w:color w:val="auto"/>
                <w:spacing w:val="-11"/>
                <w:w w:val="100"/>
                <w:sz w:val="21"/>
                <w:szCs w:val="21"/>
              </w:rPr>
              <w:t>占标率%</w:t>
            </w:r>
          </w:p>
        </w:tc>
        <w:tc>
          <w:tcPr>
            <w:tcW w:w="699" w:type="dxa"/>
            <w:vAlign w:val="center"/>
          </w:tcPr>
          <w:p>
            <w:pPr>
              <w:spacing w:line="240" w:lineRule="auto"/>
              <w:ind w:firstLine="0"/>
              <w:jc w:val="center"/>
              <w:rPr>
                <w:rFonts w:hint="eastAsia" w:hAnsi="宋体" w:cs="宋体"/>
                <w:color w:val="auto"/>
                <w:spacing w:val="-11"/>
                <w:w w:val="100"/>
                <w:sz w:val="21"/>
                <w:szCs w:val="21"/>
              </w:rPr>
            </w:pPr>
            <w:r>
              <w:rPr>
                <w:rFonts w:hint="eastAsia" w:hAnsi="宋体" w:cs="宋体"/>
                <w:color w:val="auto"/>
                <w:spacing w:val="-11"/>
                <w:w w:val="100"/>
                <w:sz w:val="21"/>
                <w:szCs w:val="21"/>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spacing w:val="-11"/>
                <w:w w:val="100"/>
                <w:sz w:val="21"/>
                <w:szCs w:val="21"/>
                <w:lang w:eastAsia="zh-CN"/>
              </w:rPr>
              <w:t>牧民新村</w:t>
            </w:r>
          </w:p>
        </w:tc>
        <w:tc>
          <w:tcPr>
            <w:tcW w:w="750" w:type="dxa"/>
            <w:vAlign w:val="center"/>
          </w:tcPr>
          <w:p>
            <w:pPr>
              <w:spacing w:line="240" w:lineRule="auto"/>
              <w:ind w:firstLine="0" w:firstLineChars="0"/>
              <w:jc w:val="center"/>
              <w:rPr>
                <w:rFonts w:hint="eastAsia"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16"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21020112</w:t>
            </w:r>
          </w:p>
        </w:tc>
        <w:tc>
          <w:tcPr>
            <w:tcW w:w="1039"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0106</w:t>
            </w:r>
          </w:p>
        </w:tc>
        <w:tc>
          <w:tcPr>
            <w:tcW w:w="1171"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153</w:t>
            </w:r>
          </w:p>
        </w:tc>
        <w:tc>
          <w:tcPr>
            <w:tcW w:w="1185" w:type="dxa"/>
            <w:vAlign w:val="center"/>
          </w:tcPr>
          <w:p>
            <w:pPr>
              <w:spacing w:line="240" w:lineRule="auto"/>
              <w:ind w:firstLine="0" w:firstLineChars="0"/>
              <w:jc w:val="center"/>
              <w:rPr>
                <w:rFonts w:hint="default" w:ascii="Times New Roman" w:hAnsi="Times New Roman" w:eastAsia="宋体" w:cs="Times New Roman"/>
                <w:color w:val="auto"/>
                <w:spacing w:val="-11"/>
                <w:w w:val="100"/>
                <w:sz w:val="21"/>
                <w:szCs w:val="21"/>
                <w:lang w:val="en-US" w:eastAsia="zh-CN" w:bidi="ar-SA"/>
              </w:rPr>
            </w:pPr>
            <w:r>
              <w:rPr>
                <w:rFonts w:hint="eastAsia" w:ascii="Times New Roman" w:hAnsi="Times New Roman" w:cs="Times New Roman"/>
                <w:color w:val="auto"/>
                <w:spacing w:val="-11"/>
                <w:w w:val="100"/>
                <w:sz w:val="21"/>
                <w:szCs w:val="21"/>
                <w:lang w:val="en-US" w:eastAsia="zh-CN" w:bidi="ar-SA"/>
              </w:rPr>
              <w:t>0</w:t>
            </w:r>
            <w:r>
              <w:rPr>
                <w:rFonts w:hint="eastAsia" w:ascii="Times New Roman" w:hAnsi="Times New Roman" w:cs="Times New Roman"/>
                <w:color w:val="auto"/>
                <w:spacing w:val="-11"/>
                <w:w w:val="100"/>
                <w:sz w:val="21"/>
                <w:szCs w:val="21"/>
                <w:lang w:val="en-US" w:eastAsia="zh-CN" w:bidi="ar-SA"/>
              </w:rPr>
              <w:t>.</w:t>
            </w:r>
            <w:r>
              <w:rPr>
                <w:rFonts w:hint="eastAsia" w:ascii="Times New Roman" w:hAnsi="Times New Roman" w:cs="Times New Roman"/>
                <w:color w:val="auto"/>
                <w:spacing w:val="-11"/>
                <w:w w:val="100"/>
                <w:sz w:val="21"/>
                <w:szCs w:val="21"/>
                <w:lang w:val="en-US" w:eastAsia="zh-CN" w:bidi="ar-SA"/>
              </w:rPr>
              <w:t>163</w:t>
            </w:r>
          </w:p>
        </w:tc>
        <w:tc>
          <w:tcPr>
            <w:tcW w:w="1004" w:type="dxa"/>
            <w:vAlign w:val="center"/>
          </w:tcPr>
          <w:p>
            <w:pPr>
              <w:spacing w:line="240" w:lineRule="auto"/>
              <w:ind w:firstLine="0" w:firstLineChars="0"/>
              <w:jc w:val="center"/>
              <w:rPr>
                <w:rFonts w:hint="default" w:ascii="宋体" w:hAnsi="宋体" w:eastAsia="宋体" w:cs="Times New Roman"/>
                <w:spacing w:val="-11"/>
                <w:w w:val="100"/>
                <w:sz w:val="21"/>
                <w:szCs w:val="21"/>
                <w:lang w:val="en-US" w:eastAsia="zh-CN" w:bidi="ar-SA"/>
              </w:rPr>
            </w:pPr>
            <w:r>
              <w:rPr>
                <w:rFonts w:hint="eastAsia" w:ascii="Times New Roman" w:hAnsi="Times New Roman" w:cs="Times New Roman"/>
                <w:spacing w:val="-11"/>
                <w:w w:val="100"/>
                <w:sz w:val="21"/>
                <w:szCs w:val="21"/>
                <w:lang w:val="en-US" w:eastAsia="zh-CN" w:bidi="ar-SA"/>
              </w:rPr>
              <w:t>0</w:t>
            </w:r>
            <w:r>
              <w:rPr>
                <w:rFonts w:hint="eastAsia" w:cs="Times New Roman"/>
                <w:spacing w:val="-11"/>
                <w:w w:val="100"/>
                <w:sz w:val="21"/>
                <w:szCs w:val="21"/>
                <w:lang w:val="en-US" w:eastAsia="zh-CN" w:bidi="ar-SA"/>
              </w:rPr>
              <w:t>.</w:t>
            </w:r>
            <w:r>
              <w:rPr>
                <w:rFonts w:hint="eastAsia" w:ascii="Times New Roman" w:hAnsi="Times New Roman" w:cs="Times New Roman"/>
                <w:spacing w:val="-11"/>
                <w:w w:val="100"/>
                <w:sz w:val="21"/>
                <w:szCs w:val="21"/>
                <w:lang w:val="en-US" w:eastAsia="zh-CN" w:bidi="ar-SA"/>
              </w:rPr>
              <w:t>2</w:t>
            </w:r>
          </w:p>
        </w:tc>
        <w:tc>
          <w:tcPr>
            <w:tcW w:w="862"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81</w:t>
            </w:r>
            <w:r>
              <w:rPr>
                <w:rFonts w:hint="eastAsia"/>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70</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spacing w:val="-11"/>
                <w:w w:val="100"/>
                <w:sz w:val="21"/>
                <w:szCs w:val="21"/>
                <w:lang w:val="en-US" w:eastAsia="zh-CN" w:bidi="ar-SA"/>
              </w:rPr>
            </w:pPr>
            <w:r>
              <w:rPr>
                <w:rFonts w:hint="eastAsia"/>
                <w:spacing w:val="-11"/>
                <w:w w:val="100"/>
                <w:sz w:val="21"/>
                <w:szCs w:val="21"/>
                <w:lang w:eastAsia="zh-CN"/>
              </w:rPr>
              <w:t>哈尔扎木村</w:t>
            </w:r>
          </w:p>
        </w:tc>
        <w:tc>
          <w:tcPr>
            <w:tcW w:w="750" w:type="dxa"/>
            <w:vAlign w:val="center"/>
          </w:tcPr>
          <w:p>
            <w:pPr>
              <w:spacing w:line="240" w:lineRule="auto"/>
              <w:ind w:firstLine="0" w:firstLineChars="0"/>
              <w:jc w:val="center"/>
              <w:rPr>
                <w:rFonts w:hint="eastAsia" w:ascii="Times New Roman" w:hAnsi="Times New Roman"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16"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21052921</w:t>
            </w:r>
          </w:p>
        </w:tc>
        <w:tc>
          <w:tcPr>
            <w:tcW w:w="1039"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0344</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155</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189</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0</w:t>
            </w:r>
            <w:r>
              <w:rPr>
                <w:rFonts w:hint="eastAsia" w:ascii="Times New Roman"/>
                <w:spacing w:val="-11"/>
                <w:w w:val="100"/>
                <w:sz w:val="21"/>
                <w:szCs w:val="21"/>
                <w:lang w:val="en-US" w:eastAsia="zh-CN"/>
              </w:rPr>
              <w:t>.</w:t>
            </w: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94</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62</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spacing w:val="-11"/>
                <w:w w:val="100"/>
                <w:sz w:val="21"/>
                <w:szCs w:val="21"/>
                <w:lang w:val="en-US" w:eastAsia="zh-CN" w:bidi="ar-SA"/>
              </w:rPr>
            </w:pPr>
            <w:r>
              <w:rPr>
                <w:rFonts w:hint="eastAsia"/>
                <w:spacing w:val="-11"/>
                <w:w w:val="100"/>
                <w:sz w:val="21"/>
                <w:szCs w:val="21"/>
                <w:lang w:eastAsia="zh-CN"/>
              </w:rPr>
              <w:t>园区办公室</w:t>
            </w:r>
          </w:p>
        </w:tc>
        <w:tc>
          <w:tcPr>
            <w:tcW w:w="750" w:type="dxa"/>
            <w:vAlign w:val="center"/>
          </w:tcPr>
          <w:p>
            <w:pPr>
              <w:spacing w:line="240" w:lineRule="auto"/>
              <w:ind w:firstLine="0" w:firstLineChars="0"/>
              <w:jc w:val="center"/>
              <w:rPr>
                <w:rFonts w:hint="default"/>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16"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21042807</w:t>
            </w:r>
          </w:p>
        </w:tc>
        <w:tc>
          <w:tcPr>
            <w:tcW w:w="1039"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0304</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159</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189</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0</w:t>
            </w:r>
            <w:r>
              <w:rPr>
                <w:rFonts w:hint="eastAsia" w:ascii="Times New Roman"/>
                <w:spacing w:val="-11"/>
                <w:w w:val="100"/>
                <w:sz w:val="21"/>
                <w:szCs w:val="21"/>
                <w:lang w:val="en-US" w:eastAsia="zh-CN"/>
              </w:rPr>
              <w:t>.</w:t>
            </w: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94</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62</w:t>
            </w:r>
          </w:p>
        </w:tc>
        <w:tc>
          <w:tcPr>
            <w:tcW w:w="699" w:type="dxa"/>
            <w:vAlign w:val="center"/>
          </w:tcPr>
          <w:p>
            <w:pPr>
              <w:spacing w:line="240" w:lineRule="auto"/>
              <w:ind w:firstLine="0" w:firstLineChars="0"/>
              <w:jc w:val="center"/>
              <w:rPr>
                <w:rFonts w:hint="eastAsia"/>
                <w:color w:val="auto"/>
                <w:spacing w:val="-11"/>
                <w:w w:val="100"/>
                <w:sz w:val="21"/>
                <w:szCs w:val="21"/>
                <w:lang w:eastAsia="zh-CN"/>
              </w:rPr>
            </w:pPr>
            <w:r>
              <w:rPr>
                <w:rFonts w:hint="eastAsia"/>
                <w:color w:val="auto"/>
                <w:spacing w:val="-11"/>
                <w:w w:val="10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11"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color w:val="auto"/>
                <w:spacing w:val="-11"/>
                <w:w w:val="100"/>
                <w:sz w:val="21"/>
                <w:szCs w:val="21"/>
                <w:lang w:eastAsia="zh-CN"/>
              </w:rPr>
              <w:t>网格</w:t>
            </w:r>
          </w:p>
        </w:tc>
        <w:tc>
          <w:tcPr>
            <w:tcW w:w="750" w:type="dxa"/>
            <w:vAlign w:val="center"/>
          </w:tcPr>
          <w:p>
            <w:pPr>
              <w:spacing w:line="240" w:lineRule="auto"/>
              <w:ind w:firstLine="0" w:firstLineChars="0"/>
              <w:jc w:val="center"/>
              <w:rPr>
                <w:rFonts w:hint="eastAsia" w:ascii="宋体" w:hAnsi="宋体" w:eastAsia="宋体" w:cs="Times New Roman"/>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rPr>
              <w:t>1</w:t>
            </w:r>
            <w:r>
              <w:rPr>
                <w:rFonts w:hint="eastAsia"/>
                <w:color w:val="auto"/>
                <w:spacing w:val="-11"/>
                <w:w w:val="100"/>
                <w:sz w:val="21"/>
                <w:szCs w:val="21"/>
                <w:lang w:val="en-US" w:eastAsia="zh-CN"/>
              </w:rPr>
              <w:t>小时</w:t>
            </w:r>
          </w:p>
        </w:tc>
        <w:tc>
          <w:tcPr>
            <w:tcW w:w="1616" w:type="dxa"/>
            <w:vAlign w:val="center"/>
          </w:tcPr>
          <w:p>
            <w:pPr>
              <w:spacing w:line="240" w:lineRule="auto"/>
              <w:ind w:firstLine="0" w:firstLineChars="0"/>
              <w:jc w:val="center"/>
              <w:rPr>
                <w:rFonts w:hint="default" w:ascii="Times New Roman" w:eastAsia="宋体"/>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21100419</w:t>
            </w:r>
          </w:p>
        </w:tc>
        <w:tc>
          <w:tcPr>
            <w:tcW w:w="1039"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327</w:t>
            </w:r>
          </w:p>
        </w:tc>
        <w:tc>
          <w:tcPr>
            <w:tcW w:w="1171" w:type="dxa"/>
            <w:vAlign w:val="center"/>
          </w:tcPr>
          <w:p>
            <w:pPr>
              <w:spacing w:line="240" w:lineRule="auto"/>
              <w:ind w:firstLine="0" w:firstLineChars="0"/>
              <w:jc w:val="center"/>
              <w:rPr>
                <w:rFonts w:hint="default" w:asci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145</w:t>
            </w:r>
          </w:p>
        </w:tc>
        <w:tc>
          <w:tcPr>
            <w:tcW w:w="1185" w:type="dxa"/>
            <w:vAlign w:val="center"/>
          </w:tcPr>
          <w:p>
            <w:pPr>
              <w:spacing w:line="240" w:lineRule="auto"/>
              <w:ind w:firstLine="0" w:firstLineChars="0"/>
              <w:jc w:val="center"/>
              <w:rPr>
                <w:rFonts w:hint="default" w:ascii="Times New Roman" w:hAnsi="Times New Roman"/>
                <w:color w:val="auto"/>
                <w:spacing w:val="-11"/>
                <w:w w:val="100"/>
                <w:sz w:val="21"/>
                <w:szCs w:val="21"/>
                <w:lang w:val="en-US" w:eastAsia="zh-CN"/>
              </w:rPr>
            </w:pPr>
            <w:r>
              <w:rPr>
                <w:rFonts w:hint="eastAsia" w:ascii="Times New Roman" w:hAnsi="Times New Roman"/>
                <w:color w:val="auto"/>
                <w:spacing w:val="-11"/>
                <w:w w:val="100"/>
                <w:sz w:val="21"/>
                <w:szCs w:val="21"/>
                <w:lang w:val="en-US" w:eastAsia="zh-CN"/>
              </w:rPr>
              <w:t>0</w:t>
            </w:r>
            <w:r>
              <w:rPr>
                <w:rFonts w:hint="eastAsia" w:ascii="Times New Roman" w:hAnsi="Times New Roman"/>
                <w:color w:val="auto"/>
                <w:spacing w:val="-11"/>
                <w:w w:val="100"/>
                <w:sz w:val="21"/>
                <w:szCs w:val="21"/>
                <w:lang w:val="en-US" w:eastAsia="zh-CN"/>
              </w:rPr>
              <w:t>.</w:t>
            </w:r>
            <w:r>
              <w:rPr>
                <w:rFonts w:hint="eastAsia" w:ascii="Times New Roman" w:hAnsi="Times New Roman"/>
                <w:color w:val="auto"/>
                <w:spacing w:val="-11"/>
                <w:w w:val="100"/>
                <w:sz w:val="21"/>
                <w:szCs w:val="21"/>
                <w:lang w:val="en-US" w:eastAsia="zh-CN"/>
              </w:rPr>
              <w:t>472</w:t>
            </w:r>
          </w:p>
        </w:tc>
        <w:tc>
          <w:tcPr>
            <w:tcW w:w="1004" w:type="dxa"/>
            <w:vAlign w:val="center"/>
          </w:tcPr>
          <w:p>
            <w:pPr>
              <w:spacing w:line="240" w:lineRule="auto"/>
              <w:ind w:firstLine="0" w:firstLineChars="0"/>
              <w:jc w:val="center"/>
              <w:rPr>
                <w:rFonts w:hint="default" w:ascii="Times New Roman" w:eastAsia="宋体"/>
                <w:spacing w:val="-11"/>
                <w:w w:val="100"/>
                <w:sz w:val="21"/>
                <w:szCs w:val="21"/>
                <w:lang w:val="en-US" w:eastAsia="zh-CN"/>
              </w:rPr>
            </w:pPr>
            <w:r>
              <w:rPr>
                <w:rFonts w:hint="eastAsia" w:ascii="Times New Roman" w:hAnsi="Times New Roman"/>
                <w:spacing w:val="-11"/>
                <w:w w:val="100"/>
                <w:sz w:val="21"/>
                <w:szCs w:val="21"/>
                <w:lang w:val="en-US" w:eastAsia="zh-CN"/>
              </w:rPr>
              <w:t>0</w:t>
            </w:r>
            <w:r>
              <w:rPr>
                <w:rFonts w:hint="eastAsia" w:ascii="Times New Roman"/>
                <w:spacing w:val="-11"/>
                <w:w w:val="100"/>
                <w:sz w:val="21"/>
                <w:szCs w:val="21"/>
                <w:lang w:val="en-US" w:eastAsia="zh-CN"/>
              </w:rPr>
              <w:t>.</w:t>
            </w:r>
            <w:r>
              <w:rPr>
                <w:rFonts w:hint="eastAsia" w:ascii="Times New Roman" w:hAnsi="Times New Roman"/>
                <w:spacing w:val="-11"/>
                <w:w w:val="100"/>
                <w:sz w:val="21"/>
                <w:szCs w:val="21"/>
                <w:lang w:val="en-US" w:eastAsia="zh-CN"/>
              </w:rPr>
              <w:t>2</w:t>
            </w:r>
          </w:p>
        </w:tc>
        <w:tc>
          <w:tcPr>
            <w:tcW w:w="862" w:type="dxa"/>
            <w:vAlign w:val="center"/>
          </w:tcPr>
          <w:p>
            <w:pPr>
              <w:spacing w:line="240" w:lineRule="auto"/>
              <w:ind w:firstLine="0" w:firstLineChars="0"/>
              <w:jc w:val="center"/>
              <w:rPr>
                <w:rFonts w:hint="default" w:ascii="Times New Roman" w:hAnsi="Times New Roman" w:eastAsia="宋体"/>
                <w:color w:val="auto"/>
                <w:spacing w:val="-11"/>
                <w:w w:val="100"/>
                <w:sz w:val="21"/>
                <w:szCs w:val="21"/>
                <w:lang w:val="en-US" w:eastAsia="zh-CN" w:bidi="ar-SA"/>
              </w:rPr>
            </w:pPr>
            <w:r>
              <w:rPr>
                <w:rFonts w:hint="eastAsia" w:ascii="Times New Roman" w:hAnsi="Times New Roman"/>
                <w:color w:val="auto"/>
                <w:spacing w:val="-11"/>
                <w:w w:val="100"/>
                <w:sz w:val="21"/>
                <w:szCs w:val="21"/>
                <w:lang w:val="en-US" w:eastAsia="zh-CN" w:bidi="ar-SA"/>
              </w:rPr>
              <w:t>236</w:t>
            </w:r>
            <w:r>
              <w:rPr>
                <w:rFonts w:hint="eastAsia" w:ascii="Times New Roman" w:hAnsi="Times New Roman"/>
                <w:color w:val="auto"/>
                <w:spacing w:val="-11"/>
                <w:w w:val="100"/>
                <w:sz w:val="21"/>
                <w:szCs w:val="21"/>
                <w:lang w:val="en-US" w:eastAsia="zh-CN" w:bidi="ar-SA"/>
              </w:rPr>
              <w:t>.</w:t>
            </w:r>
            <w:r>
              <w:rPr>
                <w:rFonts w:hint="eastAsia" w:ascii="Times New Roman" w:hAnsi="Times New Roman"/>
                <w:color w:val="auto"/>
                <w:spacing w:val="-11"/>
                <w:w w:val="100"/>
                <w:sz w:val="21"/>
                <w:szCs w:val="21"/>
                <w:lang w:val="en-US" w:eastAsia="zh-CN" w:bidi="ar-SA"/>
              </w:rPr>
              <w:t>11</w:t>
            </w:r>
          </w:p>
        </w:tc>
        <w:tc>
          <w:tcPr>
            <w:tcW w:w="699" w:type="dxa"/>
            <w:vAlign w:val="center"/>
          </w:tcPr>
          <w:p>
            <w:pPr>
              <w:spacing w:line="240" w:lineRule="auto"/>
              <w:ind w:firstLine="0" w:firstLineChars="0"/>
              <w:jc w:val="center"/>
              <w:rPr>
                <w:rFonts w:hint="eastAsia" w:eastAsia="宋体"/>
                <w:color w:val="auto"/>
                <w:spacing w:val="-11"/>
                <w:w w:val="100"/>
                <w:sz w:val="21"/>
                <w:szCs w:val="21"/>
                <w:lang w:eastAsia="zh-CN"/>
              </w:rPr>
            </w:pPr>
            <w:r>
              <w:rPr>
                <w:rFonts w:hint="eastAsia"/>
                <w:color w:val="auto"/>
                <w:spacing w:val="-11"/>
                <w:w w:val="100"/>
                <w:sz w:val="21"/>
                <w:szCs w:val="21"/>
                <w:lang w:eastAsia="zh-CN"/>
              </w:rPr>
              <w:t>超标</w:t>
            </w:r>
          </w:p>
        </w:tc>
      </w:tr>
    </w:tbl>
    <w:p>
      <w:pPr>
        <w:bidi w:val="0"/>
        <w:rPr>
          <w:rFonts w:hint="default"/>
          <w:lang w:val="en-US" w:eastAsia="zh-CN"/>
        </w:rPr>
      </w:pPr>
      <w:r>
        <w:rPr>
          <w:rFonts w:hint="eastAsia"/>
          <w:lang w:val="en-US" w:eastAsia="zh-CN"/>
        </w:rPr>
        <w:t>根据预测吸收塔在水吸收失效的情况下，网格处</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的最大落地浓度叠加值超过了</w:t>
      </w:r>
      <w:r>
        <w:rPr>
          <w:rFonts w:hint="eastAsia"/>
          <w:color w:val="auto"/>
          <w:lang w:val="en-US" w:eastAsia="zh-CN"/>
        </w:rPr>
        <w:t>《环境影响评价技术导则 大气环境》（</w:t>
      </w:r>
      <w:r>
        <w:rPr>
          <w:rFonts w:hint="eastAsia" w:ascii="Times New Roman" w:hAnsi="Times New Roman"/>
          <w:color w:val="auto"/>
          <w:lang w:val="en-US" w:eastAsia="zh-CN"/>
        </w:rPr>
        <w:t>HJ2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2018</w:t>
      </w:r>
      <w:r>
        <w:rPr>
          <w:rFonts w:hint="eastAsia"/>
          <w:color w:val="auto"/>
          <w:lang w:val="en-US" w:eastAsia="zh-CN"/>
        </w:rPr>
        <w:t>）附录</w:t>
      </w:r>
      <w:r>
        <w:rPr>
          <w:rFonts w:hint="eastAsia" w:ascii="Times New Roman" w:hAnsi="Times New Roman"/>
          <w:color w:val="auto"/>
          <w:lang w:val="en-US" w:eastAsia="zh-CN"/>
        </w:rPr>
        <w:t>D</w:t>
      </w:r>
      <w:r>
        <w:rPr>
          <w:rFonts w:hint="eastAsia"/>
          <w:color w:val="auto"/>
          <w:lang w:val="en-US" w:eastAsia="zh-CN"/>
        </w:rPr>
        <w:t>限值，但环境敏感目标处未超标。</w:t>
      </w:r>
      <w:r>
        <w:rPr>
          <w:rFonts w:hint="eastAsia" w:ascii="Times New Roman" w:hAnsi="Times New Roman"/>
          <w:lang w:val="en-US" w:eastAsia="zh-CN"/>
        </w:rPr>
        <w:t>NMHC</w:t>
      </w:r>
      <w:r>
        <w:rPr>
          <w:rFonts w:hint="eastAsia"/>
          <w:lang w:val="en-US" w:eastAsia="zh-CN"/>
        </w:rPr>
        <w:t>最大落地浓度叠加值未超过《大气污染物综合排放标准详解》推荐限值。说明该非正常工况下，主要污染物</w:t>
      </w:r>
      <w:r>
        <w:rPr>
          <w:rFonts w:hint="eastAsia" w:ascii="Times New Roman" w:hAnsi="Times New Roman"/>
          <w:lang w:val="en-US" w:eastAsia="zh-CN"/>
        </w:rPr>
        <w:t>NMHC</w:t>
      </w:r>
      <w:r>
        <w:rPr>
          <w:rFonts w:hint="eastAsia"/>
          <w:lang w:val="en-US" w:eastAsia="zh-CN"/>
        </w:rPr>
        <w:t>、氨对周围环境空气有影响，主要影响区域在厂区附件，不会影响环境敏感目标。</w:t>
      </w:r>
    </w:p>
    <w:p>
      <w:pPr>
        <w:pStyle w:val="5"/>
        <w:spacing w:before="165" w:after="0" w:line="500" w:lineRule="exact"/>
      </w:pP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5</w:t>
      </w:r>
      <w:r>
        <w:rPr>
          <w:rFonts w:hint="eastAsia"/>
        </w:rPr>
        <w:t>污染物排放量核算</w:t>
      </w:r>
    </w:p>
    <w:p>
      <w:pPr>
        <w:rPr>
          <w:color w:val="auto"/>
        </w:rPr>
      </w:pPr>
      <w:r>
        <w:rPr>
          <w:rFonts w:hint="eastAsia"/>
        </w:rPr>
        <w:t>（</w:t>
      </w:r>
      <w:r>
        <w:rPr>
          <w:rFonts w:hint="eastAsia" w:ascii="Times New Roman" w:hAnsi="Times New Roman"/>
        </w:rPr>
        <w:t>1</w:t>
      </w:r>
      <w:r>
        <w:rPr>
          <w:rFonts w:hint="eastAsia"/>
        </w:rPr>
        <w:t>）</w:t>
      </w:r>
      <w:r>
        <w:rPr>
          <w:color w:val="auto"/>
        </w:rPr>
        <w:t xml:space="preserve">有组织废气排放量核算 </w:t>
      </w:r>
    </w:p>
    <w:p>
      <w:pPr>
        <w:ind w:firstLine="480" w:firstLineChars="200"/>
        <w:rPr>
          <w:color w:val="auto"/>
        </w:rPr>
      </w:pPr>
      <w:r>
        <w:rPr>
          <w:color w:val="auto"/>
        </w:rPr>
        <w:t>本项目有组织排放量核算情况见表</w:t>
      </w:r>
      <w:r>
        <w:rPr>
          <w:rFonts w:hint="eastAsia" w:ascii="Times New Roman" w:hAnsi="Times New Roman"/>
          <w:color w:val="auto"/>
          <w:lang w:val="en-US" w:eastAsia="zh-CN"/>
        </w:rPr>
        <w:t>6</w:t>
      </w:r>
      <w:r>
        <w:rPr>
          <w:color w:val="auto"/>
        </w:rPr>
        <w:t>.</w:t>
      </w:r>
      <w:r>
        <w:rPr>
          <w:rFonts w:hint="eastAsia" w:ascii="Times New Roman" w:hAnsi="Times New Roman"/>
          <w:color w:val="auto"/>
          <w:lang w:val="en-US" w:eastAsia="zh-CN"/>
        </w:rPr>
        <w:t>2</w:t>
      </w:r>
      <w:r>
        <w:rPr>
          <w:rFonts w:hint="eastAsia" w:ascii="Times New Roman"/>
          <w:color w:val="auto"/>
          <w:lang w:val="en-US" w:eastAsia="zh-CN"/>
        </w:rPr>
        <w:t>-</w:t>
      </w:r>
      <w:r>
        <w:rPr>
          <w:rFonts w:hint="eastAsia" w:ascii="Times New Roman" w:hAnsi="Times New Roman"/>
          <w:color w:val="auto"/>
          <w:lang w:val="en-US" w:eastAsia="zh-CN"/>
        </w:rPr>
        <w:t>20</w:t>
      </w:r>
      <w:r>
        <w:rPr>
          <w:color w:val="auto"/>
        </w:rPr>
        <w:t>。</w:t>
      </w:r>
    </w:p>
    <w:p>
      <w:pPr>
        <w:pStyle w:val="20"/>
        <w:spacing w:before="165"/>
        <w:rPr>
          <w:rFonts w:ascii="Times New Roman" w:hAnsi="Times New Roman"/>
          <w:color w:val="auto"/>
        </w:rPr>
      </w:pPr>
      <w:r>
        <w:rPr>
          <w:rFonts w:ascii="Times New Roman" w:hAnsi="Times New Roman"/>
          <w:color w:val="auto"/>
        </w:rPr>
        <w:t>表</w:t>
      </w:r>
      <w:r>
        <w:rPr>
          <w:rFonts w:hint="eastAsia" w:ascii="Times New Roman" w:hAnsi="Times New Roman"/>
          <w:color w:val="auto"/>
          <w:lang w:val="en-US" w:eastAsia="zh-CN"/>
        </w:rPr>
        <w:t>6</w:t>
      </w:r>
      <w:r>
        <w:rPr>
          <w:rFonts w:ascii="Times New Roman" w:hAnsi="Times New Roman"/>
          <w:color w:val="auto"/>
        </w:rPr>
        <w:t>.</w:t>
      </w:r>
      <w:r>
        <w:rPr>
          <w:rFonts w:hint="eastAsia" w:ascii="Times New Roman" w:hAnsi="Times New Roman"/>
          <w:color w:val="auto"/>
          <w:lang w:val="en-US" w:eastAsia="zh-CN"/>
        </w:rPr>
        <w:t>2</w:t>
      </w:r>
      <w:r>
        <w:rPr>
          <w:rFonts w:hint="eastAsia" w:ascii="Times New Roman" w:hAnsi="Times New Roman"/>
          <w:color w:val="auto"/>
          <w:lang w:val="en-US" w:eastAsia="zh-CN"/>
        </w:rPr>
        <w:t>-</w:t>
      </w:r>
      <w:r>
        <w:rPr>
          <w:rFonts w:hint="eastAsia" w:ascii="Times New Roman" w:hAnsi="Times New Roman"/>
          <w:color w:val="auto"/>
          <w:lang w:val="en-US" w:eastAsia="zh-CN"/>
        </w:rPr>
        <w:t>20</w:t>
      </w:r>
      <w:r>
        <w:rPr>
          <w:rFonts w:ascii="Times New Roman" w:hAnsi="Times New Roman"/>
          <w:color w:val="auto"/>
        </w:rPr>
        <w:t xml:space="preserve">  大气污染物有组织排放量核算表</w:t>
      </w:r>
    </w:p>
    <w:tbl>
      <w:tblPr>
        <w:tblStyle w:val="80"/>
        <w:tblW w:w="9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569"/>
        <w:gridCol w:w="1568"/>
        <w:gridCol w:w="1761"/>
        <w:gridCol w:w="1914"/>
        <w:gridCol w:w="1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73" w:type="dxa"/>
            <w:noWrap w:val="0"/>
            <w:vAlign w:val="center"/>
          </w:tcPr>
          <w:p>
            <w:pPr>
              <w:pStyle w:val="199"/>
              <w:spacing w:line="240" w:lineRule="auto"/>
              <w:ind w:left="-108" w:right="-108" w:firstLine="0"/>
              <w:rPr>
                <w:rFonts w:ascii="Times New Roman" w:hAnsi="Times New Roman"/>
                <w:color w:val="auto"/>
                <w:sz w:val="21"/>
                <w:szCs w:val="21"/>
                <w:lang w:bidi="ar"/>
              </w:rPr>
            </w:pPr>
            <w:r>
              <w:rPr>
                <w:rFonts w:ascii="Times New Roman" w:hAnsi="Times New Roman"/>
                <w:color w:val="auto"/>
                <w:sz w:val="21"/>
                <w:szCs w:val="21"/>
                <w:lang w:bidi="ar"/>
              </w:rPr>
              <w:t>序号</w:t>
            </w:r>
          </w:p>
        </w:tc>
        <w:tc>
          <w:tcPr>
            <w:tcW w:w="1569" w:type="dxa"/>
            <w:noWrap w:val="0"/>
            <w:vAlign w:val="center"/>
          </w:tcPr>
          <w:p>
            <w:pPr>
              <w:pStyle w:val="199"/>
              <w:spacing w:line="240" w:lineRule="auto"/>
              <w:ind w:left="-108" w:right="-108" w:firstLine="0"/>
              <w:rPr>
                <w:rFonts w:ascii="Times New Roman" w:hAnsi="Times New Roman"/>
                <w:color w:val="auto"/>
                <w:sz w:val="21"/>
                <w:szCs w:val="21"/>
                <w:lang w:bidi="ar"/>
              </w:rPr>
            </w:pPr>
            <w:r>
              <w:rPr>
                <w:rFonts w:ascii="Times New Roman" w:hAnsi="Times New Roman"/>
                <w:color w:val="auto"/>
                <w:sz w:val="21"/>
                <w:szCs w:val="21"/>
                <w:lang w:bidi="ar"/>
              </w:rPr>
              <w:t>产污环节</w:t>
            </w:r>
          </w:p>
        </w:tc>
        <w:tc>
          <w:tcPr>
            <w:tcW w:w="1568" w:type="dxa"/>
            <w:noWrap w:val="0"/>
            <w:vAlign w:val="center"/>
          </w:tcPr>
          <w:p>
            <w:pPr>
              <w:pStyle w:val="199"/>
              <w:spacing w:line="240" w:lineRule="auto"/>
              <w:ind w:left="-108" w:right="-108" w:firstLine="0"/>
              <w:rPr>
                <w:rFonts w:ascii="Times New Roman" w:hAnsi="Times New Roman"/>
                <w:color w:val="auto"/>
                <w:sz w:val="21"/>
                <w:szCs w:val="21"/>
                <w:lang w:bidi="ar"/>
              </w:rPr>
            </w:pPr>
            <w:r>
              <w:rPr>
                <w:rFonts w:ascii="Times New Roman" w:hAnsi="Times New Roman"/>
                <w:color w:val="auto"/>
                <w:sz w:val="21"/>
                <w:szCs w:val="21"/>
                <w:lang w:bidi="ar"/>
              </w:rPr>
              <w:t>污染物</w:t>
            </w:r>
          </w:p>
        </w:tc>
        <w:tc>
          <w:tcPr>
            <w:tcW w:w="1761" w:type="dxa"/>
            <w:noWrap w:val="0"/>
            <w:vAlign w:val="center"/>
          </w:tcPr>
          <w:p>
            <w:pPr>
              <w:pStyle w:val="199"/>
              <w:spacing w:line="240" w:lineRule="auto"/>
              <w:ind w:left="-108" w:right="-108" w:firstLine="0"/>
              <w:rPr>
                <w:rFonts w:ascii="Times New Roman" w:hAnsi="Times New Roman"/>
                <w:color w:val="auto"/>
                <w:sz w:val="21"/>
                <w:szCs w:val="21"/>
                <w:lang w:bidi="ar"/>
              </w:rPr>
            </w:pPr>
            <w:r>
              <w:rPr>
                <w:rFonts w:ascii="Times New Roman" w:hAnsi="Times New Roman"/>
                <w:color w:val="auto"/>
                <w:sz w:val="21"/>
                <w:szCs w:val="21"/>
                <w:lang w:bidi="ar"/>
              </w:rPr>
              <w:t>核算排放浓度（</w:t>
            </w:r>
            <w:r>
              <w:rPr>
                <w:rFonts w:ascii="Times New Roman" w:hAnsi="Times New Roman" w:cs="Times New Roman"/>
                <w:color w:val="auto"/>
                <w:sz w:val="21"/>
                <w:szCs w:val="21"/>
                <w:lang w:bidi="ar"/>
              </w:rPr>
              <w:t>mg</w:t>
            </w:r>
            <w:r>
              <w:rPr>
                <w:rFonts w:ascii="Times New Roman" w:hAnsi="Times New Roman"/>
                <w:color w:val="auto"/>
                <w:sz w:val="21"/>
                <w:szCs w:val="21"/>
                <w:lang w:bidi="ar"/>
              </w:rPr>
              <w:t>/</w:t>
            </w:r>
            <w:r>
              <w:rPr>
                <w:rFonts w:ascii="Times New Roman" w:hAnsi="Times New Roman" w:cs="Times New Roman"/>
                <w:color w:val="auto"/>
                <w:sz w:val="21"/>
                <w:szCs w:val="21"/>
                <w:lang w:bidi="ar"/>
              </w:rPr>
              <w:t>m</w:t>
            </w:r>
            <w:r>
              <w:rPr>
                <w:rFonts w:ascii="Times New Roman" w:hAnsi="Times New Roman" w:cs="Times New Roman"/>
                <w:color w:val="auto"/>
                <w:sz w:val="21"/>
                <w:szCs w:val="21"/>
                <w:vertAlign w:val="superscript"/>
                <w:lang w:bidi="ar"/>
              </w:rPr>
              <w:t>3</w:t>
            </w:r>
            <w:r>
              <w:rPr>
                <w:rFonts w:ascii="Times New Roman" w:hAnsi="Times New Roman"/>
                <w:color w:val="auto"/>
                <w:sz w:val="21"/>
                <w:szCs w:val="21"/>
                <w:lang w:bidi="ar"/>
              </w:rPr>
              <w:t>）</w:t>
            </w:r>
          </w:p>
        </w:tc>
        <w:tc>
          <w:tcPr>
            <w:tcW w:w="1914" w:type="dxa"/>
            <w:noWrap w:val="0"/>
            <w:vAlign w:val="center"/>
          </w:tcPr>
          <w:p>
            <w:pPr>
              <w:pStyle w:val="199"/>
              <w:spacing w:line="240" w:lineRule="auto"/>
              <w:ind w:left="-108" w:right="-108" w:firstLine="0"/>
              <w:rPr>
                <w:rFonts w:ascii="Times New Roman" w:hAnsi="Times New Roman"/>
                <w:color w:val="auto"/>
                <w:sz w:val="21"/>
                <w:szCs w:val="21"/>
                <w:lang w:bidi="ar"/>
              </w:rPr>
            </w:pPr>
            <w:r>
              <w:rPr>
                <w:rFonts w:ascii="Times New Roman" w:hAnsi="Times New Roman"/>
                <w:color w:val="auto"/>
                <w:sz w:val="21"/>
                <w:szCs w:val="21"/>
                <w:lang w:bidi="ar"/>
              </w:rPr>
              <w:t>核算排放速率</w:t>
            </w:r>
          </w:p>
          <w:p>
            <w:pPr>
              <w:pStyle w:val="199"/>
              <w:spacing w:line="240" w:lineRule="auto"/>
              <w:ind w:left="-108" w:right="-108" w:firstLine="0"/>
              <w:rPr>
                <w:rFonts w:ascii="Times New Roman" w:hAnsi="Times New Roman"/>
                <w:color w:val="auto"/>
                <w:sz w:val="21"/>
                <w:szCs w:val="21"/>
                <w:lang w:bidi="ar"/>
              </w:rPr>
            </w:pPr>
            <w:r>
              <w:rPr>
                <w:rFonts w:ascii="Times New Roman" w:hAnsi="Times New Roman"/>
                <w:color w:val="auto"/>
                <w:sz w:val="21"/>
                <w:szCs w:val="21"/>
                <w:lang w:bidi="ar"/>
              </w:rPr>
              <w:t>（</w:t>
            </w:r>
            <w:r>
              <w:rPr>
                <w:rFonts w:ascii="Times New Roman" w:hAnsi="Times New Roman" w:cs="Times New Roman"/>
                <w:color w:val="auto"/>
                <w:sz w:val="21"/>
                <w:szCs w:val="21"/>
                <w:lang w:bidi="ar"/>
              </w:rPr>
              <w:t>kg</w:t>
            </w:r>
            <w:r>
              <w:rPr>
                <w:rFonts w:ascii="Times New Roman" w:hAnsi="Times New Roman"/>
                <w:color w:val="auto"/>
                <w:sz w:val="21"/>
                <w:szCs w:val="21"/>
                <w:lang w:bidi="ar"/>
              </w:rPr>
              <w:t>/</w:t>
            </w:r>
            <w:r>
              <w:rPr>
                <w:rFonts w:ascii="Times New Roman" w:hAnsi="Times New Roman" w:cs="Times New Roman"/>
                <w:color w:val="auto"/>
                <w:sz w:val="21"/>
                <w:szCs w:val="21"/>
                <w:lang w:bidi="ar"/>
              </w:rPr>
              <w:t>h</w:t>
            </w:r>
            <w:r>
              <w:rPr>
                <w:rFonts w:ascii="Times New Roman" w:hAnsi="Times New Roman"/>
                <w:color w:val="auto"/>
                <w:sz w:val="21"/>
                <w:szCs w:val="21"/>
                <w:lang w:bidi="ar"/>
              </w:rPr>
              <w:t>）</w:t>
            </w:r>
          </w:p>
        </w:tc>
        <w:tc>
          <w:tcPr>
            <w:tcW w:w="1492" w:type="dxa"/>
            <w:noWrap w:val="0"/>
            <w:vAlign w:val="center"/>
          </w:tcPr>
          <w:p>
            <w:pPr>
              <w:pStyle w:val="199"/>
              <w:spacing w:line="240" w:lineRule="auto"/>
              <w:ind w:left="-108" w:right="-108" w:firstLine="0"/>
              <w:rPr>
                <w:rFonts w:ascii="Times New Roman" w:hAnsi="Times New Roman"/>
                <w:color w:val="auto"/>
                <w:sz w:val="21"/>
                <w:szCs w:val="21"/>
              </w:rPr>
            </w:pPr>
            <w:r>
              <w:rPr>
                <w:rFonts w:ascii="Times New Roman" w:hAnsi="Times New Roman"/>
                <w:color w:val="auto"/>
                <w:sz w:val="21"/>
                <w:szCs w:val="21"/>
                <w:lang w:bidi="ar"/>
              </w:rPr>
              <w:t>核算年排放量（</w:t>
            </w:r>
            <w:r>
              <w:rPr>
                <w:rFonts w:ascii="Times New Roman" w:hAnsi="Times New Roman" w:cs="Times New Roman"/>
                <w:color w:val="auto"/>
                <w:sz w:val="21"/>
                <w:szCs w:val="21"/>
                <w:lang w:bidi="ar"/>
              </w:rPr>
              <w:t>t</w:t>
            </w:r>
            <w:r>
              <w:rPr>
                <w:rFonts w:ascii="Times New Roman" w:hAnsi="Times New Roman"/>
                <w:color w:val="auto"/>
                <w:sz w:val="21"/>
                <w:szCs w:val="21"/>
                <w:lang w:bidi="ar"/>
              </w:rPr>
              <w:t>/</w:t>
            </w:r>
            <w:r>
              <w:rPr>
                <w:rFonts w:ascii="Times New Roman" w:hAnsi="Times New Roman" w:cs="Times New Roman"/>
                <w:color w:val="auto"/>
                <w:sz w:val="21"/>
                <w:szCs w:val="21"/>
                <w:lang w:bidi="ar"/>
              </w:rPr>
              <w:t>a</w:t>
            </w:r>
            <w:r>
              <w:rPr>
                <w:rFonts w:ascii="Times New Roman" w:hAnsi="Times New Roman"/>
                <w:color w:val="auto"/>
                <w:sz w:val="21"/>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73" w:type="dxa"/>
            <w:vMerge w:val="restart"/>
            <w:noWrap w:val="0"/>
            <w:vAlign w:val="center"/>
          </w:tcPr>
          <w:p>
            <w:pPr>
              <w:pStyle w:val="199"/>
              <w:spacing w:line="240" w:lineRule="auto"/>
              <w:ind w:left="-108" w:right="-108" w:firstLine="0"/>
              <w:rPr>
                <w:rFonts w:hint="eastAsia" w:ascii="Times New Roman" w:hAnsi="Times New Roman" w:eastAsia="宋体"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w:t>
            </w:r>
          </w:p>
        </w:tc>
        <w:tc>
          <w:tcPr>
            <w:tcW w:w="1569" w:type="dxa"/>
            <w:vMerge w:val="restart"/>
            <w:noWrap w:val="0"/>
            <w:vAlign w:val="center"/>
          </w:tcPr>
          <w:p>
            <w:pPr>
              <w:pStyle w:val="199"/>
              <w:spacing w:line="240" w:lineRule="auto"/>
              <w:ind w:left="-108" w:right="-108" w:firstLine="0"/>
              <w:rPr>
                <w:rFonts w:hint="eastAsia" w:ascii="Times New Roman" w:hAnsi="Times New Roman" w:cs="Times New Roman"/>
                <w:color w:val="000000"/>
                <w:sz w:val="21"/>
                <w:szCs w:val="21"/>
                <w:lang w:eastAsia="zh-CN" w:bidi="ar"/>
              </w:rPr>
            </w:pPr>
            <w:r>
              <w:rPr>
                <w:rFonts w:hint="eastAsia" w:ascii="Times New Roman" w:hAnsi="Times New Roman" w:cs="Times New Roman"/>
                <w:color w:val="000000"/>
                <w:sz w:val="21"/>
                <w:szCs w:val="21"/>
                <w:lang w:eastAsia="zh-CN" w:bidi="ar"/>
              </w:rPr>
              <w:t>尾气吸收塔</w:t>
            </w:r>
          </w:p>
        </w:tc>
        <w:tc>
          <w:tcPr>
            <w:tcW w:w="1568" w:type="dxa"/>
            <w:noWrap w:val="0"/>
            <w:vAlign w:val="center"/>
          </w:tcPr>
          <w:p>
            <w:pPr>
              <w:pStyle w:val="199"/>
              <w:spacing w:line="240" w:lineRule="auto"/>
              <w:ind w:left="-108" w:leftChars="0" w:right="-108" w:rightChars="0" w:firstLine="0" w:firstLineChars="0"/>
              <w:rPr>
                <w:rFonts w:hint="eastAsia" w:ascii="Times New Roman" w:hAnsi="Times New Roman" w:eastAsia="宋体" w:cs="宋体"/>
                <w:color w:val="000000"/>
                <w:kern w:val="0"/>
                <w:sz w:val="21"/>
                <w:szCs w:val="21"/>
                <w:lang w:val="en-US" w:eastAsia="zh-CN" w:bidi="ar"/>
              </w:rPr>
            </w:pPr>
            <w:r>
              <w:rPr>
                <w:rFonts w:hint="eastAsia" w:ascii="Times New Roman" w:hAnsi="Times New Roman"/>
                <w:color w:val="000000"/>
                <w:sz w:val="21"/>
                <w:szCs w:val="21"/>
                <w:lang w:val="en-US" w:eastAsia="zh-CN" w:bidi="ar"/>
              </w:rPr>
              <w:t>NH</w:t>
            </w:r>
            <w:r>
              <w:rPr>
                <w:rFonts w:hint="eastAsia" w:ascii="Times New Roman" w:hAnsi="Times New Roman"/>
                <w:color w:val="000000"/>
                <w:sz w:val="21"/>
                <w:szCs w:val="21"/>
                <w:vertAlign w:val="subscript"/>
                <w:lang w:val="en-US" w:eastAsia="zh-CN" w:bidi="ar"/>
              </w:rPr>
              <w:t>3</w:t>
            </w:r>
          </w:p>
        </w:tc>
        <w:tc>
          <w:tcPr>
            <w:tcW w:w="1761" w:type="dxa"/>
            <w:noWrap w:val="0"/>
            <w:vAlign w:val="center"/>
          </w:tcPr>
          <w:p>
            <w:pPr>
              <w:tabs>
                <w:tab w:val="left" w:pos="2960"/>
              </w:tabs>
              <w:autoSpaceDE w:val="0"/>
              <w:autoSpaceDN w:val="0"/>
              <w:spacing w:line="240" w:lineRule="auto"/>
              <w:ind w:firstLine="0" w:firstLineChars="0"/>
              <w:jc w:val="center"/>
              <w:rPr>
                <w:rFonts w:hint="default" w:ascii="宋体" w:hAnsi="宋体" w:eastAsia="宋体"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202</w:t>
            </w:r>
            <w:r>
              <w:rPr>
                <w:rFonts w:hint="eastAsia" w:cs="Times New Roman"/>
                <w:color w:val="000000"/>
                <w:sz w:val="21"/>
                <w:szCs w:val="21"/>
                <w:lang w:val="en-US" w:eastAsia="zh-CN" w:bidi="ar"/>
              </w:rPr>
              <w:t>.</w:t>
            </w:r>
            <w:r>
              <w:rPr>
                <w:rFonts w:hint="eastAsia" w:ascii="Times New Roman" w:hAnsi="Times New Roman" w:cs="Times New Roman"/>
                <w:color w:val="000000"/>
                <w:sz w:val="21"/>
                <w:szCs w:val="21"/>
                <w:lang w:val="en-US" w:eastAsia="zh-CN" w:bidi="ar"/>
              </w:rPr>
              <w:t>5</w:t>
            </w:r>
          </w:p>
        </w:tc>
        <w:tc>
          <w:tcPr>
            <w:tcW w:w="1914" w:type="dxa"/>
            <w:noWrap w:val="0"/>
            <w:vAlign w:val="center"/>
          </w:tcPr>
          <w:p>
            <w:pPr>
              <w:tabs>
                <w:tab w:val="left" w:pos="2960"/>
              </w:tabs>
              <w:autoSpaceDE w:val="0"/>
              <w:autoSpaceDN w:val="0"/>
              <w:spacing w:line="240" w:lineRule="auto"/>
              <w:ind w:firstLine="0" w:firstLineChars="0"/>
              <w:jc w:val="center"/>
              <w:rPr>
                <w:rFonts w:hint="default" w:ascii="宋体" w:hAnsi="宋体" w:eastAsia="宋体"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0</w:t>
            </w:r>
            <w:r>
              <w:rPr>
                <w:rFonts w:hint="eastAsia" w:cs="Times New Roman"/>
                <w:color w:val="000000"/>
                <w:sz w:val="21"/>
                <w:szCs w:val="21"/>
                <w:lang w:val="en-US" w:eastAsia="zh-CN" w:bidi="ar"/>
              </w:rPr>
              <w:t>.</w:t>
            </w:r>
            <w:r>
              <w:rPr>
                <w:rFonts w:hint="eastAsia" w:ascii="Times New Roman" w:hAnsi="Times New Roman" w:cs="Times New Roman"/>
                <w:color w:val="000000"/>
                <w:sz w:val="21"/>
                <w:szCs w:val="21"/>
                <w:lang w:val="en-US" w:eastAsia="zh-CN" w:bidi="ar"/>
              </w:rPr>
              <w:t>3037</w:t>
            </w:r>
          </w:p>
        </w:tc>
        <w:tc>
          <w:tcPr>
            <w:tcW w:w="1492" w:type="dxa"/>
            <w:noWrap w:val="0"/>
            <w:vAlign w:val="center"/>
          </w:tcPr>
          <w:p>
            <w:pPr>
              <w:tabs>
                <w:tab w:val="left" w:pos="2960"/>
              </w:tabs>
              <w:autoSpaceDE w:val="0"/>
              <w:autoSpaceDN w:val="0"/>
              <w:spacing w:line="240" w:lineRule="auto"/>
              <w:ind w:firstLine="0" w:firstLineChars="0"/>
              <w:jc w:val="center"/>
              <w:rPr>
                <w:rFonts w:hint="default" w:ascii="宋体" w:hAnsi="宋体"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w:t>
            </w:r>
            <w:r>
              <w:rPr>
                <w:rFonts w:hint="eastAsia" w:ascii="Times New Roman" w:hAnsi="Times New Roman" w:cs="Times New Roman"/>
                <w:color w:val="000000"/>
                <w:sz w:val="21"/>
                <w:szCs w:val="21"/>
                <w:lang w:val="en-US" w:eastAsia="zh-CN" w:bidi="ar-SA"/>
              </w:rPr>
              <w:t>.</w:t>
            </w:r>
            <w:r>
              <w:rPr>
                <w:rFonts w:hint="eastAsia" w:ascii="Times New Roman" w:hAnsi="Times New Roman" w:cs="Times New Roman"/>
                <w:color w:val="000000"/>
                <w:sz w:val="21"/>
                <w:szCs w:val="21"/>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73" w:type="dxa"/>
            <w:vMerge w:val="continue"/>
            <w:noWrap w:val="0"/>
            <w:vAlign w:val="center"/>
          </w:tcPr>
          <w:p>
            <w:pPr>
              <w:pStyle w:val="199"/>
              <w:spacing w:line="240" w:lineRule="auto"/>
              <w:ind w:left="-108" w:right="-108" w:firstLine="0"/>
              <w:rPr>
                <w:rFonts w:hint="eastAsia" w:ascii="Times New Roman" w:hAnsi="Times New Roman" w:cs="Times New Roman"/>
                <w:color w:val="000000"/>
                <w:sz w:val="21"/>
                <w:szCs w:val="21"/>
                <w:lang w:val="en-US" w:eastAsia="zh-CN" w:bidi="ar"/>
              </w:rPr>
            </w:pPr>
          </w:p>
        </w:tc>
        <w:tc>
          <w:tcPr>
            <w:tcW w:w="1569" w:type="dxa"/>
            <w:vMerge w:val="continue"/>
            <w:noWrap w:val="0"/>
            <w:vAlign w:val="center"/>
          </w:tcPr>
          <w:p>
            <w:pPr>
              <w:pStyle w:val="199"/>
              <w:spacing w:line="240" w:lineRule="auto"/>
              <w:ind w:left="-108" w:right="-108" w:firstLine="0"/>
              <w:rPr>
                <w:rFonts w:hint="eastAsia" w:ascii="Times New Roman" w:hAnsi="Times New Roman" w:cs="Times New Roman"/>
                <w:color w:val="000000"/>
                <w:sz w:val="21"/>
                <w:szCs w:val="21"/>
                <w:lang w:eastAsia="zh-CN" w:bidi="ar"/>
              </w:rPr>
            </w:pPr>
          </w:p>
        </w:tc>
        <w:tc>
          <w:tcPr>
            <w:tcW w:w="1568" w:type="dxa"/>
            <w:noWrap w:val="0"/>
            <w:vAlign w:val="center"/>
          </w:tcPr>
          <w:p>
            <w:pPr>
              <w:pStyle w:val="199"/>
              <w:spacing w:line="240" w:lineRule="auto"/>
              <w:ind w:left="-108" w:leftChars="0" w:right="-108" w:rightChars="0" w:firstLine="0" w:firstLineChars="0"/>
              <w:rPr>
                <w:rFonts w:hint="eastAsia" w:ascii="Times New Roman" w:hAnsi="Times New Roman" w:eastAsia="宋体" w:cs="宋体"/>
                <w:color w:val="000000"/>
                <w:kern w:val="0"/>
                <w:sz w:val="21"/>
                <w:szCs w:val="21"/>
                <w:lang w:val="en-US" w:eastAsia="zh-CN" w:bidi="ar"/>
              </w:rPr>
            </w:pPr>
            <w:r>
              <w:rPr>
                <w:rFonts w:hint="eastAsia" w:ascii="Times New Roman" w:hAnsi="Times New Roman"/>
                <w:color w:val="000000"/>
                <w:sz w:val="21"/>
                <w:szCs w:val="21"/>
                <w:lang w:val="en-US" w:eastAsia="zh-CN" w:bidi="ar"/>
              </w:rPr>
              <w:t>NMHC</w:t>
            </w:r>
          </w:p>
        </w:tc>
        <w:tc>
          <w:tcPr>
            <w:tcW w:w="1761" w:type="dxa"/>
            <w:noWrap w:val="0"/>
            <w:vAlign w:val="center"/>
          </w:tcPr>
          <w:p>
            <w:pPr>
              <w:tabs>
                <w:tab w:val="left" w:pos="2960"/>
              </w:tabs>
              <w:autoSpaceDE w:val="0"/>
              <w:autoSpaceDN w:val="0"/>
              <w:spacing w:line="240" w:lineRule="auto"/>
              <w:ind w:firstLine="0"/>
              <w:jc w:val="center"/>
              <w:rPr>
                <w:rFonts w:hint="default"/>
                <w:color w:val="000000"/>
                <w:sz w:val="21"/>
                <w:szCs w:val="21"/>
                <w:lang w:val="en-US" w:eastAsia="zh-CN" w:bidi="ar"/>
              </w:rPr>
            </w:pPr>
            <w:r>
              <w:rPr>
                <w:rFonts w:hint="eastAsia" w:ascii="Times New Roman" w:hAnsi="Times New Roman"/>
                <w:color w:val="000000"/>
                <w:sz w:val="21"/>
                <w:szCs w:val="21"/>
                <w:lang w:val="en-US" w:eastAsia="zh-CN" w:bidi="ar"/>
              </w:rPr>
              <w:t>0</w:t>
            </w:r>
            <w:r>
              <w:rPr>
                <w:rFonts w:hint="eastAsia"/>
                <w:color w:val="000000"/>
                <w:sz w:val="21"/>
                <w:szCs w:val="21"/>
                <w:lang w:val="en-US" w:eastAsia="zh-CN" w:bidi="ar"/>
              </w:rPr>
              <w:t>.</w:t>
            </w:r>
            <w:r>
              <w:rPr>
                <w:rFonts w:hint="eastAsia" w:ascii="Times New Roman" w:hAnsi="Times New Roman"/>
                <w:color w:val="000000"/>
                <w:sz w:val="21"/>
                <w:szCs w:val="21"/>
                <w:lang w:val="en-US" w:eastAsia="zh-CN" w:bidi="ar"/>
              </w:rPr>
              <w:t>09</w:t>
            </w:r>
          </w:p>
        </w:tc>
        <w:tc>
          <w:tcPr>
            <w:tcW w:w="1914" w:type="dxa"/>
            <w:noWrap w:val="0"/>
            <w:vAlign w:val="center"/>
          </w:tcPr>
          <w:p>
            <w:pPr>
              <w:tabs>
                <w:tab w:val="left" w:pos="2960"/>
              </w:tabs>
              <w:autoSpaceDE w:val="0"/>
              <w:autoSpaceDN w:val="0"/>
              <w:spacing w:line="240" w:lineRule="auto"/>
              <w:ind w:firstLine="0"/>
              <w:jc w:val="center"/>
              <w:rPr>
                <w:rFonts w:hint="default"/>
                <w:color w:val="000000"/>
                <w:sz w:val="21"/>
                <w:szCs w:val="21"/>
                <w:lang w:val="en-US" w:eastAsia="zh-CN" w:bidi="ar"/>
              </w:rPr>
            </w:pPr>
            <w:r>
              <w:rPr>
                <w:rFonts w:hint="eastAsia" w:ascii="Times New Roman" w:hAnsi="Times New Roman"/>
                <w:color w:val="000000"/>
                <w:sz w:val="21"/>
                <w:szCs w:val="21"/>
                <w:lang w:val="en-US" w:eastAsia="zh-CN" w:bidi="ar"/>
              </w:rPr>
              <w:t>0</w:t>
            </w:r>
            <w:r>
              <w:rPr>
                <w:rFonts w:hint="eastAsia"/>
                <w:color w:val="000000"/>
                <w:sz w:val="21"/>
                <w:szCs w:val="21"/>
                <w:lang w:val="en-US" w:eastAsia="zh-CN" w:bidi="ar"/>
              </w:rPr>
              <w:t>.</w:t>
            </w:r>
            <w:r>
              <w:rPr>
                <w:rFonts w:hint="eastAsia" w:ascii="Times New Roman" w:hAnsi="Times New Roman"/>
                <w:color w:val="000000"/>
                <w:sz w:val="21"/>
                <w:szCs w:val="21"/>
                <w:lang w:val="en-US" w:eastAsia="zh-CN" w:bidi="ar"/>
              </w:rPr>
              <w:t>00013</w:t>
            </w:r>
          </w:p>
        </w:tc>
        <w:tc>
          <w:tcPr>
            <w:tcW w:w="1492" w:type="dxa"/>
            <w:noWrap w:val="0"/>
            <w:vAlign w:val="center"/>
          </w:tcPr>
          <w:p>
            <w:pPr>
              <w:tabs>
                <w:tab w:val="left" w:pos="2960"/>
              </w:tabs>
              <w:autoSpaceDE w:val="0"/>
              <w:autoSpaceDN w:val="0"/>
              <w:spacing w:line="240" w:lineRule="auto"/>
              <w:ind w:firstLine="0"/>
              <w:jc w:val="center"/>
              <w:rPr>
                <w:rFonts w:hint="default"/>
                <w:color w:val="000000"/>
                <w:sz w:val="21"/>
                <w:szCs w:val="21"/>
                <w:lang w:val="en-US" w:eastAsia="zh-CN"/>
              </w:rPr>
            </w:pPr>
            <w:r>
              <w:rPr>
                <w:rFonts w:hint="eastAsia" w:ascii="Times New Roman" w:hAnsi="Times New Roman"/>
                <w:color w:val="000000"/>
                <w:sz w:val="21"/>
                <w:szCs w:val="21"/>
                <w:lang w:val="en-US" w:eastAsia="zh-CN"/>
              </w:rPr>
              <w:t>0</w:t>
            </w:r>
            <w:r>
              <w:rPr>
                <w:rFonts w:hint="eastAsia" w:ascii="Times New Roman" w:hAnsi="Times New Roman"/>
                <w:color w:val="000000"/>
                <w:sz w:val="21"/>
                <w:szCs w:val="21"/>
                <w:lang w:val="en-US" w:eastAsia="zh-CN"/>
              </w:rPr>
              <w:t>.</w:t>
            </w:r>
            <w:r>
              <w:rPr>
                <w:rFonts w:hint="eastAsia" w:ascii="Times New Roman" w:hAnsi="Times New Roman"/>
                <w:color w:val="000000"/>
                <w:sz w:val="21"/>
                <w:szCs w:val="21"/>
                <w:lang w:val="en-US" w:eastAsia="zh-CN"/>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42" w:type="dxa"/>
            <w:gridSpan w:val="2"/>
            <w:vMerge w:val="restart"/>
            <w:noWrap w:val="0"/>
            <w:vAlign w:val="center"/>
          </w:tcPr>
          <w:p>
            <w:pPr>
              <w:pStyle w:val="199"/>
              <w:spacing w:line="240" w:lineRule="auto"/>
              <w:ind w:left="-108" w:right="-108" w:firstLine="0"/>
              <w:rPr>
                <w:rFonts w:ascii="Times New Roman" w:hAnsi="Times New Roman"/>
                <w:color w:val="000000"/>
                <w:sz w:val="21"/>
                <w:szCs w:val="21"/>
                <w:lang w:bidi="ar"/>
              </w:rPr>
            </w:pPr>
            <w:r>
              <w:rPr>
                <w:rFonts w:hint="eastAsia" w:ascii="Times New Roman" w:hAnsi="Times New Roman"/>
                <w:color w:val="000000"/>
                <w:sz w:val="21"/>
                <w:szCs w:val="21"/>
                <w:lang w:eastAsia="zh-CN" w:bidi="ar"/>
              </w:rPr>
              <w:t>有组织排放总计</w:t>
            </w:r>
          </w:p>
        </w:tc>
        <w:tc>
          <w:tcPr>
            <w:tcW w:w="5243" w:type="dxa"/>
            <w:gridSpan w:val="3"/>
            <w:noWrap w:val="0"/>
            <w:vAlign w:val="center"/>
          </w:tcPr>
          <w:p>
            <w:pPr>
              <w:tabs>
                <w:tab w:val="left" w:pos="2960"/>
              </w:tabs>
              <w:autoSpaceDE w:val="0"/>
              <w:autoSpaceDN w:val="0"/>
              <w:spacing w:line="240" w:lineRule="auto"/>
              <w:ind w:firstLine="0" w:firstLineChars="0"/>
              <w:jc w:val="center"/>
              <w:rPr>
                <w:rFonts w:hint="eastAsia" w:ascii="Times New Roman" w:hAnsi="宋体" w:eastAsia="宋体" w:cs="Times New Roman"/>
                <w:color w:val="000000"/>
                <w:sz w:val="21"/>
                <w:szCs w:val="21"/>
                <w:lang w:val="en-US" w:eastAsia="zh-CN" w:bidi="ar"/>
              </w:rPr>
            </w:pPr>
            <w:r>
              <w:rPr>
                <w:rFonts w:hint="eastAsia" w:ascii="Times New Roman" w:hAnsi="Times New Roman"/>
                <w:color w:val="000000"/>
                <w:sz w:val="21"/>
                <w:szCs w:val="21"/>
                <w:lang w:val="en-US" w:eastAsia="zh-CN" w:bidi="ar"/>
              </w:rPr>
              <w:t>NH</w:t>
            </w:r>
            <w:r>
              <w:rPr>
                <w:rFonts w:hint="eastAsia" w:ascii="Times New Roman" w:hAnsi="Times New Roman"/>
                <w:color w:val="000000"/>
                <w:sz w:val="21"/>
                <w:szCs w:val="21"/>
                <w:vertAlign w:val="subscript"/>
                <w:lang w:val="en-US" w:eastAsia="zh-CN" w:bidi="ar"/>
              </w:rPr>
              <w:t>3</w:t>
            </w:r>
          </w:p>
        </w:tc>
        <w:tc>
          <w:tcPr>
            <w:tcW w:w="1492" w:type="dxa"/>
            <w:noWrap w:val="0"/>
            <w:vAlign w:val="center"/>
          </w:tcPr>
          <w:p>
            <w:pPr>
              <w:tabs>
                <w:tab w:val="left" w:pos="2960"/>
              </w:tabs>
              <w:autoSpaceDE w:val="0"/>
              <w:autoSpaceDN w:val="0"/>
              <w:spacing w:line="240" w:lineRule="auto"/>
              <w:ind w:firstLine="0" w:firstLineChars="0"/>
              <w:jc w:val="center"/>
              <w:rPr>
                <w:rFonts w:hint="default" w:ascii="Times New Roman" w:hAnsi="宋体"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w:t>
            </w:r>
            <w:r>
              <w:rPr>
                <w:rFonts w:hint="eastAsia" w:ascii="Times New Roman" w:cs="Times New Roman"/>
                <w:color w:val="000000"/>
                <w:sz w:val="21"/>
                <w:szCs w:val="21"/>
                <w:lang w:val="en-US" w:eastAsia="zh-CN" w:bidi="ar-SA"/>
              </w:rPr>
              <w:t>.</w:t>
            </w:r>
            <w:r>
              <w:rPr>
                <w:rFonts w:hint="eastAsia" w:ascii="Times New Roman" w:hAnsi="Times New Roman" w:cs="Times New Roman"/>
                <w:color w:val="000000"/>
                <w:sz w:val="21"/>
                <w:szCs w:val="21"/>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542" w:type="dxa"/>
            <w:gridSpan w:val="2"/>
            <w:vMerge w:val="continue"/>
            <w:noWrap w:val="0"/>
            <w:vAlign w:val="center"/>
          </w:tcPr>
          <w:p>
            <w:pPr>
              <w:pStyle w:val="199"/>
              <w:spacing w:line="240" w:lineRule="auto"/>
              <w:ind w:left="-108" w:right="-108" w:firstLine="0"/>
              <w:rPr>
                <w:rFonts w:ascii="Times New Roman" w:hAnsi="Times New Roman"/>
                <w:color w:val="000000"/>
                <w:sz w:val="21"/>
                <w:szCs w:val="21"/>
                <w:lang w:bidi="ar"/>
              </w:rPr>
            </w:pPr>
          </w:p>
        </w:tc>
        <w:tc>
          <w:tcPr>
            <w:tcW w:w="5243" w:type="dxa"/>
            <w:gridSpan w:val="3"/>
            <w:noWrap w:val="0"/>
            <w:vAlign w:val="center"/>
          </w:tcPr>
          <w:p>
            <w:pPr>
              <w:tabs>
                <w:tab w:val="left" w:pos="2960"/>
              </w:tabs>
              <w:autoSpaceDE w:val="0"/>
              <w:autoSpaceDN w:val="0"/>
              <w:spacing w:line="240" w:lineRule="auto"/>
              <w:ind w:firstLine="0" w:firstLineChars="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color w:val="000000"/>
                <w:sz w:val="21"/>
                <w:szCs w:val="21"/>
                <w:lang w:val="en-US" w:eastAsia="zh-CN" w:bidi="ar"/>
              </w:rPr>
              <w:t>NMHC</w:t>
            </w:r>
          </w:p>
        </w:tc>
        <w:tc>
          <w:tcPr>
            <w:tcW w:w="1492" w:type="dxa"/>
            <w:noWrap w:val="0"/>
            <w:vAlign w:val="center"/>
          </w:tcPr>
          <w:p>
            <w:pPr>
              <w:tabs>
                <w:tab w:val="left" w:pos="2960"/>
              </w:tabs>
              <w:autoSpaceDE w:val="0"/>
              <w:autoSpaceDN w:val="0"/>
              <w:spacing w:line="240" w:lineRule="auto"/>
              <w:ind w:firstLine="0" w:firstLineChars="0"/>
              <w:jc w:val="center"/>
              <w:rPr>
                <w:rFonts w:hint="default" w:ascii="Times New Roman" w:hAnsi="宋体"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0</w:t>
            </w:r>
            <w:r>
              <w:rPr>
                <w:rFonts w:hint="eastAsia" w:ascii="Times New Roman" w:cs="Times New Roman"/>
                <w:color w:val="000000"/>
                <w:sz w:val="21"/>
                <w:szCs w:val="21"/>
                <w:lang w:val="en-US" w:eastAsia="zh-CN" w:bidi="ar-SA"/>
              </w:rPr>
              <w:t>.</w:t>
            </w:r>
            <w:r>
              <w:rPr>
                <w:rFonts w:hint="eastAsia" w:ascii="Times New Roman" w:hAnsi="Times New Roman" w:cs="Times New Roman"/>
                <w:color w:val="000000"/>
                <w:sz w:val="21"/>
                <w:szCs w:val="21"/>
                <w:lang w:val="en-US" w:eastAsia="zh-CN" w:bidi="ar-SA"/>
              </w:rPr>
              <w:t>0011</w:t>
            </w:r>
          </w:p>
        </w:tc>
      </w:tr>
    </w:tbl>
    <w:p>
      <w:r>
        <w:rPr>
          <w:rFonts w:hint="eastAsia"/>
        </w:rPr>
        <w:t>（</w:t>
      </w:r>
      <w:r>
        <w:rPr>
          <w:rFonts w:hint="eastAsia" w:ascii="Times New Roman" w:hAnsi="Times New Roman"/>
        </w:rPr>
        <w:t>2</w:t>
      </w:r>
      <w:r>
        <w:rPr>
          <w:rFonts w:hint="eastAsia"/>
        </w:rPr>
        <w:t>）</w:t>
      </w:r>
      <w:r>
        <w:t>无组织废气排放量核算</w:t>
      </w:r>
    </w:p>
    <w:p>
      <w:pPr>
        <w:ind w:firstLine="480" w:firstLineChars="200"/>
        <w:rPr>
          <w:color w:val="000000"/>
        </w:rPr>
      </w:pPr>
      <w:r>
        <w:rPr>
          <w:color w:val="000000"/>
        </w:rPr>
        <w:t>本项目</w:t>
      </w:r>
      <w:r>
        <w:rPr>
          <w:rFonts w:hint="eastAsia"/>
          <w:color w:val="000000"/>
          <w:lang w:eastAsia="zh-CN"/>
        </w:rPr>
        <w:t>无</w:t>
      </w:r>
      <w:r>
        <w:rPr>
          <w:color w:val="000000"/>
        </w:rPr>
        <w:t>组织排放量核算情况见表</w:t>
      </w:r>
      <w:r>
        <w:rPr>
          <w:rFonts w:hint="eastAsia" w:ascii="Times New Roman" w:hAnsi="Times New Roman"/>
          <w:color w:val="000000"/>
          <w:lang w:val="en-US" w:eastAsia="zh-CN"/>
        </w:rPr>
        <w:t>6</w:t>
      </w:r>
      <w:r>
        <w:rPr>
          <w:rFonts w:hint="eastAsia" w:ascii="Times New Roman"/>
          <w:color w:val="000000"/>
          <w:lang w:val="en-US" w:eastAsia="zh-CN"/>
        </w:rPr>
        <w:t>.</w:t>
      </w:r>
      <w:r>
        <w:rPr>
          <w:rFonts w:hint="eastAsia" w:ascii="Times New Roman" w:hAnsi="Times New Roman"/>
          <w:color w:val="000000"/>
          <w:lang w:val="en-US" w:eastAsia="zh-CN"/>
        </w:rPr>
        <w:t>2</w:t>
      </w:r>
      <w:r>
        <w:rPr>
          <w:rFonts w:hint="eastAsia" w:ascii="Times New Roman"/>
          <w:color w:val="000000"/>
          <w:lang w:val="en-US" w:eastAsia="zh-CN"/>
        </w:rPr>
        <w:t>-</w:t>
      </w:r>
      <w:r>
        <w:rPr>
          <w:rFonts w:hint="eastAsia" w:ascii="Times New Roman" w:hAnsi="Times New Roman"/>
          <w:color w:val="000000"/>
          <w:lang w:val="en-US" w:eastAsia="zh-CN"/>
        </w:rPr>
        <w:t>21</w:t>
      </w:r>
      <w:r>
        <w:rPr>
          <w:color w:val="000000"/>
        </w:rPr>
        <w:t>。</w:t>
      </w:r>
    </w:p>
    <w:p>
      <w:pPr>
        <w:pStyle w:val="20"/>
        <w:spacing w:before="165"/>
        <w:rPr>
          <w:rFonts w:hint="eastAsia" w:ascii="Times New Roman" w:hAnsi="Times New Roman" w:eastAsia="宋体"/>
          <w:color w:val="000000"/>
          <w:lang w:eastAsia="zh-CN"/>
        </w:rPr>
      </w:pPr>
      <w:r>
        <w:rPr>
          <w:rFonts w:ascii="Times New Roman" w:hAnsi="Times New Roman"/>
          <w:color w:val="000000"/>
        </w:rPr>
        <w:t>表</w:t>
      </w:r>
      <w:r>
        <w:rPr>
          <w:rFonts w:hint="eastAsia" w:ascii="Times New Roman" w:hAnsi="Times New Roman"/>
          <w:color w:val="000000"/>
          <w:lang w:val="en-US" w:eastAsia="zh-CN"/>
        </w:rPr>
        <w:t>6</w:t>
      </w:r>
      <w:r>
        <w:rPr>
          <w:rFonts w:hint="eastAsia" w:ascii="Times New Roman" w:hAnsi="Times New Roman"/>
          <w:color w:val="000000"/>
          <w:lang w:val="en-US" w:eastAsia="zh-CN"/>
        </w:rPr>
        <w:t>.</w:t>
      </w:r>
      <w:r>
        <w:rPr>
          <w:rFonts w:hint="eastAsia" w:ascii="Times New Roman" w:hAnsi="Times New Roman"/>
          <w:color w:val="000000"/>
          <w:lang w:val="en-US" w:eastAsia="zh-CN"/>
        </w:rPr>
        <w:t>2</w:t>
      </w:r>
      <w:r>
        <w:rPr>
          <w:rFonts w:hint="eastAsia" w:ascii="Times New Roman" w:hAnsi="Times New Roman"/>
          <w:color w:val="000000"/>
          <w:lang w:val="en-US" w:eastAsia="zh-CN"/>
        </w:rPr>
        <w:t>-</w:t>
      </w:r>
      <w:r>
        <w:rPr>
          <w:rFonts w:hint="eastAsia" w:ascii="Times New Roman" w:hAnsi="Times New Roman"/>
          <w:color w:val="000000"/>
          <w:lang w:val="en-US" w:eastAsia="zh-CN"/>
        </w:rPr>
        <w:t>21</w:t>
      </w:r>
      <w:r>
        <w:rPr>
          <w:rFonts w:ascii="Times New Roman" w:hAnsi="Times New Roman"/>
          <w:color w:val="000000"/>
        </w:rPr>
        <w:t xml:space="preserve">  大气污染物无组织排放量核算表</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2"/>
        <w:gridCol w:w="647"/>
        <w:gridCol w:w="631"/>
        <w:gridCol w:w="1597"/>
        <w:gridCol w:w="3729"/>
        <w:gridCol w:w="1450"/>
        <w:gridCol w:w="7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0" w:type="auto"/>
            <w:vMerge w:val="restart"/>
            <w:noWrap w:val="0"/>
            <w:vAlign w:val="center"/>
          </w:tcPr>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序号</w:t>
            </w:r>
          </w:p>
        </w:tc>
        <w:tc>
          <w:tcPr>
            <w:tcW w:w="0" w:type="auto"/>
            <w:vMerge w:val="restart"/>
            <w:noWrap w:val="0"/>
            <w:vAlign w:val="center"/>
          </w:tcPr>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产污环节</w:t>
            </w:r>
          </w:p>
        </w:tc>
        <w:tc>
          <w:tcPr>
            <w:tcW w:w="0" w:type="auto"/>
            <w:vMerge w:val="restart"/>
            <w:noWrap w:val="0"/>
            <w:vAlign w:val="center"/>
          </w:tcPr>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污染物</w:t>
            </w:r>
          </w:p>
        </w:tc>
        <w:tc>
          <w:tcPr>
            <w:tcW w:w="0" w:type="auto"/>
            <w:vMerge w:val="restart"/>
            <w:noWrap w:val="0"/>
            <w:vAlign w:val="center"/>
          </w:tcPr>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主要污染防治措施</w:t>
            </w:r>
          </w:p>
        </w:tc>
        <w:tc>
          <w:tcPr>
            <w:tcW w:w="0" w:type="auto"/>
            <w:gridSpan w:val="2"/>
            <w:noWrap w:val="0"/>
            <w:vAlign w:val="center"/>
          </w:tcPr>
          <w:p>
            <w:pPr>
              <w:pStyle w:val="199"/>
              <w:spacing w:line="240" w:lineRule="exact"/>
              <w:ind w:left="-108" w:right="-108" w:firstLine="0"/>
              <w:jc w:val="center"/>
              <w:rPr>
                <w:rFonts w:ascii="Times New Roman" w:hAnsi="Times New Roman"/>
                <w:color w:val="000000"/>
                <w:sz w:val="21"/>
                <w:szCs w:val="21"/>
              </w:rPr>
            </w:pPr>
            <w:r>
              <w:rPr>
                <w:rFonts w:ascii="Times New Roman" w:hAnsi="Times New Roman"/>
                <w:color w:val="000000"/>
                <w:sz w:val="21"/>
                <w:szCs w:val="21"/>
                <w:lang w:bidi="ar"/>
              </w:rPr>
              <w:t>国家或地方污染物排放标准</w:t>
            </w:r>
          </w:p>
        </w:tc>
        <w:tc>
          <w:tcPr>
            <w:tcW w:w="0" w:type="auto"/>
            <w:vMerge w:val="restart"/>
            <w:noWrap w:val="0"/>
            <w:vAlign w:val="center"/>
          </w:tcPr>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年排放量</w:t>
            </w:r>
          </w:p>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w:t>
            </w:r>
            <w:r>
              <w:rPr>
                <w:rFonts w:ascii="Times New Roman" w:hAnsi="Times New Roman" w:cs="Times New Roman"/>
                <w:color w:val="000000"/>
                <w:sz w:val="21"/>
                <w:szCs w:val="21"/>
                <w:lang w:bidi="ar"/>
              </w:rPr>
              <w:t>t</w:t>
            </w:r>
            <w:r>
              <w:rPr>
                <w:rFonts w:ascii="Times New Roman" w:hAnsi="Times New Roman"/>
                <w:color w:val="000000"/>
                <w:sz w:val="21"/>
                <w:szCs w:val="21"/>
                <w:lang w:bidi="ar"/>
              </w:rPr>
              <w:t>/</w:t>
            </w:r>
            <w:r>
              <w:rPr>
                <w:rFonts w:ascii="Times New Roman" w:hAnsi="Times New Roman" w:cs="Times New Roman"/>
                <w:color w:val="000000"/>
                <w:sz w:val="21"/>
                <w:szCs w:val="21"/>
                <w:lang w:bidi="ar"/>
              </w:rPr>
              <w:t>a</w:t>
            </w:r>
            <w:r>
              <w:rPr>
                <w:rFonts w:ascii="Times New Roman" w:hAnsi="Times New Roman"/>
                <w:color w:val="000000"/>
                <w:sz w:val="21"/>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0" w:type="auto"/>
            <w:vMerge w:val="continue"/>
            <w:noWrap w:val="0"/>
            <w:vAlign w:val="center"/>
          </w:tcPr>
          <w:p>
            <w:pPr>
              <w:pStyle w:val="199"/>
              <w:spacing w:line="240" w:lineRule="exact"/>
              <w:ind w:left="-108" w:right="-108" w:firstLine="0"/>
              <w:jc w:val="center"/>
              <w:rPr>
                <w:rFonts w:ascii="Times New Roman" w:hAnsi="Times New Roman"/>
                <w:color w:val="000000"/>
                <w:sz w:val="21"/>
                <w:szCs w:val="21"/>
                <w:lang w:bidi="ar"/>
              </w:rPr>
            </w:pPr>
          </w:p>
        </w:tc>
        <w:tc>
          <w:tcPr>
            <w:tcW w:w="0" w:type="auto"/>
            <w:vMerge w:val="continue"/>
            <w:noWrap w:val="0"/>
            <w:vAlign w:val="center"/>
          </w:tcPr>
          <w:p>
            <w:pPr>
              <w:pStyle w:val="199"/>
              <w:spacing w:line="240" w:lineRule="exact"/>
              <w:ind w:left="-108" w:right="-108" w:firstLine="0"/>
              <w:jc w:val="center"/>
              <w:rPr>
                <w:rFonts w:ascii="Times New Roman" w:hAnsi="Times New Roman"/>
                <w:color w:val="000000"/>
                <w:sz w:val="21"/>
                <w:szCs w:val="21"/>
                <w:lang w:bidi="ar"/>
              </w:rPr>
            </w:pPr>
          </w:p>
        </w:tc>
        <w:tc>
          <w:tcPr>
            <w:tcW w:w="0" w:type="auto"/>
            <w:vMerge w:val="continue"/>
            <w:noWrap w:val="0"/>
            <w:vAlign w:val="center"/>
          </w:tcPr>
          <w:p>
            <w:pPr>
              <w:pStyle w:val="199"/>
              <w:spacing w:line="240" w:lineRule="exact"/>
              <w:ind w:left="-108" w:right="-108" w:firstLine="0"/>
              <w:jc w:val="center"/>
              <w:rPr>
                <w:rFonts w:ascii="Times New Roman" w:hAnsi="Times New Roman"/>
                <w:color w:val="000000"/>
                <w:sz w:val="21"/>
                <w:szCs w:val="21"/>
                <w:lang w:bidi="ar"/>
              </w:rPr>
            </w:pPr>
          </w:p>
        </w:tc>
        <w:tc>
          <w:tcPr>
            <w:tcW w:w="0" w:type="auto"/>
            <w:vMerge w:val="continue"/>
            <w:noWrap w:val="0"/>
            <w:vAlign w:val="center"/>
          </w:tcPr>
          <w:p>
            <w:pPr>
              <w:pStyle w:val="199"/>
              <w:spacing w:line="240" w:lineRule="exact"/>
              <w:ind w:left="-108" w:right="-108" w:firstLine="0"/>
              <w:jc w:val="center"/>
              <w:rPr>
                <w:rFonts w:ascii="Times New Roman" w:hAnsi="Times New Roman"/>
                <w:color w:val="000000"/>
                <w:sz w:val="21"/>
                <w:szCs w:val="21"/>
                <w:lang w:bidi="ar"/>
              </w:rPr>
            </w:pPr>
          </w:p>
        </w:tc>
        <w:tc>
          <w:tcPr>
            <w:tcW w:w="0" w:type="auto"/>
            <w:noWrap w:val="0"/>
            <w:vAlign w:val="center"/>
          </w:tcPr>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标准名称</w:t>
            </w:r>
          </w:p>
        </w:tc>
        <w:tc>
          <w:tcPr>
            <w:tcW w:w="0" w:type="auto"/>
            <w:noWrap w:val="0"/>
            <w:vAlign w:val="center"/>
          </w:tcPr>
          <w:p>
            <w:pPr>
              <w:pStyle w:val="199"/>
              <w:spacing w:line="240" w:lineRule="exact"/>
              <w:ind w:left="-108" w:right="-108" w:firstLine="0"/>
              <w:jc w:val="center"/>
              <w:rPr>
                <w:rFonts w:ascii="Times New Roman" w:hAnsi="Times New Roman"/>
                <w:color w:val="000000"/>
                <w:sz w:val="21"/>
                <w:szCs w:val="21"/>
                <w:lang w:bidi="ar"/>
              </w:rPr>
            </w:pPr>
            <w:r>
              <w:rPr>
                <w:rFonts w:ascii="Times New Roman" w:hAnsi="Times New Roman"/>
                <w:color w:val="000000"/>
                <w:sz w:val="21"/>
                <w:szCs w:val="21"/>
                <w:lang w:bidi="ar"/>
              </w:rPr>
              <w:t>浓度限值（</w:t>
            </w:r>
            <w:r>
              <w:rPr>
                <w:rFonts w:ascii="Times New Roman" w:hAnsi="Times New Roman" w:cs="Times New Roman"/>
                <w:color w:val="000000"/>
                <w:sz w:val="21"/>
                <w:szCs w:val="21"/>
                <w:lang w:bidi="ar"/>
              </w:rPr>
              <w:t>mg</w:t>
            </w:r>
            <w:r>
              <w:rPr>
                <w:rFonts w:ascii="Times New Roman" w:hAnsi="Times New Roman"/>
                <w:color w:val="000000"/>
                <w:sz w:val="21"/>
                <w:szCs w:val="21"/>
                <w:lang w:bidi="ar"/>
              </w:rPr>
              <w:t>/</w:t>
            </w:r>
            <w:r>
              <w:rPr>
                <w:rFonts w:ascii="Times New Roman" w:hAnsi="Times New Roman" w:cs="Times New Roman"/>
                <w:color w:val="000000"/>
                <w:sz w:val="21"/>
                <w:szCs w:val="21"/>
                <w:lang w:bidi="ar"/>
              </w:rPr>
              <w:t>m</w:t>
            </w:r>
            <w:r>
              <w:rPr>
                <w:rFonts w:ascii="Times New Roman" w:hAnsi="Times New Roman" w:cs="Times New Roman"/>
                <w:color w:val="000000"/>
                <w:sz w:val="21"/>
                <w:szCs w:val="21"/>
                <w:vertAlign w:val="superscript"/>
                <w:lang w:bidi="ar"/>
              </w:rPr>
              <w:t>3</w:t>
            </w:r>
            <w:r>
              <w:rPr>
                <w:rFonts w:ascii="Times New Roman" w:hAnsi="Times New Roman"/>
                <w:color w:val="000000"/>
                <w:sz w:val="21"/>
                <w:szCs w:val="21"/>
                <w:lang w:bidi="ar"/>
              </w:rPr>
              <w:t>）</w:t>
            </w:r>
          </w:p>
        </w:tc>
        <w:tc>
          <w:tcPr>
            <w:tcW w:w="0" w:type="auto"/>
            <w:vMerge w:val="continue"/>
            <w:noWrap w:val="0"/>
            <w:vAlign w:val="center"/>
          </w:tcPr>
          <w:p>
            <w:pPr>
              <w:pStyle w:val="199"/>
              <w:spacing w:line="240" w:lineRule="exact"/>
              <w:ind w:left="-108" w:right="-108" w:firstLine="0"/>
              <w:jc w:val="center"/>
              <w:rPr>
                <w:rFonts w:ascii="Times New Roman" w:hAnsi="Times New Roman"/>
                <w:color w:val="000000"/>
                <w:sz w:val="21"/>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0" w:type="auto"/>
            <w:noWrap w:val="0"/>
            <w:vAlign w:val="center"/>
          </w:tcPr>
          <w:p>
            <w:pPr>
              <w:pStyle w:val="199"/>
              <w:spacing w:line="240" w:lineRule="exact"/>
              <w:ind w:left="-108" w:right="-108" w:firstLine="0"/>
              <w:jc w:val="center"/>
              <w:rPr>
                <w:rFonts w:hint="eastAsia" w:ascii="Times New Roman" w:hAnsi="Times New Roman" w:eastAsia="宋体"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1</w:t>
            </w:r>
          </w:p>
        </w:tc>
        <w:tc>
          <w:tcPr>
            <w:tcW w:w="0" w:type="auto"/>
            <w:noWrap w:val="0"/>
            <w:vAlign w:val="center"/>
          </w:tcPr>
          <w:p>
            <w:pPr>
              <w:pStyle w:val="199"/>
              <w:spacing w:line="240" w:lineRule="exact"/>
              <w:ind w:left="-108" w:right="-108" w:firstLine="0"/>
              <w:jc w:val="center"/>
              <w:rPr>
                <w:rFonts w:hint="eastAsia" w:ascii="Times New Roman" w:hAnsi="Times New Roman"/>
                <w:color w:val="000000"/>
                <w:sz w:val="21"/>
                <w:szCs w:val="21"/>
                <w:lang w:eastAsia="zh-CN" w:bidi="ar"/>
              </w:rPr>
            </w:pPr>
            <w:r>
              <w:rPr>
                <w:rFonts w:hint="eastAsia" w:ascii="Times New Roman" w:hAnsi="Times New Roman"/>
                <w:color w:val="000000"/>
                <w:sz w:val="21"/>
                <w:szCs w:val="21"/>
                <w:lang w:eastAsia="zh-CN" w:bidi="ar"/>
              </w:rPr>
              <w:t>产品罐区</w:t>
            </w:r>
          </w:p>
        </w:tc>
        <w:tc>
          <w:tcPr>
            <w:tcW w:w="0" w:type="auto"/>
            <w:noWrap w:val="0"/>
            <w:vAlign w:val="center"/>
          </w:tcPr>
          <w:p>
            <w:pPr>
              <w:pStyle w:val="199"/>
              <w:spacing w:line="240" w:lineRule="exact"/>
              <w:ind w:left="-108" w:right="-108" w:firstLine="0"/>
              <w:jc w:val="center"/>
              <w:rPr>
                <w:rFonts w:hint="eastAsia" w:ascii="Times New Roman" w:hAnsi="Times New Roman"/>
                <w:color w:val="000000"/>
                <w:sz w:val="21"/>
                <w:szCs w:val="21"/>
                <w:lang w:val="en-US" w:eastAsia="zh-CN" w:bidi="ar"/>
              </w:rPr>
            </w:pPr>
            <w:r>
              <w:rPr>
                <w:rFonts w:hint="eastAsia" w:ascii="Times New Roman" w:hAnsi="Times New Roman" w:cs="宋体"/>
                <w:color w:val="000000"/>
                <w:kern w:val="0"/>
                <w:sz w:val="21"/>
                <w:szCs w:val="21"/>
                <w:lang w:val="en-US" w:eastAsia="zh-CN" w:bidi="ar"/>
              </w:rPr>
              <w:t>NMHC</w:t>
            </w:r>
          </w:p>
        </w:tc>
        <w:tc>
          <w:tcPr>
            <w:tcW w:w="0" w:type="auto"/>
            <w:noWrap w:val="0"/>
            <w:vAlign w:val="center"/>
          </w:tcPr>
          <w:p>
            <w:pPr>
              <w:pStyle w:val="199"/>
              <w:spacing w:line="240" w:lineRule="exact"/>
              <w:ind w:left="-108" w:right="-108" w:firstLine="0"/>
              <w:jc w:val="center"/>
              <w:rPr>
                <w:rFonts w:hint="default" w:ascii="Times New Roman" w:hAnsi="Times New Roman"/>
                <w:color w:val="000000"/>
                <w:sz w:val="21"/>
                <w:szCs w:val="21"/>
                <w:lang w:val="en-US" w:eastAsia="zh-CN" w:bidi="ar"/>
              </w:rPr>
            </w:pPr>
            <w:r>
              <w:rPr>
                <w:rFonts w:hint="eastAsia" w:ascii="Times New Roman" w:hAnsi="Times New Roman"/>
                <w:color w:val="000000"/>
                <w:sz w:val="21"/>
                <w:szCs w:val="21"/>
                <w:lang w:val="en-US" w:eastAsia="zh-CN" w:bidi="ar"/>
              </w:rPr>
              <w:t>密闭储罐，装卸采用双鹤管</w:t>
            </w:r>
          </w:p>
        </w:tc>
        <w:tc>
          <w:tcPr>
            <w:tcW w:w="0" w:type="auto"/>
            <w:noWrap w:val="0"/>
            <w:vAlign w:val="center"/>
          </w:tcPr>
          <w:p>
            <w:pPr>
              <w:pStyle w:val="199"/>
              <w:spacing w:line="240" w:lineRule="exact"/>
              <w:ind w:left="-108" w:right="-108" w:firstLine="0"/>
              <w:jc w:val="center"/>
              <w:rPr>
                <w:rFonts w:hint="default" w:ascii="Times New Roman" w:hAnsi="Times New Roman"/>
                <w:color w:val="000000"/>
                <w:sz w:val="21"/>
                <w:szCs w:val="21"/>
                <w:lang w:val="en-US" w:eastAsia="zh-CN" w:bidi="ar"/>
              </w:rPr>
            </w:pPr>
            <w:r>
              <w:rPr>
                <w:rFonts w:hint="eastAsia" w:ascii="Times New Roman" w:hAnsi="Times New Roman"/>
                <w:color w:val="000000"/>
                <w:sz w:val="21"/>
                <w:szCs w:val="21"/>
                <w:lang w:val="en-US" w:eastAsia="zh-CN" w:bidi="ar"/>
              </w:rPr>
              <w:t>《大气污染物综合排放标准》（</w:t>
            </w:r>
            <w:r>
              <w:rPr>
                <w:rFonts w:hint="eastAsia" w:ascii="Times New Roman" w:hAnsi="Times New Roman"/>
                <w:color w:val="000000"/>
                <w:sz w:val="21"/>
                <w:szCs w:val="21"/>
                <w:lang w:val="en-US" w:eastAsia="zh-CN" w:bidi="ar"/>
              </w:rPr>
              <w:t>GB16297</w:t>
            </w:r>
            <w:r>
              <w:rPr>
                <w:rFonts w:hint="eastAsia" w:ascii="Times New Roman" w:hAnsi="Times New Roman"/>
                <w:color w:val="000000"/>
                <w:sz w:val="21"/>
                <w:szCs w:val="21"/>
                <w:lang w:val="en-US" w:eastAsia="zh-CN" w:bidi="ar"/>
              </w:rPr>
              <w:t>-</w:t>
            </w:r>
            <w:r>
              <w:rPr>
                <w:rFonts w:hint="eastAsia" w:ascii="Times New Roman" w:hAnsi="Times New Roman"/>
                <w:color w:val="000000"/>
                <w:sz w:val="21"/>
                <w:szCs w:val="21"/>
                <w:lang w:val="en-US" w:eastAsia="zh-CN" w:bidi="ar"/>
              </w:rPr>
              <w:t>1996</w:t>
            </w:r>
            <w:r>
              <w:rPr>
                <w:rFonts w:hint="eastAsia" w:ascii="Times New Roman" w:hAnsi="Times New Roman"/>
                <w:color w:val="000000"/>
                <w:sz w:val="21"/>
                <w:szCs w:val="21"/>
                <w:lang w:val="en-US" w:eastAsia="zh-CN" w:bidi="ar"/>
              </w:rPr>
              <w:t>）表</w:t>
            </w:r>
            <w:r>
              <w:rPr>
                <w:rFonts w:hint="eastAsia" w:ascii="Times New Roman" w:hAnsi="Times New Roman"/>
                <w:color w:val="000000"/>
                <w:sz w:val="21"/>
                <w:szCs w:val="21"/>
                <w:lang w:val="en-US" w:eastAsia="zh-CN" w:bidi="ar"/>
              </w:rPr>
              <w:t>2</w:t>
            </w:r>
            <w:r>
              <w:rPr>
                <w:rFonts w:hint="eastAsia" w:ascii="Times New Roman" w:hAnsi="Times New Roman"/>
                <w:color w:val="000000"/>
                <w:sz w:val="21"/>
                <w:szCs w:val="21"/>
                <w:lang w:val="en-US" w:eastAsia="zh-CN" w:bidi="ar"/>
              </w:rPr>
              <w:t>二级</w:t>
            </w:r>
          </w:p>
        </w:tc>
        <w:tc>
          <w:tcPr>
            <w:tcW w:w="0" w:type="auto"/>
            <w:noWrap w:val="0"/>
            <w:vAlign w:val="center"/>
          </w:tcPr>
          <w:p>
            <w:pPr>
              <w:pStyle w:val="199"/>
              <w:spacing w:line="240" w:lineRule="exact"/>
              <w:ind w:left="-108" w:right="-108" w:firstLine="0"/>
              <w:jc w:val="center"/>
              <w:rPr>
                <w:rFonts w:hint="default" w:ascii="Times New Roman" w:hAnsi="Times New Roman"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4</w:t>
            </w:r>
            <w:r>
              <w:rPr>
                <w:rFonts w:hint="eastAsia" w:ascii="Times New Roman" w:hAnsi="Times New Roman" w:cs="Times New Roman"/>
                <w:color w:val="000000"/>
                <w:sz w:val="21"/>
                <w:szCs w:val="21"/>
                <w:lang w:val="en-US" w:eastAsia="zh-CN" w:bidi="ar"/>
              </w:rPr>
              <w:t>.</w:t>
            </w:r>
            <w:r>
              <w:rPr>
                <w:rFonts w:hint="eastAsia" w:ascii="Times New Roman" w:hAnsi="Times New Roman" w:cs="Times New Roman"/>
                <w:color w:val="000000"/>
                <w:sz w:val="21"/>
                <w:szCs w:val="21"/>
                <w:lang w:val="en-US" w:eastAsia="zh-CN" w:bidi="ar"/>
              </w:rPr>
              <w:t>0</w:t>
            </w:r>
          </w:p>
        </w:tc>
        <w:tc>
          <w:tcPr>
            <w:tcW w:w="0" w:type="auto"/>
            <w:noWrap w:val="0"/>
            <w:vAlign w:val="center"/>
          </w:tcPr>
          <w:p>
            <w:pPr>
              <w:pStyle w:val="199"/>
              <w:spacing w:line="240" w:lineRule="exact"/>
              <w:ind w:left="-108" w:right="-108" w:firstLine="0"/>
              <w:jc w:val="center"/>
              <w:rPr>
                <w:rFonts w:hint="default" w:ascii="Times New Roman" w:hAnsi="Times New Roman"/>
                <w:color w:val="000000"/>
                <w:sz w:val="21"/>
                <w:szCs w:val="21"/>
                <w:lang w:val="en-US" w:eastAsia="zh-CN" w:bidi="ar"/>
              </w:rPr>
            </w:pPr>
            <w:r>
              <w:rPr>
                <w:rFonts w:hint="eastAsia" w:ascii="Times New Roman" w:hAnsi="Times New Roman"/>
                <w:color w:val="000000"/>
                <w:sz w:val="21"/>
                <w:szCs w:val="21"/>
                <w:lang w:val="en-US" w:eastAsia="zh-CN" w:bidi="ar"/>
              </w:rPr>
              <w:t>1</w:t>
            </w:r>
            <w:r>
              <w:rPr>
                <w:rFonts w:hint="eastAsia" w:ascii="Times New Roman" w:hAnsi="Times New Roman"/>
                <w:color w:val="000000"/>
                <w:sz w:val="21"/>
                <w:szCs w:val="21"/>
                <w:lang w:val="en-US" w:eastAsia="zh-CN" w:bidi="ar"/>
              </w:rPr>
              <w:t>.</w:t>
            </w:r>
            <w:r>
              <w:rPr>
                <w:rFonts w:hint="eastAsia" w:ascii="Times New Roman" w:hAnsi="Times New Roman"/>
                <w:color w:val="000000"/>
                <w:sz w:val="21"/>
                <w:szCs w:val="21"/>
                <w:lang w:val="en-US" w:eastAsia="zh-CN" w:bidi="ar"/>
              </w:rPr>
              <w:t>3844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gridSpan w:val="2"/>
            <w:noWrap w:val="0"/>
            <w:vAlign w:val="center"/>
          </w:tcPr>
          <w:p>
            <w:pPr>
              <w:pStyle w:val="199"/>
              <w:spacing w:line="240" w:lineRule="exact"/>
              <w:ind w:left="-108" w:right="-108" w:firstLine="0"/>
              <w:jc w:val="center"/>
              <w:rPr>
                <w:rFonts w:hint="eastAsia" w:ascii="Times New Roman" w:hAnsi="Times New Roman" w:eastAsia="宋体"/>
                <w:color w:val="000000"/>
                <w:sz w:val="21"/>
                <w:szCs w:val="21"/>
                <w:lang w:eastAsia="zh-CN" w:bidi="ar"/>
              </w:rPr>
            </w:pPr>
            <w:r>
              <w:rPr>
                <w:rFonts w:hint="eastAsia" w:ascii="Times New Roman" w:hAnsi="Times New Roman"/>
                <w:color w:val="000000"/>
                <w:sz w:val="21"/>
                <w:szCs w:val="21"/>
                <w:lang w:eastAsia="zh-CN" w:bidi="ar"/>
              </w:rPr>
              <w:t>无组织排放总计</w:t>
            </w:r>
          </w:p>
        </w:tc>
        <w:tc>
          <w:tcPr>
            <w:tcW w:w="0" w:type="auto"/>
            <w:gridSpan w:val="4"/>
            <w:noWrap w:val="0"/>
            <w:vAlign w:val="center"/>
          </w:tcPr>
          <w:p>
            <w:pPr>
              <w:pStyle w:val="199"/>
              <w:spacing w:line="240" w:lineRule="exact"/>
              <w:ind w:left="-108" w:leftChars="0" w:right="-108" w:rightChars="0" w:firstLine="0" w:firstLineChars="0"/>
              <w:jc w:val="center"/>
              <w:rPr>
                <w:rFonts w:hint="eastAsia" w:ascii="Times New Roman" w:hAnsi="Times New Roman"/>
                <w:color w:val="000000"/>
                <w:sz w:val="21"/>
                <w:szCs w:val="21"/>
                <w:lang w:val="en-US" w:eastAsia="zh-CN" w:bidi="ar"/>
              </w:rPr>
            </w:pPr>
            <w:r>
              <w:rPr>
                <w:rFonts w:hint="eastAsia" w:ascii="Times New Roman" w:hAnsi="Times New Roman" w:cs="宋体"/>
                <w:color w:val="000000"/>
                <w:kern w:val="0"/>
                <w:sz w:val="21"/>
                <w:szCs w:val="21"/>
                <w:lang w:val="en-US" w:eastAsia="zh-CN" w:bidi="ar"/>
              </w:rPr>
              <w:t>NMHC</w:t>
            </w:r>
          </w:p>
        </w:tc>
        <w:tc>
          <w:tcPr>
            <w:tcW w:w="0" w:type="auto"/>
            <w:noWrap w:val="0"/>
            <w:vAlign w:val="center"/>
          </w:tcPr>
          <w:p>
            <w:pPr>
              <w:pStyle w:val="199"/>
              <w:spacing w:line="240" w:lineRule="exact"/>
              <w:ind w:left="-108" w:leftChars="0" w:right="-108" w:rightChars="0" w:firstLine="0" w:firstLineChars="0"/>
              <w:jc w:val="center"/>
              <w:rPr>
                <w:rFonts w:hint="default" w:ascii="Times New Roman" w:hAnsi="Times New Roman" w:eastAsia="宋体" w:cs="宋体"/>
                <w:color w:val="000000"/>
                <w:kern w:val="0"/>
                <w:sz w:val="21"/>
                <w:szCs w:val="21"/>
                <w:lang w:val="en-US" w:eastAsia="zh-CN" w:bidi="ar"/>
              </w:rPr>
            </w:pPr>
            <w:r>
              <w:rPr>
                <w:rFonts w:hint="eastAsia" w:ascii="Times New Roman" w:hAnsi="Times New Roman" w:cs="宋体"/>
                <w:color w:val="000000"/>
                <w:kern w:val="0"/>
                <w:sz w:val="21"/>
                <w:szCs w:val="21"/>
                <w:lang w:val="en-US" w:eastAsia="zh-CN" w:bidi="ar"/>
              </w:rPr>
              <w:t>1</w:t>
            </w:r>
            <w:r>
              <w:rPr>
                <w:rFonts w:hint="eastAsia" w:ascii="Times New Roman" w:hAnsi="Times New Roman" w:cs="宋体"/>
                <w:color w:val="000000"/>
                <w:kern w:val="0"/>
                <w:sz w:val="21"/>
                <w:szCs w:val="21"/>
                <w:lang w:val="en-US" w:eastAsia="zh-CN" w:bidi="ar"/>
              </w:rPr>
              <w:t>.</w:t>
            </w:r>
            <w:r>
              <w:rPr>
                <w:rFonts w:hint="eastAsia" w:ascii="Times New Roman" w:hAnsi="Times New Roman" w:cs="宋体"/>
                <w:color w:val="000000"/>
                <w:kern w:val="0"/>
                <w:sz w:val="21"/>
                <w:szCs w:val="21"/>
                <w:lang w:val="en-US" w:eastAsia="zh-CN" w:bidi="ar"/>
              </w:rPr>
              <w:t>3844</w:t>
            </w:r>
          </w:p>
        </w:tc>
      </w:tr>
    </w:tbl>
    <w:p>
      <w:r>
        <w:rPr>
          <w:rFonts w:hint="eastAsia"/>
        </w:rPr>
        <w:t>（</w:t>
      </w:r>
      <w:r>
        <w:rPr>
          <w:rFonts w:hint="eastAsia" w:ascii="Times New Roman" w:hAnsi="Times New Roman"/>
        </w:rPr>
        <w:t>3</w:t>
      </w:r>
      <w:r>
        <w:rPr>
          <w:rFonts w:hint="eastAsia"/>
        </w:rPr>
        <w:t>）</w:t>
      </w:r>
      <w:r>
        <w:t>本项目大气污染物排放量核算</w:t>
      </w:r>
    </w:p>
    <w:p>
      <w:pPr>
        <w:ind w:firstLine="480" w:firstLineChars="200"/>
        <w:rPr>
          <w:color w:val="000000"/>
        </w:rPr>
      </w:pPr>
      <w:r>
        <w:rPr>
          <w:color w:val="000000"/>
        </w:rPr>
        <w:t>本项目大气污染物年排放量核算情况见表</w:t>
      </w:r>
      <w:r>
        <w:rPr>
          <w:rFonts w:hint="eastAsia" w:ascii="Times New Roman" w:hAnsi="Times New Roman"/>
          <w:color w:val="000000"/>
          <w:lang w:val="en-US" w:eastAsia="zh-CN"/>
        </w:rPr>
        <w:t>6</w:t>
      </w:r>
      <w:r>
        <w:rPr>
          <w:rFonts w:hint="eastAsia" w:ascii="Times New Roman"/>
          <w:color w:val="000000"/>
          <w:lang w:val="en-US" w:eastAsia="zh-CN"/>
        </w:rPr>
        <w:t>.</w:t>
      </w:r>
      <w:r>
        <w:rPr>
          <w:rFonts w:hint="eastAsia" w:ascii="Times New Roman" w:hAnsi="Times New Roman"/>
          <w:color w:val="000000"/>
          <w:lang w:val="en-US" w:eastAsia="zh-CN"/>
        </w:rPr>
        <w:t>2</w:t>
      </w:r>
      <w:r>
        <w:rPr>
          <w:rFonts w:hint="eastAsia" w:ascii="Times New Roman"/>
          <w:color w:val="000000"/>
          <w:lang w:val="en-US" w:eastAsia="zh-CN"/>
        </w:rPr>
        <w:t>-</w:t>
      </w:r>
      <w:r>
        <w:rPr>
          <w:rFonts w:hint="eastAsia" w:ascii="Times New Roman" w:hAnsi="Times New Roman"/>
          <w:color w:val="000000"/>
          <w:lang w:val="en-US" w:eastAsia="zh-CN"/>
        </w:rPr>
        <w:t>22</w:t>
      </w:r>
      <w:r>
        <w:rPr>
          <w:color w:val="000000"/>
        </w:rPr>
        <w:t>。</w:t>
      </w:r>
    </w:p>
    <w:p>
      <w:pPr>
        <w:pStyle w:val="20"/>
        <w:spacing w:before="165"/>
        <w:rPr>
          <w:rFonts w:ascii="Times New Roman" w:hAnsi="Times New Roman"/>
          <w:color w:val="000000"/>
        </w:rPr>
      </w:pPr>
      <w:r>
        <w:rPr>
          <w:rFonts w:ascii="Times New Roman" w:hAnsi="Times New Roman"/>
          <w:color w:val="000000"/>
        </w:rPr>
        <w:t>表</w:t>
      </w:r>
      <w:r>
        <w:rPr>
          <w:rFonts w:hint="eastAsia" w:ascii="Times New Roman" w:hAnsi="Times New Roman"/>
          <w:color w:val="000000"/>
          <w:lang w:val="en-US" w:eastAsia="zh-CN"/>
        </w:rPr>
        <w:t>6</w:t>
      </w:r>
      <w:r>
        <w:rPr>
          <w:rFonts w:hint="eastAsia" w:ascii="Times New Roman" w:hAnsi="Times New Roman"/>
          <w:color w:val="000000"/>
          <w:lang w:val="en-US" w:eastAsia="zh-CN"/>
        </w:rPr>
        <w:t>.</w:t>
      </w:r>
      <w:r>
        <w:rPr>
          <w:rFonts w:hint="eastAsia" w:ascii="Times New Roman" w:hAnsi="Times New Roman"/>
          <w:color w:val="000000"/>
          <w:lang w:val="en-US" w:eastAsia="zh-CN"/>
        </w:rPr>
        <w:t>2</w:t>
      </w:r>
      <w:r>
        <w:rPr>
          <w:rFonts w:hint="eastAsia" w:ascii="Times New Roman" w:hAnsi="Times New Roman"/>
          <w:color w:val="000000"/>
          <w:lang w:val="en-US" w:eastAsia="zh-CN"/>
        </w:rPr>
        <w:t>-</w:t>
      </w:r>
      <w:r>
        <w:rPr>
          <w:rFonts w:hint="eastAsia" w:ascii="Times New Roman" w:hAnsi="Times New Roman"/>
          <w:color w:val="000000"/>
          <w:lang w:val="en-US" w:eastAsia="zh-CN"/>
        </w:rPr>
        <w:t>22</w:t>
      </w:r>
      <w:r>
        <w:rPr>
          <w:rFonts w:ascii="Times New Roman" w:hAnsi="Times New Roman"/>
          <w:color w:val="000000"/>
        </w:rPr>
        <w:t xml:space="preserve">  大气污染物年排放量</w:t>
      </w:r>
      <w:r>
        <w:rPr>
          <w:rFonts w:hint="eastAsia" w:ascii="Times New Roman" w:hAnsi="Times New Roman"/>
          <w:color w:val="000000"/>
        </w:rPr>
        <w:t>汇总</w:t>
      </w:r>
      <w:r>
        <w:rPr>
          <w:rFonts w:ascii="Times New Roman" w:hAnsi="Times New Roman"/>
          <w:color w:val="000000"/>
        </w:rPr>
        <w:t>核算表</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01"/>
        <w:gridCol w:w="3555"/>
        <w:gridCol w:w="35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1" w:type="dxa"/>
            <w:tcBorders>
              <w:top w:val="single" w:color="auto" w:sz="12" w:space="0"/>
              <w:left w:val="single" w:color="auto" w:sz="12" w:space="0"/>
              <w:bottom w:val="single" w:color="auto" w:sz="4" w:space="0"/>
              <w:right w:val="single" w:color="auto" w:sz="4" w:space="0"/>
            </w:tcBorders>
            <w:noWrap w:val="0"/>
            <w:vAlign w:val="center"/>
          </w:tcPr>
          <w:p>
            <w:pPr>
              <w:widowControl/>
              <w:spacing w:line="240" w:lineRule="auto"/>
              <w:ind w:firstLine="0"/>
              <w:jc w:val="center"/>
              <w:rPr>
                <w:color w:val="000000"/>
                <w:sz w:val="21"/>
                <w:szCs w:val="21"/>
              </w:rPr>
            </w:pPr>
            <w:r>
              <w:rPr>
                <w:color w:val="000000"/>
                <w:sz w:val="21"/>
                <w:szCs w:val="21"/>
              </w:rPr>
              <w:t>污染源</w:t>
            </w:r>
          </w:p>
        </w:tc>
        <w:tc>
          <w:tcPr>
            <w:tcW w:w="3555" w:type="dxa"/>
            <w:tcBorders>
              <w:top w:val="single" w:color="auto" w:sz="12" w:space="0"/>
              <w:left w:val="single" w:color="auto" w:sz="4" w:space="0"/>
              <w:bottom w:val="single" w:color="auto" w:sz="4" w:space="0"/>
              <w:right w:val="single" w:color="auto" w:sz="4" w:space="0"/>
            </w:tcBorders>
            <w:noWrap w:val="0"/>
            <w:vAlign w:val="center"/>
          </w:tcPr>
          <w:p>
            <w:pPr>
              <w:widowControl/>
              <w:spacing w:line="240" w:lineRule="auto"/>
              <w:ind w:firstLine="0"/>
              <w:jc w:val="center"/>
              <w:rPr>
                <w:color w:val="000000"/>
                <w:sz w:val="21"/>
                <w:szCs w:val="21"/>
              </w:rPr>
            </w:pPr>
            <w:r>
              <w:rPr>
                <w:color w:val="000000"/>
                <w:sz w:val="21"/>
                <w:szCs w:val="21"/>
              </w:rPr>
              <w:t>污染物</w:t>
            </w:r>
          </w:p>
        </w:tc>
        <w:tc>
          <w:tcPr>
            <w:tcW w:w="3560" w:type="dxa"/>
            <w:tcBorders>
              <w:top w:val="single" w:color="auto" w:sz="12" w:space="0"/>
              <w:left w:val="single" w:color="auto" w:sz="4" w:space="0"/>
              <w:bottom w:val="single" w:color="auto" w:sz="4" w:space="0"/>
              <w:right w:val="single" w:color="auto" w:sz="12" w:space="0"/>
            </w:tcBorders>
            <w:noWrap w:val="0"/>
            <w:vAlign w:val="center"/>
          </w:tcPr>
          <w:p>
            <w:pPr>
              <w:widowControl/>
              <w:spacing w:line="240" w:lineRule="auto"/>
              <w:ind w:firstLine="0"/>
              <w:jc w:val="center"/>
              <w:rPr>
                <w:color w:val="000000"/>
                <w:sz w:val="21"/>
                <w:szCs w:val="21"/>
              </w:rPr>
            </w:pPr>
            <w:r>
              <w:rPr>
                <w:color w:val="000000"/>
                <w:sz w:val="21"/>
                <w:szCs w:val="21"/>
              </w:rPr>
              <w:t>排放量（</w:t>
            </w:r>
            <w:r>
              <w:rPr>
                <w:rFonts w:ascii="Times New Roman" w:hAnsi="Times New Roman"/>
                <w:color w:val="000000"/>
                <w:sz w:val="21"/>
                <w:szCs w:val="21"/>
              </w:rPr>
              <w:t>t</w:t>
            </w:r>
            <w:r>
              <w:rPr>
                <w:color w:val="000000"/>
                <w:sz w:val="21"/>
                <w:szCs w:val="21"/>
              </w:rPr>
              <w:t>/</w:t>
            </w:r>
            <w:r>
              <w:rPr>
                <w:rFonts w:ascii="Times New Roman" w:hAnsi="Times New Roman"/>
                <w:color w:val="000000"/>
                <w:sz w:val="21"/>
                <w:szCs w:val="21"/>
              </w:rPr>
              <w:t>a</w:t>
            </w: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901" w:type="dxa"/>
            <w:vMerge w:val="restart"/>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jc w:val="center"/>
              <w:rPr>
                <w:color w:val="000000"/>
                <w:sz w:val="21"/>
                <w:szCs w:val="21"/>
              </w:rPr>
            </w:pPr>
            <w:r>
              <w:rPr>
                <w:color w:val="000000"/>
                <w:sz w:val="21"/>
                <w:szCs w:val="21"/>
              </w:rPr>
              <w:t>有组织</w:t>
            </w:r>
          </w:p>
        </w:tc>
        <w:tc>
          <w:tcPr>
            <w:tcW w:w="3555" w:type="dxa"/>
            <w:tcBorders>
              <w:top w:val="single" w:color="auto" w:sz="4" w:space="0"/>
              <w:left w:val="single" w:color="auto" w:sz="4" w:space="0"/>
              <w:bottom w:val="single" w:color="auto" w:sz="4" w:space="0"/>
              <w:right w:val="single" w:color="auto" w:sz="4" w:space="0"/>
            </w:tcBorders>
            <w:noWrap w:val="0"/>
            <w:vAlign w:val="center"/>
          </w:tcPr>
          <w:p>
            <w:pPr>
              <w:tabs>
                <w:tab w:val="left" w:pos="2960"/>
              </w:tabs>
              <w:autoSpaceDE w:val="0"/>
              <w:autoSpaceDN w:val="0"/>
              <w:spacing w:line="240" w:lineRule="auto"/>
              <w:ind w:firstLine="0" w:firstLineChars="0"/>
              <w:jc w:val="center"/>
              <w:rPr>
                <w:rFonts w:hint="default" w:ascii="Times New Roman" w:hAnsi="宋体" w:eastAsia="宋体"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NH</w:t>
            </w:r>
            <w:r>
              <w:rPr>
                <w:rFonts w:hint="eastAsia" w:ascii="Times New Roman" w:hAnsi="Times New Roman" w:cs="Times New Roman"/>
                <w:color w:val="000000"/>
                <w:sz w:val="21"/>
                <w:szCs w:val="21"/>
                <w:vertAlign w:val="subscript"/>
                <w:lang w:val="en-US" w:eastAsia="zh-CN" w:bidi="ar"/>
              </w:rPr>
              <w:t>3</w:t>
            </w:r>
          </w:p>
        </w:tc>
        <w:tc>
          <w:tcPr>
            <w:tcW w:w="3560" w:type="dxa"/>
            <w:tcBorders>
              <w:top w:val="single" w:color="auto" w:sz="4" w:space="0"/>
              <w:left w:val="single" w:color="auto" w:sz="4" w:space="0"/>
              <w:bottom w:val="single" w:color="auto" w:sz="4" w:space="0"/>
              <w:right w:val="single" w:color="auto" w:sz="12" w:space="0"/>
            </w:tcBorders>
            <w:noWrap w:val="0"/>
            <w:vAlign w:val="center"/>
          </w:tcPr>
          <w:p>
            <w:pPr>
              <w:tabs>
                <w:tab w:val="left" w:pos="2960"/>
              </w:tabs>
              <w:autoSpaceDE w:val="0"/>
              <w:autoSpaceDN w:val="0"/>
              <w:spacing w:line="240" w:lineRule="auto"/>
              <w:ind w:firstLine="0" w:firstLineChars="0"/>
              <w:jc w:val="center"/>
              <w:rPr>
                <w:rFonts w:hint="default" w:ascii="Times New Roman" w:hAnsi="宋体"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2</w:t>
            </w:r>
            <w:r>
              <w:rPr>
                <w:rFonts w:hint="eastAsia" w:ascii="Times New Roman" w:cs="Times New Roman"/>
                <w:color w:val="000000"/>
                <w:sz w:val="21"/>
                <w:szCs w:val="21"/>
                <w:lang w:val="en-US" w:eastAsia="zh-CN" w:bidi="ar-SA"/>
              </w:rPr>
              <w:t>.</w:t>
            </w:r>
            <w:r>
              <w:rPr>
                <w:rFonts w:hint="eastAsia" w:ascii="Times New Roman" w:hAnsi="Times New Roman" w:cs="Times New Roman"/>
                <w:color w:val="000000"/>
                <w:sz w:val="21"/>
                <w:szCs w:val="21"/>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901" w:type="dxa"/>
            <w:vMerge w:val="continue"/>
            <w:tcBorders>
              <w:top w:val="single" w:color="auto" w:sz="4" w:space="0"/>
              <w:left w:val="single" w:color="auto" w:sz="12" w:space="0"/>
              <w:bottom w:val="single" w:color="auto" w:sz="4" w:space="0"/>
              <w:right w:val="single" w:color="auto" w:sz="4" w:space="0"/>
            </w:tcBorders>
            <w:noWrap w:val="0"/>
            <w:vAlign w:val="center"/>
          </w:tcPr>
          <w:p>
            <w:pPr>
              <w:widowControl/>
              <w:spacing w:line="240" w:lineRule="auto"/>
              <w:ind w:firstLine="0"/>
              <w:jc w:val="center"/>
              <w:rPr>
                <w:color w:val="000000"/>
                <w:sz w:val="21"/>
                <w:szCs w:val="21"/>
              </w:rPr>
            </w:pPr>
          </w:p>
        </w:tc>
        <w:tc>
          <w:tcPr>
            <w:tcW w:w="3555" w:type="dxa"/>
            <w:tcBorders>
              <w:top w:val="single" w:color="auto" w:sz="4" w:space="0"/>
              <w:left w:val="single" w:color="auto" w:sz="4" w:space="0"/>
              <w:bottom w:val="single" w:color="auto" w:sz="4" w:space="0"/>
              <w:right w:val="single" w:color="auto" w:sz="4" w:space="0"/>
            </w:tcBorders>
            <w:noWrap w:val="0"/>
            <w:vAlign w:val="center"/>
          </w:tcPr>
          <w:p>
            <w:pPr>
              <w:tabs>
                <w:tab w:val="left" w:pos="2960"/>
              </w:tabs>
              <w:autoSpaceDE w:val="0"/>
              <w:autoSpaceDN w:val="0"/>
              <w:spacing w:line="240" w:lineRule="auto"/>
              <w:ind w:firstLine="0" w:firstLineChars="0"/>
              <w:jc w:val="center"/>
              <w:rPr>
                <w:rFonts w:hint="default" w:ascii="Times New Roman" w:hAnsi="宋体" w:eastAsia="宋体" w:cs="Times New Roman"/>
                <w:color w:val="000000"/>
                <w:sz w:val="21"/>
                <w:szCs w:val="21"/>
                <w:lang w:val="en-US" w:eastAsia="zh-CN" w:bidi="ar"/>
              </w:rPr>
            </w:pPr>
            <w:r>
              <w:rPr>
                <w:rFonts w:hint="eastAsia" w:ascii="Times New Roman" w:hAnsi="Times New Roman" w:cs="Times New Roman"/>
                <w:color w:val="000000"/>
                <w:sz w:val="21"/>
                <w:szCs w:val="21"/>
                <w:lang w:val="en-US" w:eastAsia="zh-CN" w:bidi="ar"/>
              </w:rPr>
              <w:t>NMHC</w:t>
            </w:r>
          </w:p>
        </w:tc>
        <w:tc>
          <w:tcPr>
            <w:tcW w:w="3560" w:type="dxa"/>
            <w:tcBorders>
              <w:top w:val="single" w:color="auto" w:sz="4" w:space="0"/>
              <w:left w:val="single" w:color="auto" w:sz="4" w:space="0"/>
              <w:bottom w:val="single" w:color="auto" w:sz="4" w:space="0"/>
              <w:right w:val="single" w:color="auto" w:sz="12" w:space="0"/>
            </w:tcBorders>
            <w:noWrap w:val="0"/>
            <w:vAlign w:val="center"/>
          </w:tcPr>
          <w:p>
            <w:pPr>
              <w:tabs>
                <w:tab w:val="left" w:pos="2960"/>
              </w:tabs>
              <w:autoSpaceDE w:val="0"/>
              <w:autoSpaceDN w:val="0"/>
              <w:spacing w:line="240" w:lineRule="auto"/>
              <w:ind w:firstLine="0" w:firstLineChars="0"/>
              <w:jc w:val="center"/>
              <w:rPr>
                <w:rFonts w:hint="default" w:ascii="Times New Roman" w:hAnsi="宋体"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0</w:t>
            </w:r>
            <w:r>
              <w:rPr>
                <w:rFonts w:hint="eastAsia" w:ascii="Times New Roman" w:hAnsi="Times New Roman" w:cs="Times New Roman"/>
                <w:color w:val="000000"/>
                <w:sz w:val="21"/>
                <w:szCs w:val="21"/>
                <w:lang w:val="en-US" w:eastAsia="zh-CN" w:bidi="ar-SA"/>
              </w:rPr>
              <w:t>.</w:t>
            </w:r>
            <w:r>
              <w:rPr>
                <w:rFonts w:hint="eastAsia" w:ascii="Times New Roman" w:hAnsi="Times New Roman" w:cs="Times New Roman"/>
                <w:color w:val="000000"/>
                <w:sz w:val="21"/>
                <w:szCs w:val="21"/>
                <w:lang w:val="en-US" w:eastAsia="zh-CN" w:bidi="ar-SA"/>
              </w:rPr>
              <w:t>0011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901" w:type="dxa"/>
            <w:tcBorders>
              <w:top w:val="single" w:color="auto" w:sz="4" w:space="0"/>
              <w:left w:val="single" w:color="auto" w:sz="12" w:space="0"/>
              <w:bottom w:val="single" w:color="auto" w:sz="12" w:space="0"/>
              <w:right w:val="single" w:color="auto" w:sz="4" w:space="0"/>
            </w:tcBorders>
            <w:noWrap w:val="0"/>
            <w:vAlign w:val="center"/>
          </w:tcPr>
          <w:p>
            <w:pPr>
              <w:widowControl/>
              <w:spacing w:line="240" w:lineRule="auto"/>
              <w:ind w:firstLine="0"/>
              <w:jc w:val="center"/>
              <w:rPr>
                <w:color w:val="000000"/>
                <w:sz w:val="21"/>
                <w:szCs w:val="21"/>
              </w:rPr>
            </w:pPr>
            <w:r>
              <w:rPr>
                <w:color w:val="000000"/>
                <w:sz w:val="21"/>
                <w:szCs w:val="21"/>
              </w:rPr>
              <w:t>无组织</w:t>
            </w:r>
          </w:p>
        </w:tc>
        <w:tc>
          <w:tcPr>
            <w:tcW w:w="3555" w:type="dxa"/>
            <w:tcBorders>
              <w:top w:val="single" w:color="auto" w:sz="4" w:space="0"/>
              <w:left w:val="single" w:color="auto" w:sz="4" w:space="0"/>
              <w:bottom w:val="single" w:color="auto" w:sz="12" w:space="0"/>
              <w:right w:val="single" w:color="auto" w:sz="4" w:space="0"/>
            </w:tcBorders>
            <w:noWrap w:val="0"/>
            <w:vAlign w:val="center"/>
          </w:tcPr>
          <w:p>
            <w:pPr>
              <w:tabs>
                <w:tab w:val="left" w:pos="2960"/>
              </w:tabs>
              <w:autoSpaceDE w:val="0"/>
              <w:autoSpaceDN w:val="0"/>
              <w:spacing w:line="240" w:lineRule="auto"/>
              <w:ind w:firstLine="0" w:firstLineChars="0"/>
              <w:jc w:val="center"/>
              <w:rPr>
                <w:rFonts w:hint="default" w:ascii="Times New Roman" w:hAnsi="Times New Roman"/>
                <w:color w:val="000000"/>
                <w:sz w:val="21"/>
                <w:szCs w:val="21"/>
                <w:lang w:val="en-US" w:eastAsia="zh-CN" w:bidi="ar"/>
              </w:rPr>
            </w:pPr>
            <w:r>
              <w:rPr>
                <w:rFonts w:hint="eastAsia" w:ascii="Times New Roman" w:hAnsi="Times New Roman"/>
                <w:color w:val="000000"/>
                <w:sz w:val="21"/>
                <w:szCs w:val="21"/>
                <w:lang w:val="en-US" w:eastAsia="zh-CN" w:bidi="ar"/>
              </w:rPr>
              <w:t>NMHC</w:t>
            </w:r>
          </w:p>
        </w:tc>
        <w:tc>
          <w:tcPr>
            <w:tcW w:w="3560" w:type="dxa"/>
            <w:tcBorders>
              <w:top w:val="single" w:color="auto" w:sz="4" w:space="0"/>
              <w:left w:val="single" w:color="auto" w:sz="4" w:space="0"/>
              <w:bottom w:val="single" w:color="auto" w:sz="12" w:space="0"/>
              <w:right w:val="single" w:color="auto" w:sz="12" w:space="0"/>
            </w:tcBorders>
            <w:noWrap w:val="0"/>
            <w:vAlign w:val="center"/>
          </w:tcPr>
          <w:p>
            <w:pPr>
              <w:pStyle w:val="199"/>
              <w:spacing w:line="240" w:lineRule="exact"/>
              <w:ind w:left="-108" w:leftChars="0" w:right="-108" w:rightChars="0" w:firstLine="0" w:firstLineChars="0"/>
              <w:jc w:val="center"/>
              <w:rPr>
                <w:rFonts w:hint="default" w:ascii="Times New Roman" w:hAnsi="Times New Roman"/>
                <w:color w:val="000000"/>
                <w:sz w:val="21"/>
                <w:szCs w:val="21"/>
                <w:lang w:val="en-US" w:eastAsia="zh-CN" w:bidi="ar"/>
              </w:rPr>
            </w:pPr>
            <w:r>
              <w:rPr>
                <w:rFonts w:hint="eastAsia" w:ascii="Times New Roman" w:hAnsi="Times New Roman"/>
                <w:color w:val="000000"/>
                <w:sz w:val="21"/>
                <w:szCs w:val="21"/>
                <w:lang w:val="en-US" w:eastAsia="zh-CN" w:bidi="ar"/>
              </w:rPr>
              <w:t>1</w:t>
            </w:r>
            <w:r>
              <w:rPr>
                <w:rFonts w:hint="eastAsia" w:ascii="Times New Roman" w:hAnsi="Times New Roman"/>
                <w:color w:val="000000"/>
                <w:sz w:val="21"/>
                <w:szCs w:val="21"/>
                <w:lang w:val="en-US" w:eastAsia="zh-CN" w:bidi="ar"/>
              </w:rPr>
              <w:t>.</w:t>
            </w:r>
            <w:r>
              <w:rPr>
                <w:rFonts w:hint="eastAsia" w:ascii="Times New Roman" w:hAnsi="Times New Roman"/>
                <w:color w:val="000000"/>
                <w:sz w:val="21"/>
                <w:szCs w:val="21"/>
                <w:lang w:val="en-US" w:eastAsia="zh-CN" w:bidi="ar"/>
              </w:rPr>
              <w:t>3844</w:t>
            </w:r>
          </w:p>
        </w:tc>
      </w:tr>
    </w:tbl>
    <w:p>
      <w:pPr>
        <w:pStyle w:val="5"/>
        <w:spacing w:before="165"/>
        <w:rPr>
          <w:rFonts w:hint="eastAsia" w:eastAsia="华文楷体"/>
          <w:lang w:eastAsia="zh-CN"/>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6</w:t>
      </w:r>
      <w:r>
        <w:rPr>
          <w:rFonts w:hint="eastAsia"/>
          <w:lang w:eastAsia="zh-CN"/>
        </w:rPr>
        <w:t>运输扬尘计算</w:t>
      </w:r>
    </w:p>
    <w:p>
      <w:pPr>
        <w:rPr>
          <w:rFonts w:hint="eastAsia"/>
          <w:color w:val="auto"/>
          <w:szCs w:val="24"/>
        </w:rPr>
      </w:pPr>
      <w:r>
        <w:rPr>
          <w:rFonts w:hint="eastAsia"/>
          <w:color w:val="auto"/>
          <w:szCs w:val="24"/>
          <w:lang w:eastAsia="zh-CN"/>
        </w:rPr>
        <w:t>本项目主要</w:t>
      </w:r>
      <w:r>
        <w:rPr>
          <w:rFonts w:hint="eastAsia"/>
          <w:color w:val="auto"/>
          <w:szCs w:val="24"/>
        </w:rPr>
        <w:t>原料</w:t>
      </w:r>
      <w:r>
        <w:rPr>
          <w:rFonts w:hint="eastAsia"/>
          <w:color w:val="auto"/>
          <w:szCs w:val="24"/>
          <w:lang w:eastAsia="zh-CN"/>
        </w:rPr>
        <w:t>通过管道输送，产品由第三</w:t>
      </w:r>
      <w:r>
        <w:rPr>
          <w:rFonts w:hint="eastAsia"/>
          <w:color w:val="auto"/>
          <w:szCs w:val="24"/>
        </w:rPr>
        <w:t>方</w:t>
      </w:r>
      <w:r>
        <w:rPr>
          <w:rFonts w:hint="eastAsia"/>
          <w:color w:val="auto"/>
          <w:szCs w:val="24"/>
          <w:lang w:eastAsia="zh-CN"/>
        </w:rPr>
        <w:t>有资质的货运单位</w:t>
      </w:r>
      <w:r>
        <w:rPr>
          <w:rFonts w:hint="eastAsia"/>
          <w:color w:val="auto"/>
          <w:szCs w:val="24"/>
        </w:rPr>
        <w:t>负责。项目交通方式均为公路运输，主要新增的交通移动源为运输扬尘等，沿途道路扬尘对沿途的局部大气环境有影响，但通常因为扩散条件良好，影响范围和程度有限。</w:t>
      </w:r>
    </w:p>
    <w:p>
      <w:pPr>
        <w:rPr>
          <w:color w:val="auto"/>
          <w:szCs w:val="24"/>
        </w:rPr>
      </w:pPr>
      <w:r>
        <w:rPr>
          <w:rFonts w:hint="eastAsia"/>
          <w:color w:val="auto"/>
          <w:szCs w:val="24"/>
        </w:rPr>
        <w:t>本项目共计运输</w:t>
      </w:r>
      <w:r>
        <w:rPr>
          <w:rFonts w:hint="eastAsia"/>
          <w:color w:val="auto"/>
          <w:szCs w:val="24"/>
          <w:lang w:eastAsia="zh-CN"/>
        </w:rPr>
        <w:t>产品</w:t>
      </w:r>
      <w:r>
        <w:rPr>
          <w:rFonts w:hint="eastAsia"/>
          <w:color w:val="auto"/>
          <w:szCs w:val="24"/>
        </w:rPr>
        <w:t>约</w:t>
      </w:r>
      <w:r>
        <w:rPr>
          <w:rFonts w:hint="eastAsia" w:ascii="Times New Roman" w:hAnsi="Times New Roman"/>
          <w:color w:val="auto"/>
          <w:szCs w:val="24"/>
          <w:lang w:val="en-US" w:eastAsia="zh-CN"/>
        </w:rPr>
        <w:t>12000</w:t>
      </w:r>
      <w:r>
        <w:rPr>
          <w:rFonts w:hint="eastAsia"/>
          <w:color w:val="auto"/>
          <w:szCs w:val="24"/>
        </w:rPr>
        <w:t>万</w:t>
      </w:r>
      <w:r>
        <w:rPr>
          <w:rFonts w:hint="eastAsia" w:ascii="Times New Roman" w:hAnsi="Times New Roman"/>
          <w:color w:val="auto"/>
          <w:szCs w:val="24"/>
        </w:rPr>
        <w:t>t</w:t>
      </w:r>
      <w:r>
        <w:rPr>
          <w:rFonts w:hint="eastAsia"/>
          <w:color w:val="auto"/>
          <w:szCs w:val="24"/>
        </w:rPr>
        <w:t>/</w:t>
      </w:r>
      <w:r>
        <w:rPr>
          <w:rFonts w:hint="eastAsia" w:ascii="Times New Roman" w:hAnsi="Times New Roman"/>
          <w:color w:val="auto"/>
          <w:szCs w:val="24"/>
        </w:rPr>
        <w:t>a</w:t>
      </w:r>
      <w:r>
        <w:rPr>
          <w:rFonts w:hint="eastAsia"/>
          <w:color w:val="auto"/>
          <w:szCs w:val="24"/>
        </w:rPr>
        <w:t>，按评价范围内运输里程</w:t>
      </w:r>
      <w:r>
        <w:rPr>
          <w:rFonts w:hint="eastAsia" w:ascii="Times New Roman" w:hAnsi="Times New Roman"/>
          <w:color w:val="auto"/>
          <w:szCs w:val="24"/>
        </w:rPr>
        <w:t>3km</w:t>
      </w:r>
      <w:r>
        <w:rPr>
          <w:rFonts w:hint="eastAsia"/>
          <w:color w:val="auto"/>
          <w:szCs w:val="24"/>
        </w:rPr>
        <w:t>计算，则根据道路扬尘计算公式：</w:t>
      </w:r>
    </w:p>
    <w:p>
      <w:pPr>
        <w:jc w:val="center"/>
        <w:rPr>
          <w:rFonts w:hint="eastAsia"/>
          <w:color w:val="auto"/>
          <w:szCs w:val="24"/>
        </w:rPr>
      </w:pPr>
      <w:r>
        <w:rPr>
          <w:rFonts w:hint="eastAsia" w:ascii="宋体" w:hAnsi="Times New Roman" w:eastAsia="宋体" w:cs="Times New Roman"/>
          <w:color w:val="auto"/>
          <w:position w:val="-14"/>
          <w:sz w:val="24"/>
          <w:szCs w:val="24"/>
          <w:lang w:val="en-US" w:eastAsia="zh-CN" w:bidi="ar-SA"/>
        </w:rPr>
        <w:object>
          <v:shape id="_x0000_i1037" o:spt="75" type="#_x0000_t75" style="height:20pt;width:204pt;" o:ole="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o:OLEObject Type="Embed" ProgID="Equation.3" ShapeID="_x0000_i1037" DrawAspect="Content" ObjectID="_1468075743" r:id="rId69">
            <o:LockedField>false</o:LockedField>
          </o:OLEObject>
        </w:object>
      </w:r>
    </w:p>
    <w:p>
      <w:pPr>
        <w:jc w:val="center"/>
        <w:rPr>
          <w:rFonts w:hint="eastAsia"/>
          <w:color w:val="auto"/>
          <w:szCs w:val="24"/>
        </w:rPr>
      </w:pPr>
      <w:r>
        <w:rPr>
          <w:rFonts w:hint="eastAsia" w:ascii="宋体" w:hAnsi="Times New Roman" w:eastAsia="宋体" w:cs="Times New Roman"/>
          <w:color w:val="auto"/>
          <w:position w:val="-14"/>
          <w:sz w:val="24"/>
          <w:szCs w:val="24"/>
          <w:lang w:val="en-US" w:eastAsia="zh-CN" w:bidi="ar-SA"/>
        </w:rPr>
        <w:object>
          <v:shape id="_x0000_i1038" o:spt="75" type="#_x0000_t75" style="height:19pt;width:91pt;" o:ole="t" fillcolor="#FFFFFF" filled="f" o:preferrelative="t" stroked="f" coordsize="21600,21600">
            <v:path/>
            <v:fill on="f" color2="#FFFFFF" focussize="0,0"/>
            <v:stroke on="f"/>
            <v:imagedata r:id="rId72" gain="65536f" blacklevel="0f" gamma="0" o:title=""/>
            <o:lock v:ext="edit" position="f" selection="f" grouping="f" rotation="f" cropping="f" text="f" aspectratio="t"/>
            <w10:wrap type="none"/>
            <w10:anchorlock/>
          </v:shape>
          <o:OLEObject Type="Embed" ProgID="Equation.3" ShapeID="_x0000_i1038" DrawAspect="Content" ObjectID="_1468075744" r:id="rId71">
            <o:LockedField>false</o:LockedField>
          </o:OLEObject>
        </w:object>
      </w:r>
    </w:p>
    <w:p>
      <w:pPr>
        <w:rPr>
          <w:color w:val="auto"/>
        </w:rPr>
      </w:pPr>
      <w:r>
        <w:rPr>
          <w:rFonts w:hint="eastAsia"/>
          <w:color w:val="auto"/>
          <w:szCs w:val="24"/>
        </w:rPr>
        <w:t>其中：</w:t>
      </w:r>
      <w:r>
        <w:rPr>
          <w:rFonts w:hint="eastAsia" w:ascii="Times New Roman" w:hAnsi="Times New Roman"/>
          <w:color w:val="auto"/>
        </w:rPr>
        <w:t>Qp</w:t>
      </w:r>
      <w:r>
        <w:rPr>
          <w:rFonts w:hint="eastAsia"/>
          <w:color w:val="auto"/>
        </w:rPr>
        <w:t>—道路扬尘量，（</w:t>
      </w:r>
      <w:r>
        <w:rPr>
          <w:rFonts w:hint="eastAsia" w:ascii="Times New Roman" w:hAnsi="Times New Roman"/>
          <w:color w:val="auto"/>
        </w:rPr>
        <w:t>kg</w:t>
      </w:r>
      <w:r>
        <w:rPr>
          <w:rFonts w:hint="eastAsia"/>
          <w:color w:val="auto"/>
        </w:rPr>
        <w:t>/</w:t>
      </w:r>
      <w:r>
        <w:rPr>
          <w:rFonts w:hint="eastAsia" w:ascii="Times New Roman" w:hAnsi="Times New Roman"/>
          <w:color w:val="auto"/>
        </w:rPr>
        <w:t>km</w:t>
      </w:r>
      <w:r>
        <w:rPr>
          <w:rFonts w:hint="eastAsia"/>
          <w:color w:val="auto"/>
        </w:rPr>
        <w:t>▪辆）</w:t>
      </w:r>
    </w:p>
    <w:p>
      <w:pPr>
        <w:ind w:firstLine="1200" w:firstLineChars="500"/>
        <w:rPr>
          <w:color w:val="auto"/>
        </w:rPr>
      </w:pPr>
      <w:r>
        <w:rPr>
          <w:rFonts w:hint="eastAsia" w:ascii="Times New Roman" w:hAnsi="Times New Roman"/>
          <w:color w:val="auto"/>
        </w:rPr>
        <w:t>Q</w:t>
      </w:r>
      <w:r>
        <w:rPr>
          <w:rFonts w:hint="eastAsia"/>
          <w:color w:val="auto"/>
        </w:rPr>
        <w:t>＇</w:t>
      </w:r>
      <w:r>
        <w:rPr>
          <w:rFonts w:hint="eastAsia" w:ascii="Times New Roman" w:hAnsi="Times New Roman"/>
          <w:color w:val="auto"/>
        </w:rPr>
        <w:t>p</w:t>
      </w:r>
      <w:r>
        <w:rPr>
          <w:rFonts w:hint="eastAsia"/>
          <w:color w:val="auto"/>
        </w:rPr>
        <w:t>—总扬尘量，（</w:t>
      </w:r>
      <w:r>
        <w:rPr>
          <w:rFonts w:hint="eastAsia" w:ascii="Times New Roman" w:hAnsi="Times New Roman"/>
          <w:color w:val="auto"/>
        </w:rPr>
        <w:t>kg</w:t>
      </w:r>
      <w:r>
        <w:rPr>
          <w:rFonts w:hint="eastAsia"/>
          <w:color w:val="auto"/>
        </w:rPr>
        <w:t>/</w:t>
      </w:r>
      <w:r>
        <w:rPr>
          <w:rFonts w:hint="eastAsia" w:ascii="Times New Roman" w:hAnsi="Times New Roman"/>
          <w:color w:val="auto"/>
        </w:rPr>
        <w:t>a</w:t>
      </w:r>
      <w:r>
        <w:rPr>
          <w:rFonts w:hint="eastAsia"/>
          <w:color w:val="auto"/>
        </w:rPr>
        <w:t>）</w:t>
      </w:r>
    </w:p>
    <w:p>
      <w:pPr>
        <w:ind w:firstLine="1200" w:firstLineChars="500"/>
        <w:rPr>
          <w:color w:val="auto"/>
        </w:rPr>
      </w:pPr>
      <w:r>
        <w:rPr>
          <w:rFonts w:ascii="Times New Roman" w:hAnsi="Times New Roman"/>
          <w:color w:val="auto"/>
        </w:rPr>
        <w:t>V</w:t>
      </w:r>
      <w:r>
        <w:rPr>
          <w:color w:val="auto"/>
        </w:rPr>
        <w:t>—车辆速度，（</w:t>
      </w:r>
      <w:r>
        <w:rPr>
          <w:rFonts w:hint="eastAsia" w:ascii="Times New Roman" w:hAnsi="Times New Roman"/>
          <w:color w:val="auto"/>
        </w:rPr>
        <w:t>2</w:t>
      </w:r>
      <w:r>
        <w:rPr>
          <w:rFonts w:ascii="Times New Roman" w:hAnsi="Times New Roman"/>
          <w:color w:val="auto"/>
        </w:rPr>
        <w:t>0km</w:t>
      </w:r>
      <w:r>
        <w:rPr>
          <w:color w:val="auto"/>
        </w:rPr>
        <w:t>/</w:t>
      </w:r>
      <w:r>
        <w:rPr>
          <w:rFonts w:ascii="Times New Roman" w:hAnsi="Times New Roman"/>
          <w:color w:val="auto"/>
        </w:rPr>
        <w:t>h</w:t>
      </w:r>
      <w:r>
        <w:rPr>
          <w:color w:val="auto"/>
        </w:rPr>
        <w:t>）；</w:t>
      </w:r>
    </w:p>
    <w:p>
      <w:pPr>
        <w:ind w:firstLine="1200" w:firstLineChars="500"/>
        <w:rPr>
          <w:color w:val="auto"/>
        </w:rPr>
      </w:pPr>
      <w:r>
        <w:rPr>
          <w:rFonts w:ascii="Times New Roman" w:hAnsi="Times New Roman"/>
          <w:color w:val="auto"/>
        </w:rPr>
        <w:t>M</w:t>
      </w:r>
      <w:r>
        <w:rPr>
          <w:color w:val="auto"/>
        </w:rPr>
        <w:t>—车辆载重，</w:t>
      </w:r>
      <w:r>
        <w:rPr>
          <w:rFonts w:hint="eastAsia"/>
          <w:color w:val="auto"/>
          <w:lang w:eastAsia="zh-CN"/>
        </w:rPr>
        <w:t>平均</w:t>
      </w:r>
      <w:r>
        <w:rPr>
          <w:rFonts w:hint="eastAsia" w:ascii="Times New Roman" w:hAnsi="Times New Roman"/>
          <w:color w:val="auto"/>
        </w:rPr>
        <w:t>6</w:t>
      </w:r>
      <w:r>
        <w:rPr>
          <w:rFonts w:ascii="Times New Roman" w:hAnsi="Times New Roman"/>
          <w:color w:val="auto"/>
        </w:rPr>
        <w:t>0t</w:t>
      </w:r>
      <w:r>
        <w:rPr>
          <w:color w:val="auto"/>
        </w:rPr>
        <w:t>/辆；</w:t>
      </w:r>
    </w:p>
    <w:p>
      <w:pPr>
        <w:ind w:firstLine="1200" w:firstLineChars="500"/>
        <w:rPr>
          <w:color w:val="auto"/>
        </w:rPr>
      </w:pPr>
      <w:r>
        <w:rPr>
          <w:rFonts w:ascii="Times New Roman" w:hAnsi="Times New Roman"/>
          <w:color w:val="auto"/>
        </w:rPr>
        <w:t>P</w:t>
      </w:r>
      <w:r>
        <w:rPr>
          <w:color w:val="auto"/>
        </w:rPr>
        <w:t>—路面灰尘覆盖率，（</w:t>
      </w:r>
      <w:r>
        <w:rPr>
          <w:rFonts w:hint="eastAsia"/>
          <w:color w:val="auto"/>
        </w:rPr>
        <w:t>取值</w:t>
      </w:r>
      <w:r>
        <w:rPr>
          <w:rFonts w:ascii="Times New Roman" w:hAnsi="Times New Roman"/>
          <w:color w:val="auto"/>
        </w:rPr>
        <w:t>0</w:t>
      </w:r>
      <w:r>
        <w:rPr>
          <w:color w:val="auto"/>
        </w:rPr>
        <w:t>.</w:t>
      </w:r>
      <w:r>
        <w:rPr>
          <w:rFonts w:hint="eastAsia" w:ascii="Times New Roman" w:hAnsi="Times New Roman"/>
          <w:color w:val="auto"/>
        </w:rPr>
        <w:t>0</w:t>
      </w:r>
      <w:r>
        <w:rPr>
          <w:rFonts w:ascii="Times New Roman" w:hAnsi="Times New Roman"/>
          <w:color w:val="auto"/>
        </w:rPr>
        <w:t>5kg</w:t>
      </w:r>
      <w:r>
        <w:rPr>
          <w:color w:val="auto"/>
        </w:rPr>
        <w:t>/</w:t>
      </w:r>
      <w:r>
        <w:rPr>
          <w:rFonts w:ascii="Times New Roman" w:hAnsi="Times New Roman"/>
          <w:color w:val="auto"/>
        </w:rPr>
        <w:t>m</w:t>
      </w:r>
      <w:r>
        <w:rPr>
          <w:rFonts w:ascii="Times New Roman" w:hAnsi="Times New Roman"/>
          <w:color w:val="auto"/>
          <w:vertAlign w:val="superscript"/>
        </w:rPr>
        <w:t>2</w:t>
      </w:r>
      <w:r>
        <w:rPr>
          <w:color w:val="auto"/>
        </w:rPr>
        <w:t>）；</w:t>
      </w:r>
    </w:p>
    <w:p>
      <w:pPr>
        <w:ind w:firstLine="1200" w:firstLineChars="500"/>
        <w:rPr>
          <w:color w:val="auto"/>
        </w:rPr>
      </w:pPr>
      <w:r>
        <w:rPr>
          <w:rFonts w:ascii="Times New Roman" w:hAnsi="Times New Roman"/>
          <w:color w:val="auto"/>
        </w:rPr>
        <w:t>L</w:t>
      </w:r>
      <w:r>
        <w:rPr>
          <w:color w:val="auto"/>
        </w:rPr>
        <w:t>—运距，（</w:t>
      </w:r>
      <w:r>
        <w:rPr>
          <w:rFonts w:ascii="Times New Roman" w:hAnsi="Times New Roman"/>
          <w:color w:val="auto"/>
        </w:rPr>
        <w:t>km</w:t>
      </w:r>
      <w:r>
        <w:rPr>
          <w:color w:val="auto"/>
        </w:rPr>
        <w:t>）；</w:t>
      </w:r>
    </w:p>
    <w:p>
      <w:pPr>
        <w:ind w:firstLine="1200" w:firstLineChars="500"/>
        <w:rPr>
          <w:rFonts w:hint="eastAsia"/>
          <w:color w:val="auto"/>
          <w:szCs w:val="24"/>
        </w:rPr>
      </w:pPr>
      <w:r>
        <w:rPr>
          <w:rFonts w:ascii="Times New Roman" w:hAnsi="Times New Roman"/>
          <w:color w:val="auto"/>
        </w:rPr>
        <w:t>Q</w:t>
      </w:r>
      <w:r>
        <w:rPr>
          <w:color w:val="auto"/>
        </w:rPr>
        <w:t>—运输量，（</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万</w:t>
      </w:r>
      <w:r>
        <w:rPr>
          <w:rFonts w:ascii="Times New Roman" w:hAnsi="Times New Roman"/>
          <w:color w:val="auto"/>
        </w:rPr>
        <w:t>t</w:t>
      </w:r>
      <w:r>
        <w:rPr>
          <w:color w:val="auto"/>
        </w:rPr>
        <w:t>/</w:t>
      </w:r>
      <w:r>
        <w:rPr>
          <w:rFonts w:ascii="Times New Roman" w:hAnsi="Times New Roman"/>
          <w:color w:val="auto"/>
        </w:rPr>
        <w:t>a</w:t>
      </w:r>
      <w:r>
        <w:rPr>
          <w:color w:val="auto"/>
        </w:rPr>
        <w:t>）。</w:t>
      </w:r>
    </w:p>
    <w:p>
      <w:pPr>
        <w:bidi w:val="0"/>
        <w:rPr>
          <w:rFonts w:hint="eastAsia"/>
        </w:rPr>
      </w:pPr>
      <w:r>
        <w:rPr>
          <w:rFonts w:hint="eastAsia"/>
          <w:color w:val="auto"/>
          <w:szCs w:val="24"/>
        </w:rPr>
        <w:t>本项目物料在运输过程中</w:t>
      </w:r>
      <w:r>
        <w:rPr>
          <w:rFonts w:hint="eastAsia"/>
          <w:color w:val="auto"/>
          <w:szCs w:val="24"/>
          <w:lang w:eastAsia="zh-CN"/>
        </w:rPr>
        <w:t>评价范围内</w:t>
      </w:r>
      <w:r>
        <w:rPr>
          <w:rFonts w:hint="eastAsia"/>
          <w:color w:val="auto"/>
          <w:szCs w:val="24"/>
        </w:rPr>
        <w:t>的产尘量</w:t>
      </w:r>
      <w:r>
        <w:rPr>
          <w:rFonts w:hint="eastAsia"/>
          <w:color w:val="auto"/>
          <w:szCs w:val="24"/>
          <w:lang w:eastAsia="zh-CN"/>
        </w:rPr>
        <w:t>约</w:t>
      </w:r>
      <w:r>
        <w:rPr>
          <w:rFonts w:hint="eastAsia"/>
          <w:color w:val="auto"/>
          <w:szCs w:val="24"/>
        </w:rPr>
        <w:t>为</w:t>
      </w:r>
      <w:r>
        <w:rPr>
          <w:rFonts w:hint="eastAsia" w:ascii="Times New Roman" w:hAnsi="Times New Roman"/>
          <w:color w:val="auto"/>
          <w:szCs w:val="24"/>
          <w:lang w:val="en-US" w:eastAsia="zh-CN"/>
        </w:rPr>
        <w:t>0</w:t>
      </w:r>
      <w:r>
        <w:rPr>
          <w:rFonts w:hint="eastAsia"/>
          <w:color w:val="auto"/>
          <w:szCs w:val="24"/>
          <w:lang w:val="en-US" w:eastAsia="zh-CN"/>
        </w:rPr>
        <w:t>.</w:t>
      </w:r>
      <w:r>
        <w:rPr>
          <w:rFonts w:hint="eastAsia" w:ascii="Times New Roman" w:hAnsi="Times New Roman"/>
          <w:color w:val="auto"/>
          <w:szCs w:val="24"/>
          <w:lang w:val="en-US" w:eastAsia="zh-CN"/>
        </w:rPr>
        <w:t>355</w:t>
      </w:r>
      <w:r>
        <w:rPr>
          <w:rFonts w:hint="eastAsia" w:ascii="Times New Roman" w:hAnsi="Times New Roman"/>
          <w:color w:val="auto"/>
          <w:szCs w:val="24"/>
        </w:rPr>
        <w:t>t</w:t>
      </w:r>
      <w:r>
        <w:rPr>
          <w:rFonts w:hint="eastAsia"/>
          <w:color w:val="auto"/>
          <w:szCs w:val="24"/>
        </w:rPr>
        <w:t>/</w:t>
      </w:r>
      <w:r>
        <w:rPr>
          <w:rFonts w:hint="eastAsia" w:ascii="Times New Roman" w:hAnsi="Times New Roman"/>
          <w:color w:val="auto"/>
          <w:szCs w:val="24"/>
        </w:rPr>
        <w:t>a</w:t>
      </w:r>
      <w:r>
        <w:rPr>
          <w:rFonts w:hint="eastAsia"/>
          <w:color w:val="auto"/>
        </w:rPr>
        <w:t>。</w:t>
      </w:r>
    </w:p>
    <w:p>
      <w:pPr>
        <w:pStyle w:val="5"/>
        <w:spacing w:before="165"/>
        <w:rPr>
          <w:rFonts w:hint="eastAsia" w:eastAsia="华文楷体"/>
          <w:lang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7</w:t>
      </w:r>
      <w:r>
        <w:rPr>
          <w:rFonts w:hint="eastAsia"/>
        </w:rPr>
        <w:t>大气环境防护距离</w:t>
      </w:r>
      <w:r>
        <w:rPr>
          <w:rFonts w:hint="eastAsia"/>
          <w:lang w:eastAsia="zh-CN"/>
        </w:rPr>
        <w:t>和卫生防护距离</w:t>
      </w:r>
    </w:p>
    <w:p>
      <w:pPr>
        <w:ind w:firstLine="480"/>
        <w:rPr>
          <w:rFonts w:hint="eastAsia" w:eastAsia="宋体"/>
          <w:lang w:eastAsia="zh-CN"/>
        </w:rPr>
      </w:pPr>
      <w:r>
        <w:rPr>
          <w:rFonts w:hint="eastAsia"/>
          <w:lang w:eastAsia="zh-CN"/>
        </w:rPr>
        <w:t>（</w:t>
      </w:r>
      <w:r>
        <w:rPr>
          <w:rFonts w:hint="eastAsia" w:ascii="Times New Roman" w:hAnsi="Times New Roman"/>
          <w:lang w:val="en-US" w:eastAsia="zh-CN"/>
        </w:rPr>
        <w:t>1</w:t>
      </w:r>
      <w:r>
        <w:rPr>
          <w:rFonts w:hint="eastAsia"/>
          <w:lang w:eastAsia="zh-CN"/>
        </w:rPr>
        <w:t>）大气防护距离</w:t>
      </w:r>
    </w:p>
    <w:p>
      <w:pPr>
        <w:ind w:firstLine="480"/>
        <w:rPr>
          <w:rFonts w:hint="eastAsia"/>
          <w:lang w:val="en-US" w:eastAsia="zh-CN"/>
        </w:rPr>
      </w:pPr>
      <w:r>
        <w:rPr>
          <w:rFonts w:hint="eastAsia"/>
        </w:rPr>
        <w:t>根据预测，</w:t>
      </w:r>
      <w:r>
        <w:rPr>
          <w:rFonts w:hint="eastAsia"/>
          <w:lang w:eastAsia="zh-CN"/>
        </w:rPr>
        <w:t>本项目主要</w:t>
      </w:r>
      <w:r>
        <w:rPr>
          <w:rFonts w:hint="eastAsia"/>
        </w:rPr>
        <w:t>大气污染物落地浓度均满足相应环境质量标准要求，无超标点，根据《环境影响评价技术导则 大气环境》（</w:t>
      </w:r>
      <w:r>
        <w:rPr>
          <w:rFonts w:hint="eastAsia" w:ascii="Times New Roman" w:hAnsi="Times New Roman"/>
        </w:rPr>
        <w:t>HJ2</w:t>
      </w:r>
      <w:r>
        <w:rPr>
          <w:rFonts w:hint="eastAsia"/>
        </w:rPr>
        <w:t>.</w:t>
      </w:r>
      <w:r>
        <w:rPr>
          <w:rFonts w:hint="eastAsia" w:ascii="Times New Roman" w:hAnsi="Times New Roman"/>
        </w:rPr>
        <w:t>2</w:t>
      </w:r>
      <w:r>
        <w:rPr>
          <w:rFonts w:hint="eastAsia"/>
        </w:rPr>
        <w:t>-</w:t>
      </w:r>
      <w:r>
        <w:rPr>
          <w:rFonts w:hint="eastAsia" w:ascii="Times New Roman" w:hAnsi="Times New Roman"/>
        </w:rPr>
        <w:t>2018</w:t>
      </w:r>
      <w:r>
        <w:rPr>
          <w:rFonts w:hint="eastAsia"/>
        </w:rPr>
        <w:t>），</w:t>
      </w:r>
      <w:r>
        <w:rPr>
          <w:rFonts w:hint="eastAsia"/>
          <w:lang w:eastAsia="zh-CN"/>
        </w:rPr>
        <w:t>本项目</w:t>
      </w:r>
      <w:r>
        <w:rPr>
          <w:rFonts w:hint="eastAsia"/>
        </w:rPr>
        <w:t>不设置大气环境防护距离。</w:t>
      </w:r>
    </w:p>
    <w:p>
      <w:pPr>
        <w:bidi w:val="0"/>
        <w:rPr>
          <w:rFonts w:hint="eastAsia"/>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）卫生防护距离</w:t>
      </w:r>
    </w:p>
    <w:p>
      <w:r>
        <w:rPr>
          <w:rFonts w:hint="eastAsia"/>
          <w:lang w:eastAsia="zh-CN"/>
        </w:rPr>
        <w:t>根据本项目特点，</w:t>
      </w:r>
      <w:r>
        <w:rPr>
          <w:rFonts w:hint="eastAsia"/>
          <w:color w:val="auto"/>
          <w:lang w:eastAsia="zh-CN"/>
        </w:rPr>
        <w:t>本项目</w:t>
      </w:r>
      <w:r>
        <w:rPr>
          <w:color w:val="auto"/>
        </w:rPr>
        <w:t>无组织废气排放主要污染物为</w:t>
      </w:r>
      <w:r>
        <w:rPr>
          <w:rFonts w:hint="eastAsia" w:ascii="Times New Roman" w:hAnsi="Times New Roman" w:cs="Times New Roman"/>
          <w:color w:val="auto"/>
          <w:lang w:val="en-US" w:eastAsia="zh-CN"/>
        </w:rPr>
        <w:t>NMHC</w:t>
      </w:r>
      <w:r>
        <w:rPr>
          <w:rFonts w:hint="eastAsia"/>
          <w:color w:val="auto"/>
          <w:lang w:val="en-US" w:eastAsia="zh-CN"/>
        </w:rPr>
        <w:t>、</w:t>
      </w:r>
      <w:r>
        <w:rPr>
          <w:rFonts w:hint="eastAsia"/>
          <w:color w:val="auto"/>
          <w:lang w:eastAsia="zh-CN"/>
        </w:rPr>
        <w:t>氨</w:t>
      </w:r>
      <w:r>
        <w:rPr>
          <w:color w:val="auto"/>
        </w:rPr>
        <w:t>。</w:t>
      </w:r>
      <w:r>
        <w:rPr>
          <w:rFonts w:hint="eastAsia"/>
          <w:color w:val="auto"/>
          <w:lang w:eastAsia="zh-CN"/>
        </w:rPr>
        <w:t>由于本项目装置整体密闭，无组织污染物产生和排放量相对现有工程很小，且不涉及其他具备毒性的特征污染因子。根据现有工程原环评结论</w:t>
      </w:r>
      <w:r>
        <w:rPr>
          <w:rFonts w:hint="eastAsia"/>
          <w:color w:val="auto"/>
          <w:lang w:val="en-US" w:eastAsia="zh-CN"/>
        </w:rPr>
        <w:t>，建设单位</w:t>
      </w:r>
      <w:r>
        <w:rPr>
          <w:rFonts w:hint="eastAsia"/>
          <w:color w:val="auto"/>
          <w:lang w:eastAsia="zh-CN"/>
        </w:rPr>
        <w:t>设置</w:t>
      </w:r>
      <w:r>
        <w:rPr>
          <w:rFonts w:hint="eastAsia" w:ascii="Times New Roman" w:hAnsi="Times New Roman" w:cs="Times New Roman"/>
          <w:color w:val="auto"/>
          <w:lang w:val="en-US" w:eastAsia="zh-CN"/>
        </w:rPr>
        <w:t>300m</w:t>
      </w:r>
      <w:r>
        <w:rPr>
          <w:rFonts w:hint="eastAsia"/>
          <w:color w:val="auto"/>
          <w:lang w:val="en-US" w:eastAsia="zh-CN"/>
        </w:rPr>
        <w:t>的卫生防护距离，</w:t>
      </w:r>
      <w:r>
        <w:rPr>
          <w:rFonts w:hint="eastAsia"/>
          <w:color w:val="auto"/>
          <w:lang w:eastAsia="zh-CN"/>
        </w:rPr>
        <w:t>本项目将沿用该卫生防护距离</w:t>
      </w:r>
      <w:r>
        <w:rPr>
          <w:color w:val="auto"/>
        </w:rPr>
        <w:t>，卫生防护距离内不得设置居民区等环境敏感点。</w:t>
      </w:r>
    </w:p>
    <w:p>
      <w:pPr>
        <w:pStyle w:val="5"/>
        <w:spacing w:before="165"/>
        <w:rPr>
          <w:rFonts w:hint="eastAsia"/>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2</w:t>
      </w:r>
      <w:r>
        <w:rPr>
          <w:rFonts w:hint="eastAsia"/>
        </w:rPr>
        <w:t>.</w:t>
      </w:r>
      <w:r>
        <w:rPr>
          <w:rFonts w:hint="eastAsia" w:ascii="Times New Roman" w:hAnsi="Times New Roman"/>
          <w:lang w:val="en-US" w:eastAsia="zh-CN"/>
        </w:rPr>
        <w:t>8</w:t>
      </w:r>
      <w:r>
        <w:rPr>
          <w:rFonts w:hint="eastAsia"/>
        </w:rPr>
        <w:t>大气环境影响评价自查表</w:t>
      </w:r>
    </w:p>
    <w:p>
      <w:pPr>
        <w:rPr>
          <w:rFonts w:hint="eastAsia"/>
        </w:rPr>
      </w:pPr>
      <w:r>
        <w:rPr>
          <w:rFonts w:hint="eastAsia"/>
        </w:rPr>
        <w:t>项目大气环境影响自查表见表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2</w:t>
      </w:r>
      <w:r>
        <w:rPr>
          <w:rFonts w:hint="eastAsia" w:ascii="Times New Roman"/>
          <w:lang w:val="en-US" w:eastAsia="zh-CN"/>
        </w:rPr>
        <w:t>-</w:t>
      </w:r>
      <w:r>
        <w:rPr>
          <w:rFonts w:hint="eastAsia" w:ascii="Times New Roman" w:hAnsi="Times New Roman"/>
          <w:lang w:val="en-US" w:eastAsia="zh-CN"/>
        </w:rPr>
        <w:t>23</w:t>
      </w:r>
      <w:r>
        <w:rPr>
          <w:rFonts w:hint="eastAsia"/>
        </w:rPr>
        <w:t>。</w:t>
      </w:r>
    </w:p>
    <w:p>
      <w:pPr>
        <w:pStyle w:val="20"/>
        <w:spacing w:before="165"/>
        <w:rPr>
          <w:rFonts w:hint="eastAsia"/>
        </w:rPr>
      </w:pPr>
      <w:r>
        <w:rPr>
          <w:rFonts w:hint="eastAsia"/>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2</w:t>
      </w:r>
      <w:r>
        <w:rPr>
          <w:rFonts w:hint="eastAsia" w:ascii="Times New Roman" w:hAnsi="Times New Roman"/>
          <w:lang w:val="en-US" w:eastAsia="zh-CN"/>
        </w:rPr>
        <w:t>-</w:t>
      </w:r>
      <w:r>
        <w:rPr>
          <w:rFonts w:hint="eastAsia" w:ascii="Times New Roman" w:hAnsi="Times New Roman"/>
          <w:lang w:val="en-US" w:eastAsia="zh-CN"/>
        </w:rPr>
        <w:t>23</w:t>
      </w:r>
      <w:r>
        <w:rPr>
          <w:rFonts w:hint="eastAsia"/>
        </w:rPr>
        <w:t xml:space="preserve">  大气环境影响评价自查表</w:t>
      </w:r>
    </w:p>
    <w:tbl>
      <w:tblPr>
        <w:tblStyle w:val="81"/>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06"/>
        <w:gridCol w:w="1479"/>
        <w:gridCol w:w="1253"/>
        <w:gridCol w:w="603"/>
        <w:gridCol w:w="526"/>
        <w:gridCol w:w="422"/>
        <w:gridCol w:w="404"/>
        <w:gridCol w:w="218"/>
        <w:gridCol w:w="434"/>
        <w:gridCol w:w="217"/>
        <w:gridCol w:w="367"/>
        <w:gridCol w:w="893"/>
        <w:gridCol w:w="279"/>
        <w:gridCol w:w="794"/>
        <w:gridCol w:w="3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385" w:type="dxa"/>
            <w:gridSpan w:val="2"/>
            <w:noWrap w:val="0"/>
            <w:vAlign w:val="center"/>
          </w:tcPr>
          <w:p>
            <w:pPr>
              <w:snapToGrid w:val="0"/>
              <w:spacing w:line="260" w:lineRule="exact"/>
              <w:ind w:firstLine="0"/>
              <w:jc w:val="center"/>
              <w:rPr>
                <w:rFonts w:ascii="Times New Roman"/>
                <w:color w:val="000000"/>
                <w:sz w:val="18"/>
                <w:szCs w:val="18"/>
              </w:rPr>
            </w:pPr>
            <w:r>
              <w:rPr>
                <w:rFonts w:hint="eastAsia"/>
                <w:sz w:val="18"/>
                <w:szCs w:val="18"/>
              </w:rPr>
              <w:t>工作</w:t>
            </w:r>
            <w:r>
              <w:rPr>
                <w:sz w:val="18"/>
                <w:szCs w:val="18"/>
              </w:rPr>
              <w:t>内容</w:t>
            </w:r>
          </w:p>
        </w:tc>
        <w:tc>
          <w:tcPr>
            <w:tcW w:w="6789" w:type="dxa"/>
            <w:gridSpan w:val="13"/>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自查</w:t>
            </w:r>
            <w:r>
              <w:rPr>
                <w:rFonts w:cs="Times New Roman"/>
                <w:sz w:val="18"/>
                <w:szCs w:val="18"/>
              </w:rPr>
              <w:t>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906" w:type="dxa"/>
            <w:vMerge w:val="restart"/>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评价</w:t>
            </w:r>
            <w:r>
              <w:rPr>
                <w:rFonts w:cs="Times New Roman"/>
                <w:sz w:val="18"/>
                <w:szCs w:val="18"/>
              </w:rPr>
              <w:t>等级与范围</w:t>
            </w: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评价</w:t>
            </w:r>
            <w:r>
              <w:rPr>
                <w:rFonts w:ascii="Times New Roman"/>
                <w:color w:val="000000"/>
                <w:sz w:val="18"/>
                <w:szCs w:val="18"/>
              </w:rPr>
              <w:t>等级</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一级</w:t>
            </w:r>
            <w:r>
              <w:rPr>
                <w:rFonts w:hint="eastAsia" w:ascii="宋体" w:hAnsi="宋体" w:cs="Times New Roman"/>
                <w:sz w:val="18"/>
                <w:szCs w:val="18"/>
              </w:rPr>
              <w:sym w:font="Wingdings 2" w:char="0052"/>
            </w:r>
          </w:p>
        </w:tc>
        <w:tc>
          <w:tcPr>
            <w:tcW w:w="3760" w:type="dxa"/>
            <w:gridSpan w:val="9"/>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二级</w:t>
            </w:r>
            <w:r>
              <w:rPr>
                <w:rFonts w:hint="eastAsia" w:ascii="宋体" w:hAnsi="宋体" w:cs="Times New Roman"/>
                <w:sz w:val="18"/>
                <w:szCs w:val="18"/>
              </w:rPr>
              <w:sym w:font="Wingdings 2" w:char="00A3"/>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三级</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评价</w:t>
            </w:r>
            <w:r>
              <w:rPr>
                <w:rFonts w:ascii="Times New Roman"/>
                <w:color w:val="000000"/>
                <w:sz w:val="18"/>
                <w:szCs w:val="18"/>
              </w:rPr>
              <w:t>范围</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边长</w:t>
            </w:r>
            <w:r>
              <w:rPr>
                <w:rFonts w:cs="Times New Roman"/>
                <w:sz w:val="18"/>
                <w:szCs w:val="18"/>
              </w:rPr>
              <w:t>=</w:t>
            </w:r>
            <w:r>
              <w:rPr>
                <w:rFonts w:ascii="Times New Roman" w:hAnsi="Times New Roman" w:cs="Times New Roman"/>
                <w:sz w:val="18"/>
                <w:szCs w:val="18"/>
              </w:rPr>
              <w:t>50km</w:t>
            </w:r>
            <w:r>
              <w:rPr>
                <w:rFonts w:hint="eastAsia" w:ascii="宋体" w:hAnsi="宋体" w:cs="Times New Roman"/>
                <w:sz w:val="18"/>
                <w:szCs w:val="18"/>
              </w:rPr>
              <w:t>□</w:t>
            </w:r>
          </w:p>
        </w:tc>
        <w:tc>
          <w:tcPr>
            <w:tcW w:w="3760" w:type="dxa"/>
            <w:gridSpan w:val="9"/>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边长</w:t>
            </w:r>
            <w:r>
              <w:rPr>
                <w:rFonts w:ascii="Times New Roman" w:hAnsi="Times New Roman" w:cs="Times New Roman"/>
                <w:sz w:val="18"/>
                <w:szCs w:val="18"/>
              </w:rPr>
              <w:t>5</w:t>
            </w:r>
            <w:r>
              <w:rPr>
                <w:rFonts w:cs="Times New Roman"/>
                <w:sz w:val="18"/>
                <w:szCs w:val="18"/>
              </w:rPr>
              <w:t>~</w:t>
            </w:r>
            <w:r>
              <w:rPr>
                <w:rFonts w:ascii="Times New Roman" w:hAnsi="Times New Roman" w:cs="Times New Roman"/>
                <w:sz w:val="18"/>
                <w:szCs w:val="18"/>
              </w:rPr>
              <w:t>50km</w:t>
            </w:r>
            <w:r>
              <w:rPr>
                <w:rFonts w:hint="eastAsia" w:ascii="宋体" w:hAnsi="宋体" w:cs="Times New Roman"/>
                <w:sz w:val="18"/>
                <w:szCs w:val="18"/>
              </w:rPr>
              <w:t>□</w:t>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边长</w:t>
            </w:r>
            <w:r>
              <w:rPr>
                <w:rFonts w:cs="Times New Roman"/>
                <w:sz w:val="18"/>
                <w:szCs w:val="18"/>
              </w:rPr>
              <w:t>=</w:t>
            </w:r>
            <w:r>
              <w:rPr>
                <w:rFonts w:ascii="Times New Roman" w:hAnsi="Times New Roman" w:cs="Times New Roman"/>
                <w:sz w:val="18"/>
                <w:szCs w:val="18"/>
              </w:rPr>
              <w:t>5km</w:t>
            </w:r>
            <w:r>
              <w:rPr>
                <w:rFonts w:hint="eastAsia" w:ascii="宋体" w:hAnsi="宋体" w:cs="Times New Roman"/>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906" w:type="dxa"/>
            <w:vMerge w:val="restart"/>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评价</w:t>
            </w:r>
            <w:r>
              <w:rPr>
                <w:rFonts w:cs="Times New Roman"/>
                <w:sz w:val="18"/>
                <w:szCs w:val="18"/>
              </w:rPr>
              <w:t>因子</w:t>
            </w:r>
          </w:p>
        </w:tc>
        <w:tc>
          <w:tcPr>
            <w:tcW w:w="1479" w:type="dxa"/>
            <w:noWrap w:val="0"/>
            <w:vAlign w:val="center"/>
          </w:tcPr>
          <w:p>
            <w:pPr>
              <w:snapToGrid w:val="0"/>
              <w:spacing w:line="260" w:lineRule="exact"/>
              <w:ind w:firstLine="0"/>
              <w:jc w:val="center"/>
              <w:rPr>
                <w:rFonts w:ascii="Times New Roman"/>
                <w:color w:val="000000"/>
                <w:sz w:val="18"/>
                <w:szCs w:val="18"/>
              </w:rPr>
            </w:pPr>
            <w:r>
              <w:rPr>
                <w:rFonts w:ascii="Times New Roman" w:hAnsi="Times New Roman"/>
                <w:color w:val="000000"/>
                <w:spacing w:val="-11"/>
                <w:sz w:val="18"/>
                <w:szCs w:val="18"/>
              </w:rPr>
              <w:t>SO</w:t>
            </w:r>
            <w:r>
              <w:rPr>
                <w:rFonts w:ascii="Times New Roman" w:hAnsi="Times New Roman"/>
                <w:color w:val="000000"/>
                <w:spacing w:val="-11"/>
                <w:sz w:val="18"/>
                <w:szCs w:val="18"/>
                <w:vertAlign w:val="subscript"/>
              </w:rPr>
              <w:t>2</w:t>
            </w:r>
            <w:r>
              <w:rPr>
                <w:rFonts w:ascii="Times New Roman"/>
                <w:color w:val="000000"/>
                <w:spacing w:val="-11"/>
                <w:sz w:val="18"/>
                <w:szCs w:val="18"/>
              </w:rPr>
              <w:t xml:space="preserve"> +</w:t>
            </w:r>
            <w:r>
              <w:rPr>
                <w:rFonts w:ascii="Times New Roman" w:hAnsi="Times New Roman"/>
                <w:color w:val="000000"/>
                <w:spacing w:val="-11"/>
                <w:sz w:val="18"/>
                <w:szCs w:val="18"/>
              </w:rPr>
              <w:t>NOx</w:t>
            </w:r>
            <w:r>
              <w:rPr>
                <w:rFonts w:hint="eastAsia" w:ascii="Times New Roman"/>
                <w:color w:val="000000"/>
                <w:spacing w:val="-11"/>
                <w:sz w:val="18"/>
                <w:szCs w:val="18"/>
              </w:rPr>
              <w:t>排放量</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w:t>
            </w:r>
            <w:r>
              <w:rPr>
                <w:rFonts w:hint="eastAsia" w:ascii="Times New Roman" w:hAnsi="Times New Roman" w:cs="Times New Roman"/>
                <w:sz w:val="18"/>
                <w:szCs w:val="18"/>
              </w:rPr>
              <w:t>2000</w:t>
            </w:r>
            <w:r>
              <w:rPr>
                <w:rFonts w:ascii="Times New Roman" w:hAnsi="Times New Roman" w:cs="Times New Roman"/>
                <w:sz w:val="18"/>
                <w:szCs w:val="18"/>
              </w:rPr>
              <w:t>t</w:t>
            </w:r>
            <w:r>
              <w:rPr>
                <w:rFonts w:cs="Times New Roman"/>
                <w:sz w:val="18"/>
                <w:szCs w:val="18"/>
              </w:rPr>
              <w:t>/</w:t>
            </w:r>
            <w:r>
              <w:rPr>
                <w:rFonts w:ascii="Times New Roman" w:hAnsi="Times New Roman" w:cs="Times New Roman"/>
                <w:sz w:val="18"/>
                <w:szCs w:val="18"/>
              </w:rPr>
              <w:t>a</w:t>
            </w:r>
            <w:r>
              <w:rPr>
                <w:rFonts w:hint="eastAsia" w:ascii="宋体" w:hAnsi="宋体" w:cs="Times New Roman"/>
                <w:sz w:val="18"/>
                <w:szCs w:val="18"/>
              </w:rPr>
              <w:t>□</w:t>
            </w:r>
          </w:p>
        </w:tc>
        <w:tc>
          <w:tcPr>
            <w:tcW w:w="3760" w:type="dxa"/>
            <w:gridSpan w:val="9"/>
            <w:noWrap w:val="0"/>
            <w:vAlign w:val="center"/>
          </w:tcPr>
          <w:p>
            <w:pPr>
              <w:pStyle w:val="657"/>
              <w:spacing w:line="260" w:lineRule="exact"/>
              <w:ind w:firstLine="0" w:firstLineChars="0"/>
              <w:jc w:val="center"/>
              <w:rPr>
                <w:rFonts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00</w:t>
            </w:r>
            <w:r>
              <w:rPr>
                <w:rFonts w:cs="Times New Roman"/>
                <w:sz w:val="18"/>
                <w:szCs w:val="18"/>
              </w:rPr>
              <w:t>~</w:t>
            </w:r>
            <w:r>
              <w:rPr>
                <w:rFonts w:hint="eastAsia" w:ascii="Times New Roman" w:hAnsi="Times New Roman" w:cs="Times New Roman"/>
                <w:sz w:val="18"/>
                <w:szCs w:val="18"/>
              </w:rPr>
              <w:t>2000</w:t>
            </w:r>
            <w:r>
              <w:rPr>
                <w:rFonts w:ascii="Times New Roman" w:hAnsi="Times New Roman" w:cs="Times New Roman"/>
                <w:sz w:val="18"/>
                <w:szCs w:val="18"/>
              </w:rPr>
              <w:t>t</w:t>
            </w:r>
            <w:r>
              <w:rPr>
                <w:rFonts w:cs="Times New Roman"/>
                <w:sz w:val="18"/>
                <w:szCs w:val="18"/>
              </w:rPr>
              <w:t>/</w:t>
            </w:r>
            <w:r>
              <w:rPr>
                <w:rFonts w:ascii="Times New Roman" w:hAnsi="Times New Roman" w:cs="Times New Roman"/>
                <w:sz w:val="18"/>
                <w:szCs w:val="18"/>
              </w:rPr>
              <w:t>a</w:t>
            </w:r>
            <w:r>
              <w:rPr>
                <w:rFonts w:hint="eastAsia" w:ascii="宋体" w:hAnsi="宋体" w:cs="Times New Roman"/>
                <w:sz w:val="18"/>
                <w:szCs w:val="18"/>
              </w:rPr>
              <w:t>□</w:t>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w:t>
            </w:r>
            <w:r>
              <w:rPr>
                <w:rFonts w:ascii="Times New Roman" w:hAnsi="Times New Roman" w:cs="Times New Roman"/>
                <w:sz w:val="18"/>
                <w:szCs w:val="18"/>
              </w:rPr>
              <w:t>5</w:t>
            </w:r>
            <w:r>
              <w:rPr>
                <w:rFonts w:hint="eastAsia" w:ascii="Times New Roman" w:hAnsi="Times New Roman" w:cs="Times New Roman"/>
                <w:sz w:val="18"/>
                <w:szCs w:val="18"/>
              </w:rPr>
              <w:t>00</w:t>
            </w:r>
            <w:r>
              <w:rPr>
                <w:rFonts w:ascii="Times New Roman" w:hAnsi="Times New Roman" w:cs="Times New Roman"/>
                <w:sz w:val="18"/>
                <w:szCs w:val="18"/>
              </w:rPr>
              <w:t>t</w:t>
            </w:r>
            <w:r>
              <w:rPr>
                <w:rFonts w:cs="Times New Roman"/>
                <w:sz w:val="18"/>
                <w:szCs w:val="18"/>
              </w:rPr>
              <w:t>/</w:t>
            </w:r>
            <w:r>
              <w:rPr>
                <w:rFonts w:ascii="Times New Roman" w:hAnsi="Times New Roman" w:cs="Times New Roman"/>
                <w:sz w:val="18"/>
                <w:szCs w:val="18"/>
              </w:rPr>
              <w:t>a</w:t>
            </w:r>
            <w:r>
              <w:rPr>
                <w:rFonts w:hint="eastAsia" w:ascii="宋体" w:hAnsi="宋体" w:cs="Times New Roman"/>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评价</w:t>
            </w:r>
            <w:r>
              <w:rPr>
                <w:rFonts w:ascii="Times New Roman"/>
                <w:color w:val="000000"/>
                <w:sz w:val="18"/>
                <w:szCs w:val="18"/>
              </w:rPr>
              <w:t>因子</w:t>
            </w:r>
          </w:p>
        </w:tc>
        <w:tc>
          <w:tcPr>
            <w:tcW w:w="3860" w:type="dxa"/>
            <w:gridSpan w:val="7"/>
            <w:noWrap w:val="0"/>
            <w:vAlign w:val="center"/>
          </w:tcPr>
          <w:p>
            <w:pPr>
              <w:pStyle w:val="657"/>
              <w:spacing w:line="260" w:lineRule="exact"/>
              <w:ind w:firstLine="0" w:firstLineChars="0"/>
              <w:jc w:val="center"/>
              <w:rPr>
                <w:rFonts w:cs="Times New Roman"/>
                <w:spacing w:val="-11"/>
                <w:sz w:val="18"/>
                <w:szCs w:val="18"/>
              </w:rPr>
            </w:pPr>
            <w:r>
              <w:rPr>
                <w:rFonts w:hint="eastAsia" w:cs="Times New Roman"/>
                <w:spacing w:val="-11"/>
                <w:sz w:val="18"/>
                <w:szCs w:val="18"/>
              </w:rPr>
              <w:t>基本</w:t>
            </w:r>
            <w:r>
              <w:rPr>
                <w:rFonts w:cs="Times New Roman"/>
                <w:spacing w:val="-11"/>
                <w:sz w:val="18"/>
                <w:szCs w:val="18"/>
              </w:rPr>
              <w:t>污染物（</w:t>
            </w:r>
            <w:r>
              <w:rPr>
                <w:rFonts w:hint="eastAsia" w:ascii="Times New Roman" w:hAnsi="Times New Roman" w:cs="Times New Roman"/>
                <w:spacing w:val="-11"/>
                <w:sz w:val="18"/>
                <w:szCs w:val="18"/>
                <w:lang w:val="en-US" w:eastAsia="zh-CN"/>
              </w:rPr>
              <w:t>SO</w:t>
            </w:r>
            <w:r>
              <w:rPr>
                <w:rFonts w:hint="eastAsia" w:ascii="Times New Roman" w:hAnsi="Times New Roman" w:cs="Times New Roman"/>
                <w:spacing w:val="-11"/>
                <w:sz w:val="18"/>
                <w:szCs w:val="18"/>
                <w:vertAlign w:val="subscript"/>
                <w:lang w:val="en-US" w:eastAsia="zh-CN"/>
              </w:rPr>
              <w:t>2</w:t>
            </w:r>
            <w:r>
              <w:rPr>
                <w:rFonts w:hint="eastAsia" w:cs="Times New Roman"/>
                <w:spacing w:val="-11"/>
                <w:sz w:val="18"/>
                <w:szCs w:val="18"/>
                <w:lang w:val="en-US" w:eastAsia="zh-CN"/>
              </w:rPr>
              <w:t>、</w:t>
            </w:r>
            <w:r>
              <w:rPr>
                <w:rFonts w:hint="eastAsia" w:ascii="Times New Roman" w:hAnsi="Times New Roman" w:cs="Times New Roman"/>
                <w:spacing w:val="-11"/>
                <w:sz w:val="18"/>
                <w:szCs w:val="18"/>
                <w:lang w:val="en-US" w:eastAsia="zh-CN"/>
              </w:rPr>
              <w:t>NOx</w:t>
            </w:r>
            <w:r>
              <w:rPr>
                <w:rFonts w:hint="eastAsia" w:cs="Times New Roman"/>
                <w:spacing w:val="-11"/>
                <w:sz w:val="18"/>
                <w:szCs w:val="18"/>
                <w:lang w:val="en-US" w:eastAsia="zh-CN"/>
              </w:rPr>
              <w:t>、</w:t>
            </w:r>
            <w:r>
              <w:rPr>
                <w:rFonts w:hint="eastAsia" w:ascii="Times New Roman" w:hAnsi="Times New Roman" w:cs="Times New Roman"/>
                <w:spacing w:val="-11"/>
                <w:sz w:val="18"/>
                <w:szCs w:val="18"/>
                <w:lang w:val="en-US" w:eastAsia="zh-CN"/>
              </w:rPr>
              <w:t>PM</w:t>
            </w:r>
            <w:r>
              <w:rPr>
                <w:rFonts w:hint="eastAsia" w:ascii="Times New Roman" w:hAnsi="Times New Roman" w:cs="Times New Roman"/>
                <w:spacing w:val="-11"/>
                <w:sz w:val="18"/>
                <w:szCs w:val="18"/>
                <w:vertAlign w:val="subscript"/>
                <w:lang w:val="en-US" w:eastAsia="zh-CN"/>
              </w:rPr>
              <w:t>10</w:t>
            </w:r>
            <w:r>
              <w:rPr>
                <w:rFonts w:hint="eastAsia" w:cs="Times New Roman"/>
                <w:spacing w:val="-11"/>
                <w:sz w:val="18"/>
                <w:szCs w:val="18"/>
                <w:lang w:val="en-US" w:eastAsia="zh-CN"/>
              </w:rPr>
              <w:t>、</w:t>
            </w:r>
            <w:r>
              <w:rPr>
                <w:rFonts w:hint="eastAsia" w:ascii="Times New Roman" w:hAnsi="Times New Roman" w:cs="Times New Roman"/>
                <w:spacing w:val="-11"/>
                <w:sz w:val="18"/>
                <w:szCs w:val="18"/>
                <w:lang w:val="en-US" w:eastAsia="zh-CN"/>
              </w:rPr>
              <w:t>PM</w:t>
            </w:r>
            <w:r>
              <w:rPr>
                <w:rFonts w:hint="eastAsia" w:ascii="Times New Roman" w:hAnsi="Times New Roman" w:cs="Times New Roman"/>
                <w:spacing w:val="-11"/>
                <w:sz w:val="18"/>
                <w:szCs w:val="18"/>
                <w:vertAlign w:val="subscript"/>
                <w:lang w:val="en-US" w:eastAsia="zh-CN"/>
              </w:rPr>
              <w:t>2</w:t>
            </w:r>
            <w:r>
              <w:rPr>
                <w:rFonts w:hint="eastAsia" w:cs="Times New Roman"/>
                <w:spacing w:val="-11"/>
                <w:sz w:val="18"/>
                <w:szCs w:val="18"/>
                <w:vertAlign w:val="subscript"/>
                <w:lang w:val="en-US" w:eastAsia="zh-CN"/>
              </w:rPr>
              <w:t>.</w:t>
            </w:r>
            <w:r>
              <w:rPr>
                <w:rFonts w:hint="eastAsia" w:ascii="Times New Roman" w:hAnsi="Times New Roman" w:cs="Times New Roman"/>
                <w:spacing w:val="-11"/>
                <w:sz w:val="18"/>
                <w:szCs w:val="18"/>
                <w:vertAlign w:val="subscript"/>
                <w:lang w:val="en-US" w:eastAsia="zh-CN"/>
              </w:rPr>
              <w:t>5</w:t>
            </w:r>
            <w:r>
              <w:rPr>
                <w:rFonts w:hint="eastAsia" w:cs="Times New Roman"/>
                <w:spacing w:val="-11"/>
                <w:sz w:val="18"/>
                <w:szCs w:val="18"/>
                <w:lang w:val="en-US" w:eastAsia="zh-CN"/>
              </w:rPr>
              <w:t>、</w:t>
            </w:r>
            <w:r>
              <w:rPr>
                <w:rFonts w:hint="eastAsia" w:ascii="Times New Roman" w:hAnsi="Times New Roman" w:cs="Times New Roman"/>
                <w:spacing w:val="-11"/>
                <w:sz w:val="18"/>
                <w:szCs w:val="18"/>
                <w:lang w:val="en-US" w:eastAsia="zh-CN"/>
              </w:rPr>
              <w:t>CO</w:t>
            </w:r>
            <w:r>
              <w:rPr>
                <w:rFonts w:hint="eastAsia" w:cs="Times New Roman"/>
                <w:spacing w:val="-11"/>
                <w:sz w:val="18"/>
                <w:szCs w:val="18"/>
                <w:lang w:val="en-US" w:eastAsia="zh-CN"/>
              </w:rPr>
              <w:t>、</w:t>
            </w:r>
            <w:r>
              <w:rPr>
                <w:rFonts w:hint="eastAsia" w:ascii="Times New Roman" w:hAnsi="Times New Roman" w:cs="Times New Roman"/>
                <w:spacing w:val="-11"/>
                <w:sz w:val="18"/>
                <w:szCs w:val="18"/>
                <w:lang w:val="en-US" w:eastAsia="zh-CN"/>
              </w:rPr>
              <w:t>O</w:t>
            </w:r>
            <w:r>
              <w:rPr>
                <w:rFonts w:hint="eastAsia" w:ascii="Times New Roman" w:hAnsi="Times New Roman" w:cs="Times New Roman"/>
                <w:spacing w:val="-11"/>
                <w:sz w:val="18"/>
                <w:szCs w:val="18"/>
                <w:vertAlign w:val="subscript"/>
                <w:lang w:val="en-US" w:eastAsia="zh-CN"/>
              </w:rPr>
              <w:t>3</w:t>
            </w:r>
            <w:r>
              <w:rPr>
                <w:rFonts w:cs="Times New Roman"/>
                <w:spacing w:val="-11"/>
                <w:sz w:val="18"/>
                <w:szCs w:val="18"/>
              </w:rPr>
              <w:t>）</w:t>
            </w:r>
          </w:p>
          <w:p>
            <w:pPr>
              <w:pStyle w:val="657"/>
              <w:spacing w:line="260" w:lineRule="exact"/>
              <w:ind w:firstLine="0" w:firstLineChars="0"/>
              <w:jc w:val="center"/>
              <w:rPr>
                <w:rFonts w:cs="Times New Roman"/>
                <w:sz w:val="18"/>
                <w:szCs w:val="18"/>
              </w:rPr>
            </w:pPr>
            <w:r>
              <w:rPr>
                <w:rFonts w:hint="eastAsia" w:cs="Times New Roman"/>
                <w:sz w:val="18"/>
                <w:szCs w:val="18"/>
              </w:rPr>
              <w:t>其他</w:t>
            </w:r>
            <w:r>
              <w:rPr>
                <w:rFonts w:cs="Times New Roman"/>
                <w:sz w:val="18"/>
                <w:szCs w:val="18"/>
              </w:rPr>
              <w:t>污染物</w:t>
            </w:r>
            <w:r>
              <w:rPr>
                <w:rFonts w:hint="eastAsia" w:cs="Times New Roman"/>
                <w:sz w:val="18"/>
                <w:szCs w:val="18"/>
              </w:rPr>
              <w:t xml:space="preserve">（ </w:t>
            </w:r>
            <w:r>
              <w:rPr>
                <w:rFonts w:hint="eastAsia" w:ascii="Times New Roman" w:hAnsi="Times New Roman" w:cs="Times New Roman"/>
                <w:sz w:val="18"/>
                <w:szCs w:val="18"/>
                <w:lang w:val="en-US" w:eastAsia="zh-CN"/>
              </w:rPr>
              <w:t>NMHC</w:t>
            </w:r>
            <w:r>
              <w:rPr>
                <w:rFonts w:hint="eastAsia" w:cs="Times New Roman"/>
                <w:sz w:val="18"/>
                <w:szCs w:val="18"/>
                <w:lang w:val="en-US" w:eastAsia="zh-CN"/>
              </w:rPr>
              <w:t>、</w:t>
            </w:r>
            <w:r>
              <w:rPr>
                <w:rFonts w:hint="eastAsia" w:ascii="Times New Roman" w:hAnsi="Times New Roman" w:cs="Times New Roman"/>
                <w:sz w:val="18"/>
                <w:szCs w:val="18"/>
                <w:lang w:val="en-US" w:eastAsia="zh-CN"/>
              </w:rPr>
              <w:t>NH</w:t>
            </w:r>
            <w:r>
              <w:rPr>
                <w:rFonts w:hint="eastAsia" w:ascii="Times New Roman" w:hAnsi="Times New Roman" w:cs="Times New Roman"/>
                <w:sz w:val="18"/>
                <w:szCs w:val="18"/>
                <w:vertAlign w:val="subscript"/>
                <w:lang w:val="en-US" w:eastAsia="zh-CN"/>
              </w:rPr>
              <w:t>3</w:t>
            </w:r>
            <w:r>
              <w:rPr>
                <w:rFonts w:hint="eastAsia" w:cs="Times New Roman"/>
                <w:sz w:val="18"/>
                <w:szCs w:val="18"/>
              </w:rPr>
              <w:t>）</w:t>
            </w:r>
          </w:p>
        </w:tc>
        <w:tc>
          <w:tcPr>
            <w:tcW w:w="2929" w:type="dxa"/>
            <w:gridSpan w:val="6"/>
            <w:noWrap w:val="0"/>
            <w:vAlign w:val="center"/>
          </w:tcPr>
          <w:p>
            <w:pPr>
              <w:pStyle w:val="657"/>
              <w:spacing w:line="260" w:lineRule="exact"/>
              <w:ind w:firstLine="0" w:firstLineChars="0"/>
              <w:jc w:val="center"/>
              <w:rPr>
                <w:rFonts w:ascii="宋体" w:hAnsi="宋体" w:cs="Times New Roman"/>
                <w:sz w:val="18"/>
                <w:szCs w:val="18"/>
              </w:rPr>
            </w:pPr>
            <w:r>
              <w:rPr>
                <w:rFonts w:hint="eastAsia" w:cs="Times New Roman"/>
                <w:sz w:val="18"/>
                <w:szCs w:val="18"/>
              </w:rPr>
              <w:t>包括</w:t>
            </w:r>
            <w:r>
              <w:rPr>
                <w:rFonts w:cs="Times New Roman"/>
                <w:sz w:val="18"/>
                <w:szCs w:val="18"/>
              </w:rPr>
              <w:t>二次</w:t>
            </w:r>
            <w:r>
              <w:rPr>
                <w:rFonts w:hint="eastAsia" w:ascii="Times New Roman" w:hAnsi="Times New Roman" w:cs="Times New Roman"/>
                <w:sz w:val="18"/>
                <w:szCs w:val="18"/>
              </w:rPr>
              <w:t>PM</w:t>
            </w:r>
            <w:r>
              <w:rPr>
                <w:rFonts w:hint="eastAsia" w:ascii="Times New Roman" w:hAnsi="Times New Roman" w:cs="Times New Roman"/>
                <w:sz w:val="18"/>
                <w:szCs w:val="18"/>
                <w:vertAlign w:val="subscript"/>
              </w:rPr>
              <w:t>2</w:t>
            </w:r>
            <w:r>
              <w:rPr>
                <w:rFonts w:hint="eastAsia" w:cs="Times New Roman"/>
                <w:sz w:val="18"/>
                <w:szCs w:val="18"/>
                <w:vertAlign w:val="subscript"/>
              </w:rPr>
              <w:t>.</w:t>
            </w:r>
            <w:r>
              <w:rPr>
                <w:rFonts w:hint="eastAsia" w:ascii="Times New Roman" w:hAnsi="Times New Roman" w:cs="Times New Roman"/>
                <w:sz w:val="18"/>
                <w:szCs w:val="18"/>
                <w:vertAlign w:val="subscript"/>
              </w:rPr>
              <w:t>5</w:t>
            </w:r>
            <w:r>
              <w:rPr>
                <w:rFonts w:hint="eastAsia" w:ascii="宋体" w:hAnsi="宋体" w:cs="Times New Roman"/>
                <w:sz w:val="18"/>
                <w:szCs w:val="18"/>
              </w:rPr>
              <w:sym w:font="Wingdings 2" w:char="00A3"/>
            </w:r>
          </w:p>
          <w:p>
            <w:pPr>
              <w:pStyle w:val="657"/>
              <w:spacing w:line="260" w:lineRule="exact"/>
              <w:ind w:firstLine="0" w:firstLineChars="0"/>
              <w:jc w:val="center"/>
              <w:rPr>
                <w:rFonts w:cs="Times New Roman"/>
                <w:sz w:val="18"/>
                <w:szCs w:val="18"/>
              </w:rPr>
            </w:pPr>
            <w:r>
              <w:rPr>
                <w:rFonts w:hint="eastAsia" w:cs="Times New Roman"/>
                <w:sz w:val="18"/>
                <w:szCs w:val="18"/>
              </w:rPr>
              <w:t>不包括</w:t>
            </w:r>
            <w:r>
              <w:rPr>
                <w:rFonts w:cs="Times New Roman"/>
                <w:sz w:val="18"/>
                <w:szCs w:val="18"/>
              </w:rPr>
              <w:t>二次</w:t>
            </w:r>
            <w:r>
              <w:rPr>
                <w:rFonts w:hint="eastAsia" w:ascii="Times New Roman" w:hAnsi="Times New Roman" w:cs="Times New Roman"/>
                <w:sz w:val="18"/>
                <w:szCs w:val="18"/>
              </w:rPr>
              <w:t>PM</w:t>
            </w:r>
            <w:r>
              <w:rPr>
                <w:rFonts w:hint="eastAsia" w:ascii="Times New Roman" w:hAnsi="Times New Roman" w:cs="Times New Roman"/>
                <w:sz w:val="18"/>
                <w:szCs w:val="18"/>
                <w:vertAlign w:val="subscript"/>
              </w:rPr>
              <w:t>2</w:t>
            </w:r>
            <w:r>
              <w:rPr>
                <w:rFonts w:hint="eastAsia" w:cs="Times New Roman"/>
                <w:sz w:val="18"/>
                <w:szCs w:val="18"/>
                <w:vertAlign w:val="subscript"/>
              </w:rPr>
              <w:t>.</w:t>
            </w:r>
            <w:r>
              <w:rPr>
                <w:rFonts w:hint="eastAsia" w:ascii="Times New Roman" w:hAnsi="Times New Roman" w:cs="Times New Roman"/>
                <w:sz w:val="18"/>
                <w:szCs w:val="18"/>
                <w:vertAlign w:val="subscript"/>
              </w:rPr>
              <w:t>5</w:t>
            </w:r>
            <w:r>
              <w:rPr>
                <w:rFonts w:hint="eastAsia" w:ascii="宋体" w:hAnsi="宋体" w:cs="Times New Roman"/>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06" w:type="dxa"/>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评价</w:t>
            </w:r>
            <w:r>
              <w:rPr>
                <w:rFonts w:cs="Times New Roman"/>
                <w:sz w:val="18"/>
                <w:szCs w:val="18"/>
              </w:rPr>
              <w:t>标准</w:t>
            </w: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评价</w:t>
            </w:r>
            <w:r>
              <w:rPr>
                <w:rFonts w:ascii="Times New Roman"/>
                <w:color w:val="000000"/>
                <w:sz w:val="18"/>
                <w:szCs w:val="18"/>
              </w:rPr>
              <w:t>标准</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国家</w:t>
            </w:r>
            <w:r>
              <w:rPr>
                <w:rFonts w:cs="Times New Roman"/>
                <w:sz w:val="18"/>
                <w:szCs w:val="18"/>
              </w:rPr>
              <w:t>标准</w:t>
            </w:r>
            <w:r>
              <w:rPr>
                <w:rFonts w:hint="eastAsia" w:ascii="宋体" w:hAnsi="宋体" w:cs="Times New Roman"/>
                <w:sz w:val="18"/>
                <w:szCs w:val="18"/>
              </w:rPr>
              <w:sym w:font="Wingdings 2" w:char="00A3"/>
            </w:r>
          </w:p>
        </w:tc>
        <w:tc>
          <w:tcPr>
            <w:tcW w:w="2004" w:type="dxa"/>
            <w:gridSpan w:val="5"/>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地方</w:t>
            </w:r>
            <w:r>
              <w:rPr>
                <w:rFonts w:cs="Times New Roman"/>
                <w:sz w:val="18"/>
                <w:szCs w:val="18"/>
              </w:rPr>
              <w:t>标准</w:t>
            </w:r>
            <w:r>
              <w:rPr>
                <w:rFonts w:hint="eastAsia" w:ascii="宋体" w:hAnsi="宋体" w:cs="Times New Roman"/>
                <w:sz w:val="18"/>
                <w:szCs w:val="18"/>
              </w:rPr>
              <w:t>□</w:t>
            </w:r>
          </w:p>
        </w:tc>
        <w:tc>
          <w:tcPr>
            <w:tcW w:w="1756" w:type="dxa"/>
            <w:gridSpan w:val="4"/>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附录</w:t>
            </w:r>
            <w:r>
              <w:rPr>
                <w:rFonts w:hint="eastAsia" w:ascii="Times New Roman" w:hAnsi="Times New Roman" w:cs="Times New Roman"/>
                <w:sz w:val="18"/>
                <w:szCs w:val="18"/>
              </w:rPr>
              <w:t>D</w:t>
            </w:r>
            <w:r>
              <w:rPr>
                <w:rFonts w:hint="eastAsia" w:ascii="宋体" w:hAnsi="宋体" w:cs="Times New Roman"/>
                <w:sz w:val="18"/>
                <w:szCs w:val="18"/>
              </w:rPr>
              <w:sym w:font="Wingdings 2" w:char="0052"/>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其他</w:t>
            </w:r>
            <w:r>
              <w:rPr>
                <w:rFonts w:cs="Times New Roman"/>
                <w:sz w:val="18"/>
                <w:szCs w:val="18"/>
              </w:rPr>
              <w:t>标准</w:t>
            </w:r>
            <w:r>
              <w:rPr>
                <w:rFonts w:hint="eastAsia" w:ascii="宋体" w:hAnsi="宋体" w:cs="Times New Roman"/>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restart"/>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现状</w:t>
            </w:r>
            <w:r>
              <w:rPr>
                <w:rFonts w:cs="Times New Roman"/>
                <w:sz w:val="18"/>
                <w:szCs w:val="18"/>
              </w:rPr>
              <w:t>评价</w:t>
            </w: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环境</w:t>
            </w:r>
            <w:r>
              <w:rPr>
                <w:rFonts w:ascii="Times New Roman"/>
                <w:color w:val="000000"/>
                <w:sz w:val="18"/>
                <w:szCs w:val="18"/>
              </w:rPr>
              <w:t>功能区</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一类区</w:t>
            </w:r>
            <w:r>
              <w:rPr>
                <w:rFonts w:hint="eastAsia" w:ascii="宋体" w:hAnsi="宋体" w:cs="Times New Roman"/>
                <w:sz w:val="18"/>
                <w:szCs w:val="18"/>
              </w:rPr>
              <w:t>□</w:t>
            </w:r>
          </w:p>
        </w:tc>
        <w:tc>
          <w:tcPr>
            <w:tcW w:w="3760" w:type="dxa"/>
            <w:gridSpan w:val="9"/>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二类区</w:t>
            </w:r>
            <w:r>
              <w:rPr>
                <w:rFonts w:hint="eastAsia" w:ascii="宋体" w:hAnsi="宋体" w:cs="Times New Roman"/>
                <w:sz w:val="18"/>
                <w:szCs w:val="18"/>
              </w:rPr>
              <w:sym w:font="Wingdings 2" w:char="0052"/>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一类</w:t>
            </w:r>
            <w:r>
              <w:rPr>
                <w:rFonts w:cs="Times New Roman"/>
                <w:sz w:val="18"/>
                <w:szCs w:val="18"/>
              </w:rPr>
              <w:t>区和二类区</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评价</w:t>
            </w:r>
            <w:r>
              <w:rPr>
                <w:rFonts w:ascii="Times New Roman"/>
                <w:color w:val="000000"/>
                <w:sz w:val="18"/>
                <w:szCs w:val="18"/>
              </w:rPr>
              <w:t>基准年</w:t>
            </w:r>
          </w:p>
        </w:tc>
        <w:tc>
          <w:tcPr>
            <w:tcW w:w="6789" w:type="dxa"/>
            <w:gridSpan w:val="13"/>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w:t>
            </w:r>
            <w:r>
              <w:rPr>
                <w:rFonts w:hint="eastAsia" w:ascii="Times New Roman" w:hAnsi="Times New Roman" w:cs="Times New Roman"/>
                <w:sz w:val="18"/>
                <w:szCs w:val="18"/>
              </w:rPr>
              <w:t>20</w:t>
            </w:r>
            <w:r>
              <w:rPr>
                <w:rFonts w:hint="eastAsia" w:ascii="Times New Roman" w:hAnsi="Times New Roman" w:cs="Times New Roman"/>
                <w:sz w:val="18"/>
                <w:szCs w:val="18"/>
                <w:lang w:val="en-US" w:eastAsia="zh-CN"/>
              </w:rPr>
              <w:t>21</w:t>
            </w:r>
            <w:r>
              <w:rPr>
                <w:rFonts w:hint="eastAsia" w:cs="Times New Roman"/>
                <w:sz w:val="18"/>
                <w:szCs w:val="18"/>
              </w:rPr>
              <w:t>）年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环境</w:t>
            </w:r>
            <w:r>
              <w:rPr>
                <w:rFonts w:ascii="Times New Roman"/>
                <w:color w:val="000000"/>
                <w:sz w:val="18"/>
                <w:szCs w:val="18"/>
              </w:rPr>
              <w:t>空气质量现状调查数据来源</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长期</w:t>
            </w:r>
            <w:r>
              <w:rPr>
                <w:rFonts w:cs="Times New Roman"/>
                <w:sz w:val="18"/>
                <w:szCs w:val="18"/>
              </w:rPr>
              <w:t>例行监测数据</w:t>
            </w:r>
            <w:r>
              <w:rPr>
                <w:rFonts w:hint="eastAsia" w:ascii="宋体" w:hAnsi="宋体" w:cs="Times New Roman"/>
                <w:sz w:val="18"/>
                <w:szCs w:val="18"/>
              </w:rPr>
              <w:t>□</w:t>
            </w:r>
          </w:p>
        </w:tc>
        <w:tc>
          <w:tcPr>
            <w:tcW w:w="3760" w:type="dxa"/>
            <w:gridSpan w:val="9"/>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主管</w:t>
            </w:r>
            <w:r>
              <w:rPr>
                <w:rFonts w:cs="Times New Roman"/>
                <w:sz w:val="18"/>
                <w:szCs w:val="18"/>
              </w:rPr>
              <w:t>部门发布的数据</w:t>
            </w:r>
            <w:r>
              <w:rPr>
                <w:rFonts w:hint="eastAsia" w:ascii="宋体" w:hAnsi="宋体" w:cs="Times New Roman"/>
                <w:sz w:val="18"/>
                <w:szCs w:val="18"/>
              </w:rPr>
              <w:sym w:font="Wingdings 2" w:char="00A3"/>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现状补充</w:t>
            </w:r>
            <w:r>
              <w:rPr>
                <w:rFonts w:cs="Times New Roman"/>
                <w:sz w:val="18"/>
                <w:szCs w:val="18"/>
              </w:rPr>
              <w:t>监测</w:t>
            </w:r>
            <w:r>
              <w:rPr>
                <w:rFonts w:hint="eastAsia" w:ascii="宋体" w:hAnsi="宋体" w:cs="Times New Roman"/>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现状</w:t>
            </w:r>
            <w:r>
              <w:rPr>
                <w:rFonts w:ascii="Times New Roman"/>
                <w:color w:val="000000"/>
                <w:sz w:val="18"/>
                <w:szCs w:val="18"/>
              </w:rPr>
              <w:t>评价</w:t>
            </w:r>
          </w:p>
        </w:tc>
        <w:tc>
          <w:tcPr>
            <w:tcW w:w="4077" w:type="dxa"/>
            <w:gridSpan w:val="8"/>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达标区</w:t>
            </w:r>
            <w:r>
              <w:rPr>
                <w:rFonts w:hint="eastAsia" w:ascii="宋体" w:hAnsi="宋体" w:cs="Times New Roman"/>
                <w:sz w:val="18"/>
                <w:szCs w:val="18"/>
              </w:rPr>
              <w:sym w:font="Wingdings 2" w:char="0052"/>
            </w:r>
          </w:p>
        </w:tc>
        <w:tc>
          <w:tcPr>
            <w:tcW w:w="2712" w:type="dxa"/>
            <w:gridSpan w:val="5"/>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不达标区</w:t>
            </w:r>
            <w:r>
              <w:rPr>
                <w:rFonts w:hint="eastAsia" w:ascii="宋体" w:hAnsi="宋体" w:cs="Times New Roman"/>
                <w:sz w:val="18"/>
                <w:szCs w:val="18"/>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污染源</w:t>
            </w:r>
          </w:p>
          <w:p>
            <w:pPr>
              <w:pStyle w:val="657"/>
              <w:spacing w:line="260" w:lineRule="exact"/>
              <w:ind w:firstLine="0" w:firstLineChars="0"/>
              <w:jc w:val="center"/>
              <w:rPr>
                <w:rFonts w:cs="Times New Roman"/>
                <w:sz w:val="18"/>
                <w:szCs w:val="18"/>
              </w:rPr>
            </w:pPr>
            <w:r>
              <w:rPr>
                <w:rFonts w:cs="Times New Roman"/>
                <w:sz w:val="18"/>
                <w:szCs w:val="18"/>
              </w:rPr>
              <w:t>调查</w:t>
            </w: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调查</w:t>
            </w:r>
            <w:r>
              <w:rPr>
                <w:rFonts w:ascii="Times New Roman"/>
                <w:color w:val="000000"/>
                <w:sz w:val="18"/>
                <w:szCs w:val="18"/>
              </w:rPr>
              <w:t>内容</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本项目</w:t>
            </w:r>
            <w:r>
              <w:rPr>
                <w:rFonts w:cs="Times New Roman"/>
                <w:sz w:val="18"/>
                <w:szCs w:val="18"/>
              </w:rPr>
              <w:t>正常排放源</w:t>
            </w:r>
            <w:r>
              <w:rPr>
                <w:rFonts w:hint="eastAsia" w:ascii="宋体" w:hAnsi="宋体" w:cs="Times New Roman"/>
                <w:sz w:val="18"/>
                <w:szCs w:val="18"/>
              </w:rPr>
              <w:sym w:font="Wingdings 2" w:char="0052"/>
            </w:r>
          </w:p>
          <w:p>
            <w:pPr>
              <w:pStyle w:val="657"/>
              <w:spacing w:line="260" w:lineRule="exact"/>
              <w:ind w:firstLine="0" w:firstLineChars="0"/>
              <w:jc w:val="center"/>
              <w:rPr>
                <w:rFonts w:ascii="宋体" w:hAnsi="宋体" w:cs="Times New Roman"/>
                <w:sz w:val="18"/>
                <w:szCs w:val="18"/>
              </w:rPr>
            </w:pPr>
            <w:r>
              <w:rPr>
                <w:rFonts w:hint="eastAsia" w:cs="Times New Roman"/>
                <w:sz w:val="18"/>
                <w:szCs w:val="18"/>
              </w:rPr>
              <w:t>本项目非</w:t>
            </w:r>
            <w:r>
              <w:rPr>
                <w:rFonts w:cs="Times New Roman"/>
                <w:sz w:val="18"/>
                <w:szCs w:val="18"/>
              </w:rPr>
              <w:t>正常排放源</w:t>
            </w:r>
            <w:r>
              <w:rPr>
                <w:rFonts w:hint="eastAsia" w:ascii="宋体" w:hAnsi="宋体" w:cs="Times New Roman"/>
                <w:sz w:val="18"/>
                <w:szCs w:val="18"/>
              </w:rPr>
              <w:sym w:font="Wingdings 2" w:char="0052"/>
            </w:r>
          </w:p>
          <w:p>
            <w:pPr>
              <w:pStyle w:val="657"/>
              <w:spacing w:line="260" w:lineRule="exact"/>
              <w:ind w:firstLine="0" w:firstLineChars="0"/>
              <w:jc w:val="center"/>
              <w:rPr>
                <w:rFonts w:cs="Times New Roman"/>
                <w:sz w:val="18"/>
                <w:szCs w:val="18"/>
              </w:rPr>
            </w:pPr>
            <w:r>
              <w:rPr>
                <w:rFonts w:hint="eastAsia" w:ascii="宋体" w:hAnsi="宋体" w:cs="Times New Roman"/>
                <w:sz w:val="18"/>
                <w:szCs w:val="18"/>
              </w:rPr>
              <w:t>现有</w:t>
            </w:r>
            <w:r>
              <w:rPr>
                <w:rFonts w:ascii="宋体" w:hAnsi="宋体" w:cs="Times New Roman"/>
                <w:sz w:val="18"/>
                <w:szCs w:val="18"/>
              </w:rPr>
              <w:t>污染源</w:t>
            </w:r>
            <w:r>
              <w:rPr>
                <w:rFonts w:hint="eastAsia" w:ascii="宋体" w:hAnsi="宋体" w:cs="Times New Roman"/>
                <w:sz w:val="18"/>
                <w:szCs w:val="18"/>
              </w:rPr>
              <w:t>□</w:t>
            </w:r>
          </w:p>
        </w:tc>
        <w:tc>
          <w:tcPr>
            <w:tcW w:w="2221" w:type="dxa"/>
            <w:gridSpan w:val="6"/>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拟替代</w:t>
            </w:r>
            <w:r>
              <w:rPr>
                <w:rFonts w:cs="Times New Roman"/>
                <w:sz w:val="18"/>
                <w:szCs w:val="18"/>
              </w:rPr>
              <w:t>的污染源</w:t>
            </w:r>
            <w:r>
              <w:rPr>
                <w:rFonts w:hint="eastAsia" w:ascii="宋体" w:hAnsi="宋体" w:cs="Times New Roman"/>
                <w:sz w:val="18"/>
                <w:szCs w:val="18"/>
              </w:rPr>
              <w:sym w:font="Wingdings 2" w:char="0052"/>
            </w:r>
          </w:p>
        </w:tc>
        <w:tc>
          <w:tcPr>
            <w:tcW w:w="1539" w:type="dxa"/>
            <w:gridSpan w:val="3"/>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其他在建</w:t>
            </w:r>
            <w:r>
              <w:rPr>
                <w:rFonts w:cs="Times New Roman"/>
                <w:sz w:val="18"/>
                <w:szCs w:val="18"/>
              </w:rPr>
              <w:t>、拟建项目污染源</w:t>
            </w:r>
            <w:r>
              <w:rPr>
                <w:rFonts w:hint="eastAsia" w:ascii="宋体" w:hAnsi="宋体" w:cs="Times New Roman"/>
                <w:sz w:val="18"/>
                <w:szCs w:val="18"/>
              </w:rPr>
              <w:sym w:font="Wingdings 2" w:char="00A3"/>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区域</w:t>
            </w:r>
            <w:r>
              <w:rPr>
                <w:rFonts w:cs="Times New Roman"/>
                <w:sz w:val="18"/>
                <w:szCs w:val="18"/>
              </w:rPr>
              <w:t>污染源</w:t>
            </w:r>
            <w:r>
              <w:rPr>
                <w:rFonts w:hint="eastAsia" w:ascii="宋体" w:hAnsi="宋体" w:cs="Times New Roman"/>
                <w:sz w:val="18"/>
                <w:szCs w:val="18"/>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restart"/>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大气</w:t>
            </w:r>
            <w:r>
              <w:rPr>
                <w:rFonts w:cs="Times New Roman"/>
                <w:sz w:val="18"/>
                <w:szCs w:val="18"/>
              </w:rPr>
              <w:t>环境影响预测与评价</w:t>
            </w: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预测</w:t>
            </w:r>
            <w:r>
              <w:rPr>
                <w:rFonts w:ascii="Times New Roman"/>
                <w:color w:val="000000"/>
                <w:sz w:val="18"/>
                <w:szCs w:val="18"/>
              </w:rPr>
              <w:t>模型</w:t>
            </w:r>
          </w:p>
        </w:tc>
        <w:tc>
          <w:tcPr>
            <w:tcW w:w="1253" w:type="dxa"/>
            <w:noWrap w:val="0"/>
            <w:vAlign w:val="center"/>
          </w:tcPr>
          <w:p>
            <w:pPr>
              <w:pStyle w:val="657"/>
              <w:spacing w:line="260" w:lineRule="exact"/>
              <w:ind w:left="-120" w:leftChars="-50" w:right="-120" w:rightChars="-50" w:firstLine="0" w:firstLineChars="0"/>
              <w:jc w:val="center"/>
              <w:rPr>
                <w:rFonts w:cs="Times New Roman"/>
                <w:sz w:val="18"/>
                <w:szCs w:val="18"/>
              </w:rPr>
            </w:pPr>
            <w:r>
              <w:rPr>
                <w:rFonts w:hint="eastAsia" w:ascii="Times New Roman" w:hAnsi="Times New Roman" w:cs="Times New Roman"/>
                <w:sz w:val="18"/>
                <w:szCs w:val="18"/>
              </w:rPr>
              <w:t>AERMOD</w:t>
            </w:r>
            <w:r>
              <w:rPr>
                <w:rFonts w:hint="eastAsia" w:ascii="宋体" w:hAnsi="宋体" w:cs="Times New Roman"/>
                <w:sz w:val="18"/>
                <w:szCs w:val="18"/>
              </w:rPr>
              <w:sym w:font="Wingdings 2" w:char="0052"/>
            </w:r>
          </w:p>
        </w:tc>
        <w:tc>
          <w:tcPr>
            <w:tcW w:w="603" w:type="dxa"/>
            <w:noWrap w:val="0"/>
            <w:vAlign w:val="center"/>
          </w:tcPr>
          <w:p>
            <w:pPr>
              <w:pStyle w:val="657"/>
              <w:spacing w:line="260" w:lineRule="exact"/>
              <w:ind w:left="-120" w:leftChars="-50" w:right="-120" w:rightChars="-50" w:firstLine="0" w:firstLineChars="0"/>
              <w:jc w:val="center"/>
              <w:rPr>
                <w:rFonts w:cs="Times New Roman"/>
                <w:sz w:val="18"/>
                <w:szCs w:val="18"/>
              </w:rPr>
            </w:pPr>
            <w:r>
              <w:rPr>
                <w:rFonts w:hint="eastAsia" w:ascii="Times New Roman" w:hAnsi="Times New Roman" w:cs="Times New Roman"/>
                <w:sz w:val="18"/>
                <w:szCs w:val="18"/>
              </w:rPr>
              <w:t>ADMS</w:t>
            </w:r>
            <w:r>
              <w:rPr>
                <w:rFonts w:hint="eastAsia" w:ascii="宋体" w:hAnsi="宋体" w:cs="Times New Roman"/>
                <w:sz w:val="18"/>
                <w:szCs w:val="18"/>
              </w:rPr>
              <w:t>□</w:t>
            </w:r>
          </w:p>
        </w:tc>
        <w:tc>
          <w:tcPr>
            <w:tcW w:w="1352" w:type="dxa"/>
            <w:gridSpan w:val="3"/>
            <w:noWrap w:val="0"/>
            <w:vAlign w:val="center"/>
          </w:tcPr>
          <w:p>
            <w:pPr>
              <w:pStyle w:val="657"/>
              <w:spacing w:line="260" w:lineRule="exact"/>
              <w:ind w:left="-120" w:leftChars="-50" w:right="-120" w:rightChars="-50" w:firstLine="0" w:firstLineChars="0"/>
              <w:jc w:val="center"/>
              <w:rPr>
                <w:rFonts w:cs="Times New Roman"/>
                <w:sz w:val="18"/>
                <w:szCs w:val="18"/>
              </w:rPr>
            </w:pPr>
            <w:r>
              <w:rPr>
                <w:rFonts w:hint="eastAsia" w:ascii="Times New Roman" w:hAnsi="Times New Roman" w:cs="Times New Roman"/>
                <w:sz w:val="18"/>
                <w:szCs w:val="18"/>
              </w:rPr>
              <w:t>AUST</w:t>
            </w:r>
            <w:r>
              <w:rPr>
                <w:rFonts w:ascii="Times New Roman" w:hAnsi="Times New Roman" w:cs="Times New Roman"/>
                <w:sz w:val="18"/>
                <w:szCs w:val="18"/>
              </w:rPr>
              <w:t>AL2000</w:t>
            </w:r>
            <w:r>
              <w:rPr>
                <w:rFonts w:hint="eastAsia" w:ascii="宋体" w:hAnsi="宋体" w:cs="Times New Roman"/>
                <w:sz w:val="18"/>
                <w:szCs w:val="18"/>
              </w:rPr>
              <w:t>□</w:t>
            </w:r>
          </w:p>
        </w:tc>
        <w:tc>
          <w:tcPr>
            <w:tcW w:w="1236" w:type="dxa"/>
            <w:gridSpan w:val="4"/>
            <w:noWrap w:val="0"/>
            <w:vAlign w:val="center"/>
          </w:tcPr>
          <w:p>
            <w:pPr>
              <w:pStyle w:val="657"/>
              <w:spacing w:line="260" w:lineRule="exact"/>
              <w:ind w:left="-120" w:leftChars="-50" w:right="-120" w:rightChars="-50" w:firstLine="0" w:firstLineChars="0"/>
              <w:jc w:val="center"/>
              <w:rPr>
                <w:rFonts w:cs="Times New Roman"/>
                <w:sz w:val="18"/>
                <w:szCs w:val="18"/>
              </w:rPr>
            </w:pPr>
            <w:r>
              <w:rPr>
                <w:rFonts w:hint="eastAsia" w:ascii="Times New Roman" w:hAnsi="Times New Roman" w:cs="Times New Roman"/>
                <w:sz w:val="18"/>
                <w:szCs w:val="18"/>
              </w:rPr>
              <w:t>EDMS</w:t>
            </w:r>
            <w:r>
              <w:rPr>
                <w:rFonts w:hint="eastAsia" w:cs="Times New Roman"/>
                <w:sz w:val="18"/>
                <w:szCs w:val="18"/>
              </w:rPr>
              <w:t>/</w:t>
            </w:r>
            <w:r>
              <w:rPr>
                <w:rFonts w:ascii="Times New Roman" w:hAnsi="Times New Roman" w:cs="Times New Roman"/>
                <w:sz w:val="18"/>
                <w:szCs w:val="18"/>
              </w:rPr>
              <w:t>AEDT</w:t>
            </w:r>
            <w:r>
              <w:rPr>
                <w:rFonts w:hint="eastAsia" w:ascii="宋体" w:hAnsi="宋体" w:cs="Times New Roman"/>
                <w:sz w:val="18"/>
                <w:szCs w:val="18"/>
              </w:rPr>
              <w:t>□</w:t>
            </w:r>
          </w:p>
        </w:tc>
        <w:tc>
          <w:tcPr>
            <w:tcW w:w="1172" w:type="dxa"/>
            <w:gridSpan w:val="2"/>
            <w:noWrap w:val="0"/>
            <w:vAlign w:val="center"/>
          </w:tcPr>
          <w:p>
            <w:pPr>
              <w:pStyle w:val="657"/>
              <w:spacing w:line="260" w:lineRule="exact"/>
              <w:ind w:left="-120" w:leftChars="-50" w:right="-120" w:rightChars="-50" w:firstLine="0" w:firstLineChars="0"/>
              <w:jc w:val="center"/>
              <w:rPr>
                <w:rFonts w:cs="Times New Roman"/>
                <w:sz w:val="18"/>
                <w:szCs w:val="18"/>
              </w:rPr>
            </w:pPr>
            <w:r>
              <w:rPr>
                <w:rFonts w:hint="eastAsia" w:ascii="Times New Roman" w:hAnsi="Times New Roman" w:cs="Times New Roman"/>
                <w:sz w:val="18"/>
                <w:szCs w:val="18"/>
              </w:rPr>
              <w:t>CALPUFF</w:t>
            </w:r>
            <w:r>
              <w:rPr>
                <w:rFonts w:hint="eastAsia" w:ascii="宋体" w:hAnsi="宋体" w:cs="Times New Roman"/>
                <w:sz w:val="18"/>
                <w:szCs w:val="18"/>
              </w:rPr>
              <w:t>□</w:t>
            </w:r>
          </w:p>
        </w:tc>
        <w:tc>
          <w:tcPr>
            <w:tcW w:w="794" w:type="dxa"/>
            <w:noWrap w:val="0"/>
            <w:vAlign w:val="center"/>
          </w:tcPr>
          <w:p>
            <w:pPr>
              <w:pStyle w:val="657"/>
              <w:spacing w:line="260" w:lineRule="exact"/>
              <w:ind w:left="-120" w:leftChars="-50" w:right="-120" w:rightChars="-50" w:firstLine="0" w:firstLineChars="0"/>
              <w:jc w:val="center"/>
              <w:rPr>
                <w:rFonts w:cs="Times New Roman"/>
                <w:sz w:val="18"/>
                <w:szCs w:val="18"/>
              </w:rPr>
            </w:pPr>
            <w:r>
              <w:rPr>
                <w:rFonts w:hint="eastAsia" w:cs="Times New Roman"/>
                <w:sz w:val="18"/>
                <w:szCs w:val="18"/>
              </w:rPr>
              <w:t>网格</w:t>
            </w:r>
            <w:r>
              <w:rPr>
                <w:rFonts w:cs="Times New Roman"/>
                <w:sz w:val="18"/>
                <w:szCs w:val="18"/>
              </w:rPr>
              <w:t>模型</w:t>
            </w:r>
            <w:r>
              <w:rPr>
                <w:rFonts w:hint="eastAsia" w:ascii="宋体" w:hAnsi="宋体" w:cs="Times New Roman"/>
                <w:sz w:val="18"/>
                <w:szCs w:val="18"/>
              </w:rPr>
              <w:t>□</w:t>
            </w:r>
          </w:p>
        </w:tc>
        <w:tc>
          <w:tcPr>
            <w:tcW w:w="379" w:type="dxa"/>
            <w:noWrap w:val="0"/>
            <w:vAlign w:val="center"/>
          </w:tcPr>
          <w:p>
            <w:pPr>
              <w:pStyle w:val="657"/>
              <w:spacing w:line="260" w:lineRule="exact"/>
              <w:ind w:left="-120" w:leftChars="-50" w:right="-120" w:rightChars="-50" w:firstLine="0" w:firstLineChars="0"/>
              <w:jc w:val="center"/>
              <w:rPr>
                <w:rFonts w:cs="Times New Roman"/>
                <w:sz w:val="18"/>
                <w:szCs w:val="18"/>
              </w:rPr>
            </w:pPr>
            <w:r>
              <w:rPr>
                <w:rFonts w:hint="eastAsia" w:cs="Times New Roman"/>
                <w:sz w:val="18"/>
                <w:szCs w:val="18"/>
              </w:rPr>
              <w:t>其他</w:t>
            </w:r>
            <w:r>
              <w:rPr>
                <w:rFonts w:hint="eastAsia" w:ascii="宋体" w:hAnsi="宋体" w:cs="Times New Roman"/>
                <w:sz w:val="18"/>
                <w:szCs w:val="18"/>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预测</w:t>
            </w:r>
            <w:r>
              <w:rPr>
                <w:rFonts w:ascii="Times New Roman"/>
                <w:color w:val="000000"/>
                <w:sz w:val="18"/>
                <w:szCs w:val="18"/>
              </w:rPr>
              <w:t>范围</w:t>
            </w:r>
          </w:p>
        </w:tc>
        <w:tc>
          <w:tcPr>
            <w:tcW w:w="1856" w:type="dxa"/>
            <w:gridSpan w:val="2"/>
            <w:noWrap w:val="0"/>
            <w:vAlign w:val="center"/>
          </w:tcPr>
          <w:p>
            <w:pPr>
              <w:pStyle w:val="657"/>
              <w:spacing w:line="260" w:lineRule="exact"/>
              <w:ind w:firstLine="0" w:firstLineChars="0"/>
              <w:jc w:val="center"/>
              <w:rPr>
                <w:rFonts w:ascii="宋体" w:hAnsi="宋体" w:cs="Times New Roman"/>
                <w:sz w:val="18"/>
                <w:szCs w:val="18"/>
              </w:rPr>
            </w:pPr>
            <w:r>
              <w:rPr>
                <w:rFonts w:hint="eastAsia" w:ascii="宋体" w:hAnsi="宋体" w:cs="Times New Roman"/>
                <w:sz w:val="18"/>
                <w:szCs w:val="18"/>
              </w:rPr>
              <w:t>边长</w:t>
            </w:r>
            <w:r>
              <w:rPr>
                <w:rFonts w:ascii="宋体" w:hAnsi="宋体" w:cs="Times New Roman"/>
                <w:sz w:val="18"/>
                <w:szCs w:val="18"/>
              </w:rPr>
              <w:t>≥</w:t>
            </w:r>
            <w:r>
              <w:rPr>
                <w:rFonts w:ascii="Times New Roman" w:hAnsi="Times New Roman" w:cs="Times New Roman"/>
                <w:sz w:val="18"/>
                <w:szCs w:val="18"/>
              </w:rPr>
              <w:t>50km</w:t>
            </w:r>
            <w:r>
              <w:rPr>
                <w:rFonts w:ascii="宋体" w:hAnsi="宋体" w:cs="Times New Roman"/>
                <w:sz w:val="18"/>
                <w:szCs w:val="18"/>
              </w:rPr>
              <w:t>□</w:t>
            </w:r>
          </w:p>
        </w:tc>
        <w:tc>
          <w:tcPr>
            <w:tcW w:w="3760" w:type="dxa"/>
            <w:gridSpan w:val="9"/>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边长</w:t>
            </w:r>
            <w:r>
              <w:rPr>
                <w:rFonts w:ascii="Times New Roman" w:hAnsi="Times New Roman" w:cs="Times New Roman"/>
                <w:sz w:val="18"/>
                <w:szCs w:val="18"/>
              </w:rPr>
              <w:t>5</w:t>
            </w:r>
            <w:r>
              <w:rPr>
                <w:rFonts w:cs="Times New Roman"/>
                <w:sz w:val="18"/>
                <w:szCs w:val="18"/>
              </w:rPr>
              <w:t>~</w:t>
            </w:r>
            <w:r>
              <w:rPr>
                <w:rFonts w:ascii="Times New Roman" w:hAnsi="Times New Roman" w:cs="Times New Roman"/>
                <w:sz w:val="18"/>
                <w:szCs w:val="18"/>
              </w:rPr>
              <w:t>50km</w:t>
            </w:r>
            <w:r>
              <w:rPr>
                <w:rFonts w:hint="eastAsia" w:ascii="宋体" w:hAnsi="宋体" w:cs="Times New Roman"/>
                <w:sz w:val="18"/>
                <w:szCs w:val="18"/>
              </w:rPr>
              <w:t>□</w:t>
            </w:r>
          </w:p>
        </w:tc>
        <w:tc>
          <w:tcPr>
            <w:tcW w:w="1173"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边长</w:t>
            </w:r>
            <w:r>
              <w:rPr>
                <w:rFonts w:cs="Times New Roman"/>
                <w:sz w:val="18"/>
                <w:szCs w:val="18"/>
              </w:rPr>
              <w:t>=</w:t>
            </w:r>
            <w:r>
              <w:rPr>
                <w:rFonts w:ascii="Times New Roman" w:hAnsi="Times New Roman" w:cs="Times New Roman"/>
                <w:sz w:val="18"/>
                <w:szCs w:val="18"/>
              </w:rPr>
              <w:t>5km</w:t>
            </w:r>
            <w:r>
              <w:rPr>
                <w:rFonts w:hint="eastAsia" w:ascii="宋体" w:hAnsi="宋体" w:cs="Times New Roman"/>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预测</w:t>
            </w:r>
            <w:r>
              <w:rPr>
                <w:rFonts w:ascii="Times New Roman"/>
                <w:color w:val="000000"/>
                <w:sz w:val="18"/>
                <w:szCs w:val="18"/>
              </w:rPr>
              <w:t>因子</w:t>
            </w:r>
          </w:p>
        </w:tc>
        <w:tc>
          <w:tcPr>
            <w:tcW w:w="4444" w:type="dxa"/>
            <w:gridSpan w:val="9"/>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预测</w:t>
            </w:r>
            <w:r>
              <w:rPr>
                <w:rFonts w:cs="Times New Roman"/>
                <w:sz w:val="18"/>
                <w:szCs w:val="18"/>
              </w:rPr>
              <w:t>因子（</w:t>
            </w:r>
            <w:r>
              <w:rPr>
                <w:rFonts w:hint="eastAsia" w:ascii="Times New Roman" w:hAnsi="Times New Roman" w:cs="Times New Roman"/>
                <w:sz w:val="18"/>
                <w:szCs w:val="18"/>
                <w:lang w:val="en-US" w:eastAsia="zh-CN"/>
              </w:rPr>
              <w:t>NMHC</w:t>
            </w:r>
            <w:r>
              <w:rPr>
                <w:rFonts w:hint="eastAsia" w:cs="Times New Roman"/>
                <w:sz w:val="18"/>
                <w:szCs w:val="18"/>
                <w:lang w:val="en-US" w:eastAsia="zh-CN"/>
              </w:rPr>
              <w:t>、</w:t>
            </w:r>
            <w:r>
              <w:rPr>
                <w:rFonts w:hint="eastAsia" w:ascii="Times New Roman" w:hAnsi="Times New Roman" w:cs="Times New Roman"/>
                <w:sz w:val="18"/>
                <w:szCs w:val="18"/>
                <w:lang w:val="en-US" w:eastAsia="zh-CN"/>
              </w:rPr>
              <w:t>NH</w:t>
            </w:r>
            <w:r>
              <w:rPr>
                <w:rFonts w:hint="eastAsia" w:ascii="Times New Roman" w:hAnsi="Times New Roman" w:cs="Times New Roman"/>
                <w:sz w:val="18"/>
                <w:szCs w:val="18"/>
                <w:vertAlign w:val="subscript"/>
                <w:lang w:val="en-US" w:eastAsia="zh-CN"/>
              </w:rPr>
              <w:t>3</w:t>
            </w:r>
            <w:r>
              <w:rPr>
                <w:rFonts w:cs="Times New Roman"/>
                <w:sz w:val="18"/>
                <w:szCs w:val="18"/>
              </w:rPr>
              <w:t>）</w:t>
            </w:r>
          </w:p>
        </w:tc>
        <w:tc>
          <w:tcPr>
            <w:tcW w:w="2345" w:type="dxa"/>
            <w:gridSpan w:val="4"/>
            <w:noWrap w:val="0"/>
            <w:vAlign w:val="center"/>
          </w:tcPr>
          <w:p>
            <w:pPr>
              <w:pStyle w:val="657"/>
              <w:spacing w:line="260" w:lineRule="exact"/>
              <w:ind w:firstLine="0" w:firstLineChars="0"/>
              <w:jc w:val="center"/>
              <w:rPr>
                <w:rFonts w:ascii="宋体" w:hAnsi="宋体" w:cs="Times New Roman"/>
                <w:sz w:val="18"/>
                <w:szCs w:val="18"/>
              </w:rPr>
            </w:pPr>
            <w:r>
              <w:rPr>
                <w:rFonts w:hint="eastAsia" w:cs="Times New Roman"/>
                <w:sz w:val="18"/>
                <w:szCs w:val="18"/>
              </w:rPr>
              <w:t xml:space="preserve">  包括</w:t>
            </w:r>
            <w:r>
              <w:rPr>
                <w:rFonts w:cs="Times New Roman"/>
                <w:sz w:val="18"/>
                <w:szCs w:val="18"/>
              </w:rPr>
              <w:t>二次</w:t>
            </w:r>
            <w:r>
              <w:rPr>
                <w:rFonts w:hint="eastAsia" w:ascii="Times New Roman" w:hAnsi="Times New Roman" w:cs="Times New Roman"/>
                <w:sz w:val="18"/>
                <w:szCs w:val="18"/>
              </w:rPr>
              <w:t>PM</w:t>
            </w:r>
            <w:r>
              <w:rPr>
                <w:rFonts w:hint="eastAsia" w:ascii="Times New Roman" w:hAnsi="Times New Roman" w:cs="Times New Roman"/>
                <w:sz w:val="18"/>
                <w:szCs w:val="18"/>
                <w:vertAlign w:val="subscript"/>
              </w:rPr>
              <w:t>2</w:t>
            </w:r>
            <w:r>
              <w:rPr>
                <w:rFonts w:hint="eastAsia" w:cs="Times New Roman"/>
                <w:sz w:val="18"/>
                <w:szCs w:val="18"/>
                <w:vertAlign w:val="subscript"/>
              </w:rPr>
              <w:t>.</w:t>
            </w:r>
            <w:r>
              <w:rPr>
                <w:rFonts w:hint="eastAsia" w:ascii="Times New Roman" w:hAnsi="Times New Roman" w:cs="Times New Roman"/>
                <w:sz w:val="18"/>
                <w:szCs w:val="18"/>
                <w:vertAlign w:val="subscript"/>
              </w:rPr>
              <w:t>5</w:t>
            </w:r>
            <w:r>
              <w:rPr>
                <w:rFonts w:hint="eastAsia" w:ascii="宋体" w:hAnsi="宋体" w:cs="Times New Roman"/>
                <w:sz w:val="18"/>
                <w:szCs w:val="18"/>
              </w:rPr>
              <w:t>□</w:t>
            </w:r>
          </w:p>
          <w:p>
            <w:pPr>
              <w:pStyle w:val="657"/>
              <w:spacing w:line="260" w:lineRule="exact"/>
              <w:ind w:firstLine="0" w:firstLineChars="0"/>
              <w:jc w:val="center"/>
              <w:rPr>
                <w:rFonts w:cs="Times New Roman"/>
                <w:sz w:val="18"/>
                <w:szCs w:val="18"/>
              </w:rPr>
            </w:pPr>
            <w:r>
              <w:rPr>
                <w:rFonts w:hint="eastAsia" w:cs="Times New Roman"/>
                <w:sz w:val="18"/>
                <w:szCs w:val="18"/>
              </w:rPr>
              <w:t>不包括</w:t>
            </w:r>
            <w:r>
              <w:rPr>
                <w:rFonts w:cs="Times New Roman"/>
                <w:sz w:val="18"/>
                <w:szCs w:val="18"/>
              </w:rPr>
              <w:t>二次</w:t>
            </w:r>
            <w:r>
              <w:rPr>
                <w:rFonts w:hint="eastAsia" w:ascii="Times New Roman" w:hAnsi="Times New Roman" w:cs="Times New Roman"/>
                <w:sz w:val="18"/>
                <w:szCs w:val="18"/>
              </w:rPr>
              <w:t>PM</w:t>
            </w:r>
            <w:r>
              <w:rPr>
                <w:rFonts w:hint="eastAsia" w:ascii="Times New Roman" w:hAnsi="Times New Roman" w:cs="Times New Roman"/>
                <w:sz w:val="18"/>
                <w:szCs w:val="18"/>
                <w:vertAlign w:val="subscript"/>
              </w:rPr>
              <w:t>2</w:t>
            </w:r>
            <w:r>
              <w:rPr>
                <w:rFonts w:hint="eastAsia" w:cs="Times New Roman"/>
                <w:sz w:val="18"/>
                <w:szCs w:val="18"/>
                <w:vertAlign w:val="subscript"/>
              </w:rPr>
              <w:t>.</w:t>
            </w:r>
            <w:r>
              <w:rPr>
                <w:rFonts w:hint="eastAsia" w:ascii="Times New Roman" w:hAnsi="Times New Roman" w:cs="Times New Roman"/>
                <w:sz w:val="18"/>
                <w:szCs w:val="18"/>
                <w:vertAlign w:val="subscript"/>
              </w:rPr>
              <w:t>5</w:t>
            </w:r>
            <w:r>
              <w:rPr>
                <w:rFonts w:hint="eastAsia" w:ascii="宋体" w:hAnsi="宋体" w:cs="Times New Roman"/>
                <w:sz w:val="18"/>
                <w:szCs w:val="18"/>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left="-120" w:leftChars="-50" w:right="-120" w:rightChars="-50" w:firstLine="0"/>
              <w:jc w:val="center"/>
              <w:rPr>
                <w:rFonts w:ascii="Times New Roman"/>
                <w:color w:val="000000"/>
                <w:sz w:val="18"/>
                <w:szCs w:val="18"/>
              </w:rPr>
            </w:pPr>
            <w:r>
              <w:rPr>
                <w:rFonts w:hint="eastAsia" w:ascii="Times New Roman"/>
                <w:color w:val="000000"/>
                <w:sz w:val="18"/>
                <w:szCs w:val="18"/>
              </w:rPr>
              <w:t>正常</w:t>
            </w:r>
            <w:r>
              <w:rPr>
                <w:rFonts w:ascii="Times New Roman"/>
                <w:color w:val="000000"/>
                <w:sz w:val="18"/>
                <w:szCs w:val="18"/>
              </w:rPr>
              <w:t>排放短期浓度贡献值</w:t>
            </w:r>
          </w:p>
        </w:tc>
        <w:tc>
          <w:tcPr>
            <w:tcW w:w="4444" w:type="dxa"/>
            <w:gridSpan w:val="9"/>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本项目</w:t>
            </w:r>
            <w:r>
              <w:rPr>
                <w:rFonts w:hint="eastAsia" w:cs="Times New Roman"/>
                <w:sz w:val="18"/>
                <w:szCs w:val="18"/>
              </w:rPr>
              <w:t>最大</w:t>
            </w:r>
            <w:r>
              <w:rPr>
                <w:rFonts w:cs="Times New Roman"/>
                <w:sz w:val="18"/>
                <w:szCs w:val="18"/>
              </w:rPr>
              <w:t>占标率</w:t>
            </w:r>
            <w:r>
              <w:rPr>
                <w:rFonts w:ascii="宋体" w:hAnsi="宋体" w:cs="Times New Roman"/>
                <w:sz w:val="18"/>
                <w:szCs w:val="18"/>
              </w:rPr>
              <w:t>≤</w:t>
            </w:r>
            <w:r>
              <w:rPr>
                <w:rFonts w:ascii="Times New Roman" w:hAnsi="Times New Roman" w:cs="Times New Roman"/>
                <w:sz w:val="18"/>
                <w:szCs w:val="18"/>
              </w:rPr>
              <w:t>100</w:t>
            </w:r>
            <w:r>
              <w:rPr>
                <w:rFonts w:cs="Times New Roman"/>
                <w:sz w:val="18"/>
                <w:szCs w:val="18"/>
              </w:rPr>
              <w:t>%</w:t>
            </w:r>
            <w:r>
              <w:rPr>
                <w:rFonts w:hint="eastAsia" w:ascii="宋体" w:hAnsi="宋体" w:cs="Times New Roman"/>
                <w:sz w:val="18"/>
                <w:szCs w:val="18"/>
              </w:rPr>
              <w:sym w:font="Wingdings 2" w:char="0052"/>
            </w:r>
          </w:p>
        </w:tc>
        <w:tc>
          <w:tcPr>
            <w:tcW w:w="2345" w:type="dxa"/>
            <w:gridSpan w:val="4"/>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本项目</w:t>
            </w:r>
            <w:r>
              <w:rPr>
                <w:rFonts w:hint="eastAsia" w:cs="Times New Roman"/>
                <w:sz w:val="18"/>
                <w:szCs w:val="18"/>
              </w:rPr>
              <w:t>最大</w:t>
            </w:r>
            <w:r>
              <w:rPr>
                <w:rFonts w:cs="Times New Roman"/>
                <w:sz w:val="18"/>
                <w:szCs w:val="18"/>
              </w:rPr>
              <w:t>占标率</w:t>
            </w:r>
            <w:r>
              <w:rPr>
                <w:rFonts w:hint="eastAsia" w:cs="Times New Roman"/>
                <w:sz w:val="18"/>
                <w:szCs w:val="18"/>
              </w:rPr>
              <w:t>＞</w:t>
            </w:r>
            <w:r>
              <w:rPr>
                <w:rFonts w:ascii="Times New Roman" w:hAnsi="Times New Roman" w:cs="Times New Roman"/>
                <w:sz w:val="18"/>
                <w:szCs w:val="18"/>
              </w:rPr>
              <w:t>100</w:t>
            </w:r>
            <w:r>
              <w:rPr>
                <w:rFonts w:cs="Times New Roman"/>
                <w:sz w:val="18"/>
                <w:szCs w:val="18"/>
              </w:rPr>
              <w:t>%</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vMerge w:val="restart"/>
            <w:noWrap w:val="0"/>
            <w:vAlign w:val="center"/>
          </w:tcPr>
          <w:p>
            <w:pPr>
              <w:snapToGrid w:val="0"/>
              <w:spacing w:line="260" w:lineRule="exact"/>
              <w:ind w:left="-120" w:leftChars="-50" w:right="-120" w:rightChars="-50" w:firstLine="0"/>
              <w:jc w:val="center"/>
              <w:rPr>
                <w:rFonts w:ascii="Times New Roman"/>
                <w:color w:val="000000"/>
                <w:sz w:val="18"/>
                <w:szCs w:val="18"/>
              </w:rPr>
            </w:pPr>
            <w:r>
              <w:rPr>
                <w:rFonts w:hint="eastAsia" w:ascii="Times New Roman"/>
                <w:color w:val="000000"/>
                <w:sz w:val="18"/>
                <w:szCs w:val="18"/>
              </w:rPr>
              <w:t>正常</w:t>
            </w:r>
            <w:r>
              <w:rPr>
                <w:rFonts w:ascii="Times New Roman"/>
                <w:color w:val="000000"/>
                <w:sz w:val="18"/>
                <w:szCs w:val="18"/>
              </w:rPr>
              <w:t>排放年均浓度贡献值</w:t>
            </w: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一类区</w:t>
            </w:r>
          </w:p>
        </w:tc>
        <w:tc>
          <w:tcPr>
            <w:tcW w:w="2588" w:type="dxa"/>
            <w:gridSpan w:val="7"/>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本项目</w:t>
            </w:r>
            <w:r>
              <w:rPr>
                <w:rFonts w:hint="eastAsia" w:cs="Times New Roman"/>
                <w:sz w:val="18"/>
                <w:szCs w:val="18"/>
              </w:rPr>
              <w:t>最大</w:t>
            </w:r>
            <w:r>
              <w:rPr>
                <w:rFonts w:cs="Times New Roman"/>
                <w:sz w:val="18"/>
                <w:szCs w:val="18"/>
              </w:rPr>
              <w:t>占标率</w:t>
            </w:r>
            <w:r>
              <w:rPr>
                <w:rFonts w:ascii="宋体" w:hAnsi="宋体" w:cs="Times New Roman"/>
                <w:sz w:val="18"/>
                <w:szCs w:val="18"/>
              </w:rPr>
              <w:t>≤</w:t>
            </w:r>
            <w:r>
              <w:rPr>
                <w:rFonts w:ascii="Times New Roman" w:hAnsi="Times New Roman" w:cs="Times New Roman"/>
                <w:sz w:val="18"/>
                <w:szCs w:val="18"/>
              </w:rPr>
              <w:t>10</w:t>
            </w:r>
            <w:r>
              <w:rPr>
                <w:rFonts w:cs="Times New Roman"/>
                <w:sz w:val="18"/>
                <w:szCs w:val="18"/>
              </w:rPr>
              <w:t>%</w:t>
            </w:r>
            <w:r>
              <w:rPr>
                <w:rFonts w:hint="eastAsia" w:ascii="宋体" w:hAnsi="宋体" w:cs="Times New Roman"/>
                <w:sz w:val="18"/>
                <w:szCs w:val="18"/>
              </w:rPr>
              <w:t>□</w:t>
            </w:r>
          </w:p>
        </w:tc>
        <w:tc>
          <w:tcPr>
            <w:tcW w:w="2345" w:type="dxa"/>
            <w:gridSpan w:val="4"/>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本项目</w:t>
            </w:r>
            <w:r>
              <w:rPr>
                <w:rFonts w:hint="eastAsia" w:cs="Times New Roman"/>
                <w:sz w:val="18"/>
                <w:szCs w:val="18"/>
              </w:rPr>
              <w:t>最大</w:t>
            </w:r>
            <w:r>
              <w:rPr>
                <w:rFonts w:cs="Times New Roman"/>
                <w:sz w:val="18"/>
                <w:szCs w:val="18"/>
              </w:rPr>
              <w:t>占标率</w:t>
            </w:r>
            <w:r>
              <w:rPr>
                <w:rFonts w:hint="eastAsia" w:cs="Times New Roman"/>
                <w:sz w:val="18"/>
                <w:szCs w:val="18"/>
              </w:rPr>
              <w:t>＞</w:t>
            </w:r>
            <w:r>
              <w:rPr>
                <w:rFonts w:ascii="Times New Roman" w:hAnsi="Times New Roman" w:cs="Times New Roman"/>
                <w:sz w:val="18"/>
                <w:szCs w:val="18"/>
              </w:rPr>
              <w:t>10</w:t>
            </w:r>
            <w:r>
              <w:rPr>
                <w:rFonts w:cs="Times New Roman"/>
                <w:sz w:val="18"/>
                <w:szCs w:val="18"/>
              </w:rPr>
              <w:t>%</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vMerge w:val="continue"/>
            <w:noWrap w:val="0"/>
            <w:vAlign w:val="center"/>
          </w:tcPr>
          <w:p>
            <w:pPr>
              <w:snapToGrid w:val="0"/>
              <w:spacing w:line="260" w:lineRule="exact"/>
              <w:ind w:left="-120" w:leftChars="-50" w:right="-120" w:rightChars="-50" w:firstLine="0"/>
              <w:jc w:val="center"/>
              <w:rPr>
                <w:rFonts w:ascii="Times New Roman"/>
                <w:color w:val="000000"/>
                <w:sz w:val="18"/>
                <w:szCs w:val="18"/>
              </w:rPr>
            </w:pPr>
          </w:p>
        </w:tc>
        <w:tc>
          <w:tcPr>
            <w:tcW w:w="1856" w:type="dxa"/>
            <w:gridSpan w:val="2"/>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二类区</w:t>
            </w:r>
          </w:p>
        </w:tc>
        <w:tc>
          <w:tcPr>
            <w:tcW w:w="2588" w:type="dxa"/>
            <w:gridSpan w:val="7"/>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本项目</w:t>
            </w:r>
            <w:r>
              <w:rPr>
                <w:rFonts w:hint="eastAsia" w:cs="Times New Roman"/>
                <w:sz w:val="18"/>
                <w:szCs w:val="18"/>
              </w:rPr>
              <w:t>最大</w:t>
            </w:r>
            <w:r>
              <w:rPr>
                <w:rFonts w:cs="Times New Roman"/>
                <w:sz w:val="18"/>
                <w:szCs w:val="18"/>
              </w:rPr>
              <w:t>占标率</w:t>
            </w:r>
            <w:r>
              <w:rPr>
                <w:rFonts w:ascii="宋体" w:hAnsi="宋体" w:cs="Times New Roman"/>
                <w:sz w:val="18"/>
                <w:szCs w:val="18"/>
              </w:rPr>
              <w:t>≤</w:t>
            </w:r>
            <w:r>
              <w:rPr>
                <w:rFonts w:ascii="Times New Roman" w:hAnsi="Times New Roman" w:cs="Times New Roman"/>
                <w:sz w:val="18"/>
                <w:szCs w:val="18"/>
              </w:rPr>
              <w:t>30</w:t>
            </w:r>
            <w:r>
              <w:rPr>
                <w:rFonts w:cs="Times New Roman"/>
                <w:sz w:val="18"/>
                <w:szCs w:val="18"/>
              </w:rPr>
              <w:t>%</w:t>
            </w:r>
            <w:r>
              <w:rPr>
                <w:rFonts w:hint="eastAsia" w:ascii="宋体" w:hAnsi="宋体" w:cs="Times New Roman"/>
                <w:sz w:val="18"/>
                <w:szCs w:val="18"/>
              </w:rPr>
              <w:sym w:font="Wingdings 2" w:char="0052"/>
            </w:r>
          </w:p>
        </w:tc>
        <w:tc>
          <w:tcPr>
            <w:tcW w:w="2345" w:type="dxa"/>
            <w:gridSpan w:val="4"/>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本项目</w:t>
            </w:r>
            <w:r>
              <w:rPr>
                <w:rFonts w:hint="eastAsia" w:cs="Times New Roman"/>
                <w:sz w:val="18"/>
                <w:szCs w:val="18"/>
              </w:rPr>
              <w:t>最大</w:t>
            </w:r>
            <w:r>
              <w:rPr>
                <w:rFonts w:cs="Times New Roman"/>
                <w:sz w:val="18"/>
                <w:szCs w:val="18"/>
              </w:rPr>
              <w:t>占标率</w:t>
            </w:r>
            <w:r>
              <w:rPr>
                <w:rFonts w:hint="eastAsia" w:cs="Times New Roman"/>
                <w:sz w:val="18"/>
                <w:szCs w:val="18"/>
              </w:rPr>
              <w:t>＞</w:t>
            </w:r>
            <w:r>
              <w:rPr>
                <w:rFonts w:ascii="Times New Roman" w:hAnsi="Times New Roman" w:cs="Times New Roman"/>
                <w:sz w:val="18"/>
                <w:szCs w:val="18"/>
              </w:rPr>
              <w:t>30</w:t>
            </w:r>
            <w:r>
              <w:rPr>
                <w:rFonts w:cs="Times New Roman"/>
                <w:sz w:val="18"/>
                <w:szCs w:val="18"/>
              </w:rPr>
              <w:t>%</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left="-120" w:leftChars="-50" w:right="-120" w:rightChars="-50" w:firstLine="0"/>
              <w:jc w:val="center"/>
              <w:rPr>
                <w:rFonts w:ascii="Times New Roman"/>
                <w:color w:val="000000"/>
                <w:sz w:val="18"/>
                <w:szCs w:val="18"/>
              </w:rPr>
            </w:pPr>
            <w:r>
              <w:rPr>
                <w:rFonts w:hint="eastAsia" w:ascii="Times New Roman"/>
                <w:color w:val="000000"/>
                <w:sz w:val="18"/>
                <w:szCs w:val="18"/>
              </w:rPr>
              <w:t>非正常</w:t>
            </w:r>
            <w:r>
              <w:rPr>
                <w:rFonts w:ascii="Times New Roman"/>
                <w:color w:val="000000"/>
                <w:sz w:val="18"/>
                <w:szCs w:val="18"/>
              </w:rPr>
              <w:t>排放</w:t>
            </w:r>
            <w:r>
              <w:rPr>
                <w:rFonts w:hint="eastAsia" w:ascii="Times New Roman" w:hAnsi="Times New Roman"/>
                <w:color w:val="000000"/>
                <w:sz w:val="18"/>
                <w:szCs w:val="18"/>
              </w:rPr>
              <w:t>1</w:t>
            </w:r>
            <w:r>
              <w:rPr>
                <w:rFonts w:ascii="Times New Roman" w:hAnsi="Times New Roman"/>
                <w:color w:val="000000"/>
                <w:sz w:val="18"/>
                <w:szCs w:val="18"/>
              </w:rPr>
              <w:t>h</w:t>
            </w:r>
            <w:r>
              <w:rPr>
                <w:rFonts w:ascii="Times New Roman"/>
                <w:color w:val="000000"/>
                <w:sz w:val="18"/>
                <w:szCs w:val="18"/>
              </w:rPr>
              <w:t>浓度贡献值</w:t>
            </w:r>
          </w:p>
        </w:tc>
        <w:tc>
          <w:tcPr>
            <w:tcW w:w="2382" w:type="dxa"/>
            <w:gridSpan w:val="3"/>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非正常</w:t>
            </w:r>
            <w:r>
              <w:rPr>
                <w:rFonts w:cs="Times New Roman"/>
                <w:sz w:val="18"/>
                <w:szCs w:val="18"/>
              </w:rPr>
              <w:t>持续时长（</w:t>
            </w:r>
            <w:r>
              <w:rPr>
                <w:rFonts w:hint="eastAsia" w:ascii="Times New Roman" w:hAnsi="Times New Roman" w:cs="Times New Roman"/>
                <w:sz w:val="18"/>
                <w:szCs w:val="18"/>
                <w:lang w:val="en-US" w:eastAsia="zh-CN"/>
              </w:rPr>
              <w:t>1</w:t>
            </w:r>
            <w:r>
              <w:rPr>
                <w:rFonts w:cs="Times New Roman"/>
                <w:sz w:val="18"/>
                <w:szCs w:val="18"/>
              </w:rPr>
              <w:t>）</w:t>
            </w:r>
            <w:r>
              <w:rPr>
                <w:rFonts w:hint="eastAsia" w:ascii="Times New Roman" w:hAnsi="Times New Roman" w:cs="Times New Roman"/>
                <w:sz w:val="18"/>
                <w:szCs w:val="18"/>
              </w:rPr>
              <w:t>h</w:t>
            </w:r>
          </w:p>
        </w:tc>
        <w:tc>
          <w:tcPr>
            <w:tcW w:w="2062" w:type="dxa"/>
            <w:gridSpan w:val="6"/>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非正常</w:t>
            </w:r>
            <w:r>
              <w:rPr>
                <w:rFonts w:cs="Times New Roman"/>
                <w:sz w:val="18"/>
                <w:szCs w:val="18"/>
              </w:rPr>
              <w:t>占标率</w:t>
            </w:r>
            <w:r>
              <w:rPr>
                <w:rFonts w:ascii="宋体" w:hAnsi="宋体" w:cs="Times New Roman"/>
                <w:sz w:val="18"/>
                <w:szCs w:val="18"/>
              </w:rPr>
              <w:t>≤</w:t>
            </w:r>
            <w:r>
              <w:rPr>
                <w:rFonts w:ascii="Times New Roman" w:hAnsi="Times New Roman" w:cs="Times New Roman"/>
                <w:sz w:val="18"/>
                <w:szCs w:val="18"/>
              </w:rPr>
              <w:t>100</w:t>
            </w:r>
            <w:r>
              <w:rPr>
                <w:rFonts w:cs="Times New Roman"/>
                <w:sz w:val="18"/>
                <w:szCs w:val="18"/>
              </w:rPr>
              <w:t>%</w:t>
            </w:r>
            <w:r>
              <w:rPr>
                <w:rFonts w:hint="eastAsia" w:ascii="宋体" w:hAnsi="宋体" w:cs="Times New Roman"/>
                <w:sz w:val="18"/>
                <w:szCs w:val="18"/>
              </w:rPr>
              <w:sym w:font="Wingdings 2" w:char="00A3"/>
            </w:r>
          </w:p>
        </w:tc>
        <w:tc>
          <w:tcPr>
            <w:tcW w:w="2345" w:type="dxa"/>
            <w:gridSpan w:val="4"/>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非正常</w:t>
            </w:r>
            <w:r>
              <w:rPr>
                <w:rFonts w:cs="Times New Roman"/>
                <w:sz w:val="18"/>
                <w:szCs w:val="18"/>
              </w:rPr>
              <w:t>占标率</w:t>
            </w:r>
            <w:r>
              <w:rPr>
                <w:rFonts w:hint="eastAsia" w:ascii="宋体" w:hAnsi="宋体" w:cs="Times New Roman"/>
                <w:sz w:val="18"/>
                <w:szCs w:val="18"/>
              </w:rPr>
              <w:t>＞</w:t>
            </w:r>
            <w:r>
              <w:rPr>
                <w:rFonts w:ascii="Times New Roman" w:hAnsi="Times New Roman" w:cs="Times New Roman"/>
                <w:sz w:val="18"/>
                <w:szCs w:val="18"/>
              </w:rPr>
              <w:t>100</w:t>
            </w:r>
            <w:r>
              <w:rPr>
                <w:rFonts w:cs="Times New Roman"/>
                <w:sz w:val="18"/>
                <w:szCs w:val="18"/>
              </w:rPr>
              <w:t>%</w:t>
            </w:r>
            <w:r>
              <w:rPr>
                <w:rFonts w:hint="eastAsia" w:ascii="宋体" w:hAnsi="宋体" w:cs="Times New Roman"/>
                <w:sz w:val="18"/>
                <w:szCs w:val="18"/>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保证率</w:t>
            </w:r>
            <w:r>
              <w:rPr>
                <w:rFonts w:ascii="Times New Roman"/>
                <w:color w:val="000000"/>
                <w:sz w:val="18"/>
                <w:szCs w:val="18"/>
              </w:rPr>
              <w:t>日平均浓度和年平均浓度</w:t>
            </w:r>
            <w:r>
              <w:rPr>
                <w:rFonts w:hint="eastAsia" w:ascii="Times New Roman"/>
                <w:color w:val="000000"/>
                <w:sz w:val="18"/>
                <w:szCs w:val="18"/>
              </w:rPr>
              <w:t>叠加值</w:t>
            </w:r>
          </w:p>
        </w:tc>
        <w:tc>
          <w:tcPr>
            <w:tcW w:w="3426" w:type="dxa"/>
            <w:gridSpan w:val="6"/>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叠加</w:t>
            </w:r>
            <w:r>
              <w:rPr>
                <w:rFonts w:hint="eastAsia" w:cs="Times New Roman"/>
                <w:sz w:val="18"/>
                <w:szCs w:val="18"/>
              </w:rPr>
              <w:t>达标</w:t>
            </w:r>
            <w:r>
              <w:rPr>
                <w:rFonts w:hint="eastAsia" w:ascii="宋体" w:hAnsi="宋体" w:cs="Times New Roman"/>
                <w:sz w:val="18"/>
                <w:szCs w:val="18"/>
              </w:rPr>
              <w:t>□</w:t>
            </w:r>
          </w:p>
        </w:tc>
        <w:tc>
          <w:tcPr>
            <w:tcW w:w="3363" w:type="dxa"/>
            <w:gridSpan w:val="7"/>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C</w:t>
            </w:r>
            <w:r>
              <w:rPr>
                <w:rFonts w:hint="eastAsia" w:cs="Times New Roman"/>
                <w:sz w:val="18"/>
                <w:szCs w:val="18"/>
                <w:vertAlign w:val="subscript"/>
              </w:rPr>
              <w:t>叠加</w:t>
            </w:r>
            <w:r>
              <w:rPr>
                <w:rFonts w:hint="eastAsia" w:cs="Times New Roman"/>
                <w:sz w:val="18"/>
                <w:szCs w:val="18"/>
              </w:rPr>
              <w:t>不达标</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区域</w:t>
            </w:r>
            <w:r>
              <w:rPr>
                <w:rFonts w:ascii="Times New Roman"/>
                <w:color w:val="000000"/>
                <w:sz w:val="18"/>
                <w:szCs w:val="18"/>
              </w:rPr>
              <w:t>环境质量的整体变化情况</w:t>
            </w:r>
          </w:p>
        </w:tc>
        <w:tc>
          <w:tcPr>
            <w:tcW w:w="3426" w:type="dxa"/>
            <w:gridSpan w:val="6"/>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k</w:t>
            </w:r>
            <w:r>
              <w:rPr>
                <w:rFonts w:ascii="宋体" w:hAnsi="宋体" w:cs="Times New Roman"/>
                <w:sz w:val="18"/>
                <w:szCs w:val="18"/>
              </w:rPr>
              <w:t>≤-</w:t>
            </w:r>
            <w:r>
              <w:rPr>
                <w:rFonts w:ascii="Times New Roman" w:hAnsi="Times New Roman" w:cs="Times New Roman"/>
                <w:sz w:val="18"/>
                <w:szCs w:val="18"/>
              </w:rPr>
              <w:t>20</w:t>
            </w:r>
            <w:r>
              <w:rPr>
                <w:rFonts w:cs="Times New Roman"/>
                <w:sz w:val="18"/>
                <w:szCs w:val="18"/>
              </w:rPr>
              <w:t>%</w:t>
            </w:r>
            <w:r>
              <w:rPr>
                <w:rFonts w:hint="eastAsia" w:ascii="宋体" w:hAnsi="宋体" w:cs="Times New Roman"/>
                <w:sz w:val="18"/>
                <w:szCs w:val="18"/>
              </w:rPr>
              <w:sym w:font="Wingdings 2" w:char="00A3"/>
            </w:r>
          </w:p>
        </w:tc>
        <w:tc>
          <w:tcPr>
            <w:tcW w:w="3363" w:type="dxa"/>
            <w:gridSpan w:val="7"/>
            <w:noWrap w:val="0"/>
            <w:vAlign w:val="center"/>
          </w:tcPr>
          <w:p>
            <w:pPr>
              <w:pStyle w:val="657"/>
              <w:spacing w:line="260" w:lineRule="exact"/>
              <w:ind w:firstLine="0" w:firstLineChars="0"/>
              <w:jc w:val="center"/>
              <w:rPr>
                <w:rFonts w:cs="Times New Roman"/>
                <w:sz w:val="18"/>
                <w:szCs w:val="18"/>
              </w:rPr>
            </w:pPr>
            <w:r>
              <w:rPr>
                <w:rFonts w:ascii="Times New Roman" w:hAnsi="Times New Roman" w:cs="Times New Roman"/>
                <w:sz w:val="18"/>
                <w:szCs w:val="18"/>
              </w:rPr>
              <w:t>K</w:t>
            </w:r>
            <w:r>
              <w:rPr>
                <w:rFonts w:hint="eastAsia" w:ascii="宋体" w:hAnsi="宋体" w:cs="Times New Roman"/>
                <w:sz w:val="18"/>
                <w:szCs w:val="18"/>
              </w:rPr>
              <w:t>＞</w:t>
            </w:r>
            <w:r>
              <w:rPr>
                <w:rFonts w:ascii="宋体" w:hAnsi="宋体" w:cs="Times New Roman"/>
                <w:sz w:val="18"/>
                <w:szCs w:val="18"/>
              </w:rPr>
              <w:t>-</w:t>
            </w:r>
            <w:r>
              <w:rPr>
                <w:rFonts w:ascii="Times New Roman" w:hAnsi="Times New Roman" w:cs="Times New Roman"/>
                <w:sz w:val="18"/>
                <w:szCs w:val="18"/>
              </w:rPr>
              <w:t>20</w:t>
            </w:r>
            <w:r>
              <w:rPr>
                <w:rFonts w:cs="Times New Roman"/>
                <w:sz w:val="18"/>
                <w:szCs w:val="18"/>
              </w:rPr>
              <w:t>%</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restart"/>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环境</w:t>
            </w:r>
            <w:r>
              <w:rPr>
                <w:rFonts w:cs="Times New Roman"/>
                <w:sz w:val="18"/>
                <w:szCs w:val="18"/>
              </w:rPr>
              <w:t>监测计划</w:t>
            </w: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污染源</w:t>
            </w:r>
            <w:r>
              <w:rPr>
                <w:rFonts w:ascii="Times New Roman"/>
                <w:color w:val="000000"/>
                <w:sz w:val="18"/>
                <w:szCs w:val="18"/>
              </w:rPr>
              <w:t>监测</w:t>
            </w:r>
          </w:p>
        </w:tc>
        <w:tc>
          <w:tcPr>
            <w:tcW w:w="2804" w:type="dxa"/>
            <w:gridSpan w:val="4"/>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监测</w:t>
            </w:r>
            <w:r>
              <w:rPr>
                <w:rFonts w:cs="Times New Roman"/>
                <w:sz w:val="18"/>
                <w:szCs w:val="18"/>
              </w:rPr>
              <w:t>因子：（</w:t>
            </w:r>
            <w:r>
              <w:rPr>
                <w:rFonts w:hint="eastAsia" w:ascii="Times New Roman" w:hAnsi="Times New Roman" w:cs="Times New Roman"/>
                <w:sz w:val="18"/>
                <w:szCs w:val="18"/>
                <w:lang w:val="en-US" w:eastAsia="zh-CN"/>
              </w:rPr>
              <w:t>NMHC</w:t>
            </w:r>
            <w:r>
              <w:rPr>
                <w:rFonts w:hint="eastAsia" w:cs="Times New Roman"/>
                <w:sz w:val="18"/>
                <w:szCs w:val="18"/>
                <w:lang w:val="en-US" w:eastAsia="zh-CN"/>
              </w:rPr>
              <w:t>、</w:t>
            </w:r>
            <w:r>
              <w:rPr>
                <w:rFonts w:hint="eastAsia" w:ascii="Times New Roman" w:hAnsi="Times New Roman" w:cs="Times New Roman"/>
                <w:sz w:val="18"/>
                <w:szCs w:val="18"/>
                <w:lang w:val="en-US" w:eastAsia="zh-CN"/>
              </w:rPr>
              <w:t>NH</w:t>
            </w:r>
            <w:r>
              <w:rPr>
                <w:rFonts w:hint="eastAsia" w:ascii="Times New Roman" w:hAnsi="Times New Roman" w:cs="Times New Roman"/>
                <w:sz w:val="18"/>
                <w:szCs w:val="18"/>
                <w:vertAlign w:val="subscript"/>
                <w:lang w:val="en-US" w:eastAsia="zh-CN"/>
              </w:rPr>
              <w:t>3</w:t>
            </w:r>
            <w:r>
              <w:rPr>
                <w:rFonts w:cs="Times New Roman"/>
                <w:sz w:val="18"/>
                <w:szCs w:val="18"/>
              </w:rPr>
              <w:t>）</w:t>
            </w:r>
          </w:p>
        </w:tc>
        <w:tc>
          <w:tcPr>
            <w:tcW w:w="2533" w:type="dxa"/>
            <w:gridSpan w:val="6"/>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有组织</w:t>
            </w:r>
            <w:r>
              <w:rPr>
                <w:rFonts w:cs="Times New Roman"/>
                <w:sz w:val="18"/>
                <w:szCs w:val="18"/>
              </w:rPr>
              <w:t>废气监测</w:t>
            </w:r>
            <w:r>
              <w:rPr>
                <w:rFonts w:hint="eastAsia" w:ascii="宋体" w:hAnsi="宋体" w:cs="Times New Roman"/>
                <w:sz w:val="18"/>
                <w:szCs w:val="18"/>
              </w:rPr>
              <w:sym w:font="Wingdings 2" w:char="0052"/>
            </w:r>
          </w:p>
          <w:p>
            <w:pPr>
              <w:pStyle w:val="657"/>
              <w:spacing w:line="260" w:lineRule="exact"/>
              <w:ind w:firstLine="0" w:firstLineChars="0"/>
              <w:jc w:val="center"/>
              <w:rPr>
                <w:rFonts w:cs="Times New Roman"/>
                <w:sz w:val="18"/>
                <w:szCs w:val="18"/>
              </w:rPr>
            </w:pPr>
            <w:r>
              <w:rPr>
                <w:rFonts w:hint="eastAsia" w:cs="Times New Roman"/>
                <w:sz w:val="18"/>
                <w:szCs w:val="18"/>
              </w:rPr>
              <w:t>无组织</w:t>
            </w:r>
            <w:r>
              <w:rPr>
                <w:rFonts w:cs="Times New Roman"/>
                <w:sz w:val="18"/>
                <w:szCs w:val="18"/>
              </w:rPr>
              <w:t>废气监测</w:t>
            </w:r>
            <w:r>
              <w:rPr>
                <w:rFonts w:hint="eastAsia" w:ascii="宋体" w:hAnsi="宋体" w:cs="Times New Roman"/>
                <w:sz w:val="18"/>
                <w:szCs w:val="18"/>
              </w:rPr>
              <w:sym w:font="Wingdings 2" w:char="00A3"/>
            </w:r>
          </w:p>
        </w:tc>
        <w:tc>
          <w:tcPr>
            <w:tcW w:w="1452" w:type="dxa"/>
            <w:gridSpan w:val="3"/>
            <w:noWrap w:val="0"/>
            <w:vAlign w:val="center"/>
          </w:tcPr>
          <w:p>
            <w:pPr>
              <w:pStyle w:val="657"/>
              <w:spacing w:line="260" w:lineRule="exact"/>
              <w:ind w:firstLine="0" w:firstLineChars="0"/>
              <w:jc w:val="center"/>
              <w:rPr>
                <w:rFonts w:cs="Times New Roman"/>
                <w:sz w:val="18"/>
                <w:szCs w:val="18"/>
              </w:rPr>
            </w:pPr>
            <w:r>
              <w:rPr>
                <w:rFonts w:hint="eastAsia" w:ascii="宋体" w:hAnsi="宋体" w:cs="Times New Roman"/>
                <w:sz w:val="18"/>
                <w:szCs w:val="18"/>
              </w:rPr>
              <w:t>无监测□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环境</w:t>
            </w:r>
            <w:r>
              <w:rPr>
                <w:rFonts w:ascii="Times New Roman"/>
                <w:color w:val="000000"/>
                <w:sz w:val="18"/>
                <w:szCs w:val="18"/>
              </w:rPr>
              <w:t>质量监测</w:t>
            </w:r>
          </w:p>
        </w:tc>
        <w:tc>
          <w:tcPr>
            <w:tcW w:w="2804" w:type="dxa"/>
            <w:gridSpan w:val="4"/>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监测</w:t>
            </w:r>
            <w:r>
              <w:rPr>
                <w:rFonts w:cs="Times New Roman"/>
                <w:sz w:val="18"/>
                <w:szCs w:val="18"/>
              </w:rPr>
              <w:t>因子：（</w:t>
            </w:r>
            <w:r>
              <w:rPr>
                <w:rFonts w:hint="eastAsia" w:ascii="Times New Roman" w:hAnsi="Times New Roman" w:cs="Times New Roman"/>
                <w:sz w:val="18"/>
                <w:szCs w:val="18"/>
                <w:lang w:val="en-US" w:eastAsia="zh-CN"/>
              </w:rPr>
              <w:t>NMHC</w:t>
            </w:r>
            <w:r>
              <w:rPr>
                <w:rFonts w:hint="eastAsia" w:cs="Times New Roman"/>
                <w:sz w:val="18"/>
                <w:szCs w:val="18"/>
                <w:lang w:val="en-US" w:eastAsia="zh-CN"/>
              </w:rPr>
              <w:t>、</w:t>
            </w:r>
            <w:r>
              <w:rPr>
                <w:rFonts w:hint="eastAsia" w:ascii="Times New Roman" w:hAnsi="Times New Roman" w:cs="Times New Roman"/>
                <w:sz w:val="18"/>
                <w:szCs w:val="18"/>
                <w:lang w:val="en-US" w:eastAsia="zh-CN"/>
              </w:rPr>
              <w:t>NH</w:t>
            </w:r>
            <w:r>
              <w:rPr>
                <w:rFonts w:hint="eastAsia" w:ascii="Times New Roman" w:hAnsi="Times New Roman" w:cs="Times New Roman"/>
                <w:sz w:val="18"/>
                <w:szCs w:val="18"/>
                <w:vertAlign w:val="subscript"/>
                <w:lang w:val="en-US" w:eastAsia="zh-CN"/>
              </w:rPr>
              <w:t>3</w:t>
            </w:r>
            <w:r>
              <w:rPr>
                <w:rFonts w:cs="Times New Roman"/>
                <w:sz w:val="18"/>
                <w:szCs w:val="18"/>
              </w:rPr>
              <w:t>）</w:t>
            </w:r>
          </w:p>
        </w:tc>
        <w:tc>
          <w:tcPr>
            <w:tcW w:w="2533" w:type="dxa"/>
            <w:gridSpan w:val="6"/>
            <w:noWrap w:val="0"/>
            <w:vAlign w:val="center"/>
          </w:tcPr>
          <w:p>
            <w:pPr>
              <w:pStyle w:val="657"/>
              <w:spacing w:line="260" w:lineRule="exact"/>
              <w:ind w:firstLine="0" w:firstLineChars="0"/>
              <w:jc w:val="center"/>
              <w:rPr>
                <w:rFonts w:cs="Times New Roman"/>
                <w:sz w:val="18"/>
                <w:szCs w:val="18"/>
              </w:rPr>
            </w:pPr>
            <w:r>
              <w:rPr>
                <w:rFonts w:hint="eastAsia" w:ascii="宋体" w:hAnsi="宋体" w:cs="Times New Roman"/>
                <w:sz w:val="18"/>
                <w:szCs w:val="18"/>
              </w:rPr>
              <w:t>监测</w:t>
            </w:r>
            <w:r>
              <w:rPr>
                <w:rFonts w:ascii="宋体" w:hAnsi="宋体" w:cs="Times New Roman"/>
                <w:sz w:val="18"/>
                <w:szCs w:val="18"/>
              </w:rPr>
              <w:t>点位数（</w:t>
            </w:r>
            <w:r>
              <w:rPr>
                <w:rFonts w:hint="eastAsia" w:ascii="Times New Roman" w:hAnsi="Times New Roman" w:cs="Times New Roman"/>
                <w:sz w:val="18"/>
                <w:szCs w:val="18"/>
                <w:lang w:val="en-US" w:eastAsia="zh-CN"/>
              </w:rPr>
              <w:t>2</w:t>
            </w:r>
            <w:r>
              <w:rPr>
                <w:rFonts w:ascii="宋体" w:hAnsi="宋体" w:cs="Times New Roman"/>
                <w:sz w:val="18"/>
                <w:szCs w:val="18"/>
              </w:rPr>
              <w:t>）</w:t>
            </w:r>
          </w:p>
        </w:tc>
        <w:tc>
          <w:tcPr>
            <w:tcW w:w="1452" w:type="dxa"/>
            <w:gridSpan w:val="3"/>
            <w:noWrap w:val="0"/>
            <w:vAlign w:val="center"/>
          </w:tcPr>
          <w:p>
            <w:pPr>
              <w:pStyle w:val="657"/>
              <w:spacing w:line="260" w:lineRule="exact"/>
              <w:ind w:firstLine="0" w:firstLineChars="0"/>
              <w:jc w:val="center"/>
              <w:rPr>
                <w:rFonts w:cs="Times New Roman"/>
                <w:sz w:val="18"/>
                <w:szCs w:val="18"/>
              </w:rPr>
            </w:pPr>
            <w:r>
              <w:rPr>
                <w:rFonts w:hint="eastAsia" w:ascii="宋体" w:hAnsi="宋体" w:cs="Times New Roman"/>
                <w:sz w:val="18"/>
                <w:szCs w:val="18"/>
              </w:rPr>
              <w:t>无监测□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906" w:type="dxa"/>
            <w:vMerge w:val="restart"/>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评价</w:t>
            </w:r>
            <w:r>
              <w:rPr>
                <w:rFonts w:cs="Times New Roman"/>
                <w:sz w:val="18"/>
                <w:szCs w:val="18"/>
              </w:rPr>
              <w:t>结论</w:t>
            </w: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环境</w:t>
            </w:r>
            <w:r>
              <w:rPr>
                <w:rFonts w:ascii="Times New Roman"/>
                <w:color w:val="000000"/>
                <w:sz w:val="18"/>
                <w:szCs w:val="18"/>
              </w:rPr>
              <w:t>影响</w:t>
            </w:r>
          </w:p>
        </w:tc>
        <w:tc>
          <w:tcPr>
            <w:tcW w:w="6789" w:type="dxa"/>
            <w:gridSpan w:val="13"/>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可以</w:t>
            </w:r>
            <w:r>
              <w:rPr>
                <w:rFonts w:cs="Times New Roman"/>
                <w:sz w:val="18"/>
                <w:szCs w:val="18"/>
              </w:rPr>
              <w:t>接受</w:t>
            </w:r>
            <w:r>
              <w:rPr>
                <w:rFonts w:hint="eastAsia" w:ascii="宋体" w:hAnsi="宋体" w:cs="Times New Roman"/>
                <w:sz w:val="18"/>
                <w:szCs w:val="18"/>
              </w:rPr>
              <w:sym w:font="Wingdings 2" w:char="0052"/>
            </w:r>
            <w:r>
              <w:rPr>
                <w:rFonts w:hint="eastAsia" w:ascii="宋体" w:hAnsi="宋体" w:cs="Times New Roman"/>
                <w:sz w:val="18"/>
                <w:szCs w:val="18"/>
              </w:rPr>
              <w:t xml:space="preserve">         </w:t>
            </w:r>
            <w:r>
              <w:rPr>
                <w:rFonts w:cs="Times New Roman"/>
                <w:sz w:val="18"/>
                <w:szCs w:val="18"/>
              </w:rPr>
              <w:t>不可以接受</w:t>
            </w:r>
            <w:r>
              <w:rPr>
                <w:rFonts w:hint="eastAsia" w:ascii="宋体" w:hAnsi="宋体" w:cs="Times New Roman"/>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大气</w:t>
            </w:r>
            <w:r>
              <w:rPr>
                <w:rFonts w:ascii="Times New Roman"/>
                <w:color w:val="000000"/>
                <w:sz w:val="18"/>
                <w:szCs w:val="18"/>
              </w:rPr>
              <w:t>环境防护距离</w:t>
            </w:r>
          </w:p>
        </w:tc>
        <w:tc>
          <w:tcPr>
            <w:tcW w:w="6789" w:type="dxa"/>
            <w:gridSpan w:val="13"/>
            <w:noWrap w:val="0"/>
            <w:vAlign w:val="center"/>
          </w:tcPr>
          <w:p>
            <w:pPr>
              <w:pStyle w:val="657"/>
              <w:spacing w:line="260" w:lineRule="exact"/>
              <w:ind w:firstLine="0" w:firstLineChars="0"/>
              <w:jc w:val="center"/>
              <w:rPr>
                <w:rFonts w:cs="Times New Roman"/>
                <w:sz w:val="18"/>
                <w:szCs w:val="18"/>
              </w:rPr>
            </w:pPr>
            <w:r>
              <w:rPr>
                <w:rFonts w:hint="eastAsia" w:cs="Times New Roman"/>
                <w:sz w:val="18"/>
                <w:szCs w:val="18"/>
              </w:rPr>
              <w:t>距</w:t>
            </w:r>
            <w:r>
              <w:rPr>
                <w:rFonts w:cs="Times New Roman"/>
                <w:sz w:val="18"/>
                <w:szCs w:val="18"/>
              </w:rPr>
              <w:t>（</w:t>
            </w:r>
            <w:r>
              <w:rPr>
                <w:rFonts w:hint="eastAsia" w:cs="Times New Roman"/>
                <w:sz w:val="18"/>
                <w:szCs w:val="18"/>
              </w:rPr>
              <w:t xml:space="preserve">       </w:t>
            </w:r>
            <w:r>
              <w:rPr>
                <w:rFonts w:cs="Times New Roman"/>
                <w:sz w:val="18"/>
                <w:szCs w:val="18"/>
              </w:rPr>
              <w:t>）</w:t>
            </w:r>
            <w:r>
              <w:rPr>
                <w:rFonts w:hint="eastAsia" w:cs="Times New Roman"/>
                <w:sz w:val="18"/>
                <w:szCs w:val="18"/>
              </w:rPr>
              <w:t>厂界</w:t>
            </w:r>
            <w:r>
              <w:rPr>
                <w:rFonts w:cs="Times New Roman"/>
                <w:sz w:val="18"/>
                <w:szCs w:val="18"/>
              </w:rPr>
              <w:t>最远（</w:t>
            </w:r>
            <w:r>
              <w:rPr>
                <w:rFonts w:hint="eastAsia" w:cs="Times New Roman"/>
                <w:sz w:val="18"/>
                <w:szCs w:val="18"/>
              </w:rPr>
              <w:t xml:space="preserve">  </w:t>
            </w:r>
            <w:r>
              <w:rPr>
                <w:rFonts w:hint="eastAsia" w:ascii="Times New Roman" w:hAnsi="Times New Roman" w:cs="Times New Roman"/>
                <w:sz w:val="18"/>
                <w:szCs w:val="18"/>
              </w:rPr>
              <w:t>0</w:t>
            </w:r>
            <w:r>
              <w:rPr>
                <w:rFonts w:hint="eastAsia" w:cs="Times New Roman"/>
                <w:sz w:val="18"/>
                <w:szCs w:val="18"/>
              </w:rPr>
              <w:t xml:space="preserve">   </w:t>
            </w:r>
            <w:r>
              <w:rPr>
                <w:rFonts w:cs="Times New Roman"/>
                <w:sz w:val="18"/>
                <w:szCs w:val="18"/>
              </w:rPr>
              <w:t>）</w:t>
            </w:r>
            <w:r>
              <w:rPr>
                <w:rFonts w:hint="eastAsia" w:ascii="Times New Roman" w:hAnsi="Times New Roman" w:cs="Times New Roman"/>
                <w:sz w:val="18"/>
                <w:szCs w:val="18"/>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06" w:type="dxa"/>
            <w:vMerge w:val="continue"/>
            <w:noWrap w:val="0"/>
            <w:vAlign w:val="center"/>
          </w:tcPr>
          <w:p>
            <w:pPr>
              <w:pStyle w:val="657"/>
              <w:spacing w:line="260" w:lineRule="exact"/>
              <w:ind w:firstLine="0" w:firstLineChars="0"/>
              <w:jc w:val="center"/>
              <w:rPr>
                <w:rFonts w:cs="Times New Roman"/>
                <w:sz w:val="18"/>
                <w:szCs w:val="18"/>
              </w:rPr>
            </w:pPr>
          </w:p>
        </w:tc>
        <w:tc>
          <w:tcPr>
            <w:tcW w:w="1479" w:type="dxa"/>
            <w:noWrap w:val="0"/>
            <w:vAlign w:val="center"/>
          </w:tcPr>
          <w:p>
            <w:pPr>
              <w:snapToGrid w:val="0"/>
              <w:spacing w:line="260" w:lineRule="exact"/>
              <w:ind w:firstLine="0"/>
              <w:jc w:val="center"/>
              <w:rPr>
                <w:rFonts w:ascii="Times New Roman"/>
                <w:color w:val="000000"/>
                <w:sz w:val="18"/>
                <w:szCs w:val="18"/>
              </w:rPr>
            </w:pPr>
            <w:r>
              <w:rPr>
                <w:rFonts w:hint="eastAsia" w:ascii="Times New Roman"/>
                <w:color w:val="000000"/>
                <w:sz w:val="18"/>
                <w:szCs w:val="18"/>
              </w:rPr>
              <w:t>污染源</w:t>
            </w:r>
            <w:r>
              <w:rPr>
                <w:rFonts w:ascii="Times New Roman"/>
                <w:color w:val="000000"/>
                <w:sz w:val="18"/>
                <w:szCs w:val="18"/>
              </w:rPr>
              <w:t>年排放量</w:t>
            </w:r>
          </w:p>
        </w:tc>
        <w:tc>
          <w:tcPr>
            <w:tcW w:w="1856" w:type="dxa"/>
            <w:gridSpan w:val="2"/>
            <w:noWrap w:val="0"/>
            <w:vAlign w:val="center"/>
          </w:tcPr>
          <w:p>
            <w:pPr>
              <w:pStyle w:val="657"/>
              <w:spacing w:line="260" w:lineRule="exact"/>
              <w:ind w:firstLine="0" w:firstLineChars="0"/>
              <w:jc w:val="center"/>
              <w:rPr>
                <w:rFonts w:hint="default"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NH</w:t>
            </w:r>
            <w:r>
              <w:rPr>
                <w:rFonts w:hint="eastAsia" w:ascii="Times New Roman" w:hAnsi="Times New Roman" w:cs="Times New Roman"/>
                <w:color w:val="auto"/>
                <w:sz w:val="18"/>
                <w:szCs w:val="18"/>
                <w:vertAlign w:val="subscript"/>
                <w:lang w:val="en-US" w:eastAsia="zh-CN"/>
              </w:rPr>
              <w:t>3</w:t>
            </w:r>
            <w:r>
              <w:rPr>
                <w:rFonts w:hint="eastAsia" w:cs="Times New Roman"/>
                <w:color w:val="auto"/>
                <w:sz w:val="18"/>
                <w:szCs w:val="18"/>
              </w:rPr>
              <w:t>：</w:t>
            </w:r>
            <w:r>
              <w:rPr>
                <w:rFonts w:hint="eastAsia" w:ascii="Times New Roman" w:hAnsi="Times New Roman" w:cs="Times New Roman"/>
                <w:color w:val="auto"/>
                <w:sz w:val="18"/>
                <w:szCs w:val="18"/>
                <w:lang w:val="en-US" w:eastAsia="zh-CN"/>
              </w:rPr>
              <w:t>2</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43</w:t>
            </w:r>
            <w:r>
              <w:rPr>
                <w:rFonts w:hint="eastAsia" w:ascii="Times New Roman" w:hAnsi="Times New Roman" w:cs="Times New Roman"/>
                <w:color w:val="auto"/>
                <w:sz w:val="18"/>
                <w:szCs w:val="18"/>
              </w:rPr>
              <w:t>t</w:t>
            </w:r>
            <w:r>
              <w:rPr>
                <w:rFonts w:cs="Times New Roman"/>
                <w:color w:val="auto"/>
                <w:sz w:val="18"/>
                <w:szCs w:val="18"/>
              </w:rPr>
              <w:t>/</w:t>
            </w:r>
            <w:r>
              <w:rPr>
                <w:rFonts w:ascii="Times New Roman" w:hAnsi="Times New Roman" w:cs="Times New Roman"/>
                <w:color w:val="auto"/>
                <w:sz w:val="18"/>
                <w:szCs w:val="18"/>
              </w:rPr>
              <w:t>a</w:t>
            </w:r>
          </w:p>
        </w:tc>
        <w:tc>
          <w:tcPr>
            <w:tcW w:w="4933" w:type="dxa"/>
            <w:gridSpan w:val="11"/>
            <w:noWrap w:val="0"/>
            <w:vAlign w:val="center"/>
          </w:tcPr>
          <w:p>
            <w:pPr>
              <w:pStyle w:val="657"/>
              <w:spacing w:line="260" w:lineRule="exact"/>
              <w:ind w:firstLine="0" w:firstLineChars="0"/>
              <w:jc w:val="center"/>
              <w:rPr>
                <w:rFonts w:hint="default" w:eastAsia="宋体" w:cs="Times New Roman"/>
                <w:sz w:val="18"/>
                <w:szCs w:val="18"/>
                <w:lang w:val="en-US" w:eastAsia="zh-CN"/>
              </w:rPr>
            </w:pPr>
            <w:r>
              <w:rPr>
                <w:rFonts w:hint="eastAsia" w:ascii="Times New Roman" w:hAnsi="Times New Roman" w:cs="Times New Roman"/>
                <w:sz w:val="18"/>
                <w:szCs w:val="18"/>
                <w:lang w:val="en-US" w:eastAsia="zh-CN"/>
              </w:rPr>
              <w:t>NMHC</w:t>
            </w:r>
            <w:r>
              <w:rPr>
                <w:rFonts w:hint="eastAsia" w:cs="Times New Roman"/>
                <w:sz w:val="18"/>
                <w:szCs w:val="18"/>
              </w:rPr>
              <w:t>：</w:t>
            </w:r>
            <w:r>
              <w:rPr>
                <w:rFonts w:hint="eastAsia" w:ascii="Times New Roman" w:hAnsi="Times New Roman" w:cs="Times New Roman"/>
                <w:sz w:val="18"/>
                <w:szCs w:val="18"/>
                <w:lang w:val="en-US" w:eastAsia="zh-CN"/>
              </w:rPr>
              <w:t>1</w:t>
            </w:r>
            <w:r>
              <w:rPr>
                <w:rFonts w:hint="eastAsia" w:cs="Times New Roman"/>
                <w:sz w:val="18"/>
                <w:szCs w:val="18"/>
                <w:lang w:val="en-US" w:eastAsia="zh-CN"/>
              </w:rPr>
              <w:t>.</w:t>
            </w:r>
            <w:r>
              <w:rPr>
                <w:rFonts w:hint="eastAsia" w:ascii="Times New Roman" w:hAnsi="Times New Roman" w:cs="Times New Roman"/>
                <w:sz w:val="18"/>
                <w:szCs w:val="18"/>
                <w:lang w:val="en-US" w:eastAsia="zh-CN"/>
              </w:rPr>
              <w:t>3855t</w:t>
            </w:r>
            <w:r>
              <w:rPr>
                <w:rFonts w:hint="eastAsia" w:cs="Times New Roman"/>
                <w:sz w:val="18"/>
                <w:szCs w:val="18"/>
                <w:lang w:val="en-US" w:eastAsia="zh-CN"/>
              </w:rPr>
              <w:t>/</w:t>
            </w:r>
            <w:r>
              <w:rPr>
                <w:rFonts w:hint="eastAsia" w:ascii="Times New Roman" w:hAnsi="Times New Roman" w:cs="Times New Roman"/>
                <w:sz w:val="18"/>
                <w:szCs w:val="18"/>
                <w:lang w:val="en-US" w:eastAsia="zh-CN"/>
              </w:rPr>
              <w:t>a</w:t>
            </w:r>
            <w:r>
              <w:rPr>
                <w:rFonts w:hint="eastAsia" w:cs="Times New Roman"/>
                <w:sz w:val="18"/>
                <w:szCs w:val="18"/>
                <w:lang w:val="en-US" w:eastAsia="zh-CN"/>
              </w:rPr>
              <w:t>（其中有组织排放</w:t>
            </w:r>
            <w:r>
              <w:rPr>
                <w:rFonts w:hint="eastAsia" w:ascii="Times New Roman" w:hAnsi="Times New Roman" w:cs="Times New Roman"/>
                <w:sz w:val="18"/>
                <w:szCs w:val="18"/>
                <w:lang w:val="en-US" w:eastAsia="zh-CN"/>
              </w:rPr>
              <w:t>0</w:t>
            </w:r>
            <w:r>
              <w:rPr>
                <w:rFonts w:hint="eastAsia" w:cs="Times New Roman"/>
                <w:sz w:val="18"/>
                <w:szCs w:val="18"/>
                <w:lang w:val="en-US" w:eastAsia="zh-CN"/>
              </w:rPr>
              <w:t>.</w:t>
            </w:r>
            <w:r>
              <w:rPr>
                <w:rFonts w:hint="eastAsia" w:ascii="Times New Roman" w:hAnsi="Times New Roman" w:cs="Times New Roman"/>
                <w:sz w:val="18"/>
                <w:szCs w:val="18"/>
                <w:lang w:val="en-US" w:eastAsia="zh-CN"/>
              </w:rPr>
              <w:t>0011t</w:t>
            </w:r>
            <w:r>
              <w:rPr>
                <w:rFonts w:hint="eastAsia" w:cs="Times New Roman"/>
                <w:sz w:val="18"/>
                <w:szCs w:val="18"/>
                <w:lang w:val="en-US" w:eastAsia="zh-CN"/>
              </w:rPr>
              <w:t>/</w:t>
            </w:r>
            <w:r>
              <w:rPr>
                <w:rFonts w:hint="eastAsia" w:ascii="Times New Roman" w:hAnsi="Times New Roman" w:cs="Times New Roman"/>
                <w:sz w:val="18"/>
                <w:szCs w:val="18"/>
                <w:lang w:val="en-US" w:eastAsia="zh-CN"/>
              </w:rPr>
              <w:t>a</w:t>
            </w:r>
            <w:r>
              <w:rPr>
                <w:rFonts w:hint="eastAsia" w:cs="Times New Roman"/>
                <w:sz w:val="18"/>
                <w:szCs w:val="18"/>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174" w:type="dxa"/>
            <w:gridSpan w:val="15"/>
            <w:noWrap w:val="0"/>
            <w:vAlign w:val="center"/>
          </w:tcPr>
          <w:p>
            <w:pPr>
              <w:pStyle w:val="657"/>
              <w:spacing w:line="260" w:lineRule="exact"/>
              <w:ind w:firstLine="0" w:firstLineChars="0"/>
              <w:jc w:val="left"/>
              <w:rPr>
                <w:rFonts w:cs="Times New Roman"/>
                <w:sz w:val="18"/>
                <w:szCs w:val="18"/>
              </w:rPr>
            </w:pPr>
            <w:r>
              <w:rPr>
                <w:rFonts w:hint="eastAsia" w:cs="Times New Roman"/>
                <w:sz w:val="18"/>
                <w:szCs w:val="18"/>
              </w:rPr>
              <w:t>注</w:t>
            </w:r>
            <w:r>
              <w:rPr>
                <w:rFonts w:cs="Times New Roman"/>
                <w:sz w:val="18"/>
                <w:szCs w:val="18"/>
              </w:rPr>
              <w:t>：</w:t>
            </w:r>
            <w:r>
              <w:rPr>
                <w:rFonts w:hint="eastAsia" w:cs="Times New Roman"/>
                <w:sz w:val="18"/>
                <w:szCs w:val="18"/>
              </w:rPr>
              <w:t>“</w:t>
            </w:r>
            <w:r>
              <w:rPr>
                <w:rFonts w:hint="eastAsia" w:ascii="宋体" w:hAnsi="宋体" w:cs="Times New Roman"/>
                <w:sz w:val="18"/>
                <w:szCs w:val="18"/>
              </w:rPr>
              <w:t>□</w:t>
            </w:r>
            <w:r>
              <w:rPr>
                <w:rFonts w:hint="eastAsia" w:cs="Times New Roman"/>
                <w:sz w:val="18"/>
                <w:szCs w:val="18"/>
              </w:rPr>
              <w:t>”为</w:t>
            </w:r>
            <w:r>
              <w:rPr>
                <w:rFonts w:cs="Times New Roman"/>
                <w:sz w:val="18"/>
                <w:szCs w:val="18"/>
              </w:rPr>
              <w:t>勾选项</w:t>
            </w:r>
            <w:r>
              <w:rPr>
                <w:rFonts w:hint="eastAsia" w:cs="Times New Roman"/>
                <w:sz w:val="18"/>
                <w:szCs w:val="18"/>
              </w:rPr>
              <w:t>，</w:t>
            </w:r>
            <w:r>
              <w:rPr>
                <w:rFonts w:hint="eastAsia" w:ascii="宋体" w:hAnsi="宋体" w:cs="Times New Roman"/>
                <w:sz w:val="18"/>
                <w:szCs w:val="18"/>
              </w:rPr>
              <w:t>填</w:t>
            </w:r>
            <w:r>
              <w:rPr>
                <w:rFonts w:ascii="宋体" w:hAnsi="宋体" w:cs="Times New Roman"/>
                <w:sz w:val="18"/>
                <w:szCs w:val="18"/>
              </w:rPr>
              <w:t>“√”</w:t>
            </w:r>
            <w:r>
              <w:rPr>
                <w:rFonts w:hint="eastAsia" w:ascii="宋体" w:hAnsi="宋体" w:cs="Times New Roman"/>
                <w:sz w:val="18"/>
                <w:szCs w:val="18"/>
              </w:rPr>
              <w:t>；</w:t>
            </w:r>
            <w:r>
              <w:rPr>
                <w:rFonts w:ascii="宋体" w:hAnsi="宋体" w:cs="Times New Roman"/>
                <w:sz w:val="18"/>
                <w:szCs w:val="18"/>
              </w:rPr>
              <w:t>“</w:t>
            </w:r>
            <w:r>
              <w:rPr>
                <w:rFonts w:hint="eastAsia" w:ascii="宋体" w:hAnsi="宋体" w:cs="Times New Roman"/>
                <w:sz w:val="18"/>
                <w:szCs w:val="18"/>
              </w:rPr>
              <w:t>（）</w:t>
            </w:r>
            <w:r>
              <w:rPr>
                <w:rFonts w:ascii="宋体" w:hAnsi="宋体" w:cs="Times New Roman"/>
                <w:sz w:val="18"/>
                <w:szCs w:val="18"/>
              </w:rPr>
              <w:t>”</w:t>
            </w:r>
            <w:r>
              <w:rPr>
                <w:rFonts w:hint="eastAsia" w:ascii="宋体" w:hAnsi="宋体" w:cs="Times New Roman"/>
                <w:sz w:val="18"/>
                <w:szCs w:val="18"/>
              </w:rPr>
              <w:t>为</w:t>
            </w:r>
            <w:r>
              <w:rPr>
                <w:rFonts w:ascii="宋体" w:hAnsi="宋体" w:cs="Times New Roman"/>
                <w:sz w:val="18"/>
                <w:szCs w:val="18"/>
              </w:rPr>
              <w:t>内容填写项</w:t>
            </w:r>
          </w:p>
        </w:tc>
      </w:tr>
    </w:tbl>
    <w:p>
      <w:pPr>
        <w:pStyle w:val="4"/>
        <w:spacing w:before="165" w:after="165"/>
      </w:pPr>
      <w:bookmarkStart w:id="210" w:name="_Toc15942"/>
      <w:bookmarkStart w:id="211" w:name="_Toc5487"/>
      <w:r>
        <w:rPr>
          <w:rFonts w:hint="eastAsia" w:ascii="Times New Roman" w:hAnsi="Times New Roman"/>
          <w:lang w:val="en-US" w:eastAsia="zh-CN"/>
        </w:rPr>
        <w:t>6</w:t>
      </w:r>
      <w:r>
        <w:rPr>
          <w:rFonts w:hint="eastAsia"/>
        </w:rPr>
        <w:t>.</w:t>
      </w:r>
      <w:r>
        <w:rPr>
          <w:rFonts w:hint="eastAsia" w:ascii="Times New Roman" w:hAnsi="Times New Roman"/>
          <w:lang w:val="en-US" w:eastAsia="zh-CN"/>
        </w:rPr>
        <w:t>3</w:t>
      </w:r>
      <w:r>
        <w:rPr>
          <w:rFonts w:hint="eastAsia" w:ascii="Times New Roman" w:hAnsi="Times New Roman"/>
        </w:rPr>
        <w:t>地表水</w:t>
      </w:r>
      <w:r>
        <w:t>环境影响分析</w:t>
      </w:r>
      <w:bookmarkEnd w:id="210"/>
      <w:bookmarkEnd w:id="211"/>
    </w:p>
    <w:p>
      <w:pPr>
        <w:pStyle w:val="5"/>
        <w:spacing w:before="165"/>
      </w:pPr>
      <w:r>
        <w:rPr>
          <w:rFonts w:hint="eastAsia" w:ascii="Times New Roman" w:hAnsi="Times New Roman"/>
          <w:lang w:val="en-US" w:eastAsia="zh-CN"/>
        </w:rPr>
        <w:t>6</w:t>
      </w:r>
      <w:r>
        <w:rPr>
          <w:rFonts w:hint="eastAsia"/>
        </w:rPr>
        <w:t>.</w:t>
      </w:r>
      <w:r>
        <w:rPr>
          <w:rFonts w:hint="eastAsia" w:ascii="Times New Roman" w:hAnsi="Times New Roman"/>
          <w:lang w:val="en-US" w:eastAsia="zh-CN"/>
        </w:rPr>
        <w:t>3</w:t>
      </w:r>
      <w:r>
        <w:rPr>
          <w:rFonts w:hint="eastAsia"/>
        </w:rPr>
        <w:t>.</w:t>
      </w:r>
      <w:r>
        <w:rPr>
          <w:rFonts w:hint="eastAsia" w:ascii="Times New Roman" w:hAnsi="Times New Roman"/>
        </w:rPr>
        <w:t>1</w:t>
      </w:r>
      <w:r>
        <w:rPr>
          <w:rFonts w:hint="eastAsia"/>
          <w:lang w:eastAsia="zh-CN"/>
        </w:rPr>
        <w:t>废水</w:t>
      </w:r>
      <w:r>
        <w:rPr>
          <w:rFonts w:hint="eastAsia"/>
        </w:rPr>
        <w:t>产排及达标性分析</w:t>
      </w:r>
    </w:p>
    <w:p>
      <w:pPr>
        <w:bidi w:val="0"/>
        <w:rPr>
          <w:rFonts w:hint="eastAsia" w:ascii="Times New Roman"/>
          <w:lang w:eastAsia="zh-CN"/>
        </w:rPr>
      </w:pPr>
      <w:r>
        <w:rPr>
          <w:rFonts w:hint="eastAsia" w:ascii="Times New Roman"/>
          <w:lang w:eastAsia="zh-CN"/>
        </w:rPr>
        <w:t>本项目新增的生产废水、生活污水和循环水系统排水按照厂内清污分流的原则分别收集和处理。生产废水、生活污水经厂内污水站预处理后排入园区下水管网，循环水系统排水直接排入园区下水管网。</w:t>
      </w:r>
    </w:p>
    <w:p>
      <w:pPr>
        <w:bidi w:val="0"/>
        <w:rPr>
          <w:rFonts w:hint="default" w:ascii="Times New Roman" w:eastAsia="宋体"/>
          <w:lang w:val="en-US" w:eastAsia="zh-CN"/>
        </w:rPr>
      </w:pPr>
      <w:r>
        <w:rPr>
          <w:rFonts w:hint="eastAsia" w:ascii="Times New Roman"/>
          <w:lang w:eastAsia="zh-CN"/>
        </w:rPr>
        <w:t>本项目排入厂内污水站的废水包括装置地面冲洗废水和新增生活污水（共计</w:t>
      </w:r>
      <w:r>
        <w:rPr>
          <w:rFonts w:hint="eastAsia" w:ascii="Times New Roman" w:hAnsi="Times New Roman"/>
          <w:lang w:val="en-US" w:eastAsia="zh-CN"/>
        </w:rPr>
        <w:t>479</w:t>
      </w:r>
      <w:r>
        <w:rPr>
          <w:rFonts w:hint="eastAsia" w:ascii="Times New Roman"/>
          <w:lang w:val="en-US" w:eastAsia="zh-CN"/>
        </w:rPr>
        <w:t>.</w:t>
      </w:r>
      <w:r>
        <w:rPr>
          <w:rFonts w:hint="eastAsia" w:ascii="Times New Roman" w:hAnsi="Times New Roman"/>
          <w:lang w:val="en-US" w:eastAsia="zh-CN"/>
        </w:rPr>
        <w:t>14m</w:t>
      </w:r>
      <w:r>
        <w:rPr>
          <w:rFonts w:hint="eastAsia" w:ascii="Times New Roman"/>
          <w:lang w:val="en-US" w:eastAsia="zh-CN"/>
        </w:rPr>
        <w:t>³/</w:t>
      </w:r>
      <w:r>
        <w:rPr>
          <w:rFonts w:hint="eastAsia" w:ascii="Times New Roman" w:hAnsi="Times New Roman"/>
          <w:lang w:val="en-US" w:eastAsia="zh-CN"/>
        </w:rPr>
        <w:t>a</w:t>
      </w:r>
      <w:r>
        <w:rPr>
          <w:rFonts w:hint="eastAsia" w:ascii="Times New Roman"/>
          <w:lang w:eastAsia="zh-CN"/>
        </w:rPr>
        <w:t>），废水经污水站处理后，废水出水水质中，主要污染物可满足园区污水处理厂纳入水质标准：《污水排入城镇下水道水质标准》（</w:t>
      </w:r>
      <w:r>
        <w:rPr>
          <w:rFonts w:hint="eastAsia" w:ascii="Times New Roman" w:hAnsi="Times New Roman"/>
          <w:lang w:val="en-US" w:eastAsia="zh-CN"/>
        </w:rPr>
        <w:t>GB</w:t>
      </w:r>
      <w:r>
        <w:rPr>
          <w:rFonts w:hint="eastAsia" w:ascii="Times New Roman"/>
          <w:lang w:val="en-US" w:eastAsia="zh-CN"/>
        </w:rPr>
        <w:t>/</w:t>
      </w:r>
      <w:r>
        <w:rPr>
          <w:rFonts w:hint="eastAsia" w:ascii="Times New Roman" w:hAnsi="Times New Roman"/>
          <w:lang w:val="en-US" w:eastAsia="zh-CN"/>
        </w:rPr>
        <w:t>T31962</w:t>
      </w:r>
      <w:r>
        <w:rPr>
          <w:rFonts w:hint="eastAsia" w:ascii="Times New Roman"/>
          <w:lang w:val="en-US" w:eastAsia="zh-CN"/>
        </w:rPr>
        <w:t>-</w:t>
      </w:r>
      <w:r>
        <w:rPr>
          <w:rFonts w:hint="eastAsia" w:ascii="Times New Roman" w:hAnsi="Times New Roman"/>
          <w:lang w:val="en-US" w:eastAsia="zh-CN"/>
        </w:rPr>
        <w:t>2015</w:t>
      </w:r>
      <w:r>
        <w:rPr>
          <w:rFonts w:hint="eastAsia" w:ascii="Times New Roman"/>
          <w:lang w:eastAsia="zh-CN"/>
        </w:rPr>
        <w:t>）表</w:t>
      </w:r>
      <w:r>
        <w:rPr>
          <w:rFonts w:hint="eastAsia" w:ascii="Times New Roman" w:hAnsi="Times New Roman"/>
          <w:lang w:val="en-US" w:eastAsia="zh-CN"/>
        </w:rPr>
        <w:t>1B</w:t>
      </w:r>
      <w:r>
        <w:rPr>
          <w:rFonts w:hint="eastAsia" w:ascii="Times New Roman"/>
          <w:lang w:val="en-US" w:eastAsia="zh-CN"/>
        </w:rPr>
        <w:t>级限值，排入园区下水管网。</w:t>
      </w:r>
    </w:p>
    <w:p>
      <w:pPr>
        <w:bidi w:val="0"/>
        <w:rPr>
          <w:rFonts w:hint="default" w:ascii="Times New Roman" w:eastAsia="宋体"/>
          <w:lang w:val="en-US" w:eastAsia="zh-CN"/>
        </w:rPr>
      </w:pPr>
      <w:r>
        <w:rPr>
          <w:rFonts w:hint="eastAsia" w:ascii="Times New Roman"/>
          <w:lang w:eastAsia="zh-CN"/>
        </w:rPr>
        <w:t>装置地面冲洗废水和生活污水产排情况见表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3</w:t>
      </w:r>
      <w:r>
        <w:rPr>
          <w:rFonts w:hint="eastAsia" w:ascii="Times New Roman"/>
          <w:lang w:val="en-US" w:eastAsia="zh-CN"/>
        </w:rPr>
        <w:t>-</w:t>
      </w:r>
      <w:r>
        <w:rPr>
          <w:rFonts w:hint="eastAsia" w:ascii="Times New Roman" w:hAnsi="Times New Roman"/>
          <w:lang w:val="en-US" w:eastAsia="zh-CN"/>
        </w:rPr>
        <w:t>1</w:t>
      </w:r>
      <w:r>
        <w:rPr>
          <w:rFonts w:hint="eastAsia" w:ascii="Times New Roman" w:hAnsi="Times New Roman"/>
          <w:lang w:val="en-US" w:eastAsia="zh-CN"/>
        </w:rPr>
        <w:t>。</w:t>
      </w:r>
    </w:p>
    <w:p>
      <w:pPr>
        <w:pStyle w:val="20"/>
        <w:spacing w:before="169"/>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ascii="Times New Roman" w:hAnsi="Times New Roman"/>
          <w:color w:val="000000" w:themeColor="text1"/>
          <w14:textFill>
            <w14:solidFill>
              <w14:schemeClr w14:val="tx1"/>
            </w14:solidFill>
          </w14:textFill>
        </w:rPr>
        <w:t>6</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装置地面冲洗废水和生活污水</w:t>
      </w:r>
      <w:r>
        <w:rPr>
          <w:rFonts w:hint="eastAsia"/>
          <w:color w:val="000000" w:themeColor="text1"/>
          <w14:textFill>
            <w14:solidFill>
              <w14:schemeClr w14:val="tx1"/>
            </w14:solidFill>
          </w14:textFill>
        </w:rPr>
        <w:t>产生排放情况</w:t>
      </w:r>
    </w:p>
    <w:tbl>
      <w:tblPr>
        <w:tblStyle w:val="80"/>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31"/>
        <w:gridCol w:w="2139"/>
        <w:gridCol w:w="2273"/>
        <w:gridCol w:w="2139"/>
        <w:gridCol w:w="11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31"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主要污染物</w:t>
            </w: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综合</w:t>
            </w:r>
            <w:r>
              <w:rPr>
                <w:rFonts w:hint="eastAsia" w:hAnsi="宋体" w:cs="宋体"/>
                <w:color w:val="000000" w:themeColor="text1"/>
                <w:sz w:val="21"/>
                <w:szCs w:val="21"/>
                <w14:textFill>
                  <w14:solidFill>
                    <w14:schemeClr w14:val="tx1"/>
                  </w14:solidFill>
                </w14:textFill>
              </w:rPr>
              <w:t>浓度及产生量</w:t>
            </w:r>
          </w:p>
        </w:tc>
        <w:tc>
          <w:tcPr>
            <w:tcW w:w="2273"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治理措施</w:t>
            </w: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排放浓度及产生量</w:t>
            </w:r>
          </w:p>
        </w:tc>
        <w:tc>
          <w:tcPr>
            <w:tcW w:w="1192"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排放去向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31"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废水量</w:t>
            </w: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479</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14</w:t>
            </w:r>
            <w:r>
              <w:rPr>
                <w:rFonts w:hint="eastAsia" w:ascii="Times New Roman" w:hAnsi="Times New Roman" w:cs="宋体"/>
                <w:color w:val="000000" w:themeColor="text1"/>
                <w:sz w:val="21"/>
                <w:szCs w:val="21"/>
                <w14:textFill>
                  <w14:solidFill>
                    <w14:schemeClr w14:val="tx1"/>
                  </w14:solidFill>
                </w14:textFill>
              </w:rPr>
              <w:t>m</w:t>
            </w:r>
            <w:r>
              <w:rPr>
                <w:rFonts w:hint="eastAsia" w:hAnsi="宋体" w:cs="宋体"/>
                <w:color w:val="000000" w:themeColor="text1"/>
                <w:sz w:val="21"/>
                <w:szCs w:val="21"/>
                <w14:textFill>
                  <w14:solidFill>
                    <w14:schemeClr w14:val="tx1"/>
                  </w14:solidFill>
                </w14:textFill>
              </w:rPr>
              <w:t>³/</w:t>
            </w:r>
            <w:r>
              <w:rPr>
                <w:rFonts w:hint="eastAsia" w:ascii="Times New Roman" w:hAnsi="Times New Roman" w:cs="宋体"/>
                <w:color w:val="000000" w:themeColor="text1"/>
                <w:sz w:val="21"/>
                <w:szCs w:val="21"/>
                <w14:textFill>
                  <w14:solidFill>
                    <w14:schemeClr w14:val="tx1"/>
                  </w14:solidFill>
                </w14:textFill>
              </w:rPr>
              <w:t>a</w:t>
            </w:r>
          </w:p>
        </w:tc>
        <w:tc>
          <w:tcPr>
            <w:tcW w:w="2273" w:type="dxa"/>
            <w:vMerge w:val="restart"/>
            <w:tcBorders>
              <w:tl2br w:val="nil"/>
              <w:tr2bl w:val="nil"/>
            </w:tcBorders>
            <w:vAlign w:val="center"/>
          </w:tcPr>
          <w:p>
            <w:pPr>
              <w:spacing w:line="240" w:lineRule="auto"/>
              <w:ind w:firstLine="0"/>
              <w:jc w:val="center"/>
              <w:rPr>
                <w:rFonts w:hint="default" w:hAnsi="宋体"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水解酸化</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A2O</w:t>
            </w: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479</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14</w:t>
            </w:r>
            <w:r>
              <w:rPr>
                <w:rFonts w:hint="eastAsia" w:ascii="Times New Roman" w:hAnsi="Times New Roman" w:cs="宋体"/>
                <w:color w:val="000000" w:themeColor="text1"/>
                <w:sz w:val="21"/>
                <w:szCs w:val="21"/>
                <w14:textFill>
                  <w14:solidFill>
                    <w14:schemeClr w14:val="tx1"/>
                  </w14:solidFill>
                </w14:textFill>
              </w:rPr>
              <w:t>m</w:t>
            </w:r>
            <w:r>
              <w:rPr>
                <w:rFonts w:hint="eastAsia" w:hAnsi="宋体" w:cs="宋体"/>
                <w:color w:val="000000" w:themeColor="text1"/>
                <w:sz w:val="21"/>
                <w:szCs w:val="21"/>
                <w14:textFill>
                  <w14:solidFill>
                    <w14:schemeClr w14:val="tx1"/>
                  </w14:solidFill>
                </w14:textFill>
              </w:rPr>
              <w:t>³/</w:t>
            </w:r>
            <w:r>
              <w:rPr>
                <w:rFonts w:hint="eastAsia" w:ascii="Times New Roman" w:hAnsi="Times New Roman" w:cs="宋体"/>
                <w:color w:val="000000" w:themeColor="text1"/>
                <w:sz w:val="21"/>
                <w:szCs w:val="21"/>
                <w14:textFill>
                  <w14:solidFill>
                    <w14:schemeClr w14:val="tx1"/>
                  </w14:solidFill>
                </w14:textFill>
              </w:rPr>
              <w:t>a</w:t>
            </w:r>
          </w:p>
        </w:tc>
        <w:tc>
          <w:tcPr>
            <w:tcW w:w="1192" w:type="dxa"/>
            <w:vMerge w:val="restart"/>
            <w:tcBorders>
              <w:tl2br w:val="nil"/>
              <w:tr2bl w:val="nil"/>
            </w:tcBorders>
            <w:vAlign w:val="center"/>
          </w:tcPr>
          <w:p>
            <w:pPr>
              <w:spacing w:line="240" w:lineRule="auto"/>
              <w:ind w:firstLine="0"/>
              <w:jc w:val="center"/>
              <w:rPr>
                <w:rFonts w:hint="eastAsia" w:hAnsi="宋体" w:eastAsia="宋体" w:cs="宋体"/>
                <w:color w:val="000000" w:themeColor="text1"/>
                <w:sz w:val="21"/>
                <w:szCs w:val="21"/>
                <w:lang w:eastAsia="zh-CN"/>
                <w14:textFill>
                  <w14:solidFill>
                    <w14:schemeClr w14:val="tx1"/>
                  </w14:solidFill>
                </w14:textFill>
              </w:rPr>
            </w:pPr>
            <w:r>
              <w:rPr>
                <w:rFonts w:hint="eastAsia" w:cs="宋体"/>
                <w:color w:val="000000" w:themeColor="text1"/>
                <w:sz w:val="21"/>
                <w:szCs w:val="21"/>
                <w:lang w:eastAsia="zh-CN"/>
                <w14:textFill>
                  <w14:solidFill>
                    <w14:schemeClr w14:val="tx1"/>
                  </w14:solidFill>
                </w14:textFill>
              </w:rPr>
              <w:t>园区下水管网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31"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CODcr</w:t>
            </w: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463</w:t>
            </w:r>
            <w:r>
              <w:rPr>
                <w:rFonts w:hint="eastAsia" w:ascii="Times New Roman" w:hAnsi="Times New Roman" w:cs="宋体"/>
                <w:color w:val="000000" w:themeColor="text1"/>
                <w:sz w:val="21"/>
                <w:szCs w:val="21"/>
                <w14:textFill>
                  <w14:solidFill>
                    <w14:schemeClr w14:val="tx1"/>
                  </w14:solidFill>
                </w14:textFill>
              </w:rPr>
              <w:t>mg</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L</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222</w:t>
            </w:r>
            <w:r>
              <w:rPr>
                <w:rFonts w:hint="eastAsia" w:ascii="Times New Roman" w:hAnsi="Times New Roman" w:cs="宋体"/>
                <w:color w:val="000000" w:themeColor="text1"/>
                <w:sz w:val="21"/>
                <w:szCs w:val="21"/>
                <w14:textFill>
                  <w14:solidFill>
                    <w14:schemeClr w14:val="tx1"/>
                  </w14:solidFill>
                </w14:textFill>
              </w:rPr>
              <w:t>t</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a</w:t>
            </w:r>
          </w:p>
        </w:tc>
        <w:tc>
          <w:tcPr>
            <w:tcW w:w="2273" w:type="dxa"/>
            <w:vMerge w:val="continue"/>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110</w:t>
            </w:r>
            <w:r>
              <w:rPr>
                <w:rFonts w:hint="eastAsia" w:ascii="Times New Roman" w:hAnsi="Times New Roman" w:cs="宋体"/>
                <w:color w:val="000000" w:themeColor="text1"/>
                <w:sz w:val="21"/>
                <w:szCs w:val="21"/>
                <w14:textFill>
                  <w14:solidFill>
                    <w14:schemeClr w14:val="tx1"/>
                  </w14:solidFill>
                </w14:textFill>
              </w:rPr>
              <w:t>mg</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L</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0</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0035</w:t>
            </w:r>
            <w:r>
              <w:rPr>
                <w:rFonts w:hint="eastAsia" w:ascii="Times New Roman" w:hAnsi="Times New Roman" w:cs="宋体"/>
                <w:color w:val="000000" w:themeColor="text1"/>
                <w:sz w:val="21"/>
                <w:szCs w:val="21"/>
                <w14:textFill>
                  <w14:solidFill>
                    <w14:schemeClr w14:val="tx1"/>
                  </w14:solidFill>
                </w14:textFill>
              </w:rPr>
              <w:t>t</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a</w:t>
            </w:r>
          </w:p>
        </w:tc>
        <w:tc>
          <w:tcPr>
            <w:tcW w:w="1192" w:type="dxa"/>
            <w:vMerge w:val="continue"/>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31"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BOD</w:t>
            </w:r>
            <w:r>
              <w:rPr>
                <w:rFonts w:hint="eastAsia" w:ascii="Times New Roman" w:hAnsi="Times New Roman" w:cs="宋体"/>
                <w:color w:val="000000" w:themeColor="text1"/>
                <w:sz w:val="21"/>
                <w:szCs w:val="21"/>
                <w:vertAlign w:val="subscript"/>
                <w14:textFill>
                  <w14:solidFill>
                    <w14:schemeClr w14:val="tx1"/>
                  </w14:solidFill>
                </w14:textFill>
              </w:rPr>
              <w:t>5</w:t>
            </w: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133</w:t>
            </w:r>
            <w:r>
              <w:rPr>
                <w:rFonts w:hint="eastAsia" w:ascii="Times New Roman" w:hAnsi="Times New Roman" w:cs="宋体"/>
                <w:color w:val="000000" w:themeColor="text1"/>
                <w:sz w:val="21"/>
                <w:szCs w:val="21"/>
                <w14:textFill>
                  <w14:solidFill>
                    <w14:schemeClr w14:val="tx1"/>
                  </w14:solidFill>
                </w14:textFill>
              </w:rPr>
              <w:t>mg</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L</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064</w:t>
            </w:r>
            <w:r>
              <w:rPr>
                <w:rFonts w:hint="eastAsia" w:ascii="Times New Roman" w:hAnsi="Times New Roman" w:cs="宋体"/>
                <w:color w:val="000000" w:themeColor="text1"/>
                <w:sz w:val="21"/>
                <w:szCs w:val="21"/>
                <w14:textFill>
                  <w14:solidFill>
                    <w14:schemeClr w14:val="tx1"/>
                  </w14:solidFill>
                </w14:textFill>
              </w:rPr>
              <w:t>t</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a</w:t>
            </w:r>
          </w:p>
        </w:tc>
        <w:tc>
          <w:tcPr>
            <w:tcW w:w="2273" w:type="dxa"/>
            <w:vMerge w:val="continue"/>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109</w:t>
            </w:r>
            <w:r>
              <w:rPr>
                <w:rFonts w:hint="eastAsia" w:ascii="Times New Roman" w:hAnsi="Times New Roman" w:cs="宋体"/>
                <w:color w:val="000000" w:themeColor="text1"/>
                <w:sz w:val="21"/>
                <w:szCs w:val="21"/>
                <w14:textFill>
                  <w14:solidFill>
                    <w14:schemeClr w14:val="tx1"/>
                  </w14:solidFill>
                </w14:textFill>
              </w:rPr>
              <w:t>mg</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L</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0025</w:t>
            </w:r>
            <w:r>
              <w:rPr>
                <w:rFonts w:hint="eastAsia" w:ascii="Times New Roman" w:hAnsi="Times New Roman" w:cs="宋体"/>
                <w:color w:val="000000" w:themeColor="text1"/>
                <w:sz w:val="21"/>
                <w:szCs w:val="21"/>
                <w14:textFill>
                  <w14:solidFill>
                    <w14:schemeClr w14:val="tx1"/>
                  </w14:solidFill>
                </w14:textFill>
              </w:rPr>
              <w:t>t</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a</w:t>
            </w:r>
          </w:p>
        </w:tc>
        <w:tc>
          <w:tcPr>
            <w:tcW w:w="1192" w:type="dxa"/>
            <w:vMerge w:val="continue"/>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431"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NH</w:t>
            </w:r>
            <w:r>
              <w:rPr>
                <w:rFonts w:hint="eastAsia" w:ascii="Times New Roman" w:hAnsi="Times New Roman" w:cs="宋体"/>
                <w:color w:val="000000" w:themeColor="text1"/>
                <w:sz w:val="21"/>
                <w:szCs w:val="21"/>
                <w:vertAlign w:val="subscript"/>
                <w14:textFill>
                  <w14:solidFill>
                    <w14:schemeClr w14:val="tx1"/>
                  </w14:solidFill>
                </w14:textFill>
              </w:rPr>
              <w:t>3</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N</w:t>
            </w: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35mg</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L</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017</w:t>
            </w:r>
            <w:r>
              <w:rPr>
                <w:rFonts w:hint="eastAsia" w:ascii="Times New Roman" w:hAnsi="Times New Roman" w:cs="宋体"/>
                <w:color w:val="000000" w:themeColor="text1"/>
                <w:sz w:val="21"/>
                <w:szCs w:val="21"/>
                <w14:textFill>
                  <w14:solidFill>
                    <w14:schemeClr w14:val="tx1"/>
                  </w14:solidFill>
                </w14:textFill>
              </w:rPr>
              <w:t>t</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a</w:t>
            </w:r>
          </w:p>
        </w:tc>
        <w:tc>
          <w:tcPr>
            <w:tcW w:w="2273" w:type="dxa"/>
            <w:vMerge w:val="continue"/>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p>
        </w:tc>
        <w:tc>
          <w:tcPr>
            <w:tcW w:w="2139" w:type="dxa"/>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4</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7</w:t>
            </w:r>
            <w:r>
              <w:rPr>
                <w:rFonts w:hint="eastAsia" w:ascii="Times New Roman" w:hAnsi="Times New Roman" w:cs="宋体"/>
                <w:color w:val="000000" w:themeColor="text1"/>
                <w:sz w:val="21"/>
                <w:szCs w:val="21"/>
                <w14:textFill>
                  <w14:solidFill>
                    <w14:schemeClr w14:val="tx1"/>
                  </w14:solidFill>
                </w14:textFill>
              </w:rPr>
              <w:t>mg</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L</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w:t>
            </w:r>
            <w:r>
              <w:rPr>
                <w:rFonts w:hint="eastAsia" w:ascii="Times New Roman" w:hAnsi="Times New Roman" w:cs="宋体"/>
                <w:color w:val="000000" w:themeColor="text1"/>
                <w:sz w:val="21"/>
                <w:szCs w:val="21"/>
                <w:lang w:val="en-US" w:eastAsia="zh-CN"/>
                <w14:textFill>
                  <w14:solidFill>
                    <w14:schemeClr w14:val="tx1"/>
                  </w14:solidFill>
                </w14:textFill>
              </w:rPr>
              <w:t>00015</w:t>
            </w:r>
            <w:r>
              <w:rPr>
                <w:rFonts w:hint="eastAsia" w:ascii="Times New Roman" w:hAnsi="Times New Roman" w:cs="宋体"/>
                <w:color w:val="000000" w:themeColor="text1"/>
                <w:sz w:val="21"/>
                <w:szCs w:val="21"/>
                <w14:textFill>
                  <w14:solidFill>
                    <w14:schemeClr w14:val="tx1"/>
                  </w14:solidFill>
                </w14:textFill>
              </w:rPr>
              <w:t>t</w:t>
            </w:r>
            <w:r>
              <w:rPr>
                <w:rFonts w:hint="eastAsia" w:hAnsi="宋体" w:cs="宋体"/>
                <w:color w:val="000000" w:themeColor="text1"/>
                <w:sz w:val="21"/>
                <w:szCs w:val="21"/>
                <w14:textFill>
                  <w14:solidFill>
                    <w14:schemeClr w14:val="tx1"/>
                  </w14:solidFill>
                </w14:textFill>
              </w:rPr>
              <w:t>/</w:t>
            </w:r>
            <w:r>
              <w:rPr>
                <w:rFonts w:hint="eastAsia" w:ascii="Times New Roman" w:hAnsi="Times New Roman" w:cs="宋体"/>
                <w:color w:val="000000" w:themeColor="text1"/>
                <w:sz w:val="21"/>
                <w:szCs w:val="21"/>
                <w14:textFill>
                  <w14:solidFill>
                    <w14:schemeClr w14:val="tx1"/>
                  </w14:solidFill>
                </w14:textFill>
              </w:rPr>
              <w:t>a</w:t>
            </w:r>
          </w:p>
        </w:tc>
        <w:tc>
          <w:tcPr>
            <w:tcW w:w="1192" w:type="dxa"/>
            <w:vMerge w:val="continue"/>
            <w:tcBorders>
              <w:tl2br w:val="nil"/>
              <w:tr2bl w:val="nil"/>
            </w:tcBorders>
            <w:vAlign w:val="center"/>
          </w:tcPr>
          <w:p>
            <w:pPr>
              <w:spacing w:line="240" w:lineRule="auto"/>
              <w:ind w:firstLine="0"/>
              <w:jc w:val="center"/>
              <w:rPr>
                <w:rFonts w:hAnsi="宋体" w:cs="宋体"/>
                <w:color w:val="000000" w:themeColor="text1"/>
                <w:sz w:val="21"/>
                <w:szCs w:val="21"/>
                <w14:textFill>
                  <w14:solidFill>
                    <w14:schemeClr w14:val="tx1"/>
                  </w14:solidFill>
                </w14:textFill>
              </w:rPr>
            </w:pPr>
          </w:p>
        </w:tc>
      </w:tr>
    </w:tbl>
    <w:p>
      <w:pPr>
        <w:bidi w:val="0"/>
        <w:rPr>
          <w:rFonts w:hint="eastAsia" w:ascii="Times New Roman" w:eastAsia="宋体"/>
          <w:lang w:val="en-US" w:eastAsia="zh-CN"/>
        </w:rPr>
      </w:pPr>
      <w:r>
        <w:rPr>
          <w:rFonts w:hint="eastAsia" w:ascii="Times New Roman"/>
          <w:lang w:eastAsia="zh-CN"/>
        </w:rPr>
        <w:t>根据已批复环评的要求，厂内生产废水、生活污水由厂区污水处理站处理后和循环水排污水、除盐水站排水一起进入园区污水处理厂处理，各类污染物须符合《合成树脂工业污染物排放标准》（</w:t>
      </w:r>
      <w:r>
        <w:rPr>
          <w:rFonts w:hint="eastAsia" w:ascii="Times New Roman" w:hAnsi="Times New Roman"/>
          <w:lang w:val="en-US" w:eastAsia="zh-CN"/>
        </w:rPr>
        <w:t>GB31572</w:t>
      </w:r>
      <w:r>
        <w:rPr>
          <w:rFonts w:hint="eastAsia" w:ascii="Times New Roman"/>
          <w:lang w:val="en-US" w:eastAsia="zh-CN"/>
        </w:rPr>
        <w:t>-</w:t>
      </w:r>
      <w:r>
        <w:rPr>
          <w:rFonts w:hint="eastAsia" w:ascii="Times New Roman" w:hAnsi="Times New Roman"/>
          <w:lang w:val="en-US" w:eastAsia="zh-CN"/>
        </w:rPr>
        <w:t>2015</w:t>
      </w:r>
      <w:r>
        <w:rPr>
          <w:rFonts w:hint="eastAsia" w:ascii="Times New Roman"/>
          <w:lang w:eastAsia="zh-CN"/>
        </w:rPr>
        <w:t>）表</w:t>
      </w:r>
      <w:r>
        <w:rPr>
          <w:rFonts w:hint="eastAsia" w:ascii="Times New Roman" w:hAnsi="Times New Roman"/>
          <w:lang w:val="en-US" w:eastAsia="zh-CN"/>
        </w:rPr>
        <w:t>1</w:t>
      </w:r>
      <w:r>
        <w:rPr>
          <w:rFonts w:hint="eastAsia" w:ascii="Times New Roman"/>
          <w:lang w:val="en-US" w:eastAsia="zh-CN"/>
        </w:rPr>
        <w:t>中新建企业水污染物间接排放浓度限值要求，未规定限值的污染物项目须符合乌苏工业园区污水处理厂设计进水水质标准要求。根据表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3</w:t>
      </w:r>
      <w:r>
        <w:rPr>
          <w:rFonts w:hint="eastAsia" w:ascii="Times New Roman"/>
          <w:lang w:val="en-US" w:eastAsia="zh-CN"/>
        </w:rPr>
        <w:t>-</w:t>
      </w:r>
      <w:r>
        <w:rPr>
          <w:rFonts w:hint="eastAsia" w:ascii="Times New Roman" w:hAnsi="Times New Roman"/>
          <w:lang w:val="en-US" w:eastAsia="zh-CN"/>
        </w:rPr>
        <w:t>1</w:t>
      </w:r>
      <w:r>
        <w:rPr>
          <w:rFonts w:hint="eastAsia" w:ascii="Times New Roman"/>
          <w:lang w:val="en-US" w:eastAsia="zh-CN"/>
        </w:rPr>
        <w:t>分析，本项目装置地面冲洗废水和生活污水产生量较小，经处理后达标排放，不会对现有污水处理系统造成较大影响。</w:t>
      </w:r>
    </w:p>
    <w:p>
      <w:pPr>
        <w:pStyle w:val="5"/>
        <w:spacing w:before="165"/>
        <w:rPr>
          <w:rFonts w:hint="eastAsia" w:eastAsia="华文楷体"/>
          <w:lang w:eastAsia="zh-CN"/>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3</w:t>
      </w:r>
      <w:r>
        <w:rPr>
          <w:rFonts w:hint="eastAsia"/>
        </w:rPr>
        <w:t>.</w:t>
      </w:r>
      <w:r>
        <w:rPr>
          <w:rFonts w:hint="eastAsia" w:ascii="Times New Roman" w:hAnsi="Times New Roman"/>
        </w:rPr>
        <w:t>2</w:t>
      </w:r>
      <w:r>
        <w:rPr>
          <w:rFonts w:hint="eastAsia"/>
          <w:lang w:eastAsia="zh-CN"/>
        </w:rPr>
        <w:t>地表水环境影响分析</w:t>
      </w:r>
    </w:p>
    <w:p>
      <w:pPr>
        <w:rPr>
          <w:rFonts w:hint="eastAsia" w:eastAsia="宋体"/>
          <w:color w:val="auto"/>
          <w:lang w:eastAsia="zh-CN"/>
        </w:rPr>
      </w:pPr>
      <w:r>
        <w:rPr>
          <w:rFonts w:hint="eastAsia"/>
          <w:color w:val="auto"/>
          <w:lang w:eastAsia="zh-CN"/>
        </w:rPr>
        <w:t>（</w:t>
      </w:r>
      <w:r>
        <w:rPr>
          <w:rFonts w:hint="eastAsia" w:ascii="Times New Roman" w:hAnsi="Times New Roman"/>
          <w:color w:val="auto"/>
          <w:lang w:val="en-US" w:eastAsia="zh-CN"/>
        </w:rPr>
        <w:t>1</w:t>
      </w:r>
      <w:r>
        <w:rPr>
          <w:rFonts w:hint="eastAsia"/>
          <w:color w:val="auto"/>
          <w:lang w:eastAsia="zh-CN"/>
        </w:rPr>
        <w:t>）水量</w:t>
      </w:r>
    </w:p>
    <w:p>
      <w:pPr>
        <w:rPr>
          <w:rFonts w:hint="eastAsia"/>
          <w:color w:val="auto"/>
        </w:rPr>
      </w:pPr>
      <w:r>
        <w:rPr>
          <w:rFonts w:hint="eastAsia"/>
          <w:color w:val="auto"/>
          <w:lang w:eastAsia="zh-CN"/>
        </w:rPr>
        <w:t>现有工程污水站设计处理规模</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万</w:t>
      </w:r>
      <w:r>
        <w:rPr>
          <w:rFonts w:hint="eastAsia" w:ascii="Times New Roman" w:hAnsi="Times New Roman"/>
          <w:color w:val="auto"/>
          <w:lang w:val="en-US" w:eastAsia="zh-CN"/>
        </w:rPr>
        <w:t>m</w:t>
      </w:r>
      <w:r>
        <w:rPr>
          <w:rFonts w:hint="eastAsia"/>
          <w:color w:val="auto"/>
          <w:lang w:val="en-US" w:eastAsia="zh-CN"/>
        </w:rPr>
        <w:t>³/</w:t>
      </w:r>
      <w:r>
        <w:rPr>
          <w:rFonts w:hint="eastAsia" w:ascii="Times New Roman" w:hAnsi="Times New Roman"/>
          <w:color w:val="auto"/>
          <w:lang w:val="en-US" w:eastAsia="zh-CN"/>
        </w:rPr>
        <w:t>d</w:t>
      </w:r>
      <w:r>
        <w:rPr>
          <w:rFonts w:hint="eastAsia"/>
          <w:color w:val="auto"/>
          <w:lang w:val="en-US" w:eastAsia="zh-CN"/>
        </w:rPr>
        <w:t>，满负荷情况下污水处理量为</w:t>
      </w:r>
      <w:r>
        <w:rPr>
          <w:rFonts w:hint="eastAsia" w:ascii="Times New Roman" w:hAnsi="Times New Roman"/>
          <w:color w:val="auto"/>
          <w:lang w:val="en-US" w:eastAsia="zh-CN"/>
        </w:rPr>
        <w:t>153</w:t>
      </w:r>
      <w:r>
        <w:rPr>
          <w:rFonts w:hint="eastAsia"/>
          <w:color w:val="auto"/>
          <w:lang w:val="en-US" w:eastAsia="zh-CN"/>
        </w:rPr>
        <w:t>.</w:t>
      </w:r>
      <w:r>
        <w:rPr>
          <w:rFonts w:hint="eastAsia" w:ascii="Times New Roman" w:hAnsi="Times New Roman"/>
          <w:color w:val="auto"/>
          <w:lang w:val="en-US" w:eastAsia="zh-CN"/>
        </w:rPr>
        <w:t>08t</w:t>
      </w:r>
      <w:r>
        <w:rPr>
          <w:rFonts w:hint="eastAsia"/>
          <w:color w:val="auto"/>
          <w:lang w:val="en-US" w:eastAsia="zh-CN"/>
        </w:rPr>
        <w:t>/</w:t>
      </w:r>
      <w:r>
        <w:rPr>
          <w:rFonts w:hint="eastAsia" w:ascii="Times New Roman" w:hAnsi="Times New Roman"/>
          <w:color w:val="auto"/>
          <w:lang w:val="en-US" w:eastAsia="zh-CN"/>
        </w:rPr>
        <w:t>h</w:t>
      </w:r>
      <w:r>
        <w:rPr>
          <w:rFonts w:hint="eastAsia"/>
          <w:color w:val="auto"/>
          <w:lang w:val="en-US" w:eastAsia="zh-CN"/>
        </w:rPr>
        <w:t>（</w:t>
      </w:r>
      <w:r>
        <w:rPr>
          <w:rFonts w:hint="eastAsia" w:ascii="Times New Roman" w:hAnsi="Times New Roman"/>
          <w:color w:val="auto"/>
          <w:lang w:val="en-US" w:eastAsia="zh-CN"/>
        </w:rPr>
        <w:t>3673</w:t>
      </w:r>
      <w:r>
        <w:rPr>
          <w:rFonts w:hint="eastAsia"/>
          <w:color w:val="auto"/>
          <w:lang w:val="en-US" w:eastAsia="zh-CN"/>
        </w:rPr>
        <w:t>.</w:t>
      </w:r>
      <w:r>
        <w:rPr>
          <w:rFonts w:hint="eastAsia" w:ascii="Times New Roman" w:hAnsi="Times New Roman"/>
          <w:color w:val="auto"/>
          <w:lang w:val="en-US" w:eastAsia="zh-CN"/>
        </w:rPr>
        <w:t>92m</w:t>
      </w:r>
      <w:r>
        <w:rPr>
          <w:rFonts w:hint="eastAsia"/>
          <w:color w:val="auto"/>
          <w:lang w:val="en-US" w:eastAsia="zh-CN"/>
        </w:rPr>
        <w:t>³/</w:t>
      </w:r>
      <w:r>
        <w:rPr>
          <w:rFonts w:hint="eastAsia" w:ascii="Times New Roman" w:hAnsi="Times New Roman"/>
          <w:color w:val="auto"/>
          <w:lang w:val="en-US" w:eastAsia="zh-CN"/>
        </w:rPr>
        <w:t>d</w:t>
      </w:r>
      <w:r>
        <w:rPr>
          <w:rFonts w:hint="eastAsia"/>
          <w:color w:val="auto"/>
          <w:lang w:val="en-US" w:eastAsia="zh-CN"/>
        </w:rPr>
        <w:t>），污水站富余处理能力</w:t>
      </w:r>
      <w:r>
        <w:rPr>
          <w:rFonts w:hint="eastAsia" w:ascii="Times New Roman" w:hAnsi="Times New Roman"/>
          <w:color w:val="auto"/>
          <w:lang w:val="en-US" w:eastAsia="zh-CN"/>
        </w:rPr>
        <w:t>7326</w:t>
      </w:r>
      <w:r>
        <w:rPr>
          <w:rFonts w:hint="eastAsia"/>
          <w:color w:val="auto"/>
          <w:lang w:val="en-US" w:eastAsia="zh-CN"/>
        </w:rPr>
        <w:t>.</w:t>
      </w:r>
      <w:r>
        <w:rPr>
          <w:rFonts w:hint="eastAsia" w:ascii="Times New Roman" w:hAnsi="Times New Roman"/>
          <w:color w:val="auto"/>
          <w:lang w:val="en-US" w:eastAsia="zh-CN"/>
        </w:rPr>
        <w:t>08m</w:t>
      </w:r>
      <w:r>
        <w:rPr>
          <w:rFonts w:hint="eastAsia"/>
          <w:color w:val="auto"/>
          <w:lang w:val="en-US" w:eastAsia="zh-CN"/>
        </w:rPr>
        <w:t>³/</w:t>
      </w:r>
      <w:r>
        <w:rPr>
          <w:rFonts w:hint="eastAsia" w:ascii="Times New Roman" w:hAnsi="Times New Roman"/>
          <w:color w:val="auto"/>
          <w:lang w:val="en-US" w:eastAsia="zh-CN"/>
        </w:rPr>
        <w:t>d</w:t>
      </w:r>
      <w:r>
        <w:rPr>
          <w:rFonts w:hint="eastAsia"/>
          <w:color w:val="auto"/>
          <w:lang w:val="en-US" w:eastAsia="zh-CN"/>
        </w:rPr>
        <w:t>，本项目排入污水站废水量仅为</w:t>
      </w:r>
      <w:r>
        <w:rPr>
          <w:rFonts w:hint="eastAsia" w:ascii="Times New Roman" w:hAnsi="Times New Roman"/>
          <w:color w:val="auto"/>
          <w:lang w:val="en-US" w:eastAsia="zh-CN"/>
        </w:rPr>
        <w:t>479</w:t>
      </w:r>
      <w:r>
        <w:rPr>
          <w:rFonts w:hint="eastAsia"/>
          <w:color w:val="auto"/>
          <w:lang w:val="en-US" w:eastAsia="zh-CN"/>
        </w:rPr>
        <w:t>.</w:t>
      </w:r>
      <w:r>
        <w:rPr>
          <w:rFonts w:hint="eastAsia" w:ascii="Times New Roman" w:hAnsi="Times New Roman"/>
          <w:color w:val="auto"/>
          <w:lang w:val="en-US" w:eastAsia="zh-CN"/>
        </w:rPr>
        <w:t>14m</w:t>
      </w:r>
      <w:r>
        <w:rPr>
          <w:rFonts w:hint="eastAsia"/>
          <w:color w:val="auto"/>
          <w:lang w:val="en-US" w:eastAsia="zh-CN"/>
        </w:rPr>
        <w:t>³/</w:t>
      </w:r>
      <w:r>
        <w:rPr>
          <w:rFonts w:hint="eastAsia" w:ascii="Times New Roman" w:hAnsi="Times New Roman"/>
          <w:color w:val="auto"/>
          <w:lang w:val="en-US" w:eastAsia="zh-CN"/>
        </w:rPr>
        <w:t>a</w:t>
      </w:r>
      <w:r>
        <w:rPr>
          <w:rFonts w:hint="eastAsia"/>
          <w:color w:val="auto"/>
          <w:lang w:val="en-US" w:eastAsia="zh-CN"/>
        </w:rPr>
        <w:t>，因此现有工程污水站可以满足本项目需要。</w:t>
      </w:r>
    </w:p>
    <w:p>
      <w:pPr>
        <w:rPr>
          <w:rFonts w:hint="default" w:eastAsia="宋体"/>
          <w:color w:val="auto"/>
          <w:lang w:val="en-US" w:eastAsia="zh-CN"/>
        </w:rPr>
      </w:pP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）水质</w:t>
      </w:r>
    </w:p>
    <w:p>
      <w:pPr>
        <w:rPr>
          <w:rFonts w:hint="eastAsia"/>
          <w:color w:val="auto"/>
          <w:lang w:val="en-US" w:eastAsia="zh-CN"/>
        </w:rPr>
      </w:pPr>
      <w:r>
        <w:rPr>
          <w:rFonts w:hint="eastAsia"/>
          <w:color w:val="auto"/>
        </w:rPr>
        <w:t>本项目</w:t>
      </w:r>
      <w:r>
        <w:rPr>
          <w:rFonts w:hint="eastAsia"/>
          <w:color w:val="auto"/>
          <w:lang w:eastAsia="zh-CN"/>
        </w:rPr>
        <w:t>废水产生量很小，仅为地面装置冲洗废水和少量生活污水，污水站采用水解酸化</w:t>
      </w:r>
      <w:r>
        <w:rPr>
          <w:rFonts w:hint="eastAsia"/>
          <w:color w:val="auto"/>
          <w:lang w:val="en-US" w:eastAsia="zh-CN"/>
        </w:rPr>
        <w:t>+</w:t>
      </w:r>
      <w:r>
        <w:rPr>
          <w:rFonts w:hint="eastAsia" w:ascii="Times New Roman" w:hAnsi="Times New Roman"/>
          <w:color w:val="auto"/>
          <w:lang w:val="en-US" w:eastAsia="zh-CN"/>
        </w:rPr>
        <w:t>A2O</w:t>
      </w:r>
      <w:r>
        <w:rPr>
          <w:rFonts w:hint="eastAsia"/>
          <w:color w:val="auto"/>
          <w:lang w:val="en-US" w:eastAsia="zh-CN"/>
        </w:rPr>
        <w:t>处理工艺</w:t>
      </w:r>
      <w:r>
        <w:rPr>
          <w:rFonts w:hint="eastAsia"/>
          <w:color w:val="auto"/>
          <w:lang w:eastAsia="zh-CN"/>
        </w:rPr>
        <w:t>。废水经处理后主要污染物</w:t>
      </w:r>
      <w:r>
        <w:rPr>
          <w:rFonts w:hint="eastAsia" w:ascii="Times New Roman" w:hAnsi="Times New Roman"/>
          <w:color w:val="auto"/>
          <w:lang w:val="en-US" w:eastAsia="zh-CN"/>
        </w:rPr>
        <w:t>COD</w:t>
      </w:r>
      <w:r>
        <w:rPr>
          <w:rFonts w:hint="eastAsia"/>
          <w:color w:val="auto"/>
          <w:lang w:val="en-US" w:eastAsia="zh-CN"/>
        </w:rPr>
        <w:t>、</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color w:val="auto"/>
          <w:lang w:val="en-US" w:eastAsia="zh-CN"/>
        </w:rPr>
        <w:t>、</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color w:val="auto"/>
          <w:lang w:val="en-US" w:eastAsia="zh-CN"/>
        </w:rPr>
        <w:t>-</w:t>
      </w:r>
      <w:r>
        <w:rPr>
          <w:rFonts w:hint="eastAsia" w:ascii="Times New Roman" w:hAnsi="Times New Roman"/>
          <w:color w:val="auto"/>
          <w:lang w:val="en-US" w:eastAsia="zh-CN"/>
        </w:rPr>
        <w:t>N</w:t>
      </w:r>
      <w:r>
        <w:rPr>
          <w:rFonts w:hint="eastAsia"/>
          <w:color w:val="auto"/>
          <w:lang w:val="en-US" w:eastAsia="zh-CN"/>
        </w:rPr>
        <w:t>均</w:t>
      </w:r>
      <w:r>
        <w:rPr>
          <w:rFonts w:hint="eastAsia"/>
          <w:color w:val="auto"/>
          <w:lang w:eastAsia="zh-CN"/>
        </w:rPr>
        <w:t>可满足</w:t>
      </w:r>
      <w:r>
        <w:rPr>
          <w:rFonts w:hint="eastAsia"/>
          <w:color w:val="auto"/>
          <w:lang w:val="en-US" w:eastAsia="zh-CN"/>
        </w:rPr>
        <w:t>《污水排入城镇下水道水质标准》（</w:t>
      </w:r>
      <w:r>
        <w:rPr>
          <w:rFonts w:hint="eastAsia" w:ascii="Times New Roman" w:hAnsi="Times New Roman"/>
          <w:color w:val="auto"/>
          <w:lang w:val="en-US" w:eastAsia="zh-CN"/>
        </w:rPr>
        <w:t>GB</w:t>
      </w:r>
      <w:r>
        <w:rPr>
          <w:rFonts w:hint="eastAsia"/>
          <w:color w:val="auto"/>
          <w:lang w:val="en-US" w:eastAsia="zh-CN"/>
        </w:rPr>
        <w:t>/</w:t>
      </w:r>
      <w:r>
        <w:rPr>
          <w:rFonts w:hint="eastAsia" w:ascii="Times New Roman" w:hAnsi="Times New Roman"/>
          <w:color w:val="auto"/>
          <w:lang w:val="en-US" w:eastAsia="zh-CN"/>
        </w:rPr>
        <w:t>T31962</w:t>
      </w:r>
      <w:r>
        <w:rPr>
          <w:rFonts w:hint="eastAsia"/>
          <w:color w:val="auto"/>
          <w:lang w:val="en-US" w:eastAsia="zh-CN"/>
        </w:rPr>
        <w:t>-</w:t>
      </w:r>
      <w:r>
        <w:rPr>
          <w:rFonts w:hint="eastAsia" w:ascii="Times New Roman" w:hAnsi="Times New Roman"/>
          <w:color w:val="auto"/>
          <w:lang w:val="en-US" w:eastAsia="zh-CN"/>
        </w:rPr>
        <w:t>2015</w:t>
      </w:r>
      <w:r>
        <w:rPr>
          <w:rFonts w:hint="eastAsia"/>
          <w:color w:val="auto"/>
          <w:lang w:val="en-US" w:eastAsia="zh-CN"/>
        </w:rPr>
        <w:t>）表</w:t>
      </w:r>
      <w:r>
        <w:rPr>
          <w:rFonts w:hint="eastAsia" w:ascii="Times New Roman" w:hAnsi="Times New Roman"/>
          <w:color w:val="auto"/>
          <w:lang w:val="en-US" w:eastAsia="zh-CN"/>
        </w:rPr>
        <w:t>1B</w:t>
      </w:r>
      <w:r>
        <w:rPr>
          <w:rFonts w:hint="eastAsia"/>
          <w:color w:val="auto"/>
          <w:lang w:val="en-US" w:eastAsia="zh-CN"/>
        </w:rPr>
        <w:t>级限值。</w:t>
      </w:r>
    </w:p>
    <w:p>
      <w:pPr>
        <w:rPr>
          <w:rFonts w:hint="eastAsia"/>
          <w:lang w:val="en-US" w:eastAsia="zh-CN"/>
        </w:rPr>
      </w:pPr>
      <w:r>
        <w:rPr>
          <w:rFonts w:hint="eastAsia"/>
          <w:color w:val="auto"/>
          <w:lang w:val="en-US" w:eastAsia="zh-CN"/>
        </w:rPr>
        <w:t>本项目实施后，增加系统循环水排水，根据现有工程“清污</w:t>
      </w:r>
      <w:r>
        <w:rPr>
          <w:rFonts w:hint="eastAsia"/>
          <w:lang w:val="en-US" w:eastAsia="zh-CN"/>
        </w:rPr>
        <w:t>分流”要求排入园区下水管网。</w:t>
      </w:r>
    </w:p>
    <w:p>
      <w:pPr>
        <w:rPr>
          <w:rFonts w:hint="eastAsia"/>
        </w:rPr>
      </w:pPr>
      <w:r>
        <w:rPr>
          <w:rFonts w:hint="eastAsia"/>
          <w:lang w:val="en-US" w:eastAsia="zh-CN"/>
        </w:rPr>
        <w:t>本项目实施后，从水量和水质上均不会对下游污水处理厂造成较大影响。污水处理厂对废水进一步处理后，可达到《城镇污水处理厂污染物排放标准》（</w:t>
      </w:r>
      <w:r>
        <w:rPr>
          <w:rFonts w:hint="eastAsia" w:ascii="Times New Roman" w:hAnsi="Times New Roman"/>
          <w:lang w:val="en-US" w:eastAsia="zh-CN"/>
        </w:rPr>
        <w:t>GB18918</w:t>
      </w:r>
      <w:r>
        <w:rPr>
          <w:rFonts w:hint="eastAsia"/>
          <w:lang w:val="en-US" w:eastAsia="zh-CN"/>
        </w:rPr>
        <w:t>-</w:t>
      </w:r>
      <w:r>
        <w:rPr>
          <w:rFonts w:hint="eastAsia" w:ascii="Times New Roman" w:hAnsi="Times New Roman"/>
          <w:lang w:val="en-US" w:eastAsia="zh-CN"/>
        </w:rPr>
        <w:t>2002</w:t>
      </w:r>
      <w:r>
        <w:rPr>
          <w:rFonts w:hint="eastAsia"/>
          <w:lang w:val="en-US" w:eastAsia="zh-CN"/>
        </w:rPr>
        <w:t>）表</w:t>
      </w:r>
      <w:r>
        <w:rPr>
          <w:rFonts w:hint="eastAsia" w:ascii="Times New Roman" w:hAnsi="Times New Roman"/>
          <w:lang w:val="en-US" w:eastAsia="zh-CN"/>
        </w:rPr>
        <w:t>1</w:t>
      </w:r>
      <w:r>
        <w:rPr>
          <w:rFonts w:hint="eastAsia"/>
          <w:lang w:val="en-US" w:eastAsia="zh-CN"/>
        </w:rPr>
        <w:t>一级</w:t>
      </w:r>
      <w:r>
        <w:rPr>
          <w:rFonts w:hint="eastAsia" w:ascii="Times New Roman" w:hAnsi="Times New Roman"/>
          <w:lang w:val="en-US" w:eastAsia="zh-CN"/>
        </w:rPr>
        <w:t>A</w:t>
      </w:r>
      <w:r>
        <w:rPr>
          <w:rFonts w:hint="eastAsia"/>
          <w:lang w:val="en-US" w:eastAsia="zh-CN"/>
        </w:rPr>
        <w:t>标准限值，因此本项目对周边水环境的影响很小。</w:t>
      </w:r>
    </w:p>
    <w:p>
      <w:pPr>
        <w:pStyle w:val="4"/>
        <w:spacing w:before="165" w:after="165"/>
        <w:rPr>
          <w:rFonts w:hint="eastAsia" w:eastAsia="楷体_GB2312"/>
          <w:lang w:eastAsia="zh-CN"/>
        </w:rPr>
      </w:pPr>
      <w:bookmarkStart w:id="212" w:name="_Toc22863"/>
      <w:bookmarkStart w:id="213" w:name="_Toc32055"/>
      <w:r>
        <w:rPr>
          <w:rFonts w:hint="eastAsia" w:ascii="Times New Roman" w:hAnsi="Times New Roman"/>
          <w:lang w:val="en-US" w:eastAsia="zh-CN"/>
        </w:rPr>
        <w:t>6</w:t>
      </w:r>
      <w:r>
        <w:rPr>
          <w:rFonts w:hint="eastAsia"/>
        </w:rPr>
        <w:t>.</w:t>
      </w:r>
      <w:r>
        <w:rPr>
          <w:rFonts w:hint="eastAsia" w:ascii="Times New Roman" w:hAnsi="Times New Roman"/>
          <w:lang w:val="en-US" w:eastAsia="zh-CN"/>
        </w:rPr>
        <w:t>4</w:t>
      </w:r>
      <w:r>
        <w:rPr>
          <w:rFonts w:hint="eastAsia"/>
        </w:rPr>
        <w:t>地下水环境影响</w:t>
      </w:r>
      <w:bookmarkEnd w:id="212"/>
      <w:r>
        <w:rPr>
          <w:rFonts w:hint="eastAsia"/>
          <w:lang w:eastAsia="zh-CN"/>
        </w:rPr>
        <w:t>预测评价</w:t>
      </w:r>
      <w:bookmarkEnd w:id="213"/>
    </w:p>
    <w:p>
      <w:pPr>
        <w:pStyle w:val="5"/>
        <w:spacing w:before="165"/>
        <w:rPr>
          <w:rFonts w:hint="default" w:ascii="Times New Roman" w:hAnsi="Times New Roman" w:cs="Times New Roman"/>
          <w:lang w:val="en-US" w:eastAsia="zh-CN"/>
        </w:rPr>
      </w:pPr>
      <w:bookmarkStart w:id="214" w:name="_Toc478649462"/>
      <w:r>
        <w:rPr>
          <w:rFonts w:hint="eastAsia" w:ascii="Times New Roman" w:hAnsi="Times New Roman"/>
          <w:lang w:val="en-US" w:eastAsia="zh-CN"/>
        </w:rPr>
        <w:t>6</w:t>
      </w:r>
      <w:r>
        <w:rPr>
          <w:rFonts w:hint="default"/>
        </w:rPr>
        <w:t>.</w:t>
      </w:r>
      <w:r>
        <w:rPr>
          <w:rFonts w:hint="default" w:ascii="Times New Roman" w:hAnsi="Times New Roman"/>
          <w:lang w:val="en-US" w:eastAsia="zh-CN"/>
        </w:rPr>
        <w:t>4</w:t>
      </w:r>
      <w:r>
        <w:rPr>
          <w:rFonts w:hint="default"/>
        </w:rPr>
        <w:t>.</w:t>
      </w:r>
      <w:r>
        <w:rPr>
          <w:rFonts w:hint="default" w:ascii="Times New Roman" w:hAnsi="Times New Roman"/>
          <w:lang w:val="en-US" w:eastAsia="zh-CN"/>
        </w:rPr>
        <w:t>1</w:t>
      </w:r>
      <w:r>
        <w:rPr>
          <w:rFonts w:hint="eastAsia"/>
          <w:lang w:val="en-US" w:eastAsia="zh-CN"/>
        </w:rPr>
        <w:t>评价区水文地质条件</w:t>
      </w:r>
    </w:p>
    <w:p>
      <w:pPr>
        <w:bidi w:val="0"/>
        <w:rPr>
          <w:rFonts w:hint="default"/>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）地下水类型</w:t>
      </w:r>
    </w:p>
    <w:p>
      <w:pPr>
        <w:bidi w:val="0"/>
        <w:rPr>
          <w:rFonts w:hint="default"/>
          <w:lang w:val="en-US" w:eastAsia="zh-CN"/>
        </w:rPr>
      </w:pPr>
      <w:r>
        <w:rPr>
          <w:rFonts w:hint="default"/>
          <w:lang w:val="en-US" w:eastAsia="zh-CN"/>
        </w:rPr>
        <w:t>乌苏市地下水分为松散岩类孔隙水、基岩裂隙水、碎屑岩类裂隙孔隙水、冰结层地下水和矿水</w:t>
      </w:r>
      <w:r>
        <w:rPr>
          <w:rFonts w:hint="default" w:ascii="Times New Roman" w:hAnsi="Times New Roman"/>
          <w:lang w:val="en-US" w:eastAsia="zh-CN"/>
        </w:rPr>
        <w:t>5</w:t>
      </w:r>
      <w:r>
        <w:rPr>
          <w:rFonts w:hint="default"/>
          <w:lang w:val="en-US" w:eastAsia="zh-CN"/>
        </w:rPr>
        <w:t>种基本类型，其中第一种类型分布范围最广。地下水的补给来源主要为大气降水、山前侧渗、暴雨洪流、河道入渗、渠系入渗、田间入渗、水库入渗。地下水的排泄方式主要有：人工开采，侧向流出，潜水蒸发，以及泉水溢出。</w:t>
      </w:r>
    </w:p>
    <w:p>
      <w:pPr>
        <w:bidi w:val="0"/>
        <w:rPr>
          <w:rFonts w:hint="default"/>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）含水层分布</w:t>
      </w:r>
    </w:p>
    <w:p>
      <w:pPr>
        <w:bidi w:val="0"/>
        <w:rPr>
          <w:rFonts w:hint="default"/>
          <w:lang w:val="en-US" w:eastAsia="zh-CN"/>
        </w:rPr>
      </w:pPr>
      <w:r>
        <w:rPr>
          <w:rFonts w:hint="default"/>
          <w:lang w:val="en-US" w:eastAsia="zh-CN"/>
        </w:rPr>
        <w:t>根据新疆塔城水文水资源勘测局相关资料，乌苏市含水层为单一结构的潜水含水层，富水性极强。单一结构的潜水含水层主要分布在山前洪积倾斜平原地带，含水层可划分为水量极丰富、水量丰富的</w:t>
      </w:r>
      <w:r>
        <w:rPr>
          <w:rFonts w:hint="default" w:ascii="Times New Roman" w:hAnsi="Times New Roman"/>
          <w:lang w:val="en-US" w:eastAsia="zh-CN"/>
        </w:rPr>
        <w:t>2</w:t>
      </w:r>
      <w:r>
        <w:rPr>
          <w:rFonts w:hint="default"/>
          <w:lang w:val="en-US" w:eastAsia="zh-CN"/>
        </w:rPr>
        <w:t>个等级。</w:t>
      </w:r>
    </w:p>
    <w:p>
      <w:pPr>
        <w:bidi w:val="0"/>
        <w:rPr>
          <w:rFonts w:hint="default"/>
          <w:lang w:val="en-US" w:eastAsia="zh-CN"/>
        </w:rPr>
      </w:pPr>
      <w:r>
        <w:rPr>
          <w:rFonts w:hint="default"/>
          <w:lang w:val="en-US" w:eastAsia="zh-CN"/>
        </w:rPr>
        <w:t>水量极丰富的潜水含水层分布在南山山前洪积平原的奎屯河、四棵树河、古尔图河现代河道两侧及三条河流所形成的洪积扇轴部，含水层岩性为卵砾石、砂砾石层，潜水位埋深一般大于</w:t>
      </w:r>
      <w:r>
        <w:rPr>
          <w:rFonts w:hint="default" w:ascii="Times New Roman" w:hAnsi="Times New Roman"/>
          <w:lang w:val="en-US" w:eastAsia="zh-CN"/>
        </w:rPr>
        <w:t>20m</w:t>
      </w:r>
      <w:r>
        <w:rPr>
          <w:rFonts w:hint="default"/>
          <w:lang w:val="en-US" w:eastAsia="zh-CN"/>
        </w:rPr>
        <w:t>，渗透系数一般大于</w:t>
      </w:r>
      <w:r>
        <w:rPr>
          <w:rFonts w:hint="default" w:ascii="Times New Roman" w:hAnsi="Times New Roman"/>
          <w:lang w:val="en-US" w:eastAsia="zh-CN"/>
        </w:rPr>
        <w:t>25m</w:t>
      </w:r>
      <w:r>
        <w:rPr>
          <w:rFonts w:hint="default"/>
          <w:lang w:val="en-US" w:eastAsia="zh-CN"/>
        </w:rPr>
        <w:t>/</w:t>
      </w:r>
      <w:r>
        <w:rPr>
          <w:rFonts w:hint="default" w:ascii="Times New Roman" w:hAnsi="Times New Roman"/>
          <w:lang w:val="en-US" w:eastAsia="zh-CN"/>
        </w:rPr>
        <w:t>d</w:t>
      </w:r>
      <w:r>
        <w:rPr>
          <w:rFonts w:hint="default"/>
          <w:lang w:val="en-US" w:eastAsia="zh-CN"/>
        </w:rPr>
        <w:t>，单井涌水量为</w:t>
      </w:r>
      <w:r>
        <w:rPr>
          <w:rFonts w:hint="default" w:ascii="Times New Roman" w:hAnsi="Times New Roman"/>
          <w:lang w:val="en-US" w:eastAsia="zh-CN"/>
        </w:rPr>
        <w:t>5060m</w:t>
      </w:r>
      <w:r>
        <w:rPr>
          <w:rFonts w:hint="default" w:ascii="Times New Roman" w:hAnsi="Times New Roman"/>
          <w:vertAlign w:val="superscript"/>
          <w:lang w:val="en-US" w:eastAsia="zh-CN"/>
        </w:rPr>
        <w:t>3</w:t>
      </w:r>
      <w:r>
        <w:rPr>
          <w:rFonts w:hint="default"/>
          <w:lang w:val="en-US" w:eastAsia="zh-CN"/>
        </w:rPr>
        <w:t>/</w:t>
      </w:r>
      <w:r>
        <w:rPr>
          <w:rFonts w:hint="default" w:ascii="Times New Roman" w:hAnsi="Times New Roman"/>
          <w:lang w:val="en-US" w:eastAsia="zh-CN"/>
        </w:rPr>
        <w:t>d</w:t>
      </w:r>
      <w:r>
        <w:rPr>
          <w:rFonts w:hint="default"/>
          <w:lang w:val="en-US" w:eastAsia="zh-CN"/>
        </w:rPr>
        <w:t>，属水量极丰富区，其中奎屯河地段富水性最强。</w:t>
      </w:r>
    </w:p>
    <w:p>
      <w:pPr>
        <w:bidi w:val="0"/>
        <w:rPr>
          <w:rFonts w:hint="default"/>
          <w:lang w:val="en-US" w:eastAsia="zh-CN"/>
        </w:rPr>
      </w:pPr>
      <w:r>
        <w:rPr>
          <w:rFonts w:hint="default"/>
          <w:lang w:val="en-US" w:eastAsia="zh-CN"/>
        </w:rPr>
        <w:t>水量丰富的潜水含水层分布于乌苏市北部山前洪积平原地带，含水层岩性为砂砾石、细砂和含土砂砾石，水文埋深</w:t>
      </w:r>
      <w:r>
        <w:rPr>
          <w:rFonts w:hint="default" w:ascii="Times New Roman" w:hAnsi="Times New Roman"/>
          <w:lang w:val="en-US" w:eastAsia="zh-CN"/>
        </w:rPr>
        <w:t>2</w:t>
      </w:r>
      <w:r>
        <w:rPr>
          <w:rFonts w:hint="default"/>
          <w:lang w:val="en-US" w:eastAsia="zh-CN"/>
        </w:rPr>
        <w:t>.</w:t>
      </w:r>
      <w:r>
        <w:rPr>
          <w:rFonts w:hint="default" w:ascii="Times New Roman" w:hAnsi="Times New Roman"/>
          <w:lang w:val="en-US" w:eastAsia="zh-CN"/>
        </w:rPr>
        <w:t>8m</w:t>
      </w:r>
      <w:r>
        <w:rPr>
          <w:rFonts w:hint="default"/>
          <w:lang w:val="en-US" w:eastAsia="zh-CN"/>
        </w:rPr>
        <w:t>，渗透系数</w:t>
      </w:r>
      <w:r>
        <w:rPr>
          <w:rFonts w:hint="default" w:ascii="Times New Roman" w:hAnsi="Times New Roman"/>
          <w:lang w:val="en-US" w:eastAsia="zh-CN"/>
        </w:rPr>
        <w:t>0</w:t>
      </w:r>
      <w:r>
        <w:rPr>
          <w:rFonts w:hint="default"/>
          <w:lang w:val="en-US" w:eastAsia="zh-CN"/>
        </w:rPr>
        <w:t>.</w:t>
      </w:r>
      <w:r>
        <w:rPr>
          <w:rFonts w:hint="default" w:ascii="Times New Roman" w:hAnsi="Times New Roman"/>
          <w:lang w:val="en-US" w:eastAsia="zh-CN"/>
        </w:rPr>
        <w:t>5m</w:t>
      </w:r>
      <w:r>
        <w:rPr>
          <w:rFonts w:hint="default"/>
          <w:lang w:val="en-US" w:eastAsia="zh-CN"/>
        </w:rPr>
        <w:t>/</w:t>
      </w:r>
      <w:r>
        <w:rPr>
          <w:rFonts w:hint="default" w:ascii="Times New Roman" w:hAnsi="Times New Roman"/>
          <w:lang w:val="en-US" w:eastAsia="zh-CN"/>
        </w:rPr>
        <w:t>d</w:t>
      </w:r>
      <w:r>
        <w:rPr>
          <w:rFonts w:hint="default"/>
          <w:lang w:val="en-US" w:eastAsia="zh-CN"/>
        </w:rPr>
        <w:t>，单井涌水量为</w:t>
      </w:r>
      <w:r>
        <w:rPr>
          <w:rFonts w:hint="default" w:ascii="Times New Roman" w:hAnsi="Times New Roman"/>
          <w:lang w:val="en-US" w:eastAsia="zh-CN"/>
        </w:rPr>
        <w:t>1224m</w:t>
      </w:r>
      <w:r>
        <w:rPr>
          <w:rFonts w:hint="default" w:ascii="Times New Roman" w:hAnsi="Times New Roman"/>
          <w:vertAlign w:val="superscript"/>
          <w:lang w:val="en-US" w:eastAsia="zh-CN"/>
        </w:rPr>
        <w:t>3</w:t>
      </w:r>
      <w:r>
        <w:rPr>
          <w:rFonts w:hint="default"/>
          <w:lang w:val="en-US" w:eastAsia="zh-CN"/>
        </w:rPr>
        <w:t>/</w:t>
      </w:r>
      <w:r>
        <w:rPr>
          <w:rFonts w:hint="default" w:ascii="Times New Roman" w:hAnsi="Times New Roman"/>
          <w:lang w:val="en-US" w:eastAsia="zh-CN"/>
        </w:rPr>
        <w:t>d</w:t>
      </w:r>
      <w:r>
        <w:rPr>
          <w:rFonts w:hint="default"/>
          <w:lang w:val="en-US" w:eastAsia="zh-CN"/>
        </w:rPr>
        <w:t>。</w:t>
      </w:r>
    </w:p>
    <w:p>
      <w:pPr>
        <w:bidi w:val="0"/>
        <w:rPr>
          <w:rFonts w:hint="default"/>
          <w:lang w:val="en-US" w:eastAsia="zh-CN"/>
        </w:rPr>
      </w:pPr>
      <w:r>
        <w:rPr>
          <w:rFonts w:hint="eastAsia"/>
          <w:lang w:val="en-US" w:eastAsia="zh-CN"/>
        </w:rPr>
        <w:t>（</w:t>
      </w:r>
      <w:r>
        <w:rPr>
          <w:rFonts w:hint="eastAsia" w:ascii="Times New Roman" w:hAnsi="Times New Roman"/>
          <w:lang w:val="en-US" w:eastAsia="zh-CN"/>
        </w:rPr>
        <w:t>3</w:t>
      </w:r>
      <w:r>
        <w:rPr>
          <w:rFonts w:hint="eastAsia"/>
          <w:lang w:val="en-US" w:eastAsia="zh-CN"/>
        </w:rPr>
        <w:t>）地下水补给、径流与排泄条件</w:t>
      </w:r>
    </w:p>
    <w:p>
      <w:pPr>
        <w:bidi w:val="0"/>
        <w:rPr>
          <w:rFonts w:hint="default"/>
          <w:lang w:val="en-US" w:eastAsia="zh-CN"/>
        </w:rPr>
      </w:pPr>
      <w:r>
        <w:rPr>
          <w:rFonts w:hint="eastAsia"/>
          <w:lang w:val="en-US" w:eastAsia="zh-CN"/>
        </w:rPr>
        <w:t>评价</w:t>
      </w:r>
      <w:r>
        <w:rPr>
          <w:rFonts w:hint="default"/>
          <w:lang w:val="en-US" w:eastAsia="zh-CN"/>
        </w:rPr>
        <w:t>区无地表</w:t>
      </w:r>
      <w:r>
        <w:rPr>
          <w:rFonts w:hint="eastAsia"/>
          <w:lang w:val="en-US" w:eastAsia="zh-CN"/>
        </w:rPr>
        <w:t>径流</w:t>
      </w:r>
      <w:r>
        <w:rPr>
          <w:rFonts w:hint="default"/>
          <w:lang w:val="en-US" w:eastAsia="zh-CN"/>
        </w:rPr>
        <w:t>及其它水体，大气降水为地下水的主要补给源。大气降水通过地表风化裂隙补给地下水，亦可通过第四系风积透水不含水层、第四系冲洪积透水不含水层间接补给地下水。但是由于当地气候干燥，蒸发强烈，降水稀少，对地下水的补给量的影响很微弱。</w:t>
      </w:r>
    </w:p>
    <w:p>
      <w:pPr>
        <w:bidi w:val="0"/>
        <w:rPr>
          <w:rFonts w:hint="default"/>
          <w:lang w:val="en-US" w:eastAsia="zh-CN"/>
        </w:rPr>
      </w:pPr>
      <w:r>
        <w:rPr>
          <w:rFonts w:hint="default"/>
          <w:lang w:val="en-US" w:eastAsia="zh-CN"/>
        </w:rPr>
        <w:t>厂址水文地质钻探结果表明，泥浆消耗量在第四系地层及基岩顶部较大，常有漏水现象，而在地层深部，由于裂隙不发育，泥浆无明显消耗，可见地层在垂向上，埋藏越深其孔隙裂隙越不发育，径流条件越差，地下水补给微弱，通道不畅，运移迟缓，交替不频。勘查区地下水排泄方式主要以向下游侧向缓慢径流。</w:t>
      </w:r>
    </w:p>
    <w:p>
      <w:pPr>
        <w:bidi w:val="0"/>
        <w:rPr>
          <w:rFonts w:hint="default"/>
          <w:lang w:val="en-US" w:eastAsia="zh-CN"/>
        </w:rPr>
      </w:pPr>
      <w:r>
        <w:rPr>
          <w:rFonts w:hint="eastAsia"/>
          <w:lang w:val="en-US" w:eastAsia="zh-CN"/>
        </w:rPr>
        <w:t>（</w:t>
      </w:r>
      <w:r>
        <w:rPr>
          <w:rFonts w:hint="eastAsia" w:ascii="Times New Roman" w:hAnsi="Times New Roman"/>
          <w:lang w:val="en-US" w:eastAsia="zh-CN"/>
        </w:rPr>
        <w:t>4</w:t>
      </w:r>
      <w:r>
        <w:rPr>
          <w:rFonts w:hint="eastAsia"/>
          <w:lang w:val="en-US" w:eastAsia="zh-CN"/>
        </w:rPr>
        <w:t>）地下水化学特征</w:t>
      </w:r>
    </w:p>
    <w:p>
      <w:pPr>
        <w:bidi w:val="0"/>
        <w:rPr>
          <w:rFonts w:hint="default"/>
          <w:lang w:val="en-US" w:eastAsia="zh-CN"/>
        </w:rPr>
      </w:pPr>
      <w:r>
        <w:rPr>
          <w:rFonts w:hint="default"/>
          <w:lang w:val="en-US" w:eastAsia="zh-CN"/>
        </w:rPr>
        <w:t>评价区位于冲洪积倾斜平原，浅层地下水的径流主要受补给强度、地形、岩性及构造等因素的影响和控制，从南到北水力坡度由大到小，流向由北转为北西。潜水矿化度一般小于</w:t>
      </w:r>
      <w:r>
        <w:rPr>
          <w:rFonts w:hint="default" w:ascii="Times New Roman" w:hAnsi="Times New Roman"/>
          <w:lang w:val="en-US" w:eastAsia="zh-CN"/>
        </w:rPr>
        <w:t>0</w:t>
      </w:r>
      <w:r>
        <w:rPr>
          <w:rFonts w:hint="default"/>
          <w:lang w:val="en-US" w:eastAsia="zh-CN"/>
        </w:rPr>
        <w:t>.</w:t>
      </w:r>
      <w:r>
        <w:rPr>
          <w:rFonts w:hint="default" w:ascii="Times New Roman" w:hAnsi="Times New Roman"/>
          <w:lang w:val="en-US" w:eastAsia="zh-CN"/>
        </w:rPr>
        <w:t>5g</w:t>
      </w:r>
      <w:r>
        <w:rPr>
          <w:rFonts w:hint="default"/>
          <w:lang w:val="en-US" w:eastAsia="zh-CN"/>
        </w:rPr>
        <w:t>/</w:t>
      </w:r>
      <w:r>
        <w:rPr>
          <w:rFonts w:hint="eastAsia" w:ascii="Times New Roman" w:hAnsi="Times New Roman"/>
          <w:lang w:val="en-US" w:eastAsia="zh-CN"/>
        </w:rPr>
        <w:t>L</w:t>
      </w:r>
      <w:r>
        <w:rPr>
          <w:rFonts w:hint="default"/>
          <w:lang w:val="en-US" w:eastAsia="zh-CN"/>
        </w:rPr>
        <w:t>，水化学类型为</w:t>
      </w:r>
      <w:r>
        <w:rPr>
          <w:rFonts w:hint="default" w:ascii="Times New Roman" w:hAnsi="Times New Roman"/>
          <w:lang w:val="en-US" w:eastAsia="zh-CN"/>
        </w:rPr>
        <w:t>HCO</w:t>
      </w:r>
      <w:r>
        <w:rPr>
          <w:rFonts w:hint="default" w:ascii="Times New Roman" w:hAnsi="Times New Roman"/>
          <w:vertAlign w:val="subscript"/>
          <w:lang w:val="en-US" w:eastAsia="zh-CN"/>
        </w:rPr>
        <w:t>3</w:t>
      </w:r>
      <w:r>
        <w:rPr>
          <w:rFonts w:hint="default"/>
          <w:lang w:val="en-US" w:eastAsia="zh-CN"/>
        </w:rPr>
        <w:t>·</w:t>
      </w:r>
      <w:r>
        <w:rPr>
          <w:rFonts w:hint="default" w:ascii="Times New Roman" w:hAnsi="Times New Roman"/>
          <w:lang w:val="en-US" w:eastAsia="zh-CN"/>
        </w:rPr>
        <w:t>SO</w:t>
      </w:r>
      <w:r>
        <w:rPr>
          <w:rFonts w:hint="default" w:ascii="Times New Roman" w:hAnsi="Times New Roman"/>
          <w:vertAlign w:val="subscript"/>
          <w:lang w:val="en-US" w:eastAsia="zh-CN"/>
        </w:rPr>
        <w:t>4</w:t>
      </w:r>
      <w:r>
        <w:rPr>
          <w:rFonts w:hint="default"/>
          <w:lang w:val="en-US" w:eastAsia="zh-CN"/>
        </w:rPr>
        <w:t>-</w:t>
      </w:r>
      <w:r>
        <w:rPr>
          <w:rFonts w:hint="default" w:ascii="Times New Roman" w:hAnsi="Times New Roman"/>
          <w:lang w:val="en-US" w:eastAsia="zh-CN"/>
        </w:rPr>
        <w:t>Ca</w:t>
      </w:r>
      <w:r>
        <w:rPr>
          <w:rFonts w:hint="default"/>
          <w:lang w:val="en-US" w:eastAsia="zh-CN"/>
        </w:rPr>
        <w:t>型；承压水矿化度绝大多数小于</w:t>
      </w:r>
      <w:r>
        <w:rPr>
          <w:rFonts w:hint="default" w:ascii="Times New Roman" w:hAnsi="Times New Roman"/>
          <w:lang w:val="en-US" w:eastAsia="zh-CN"/>
        </w:rPr>
        <w:t>1g</w:t>
      </w:r>
      <w:r>
        <w:rPr>
          <w:rFonts w:hint="default"/>
          <w:lang w:val="en-US" w:eastAsia="zh-CN"/>
        </w:rPr>
        <w:t>/</w:t>
      </w:r>
      <w:r>
        <w:rPr>
          <w:rFonts w:hint="default" w:ascii="Times New Roman" w:hAnsi="Times New Roman"/>
          <w:lang w:val="en-US" w:eastAsia="zh-CN"/>
        </w:rPr>
        <w:t>l</w:t>
      </w:r>
      <w:r>
        <w:rPr>
          <w:rFonts w:hint="default"/>
          <w:lang w:val="en-US" w:eastAsia="zh-CN"/>
        </w:rPr>
        <w:t>，地下水类型以</w:t>
      </w:r>
      <w:r>
        <w:rPr>
          <w:rFonts w:hint="default" w:ascii="Times New Roman" w:hAnsi="Times New Roman"/>
          <w:lang w:val="en-US" w:eastAsia="zh-CN"/>
        </w:rPr>
        <w:t>HCO</w:t>
      </w:r>
      <w:r>
        <w:rPr>
          <w:rFonts w:hint="default" w:ascii="Times New Roman" w:hAnsi="Times New Roman"/>
          <w:vertAlign w:val="subscript"/>
          <w:lang w:val="en-US" w:eastAsia="zh-CN"/>
        </w:rPr>
        <w:t>3</w:t>
      </w:r>
      <w:r>
        <w:rPr>
          <w:rFonts w:hint="default"/>
          <w:lang w:val="en-US" w:eastAsia="zh-CN"/>
        </w:rPr>
        <w:t>·</w:t>
      </w:r>
      <w:r>
        <w:rPr>
          <w:rFonts w:hint="default" w:ascii="Times New Roman" w:hAnsi="Times New Roman"/>
          <w:lang w:val="en-US" w:eastAsia="zh-CN"/>
        </w:rPr>
        <w:t>SO</w:t>
      </w:r>
      <w:r>
        <w:rPr>
          <w:rFonts w:hint="default" w:ascii="Times New Roman" w:hAnsi="Times New Roman"/>
          <w:vertAlign w:val="subscript"/>
          <w:lang w:val="en-US" w:eastAsia="zh-CN"/>
        </w:rPr>
        <w:t>4</w:t>
      </w:r>
      <w:r>
        <w:rPr>
          <w:rFonts w:hint="default"/>
          <w:lang w:val="en-US" w:eastAsia="zh-CN"/>
        </w:rPr>
        <w:t>-</w:t>
      </w:r>
      <w:r>
        <w:rPr>
          <w:rFonts w:hint="default" w:ascii="Times New Roman" w:hAnsi="Times New Roman"/>
          <w:lang w:val="en-US" w:eastAsia="zh-CN"/>
        </w:rPr>
        <w:t>Ca</w:t>
      </w:r>
      <w:r>
        <w:rPr>
          <w:rFonts w:hint="default"/>
          <w:lang w:val="en-US" w:eastAsia="zh-CN"/>
        </w:rPr>
        <w:t>型、</w:t>
      </w:r>
      <w:r>
        <w:rPr>
          <w:rFonts w:hint="default" w:ascii="Times New Roman" w:hAnsi="Times New Roman"/>
          <w:lang w:val="en-US" w:eastAsia="zh-CN"/>
        </w:rPr>
        <w:t>SO</w:t>
      </w:r>
      <w:r>
        <w:rPr>
          <w:rFonts w:hint="default" w:ascii="Times New Roman" w:hAnsi="Times New Roman"/>
          <w:vertAlign w:val="subscript"/>
          <w:lang w:val="en-US" w:eastAsia="zh-CN"/>
        </w:rPr>
        <w:t>4</w:t>
      </w:r>
      <w:r>
        <w:rPr>
          <w:rFonts w:hint="default"/>
          <w:lang w:val="en-US" w:eastAsia="zh-CN"/>
        </w:rPr>
        <w:t>·</w:t>
      </w:r>
      <w:r>
        <w:rPr>
          <w:rFonts w:hint="default" w:ascii="Times New Roman" w:hAnsi="Times New Roman"/>
          <w:lang w:val="en-US" w:eastAsia="zh-CN"/>
        </w:rPr>
        <w:t>HCO</w:t>
      </w:r>
      <w:r>
        <w:rPr>
          <w:rFonts w:hint="default" w:ascii="Times New Roman" w:hAnsi="Times New Roman"/>
          <w:vertAlign w:val="subscript"/>
          <w:lang w:val="en-US" w:eastAsia="zh-CN"/>
        </w:rPr>
        <w:t>3</w:t>
      </w:r>
      <w:r>
        <w:rPr>
          <w:rFonts w:hint="default"/>
          <w:lang w:val="en-US" w:eastAsia="zh-CN"/>
        </w:rPr>
        <w:t>-</w:t>
      </w:r>
      <w:r>
        <w:rPr>
          <w:rFonts w:hint="default" w:ascii="Times New Roman" w:hAnsi="Times New Roman"/>
          <w:lang w:val="en-US" w:eastAsia="zh-CN"/>
        </w:rPr>
        <w:t>Ca</w:t>
      </w:r>
      <w:r>
        <w:rPr>
          <w:rFonts w:hint="default"/>
          <w:lang w:val="en-US" w:eastAsia="zh-CN"/>
        </w:rPr>
        <w:t>·</w:t>
      </w:r>
      <w:r>
        <w:rPr>
          <w:rFonts w:hint="default" w:ascii="Times New Roman" w:hAnsi="Times New Roman"/>
          <w:lang w:val="en-US" w:eastAsia="zh-CN"/>
        </w:rPr>
        <w:t>Na</w:t>
      </w:r>
      <w:r>
        <w:rPr>
          <w:rFonts w:hint="default"/>
          <w:lang w:val="en-US" w:eastAsia="zh-CN"/>
        </w:rPr>
        <w:t>型水为主。</w:t>
      </w:r>
    </w:p>
    <w:p>
      <w:pPr>
        <w:bidi w:val="0"/>
        <w:rPr>
          <w:rFonts w:hint="default"/>
          <w:lang w:val="en-US" w:eastAsia="zh-CN"/>
        </w:rPr>
      </w:pPr>
      <w:r>
        <w:rPr>
          <w:rFonts w:hint="eastAsia"/>
          <w:lang w:val="en-US" w:eastAsia="zh-CN"/>
        </w:rPr>
        <w:t>（</w:t>
      </w:r>
      <w:r>
        <w:rPr>
          <w:rFonts w:hint="eastAsia" w:ascii="Times New Roman" w:hAnsi="Times New Roman"/>
          <w:lang w:val="en-US" w:eastAsia="zh-CN"/>
        </w:rPr>
        <w:t>5</w:t>
      </w:r>
      <w:r>
        <w:rPr>
          <w:rFonts w:hint="eastAsia"/>
          <w:lang w:val="en-US" w:eastAsia="zh-CN"/>
        </w:rPr>
        <w:t>）包气带地质勘察</w:t>
      </w:r>
    </w:p>
    <w:p>
      <w:pPr>
        <w:bidi w:val="0"/>
        <w:rPr>
          <w:rFonts w:hint="eastAsia"/>
          <w:lang w:val="en-US" w:eastAsia="zh-CN"/>
        </w:rPr>
      </w:pPr>
      <w:r>
        <w:rPr>
          <w:rFonts w:hint="eastAsia"/>
          <w:lang w:val="en-US" w:eastAsia="zh-CN"/>
        </w:rPr>
        <w:t>根据现有厂区水文地质勘察资料，厂内地质勘探过程施工了一眼</w:t>
      </w:r>
      <w:r>
        <w:rPr>
          <w:rFonts w:hint="eastAsia" w:ascii="Times New Roman" w:hAnsi="Times New Roman"/>
          <w:lang w:val="en-US" w:eastAsia="zh-CN"/>
        </w:rPr>
        <w:t>200m</w:t>
      </w:r>
      <w:r>
        <w:rPr>
          <w:rFonts w:hint="eastAsia"/>
          <w:lang w:val="en-US" w:eastAsia="zh-CN"/>
        </w:rPr>
        <w:t>井深的地质勘探孔，并绘制了钻孔柱状图见图</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lang w:val="en-US" w:eastAsia="zh-CN"/>
        </w:rPr>
      </w:pPr>
      <w:r>
        <w:rPr>
          <w:rFonts w:hint="default"/>
          <w:lang w:val="en-US" w:eastAsia="zh-CN"/>
        </w:rPr>
        <w:drawing>
          <wp:anchor distT="0" distB="0" distL="114300" distR="114300" simplePos="0" relativeHeight="251677696" behindDoc="0" locked="0" layoutInCell="1" allowOverlap="1">
            <wp:simplePos x="0" y="0"/>
            <wp:positionH relativeFrom="column">
              <wp:posOffset>500380</wp:posOffset>
            </wp:positionH>
            <wp:positionV relativeFrom="paragraph">
              <wp:posOffset>24765</wp:posOffset>
            </wp:positionV>
            <wp:extent cx="4491355" cy="5983605"/>
            <wp:effectExtent l="0" t="0" r="4445" b="17145"/>
            <wp:wrapTopAndBottom/>
            <wp:docPr id="4" name="图片 4" descr="地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勘图1"/>
                    <pic:cNvPicPr>
                      <a:picLocks noChangeAspect="1"/>
                    </pic:cNvPicPr>
                  </pic:nvPicPr>
                  <pic:blipFill>
                    <a:blip r:embed="rId73"/>
                    <a:stretch>
                      <a:fillRect/>
                    </a:stretch>
                  </pic:blipFill>
                  <pic:spPr>
                    <a:xfrm>
                      <a:off x="0" y="0"/>
                      <a:ext cx="4491355" cy="5983605"/>
                    </a:xfrm>
                    <a:prstGeom prst="rect">
                      <a:avLst/>
                    </a:prstGeom>
                  </pic:spPr>
                </pic:pic>
              </a:graphicData>
            </a:graphic>
          </wp:anchor>
        </w:drawing>
      </w:r>
      <w:r>
        <w:rPr>
          <w:rFonts w:hint="eastAsia"/>
          <w:lang w:val="en-US" w:eastAsia="zh-CN"/>
        </w:rPr>
        <w:t>图</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 xml:space="preserve">  厂区水井钻孔柱状图</w:t>
      </w:r>
    </w:p>
    <w:p>
      <w:pPr>
        <w:bidi w:val="0"/>
        <w:rPr>
          <w:rFonts w:hint="default"/>
          <w:lang w:val="en-US" w:eastAsia="zh-CN"/>
        </w:rPr>
      </w:pPr>
      <w:r>
        <w:rPr>
          <w:rFonts w:hint="eastAsia"/>
          <w:lang w:val="en-US" w:eastAsia="zh-CN"/>
        </w:rPr>
        <w:t>根据对抽水试验，得到地下水水位埋深</w:t>
      </w:r>
      <w:r>
        <w:rPr>
          <w:rFonts w:hint="eastAsia" w:ascii="Times New Roman" w:hAnsi="Times New Roman"/>
          <w:lang w:val="en-US" w:eastAsia="zh-CN"/>
        </w:rPr>
        <w:t>139m</w:t>
      </w:r>
      <w:r>
        <w:rPr>
          <w:rFonts w:hint="eastAsia"/>
          <w:lang w:val="en-US" w:eastAsia="zh-CN"/>
        </w:rPr>
        <w:t>，包气带渗透系数</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47m</w:t>
      </w:r>
      <w:r>
        <w:rPr>
          <w:rFonts w:hint="eastAsia"/>
          <w:lang w:val="en-US" w:eastAsia="zh-CN"/>
        </w:rPr>
        <w:t>/</w:t>
      </w:r>
      <w:r>
        <w:rPr>
          <w:rFonts w:hint="eastAsia" w:ascii="Times New Roman" w:hAnsi="Times New Roman"/>
          <w:lang w:val="en-US" w:eastAsia="zh-CN"/>
        </w:rPr>
        <w:t>d</w:t>
      </w:r>
      <w:r>
        <w:rPr>
          <w:rFonts w:hint="eastAsia"/>
          <w:lang w:val="en-US" w:eastAsia="zh-CN"/>
        </w:rPr>
        <w:t>。</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2</w:t>
      </w:r>
      <w:r>
        <w:rPr>
          <w:rFonts w:hint="eastAsia"/>
          <w:lang w:val="en-US" w:eastAsia="zh-CN"/>
        </w:rPr>
        <w:t>地下水污染的主要途径</w:t>
      </w:r>
    </w:p>
    <w:p>
      <w:pPr>
        <w:bidi w:val="0"/>
        <w:rPr>
          <w:rFonts w:hint="eastAsia"/>
          <w:lang w:val="en-US" w:eastAsia="zh-CN"/>
        </w:rPr>
      </w:pPr>
      <w:r>
        <w:rPr>
          <w:rFonts w:hint="eastAsia"/>
          <w:lang w:val="en-US" w:eastAsia="zh-CN"/>
        </w:rPr>
        <w:t>（</w:t>
      </w:r>
      <w:r>
        <w:rPr>
          <w:rFonts w:hint="eastAsia" w:ascii="Times New Roman" w:hAnsi="Times New Roman"/>
          <w:lang w:val="en-US" w:eastAsia="zh-CN"/>
        </w:rPr>
        <w:t>1</w:t>
      </w:r>
      <w:r>
        <w:rPr>
          <w:rFonts w:hint="eastAsia"/>
          <w:lang w:val="en-US" w:eastAsia="zh-CN"/>
        </w:rPr>
        <w:t>）正常状况下</w:t>
      </w:r>
    </w:p>
    <w:p>
      <w:pPr>
        <w:bidi w:val="0"/>
        <w:rPr>
          <w:rFonts w:hint="eastAsia"/>
          <w:lang w:val="en-US" w:eastAsia="zh-CN"/>
        </w:rPr>
      </w:pPr>
      <w:r>
        <w:rPr>
          <w:rFonts w:hint="eastAsia"/>
          <w:lang w:val="en-US" w:eastAsia="zh-CN"/>
        </w:rPr>
        <w:t>本项目与周围地表水无水力联系。本项目主要生产装置位于已硬化防渗的装置区，且位于装置架上，发现泄漏容易发现和处置，不存在装置泄漏后长期未发现的情况。本项目排水包括装置地面冲洗废水和生活污水收集后进入现有污水站处理。装置地面冲洗废水产生后，经装置周边截水沟收集，排入污水站处理；新增员工生活污水依托现有厂内收集设施收集并处理，废水均不会长期滞留。因此正常工况不存在地下水污染的途径。</w:t>
      </w:r>
    </w:p>
    <w:p>
      <w:pPr>
        <w:bidi w:val="0"/>
        <w:rPr>
          <w:rFonts w:hint="eastAsia"/>
          <w:lang w:val="en-US"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）非正常工况下</w:t>
      </w:r>
    </w:p>
    <w:p>
      <w:pPr>
        <w:bidi w:val="0"/>
        <w:rPr>
          <w:rFonts w:hint="eastAsia"/>
          <w:lang w:val="en-US" w:eastAsia="zh-CN"/>
        </w:rPr>
      </w:pPr>
      <w:r>
        <w:rPr>
          <w:rFonts w:hint="eastAsia"/>
          <w:lang w:val="en-US" w:eastAsia="zh-CN"/>
        </w:rPr>
        <w:t>本项目产品储罐单独在地面空地上建设，如果产品储罐基础地面防渗层发生老化、腐蚀、破损，长期未发现和处理，物料可能泄漏并通过土壤下渗，污染地下水。</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lang w:val="en-US" w:eastAsia="zh-CN"/>
        </w:rPr>
        <w:t>预测条件概化</w:t>
      </w:r>
    </w:p>
    <w:p>
      <w:pPr>
        <w:spacing w:line="440" w:lineRule="exact"/>
        <w:ind w:firstLine="480"/>
        <w:rPr>
          <w:rFonts w:hint="eastAsia"/>
          <w:color w:val="auto"/>
        </w:rPr>
      </w:pPr>
      <w:r>
        <w:rPr>
          <w:rFonts w:hint="eastAsia"/>
          <w:color w:val="auto"/>
        </w:rPr>
        <w:t>水文地质概念模型是把含水层实际边界性质、内部结构、渗透性质、水力特征和补给排泄等条件进行概化，以便于进行数学与物理模拟；是对地下水系统的科学概化，是为了适应建立模型的要求而对复杂的实际系统的一种近似处理。</w:t>
      </w:r>
    </w:p>
    <w:p>
      <w:pPr>
        <w:spacing w:line="440" w:lineRule="exact"/>
        <w:ind w:firstLine="480"/>
        <w:rPr>
          <w:rFonts w:hint="eastAsia"/>
          <w:color w:val="auto"/>
        </w:rPr>
      </w:pPr>
      <w:r>
        <w:rPr>
          <w:rFonts w:hint="eastAsia"/>
          <w:color w:val="auto"/>
        </w:rPr>
        <w:t>（</w:t>
      </w:r>
      <w:r>
        <w:rPr>
          <w:rFonts w:hint="eastAsia" w:ascii="Times New Roman" w:hAnsi="Times New Roman" w:cs="Times New Roman"/>
          <w:color w:val="auto"/>
        </w:rPr>
        <w:t>1</w:t>
      </w:r>
      <w:r>
        <w:rPr>
          <w:rFonts w:hint="eastAsia"/>
          <w:color w:val="auto"/>
        </w:rPr>
        <w:t>）预测情景</w:t>
      </w:r>
    </w:p>
    <w:p>
      <w:pPr>
        <w:spacing w:line="440" w:lineRule="exact"/>
        <w:ind w:firstLine="480"/>
        <w:rPr>
          <w:rFonts w:hint="eastAsia" w:eastAsia="宋体"/>
          <w:color w:val="auto"/>
          <w:lang w:eastAsia="zh-CN"/>
        </w:rPr>
      </w:pPr>
      <w:r>
        <w:rPr>
          <w:rFonts w:hint="eastAsia"/>
          <w:color w:val="auto"/>
        </w:rPr>
        <w:t>本次评价地下水污染场景设定为</w:t>
      </w:r>
      <w:r>
        <w:rPr>
          <w:rFonts w:hint="eastAsia" w:ascii="Times New Roman" w:hAnsi="Times New Roman"/>
          <w:color w:val="auto"/>
          <w:lang w:eastAsia="zh-CN"/>
        </w:rPr>
        <w:t>PD</w:t>
      </w:r>
      <w:r>
        <w:rPr>
          <w:rFonts w:hint="eastAsia"/>
          <w:color w:val="auto"/>
          <w:lang w:eastAsia="zh-CN"/>
        </w:rPr>
        <w:t>储罐基础发生泄漏，</w:t>
      </w:r>
      <w:r>
        <w:rPr>
          <w:rFonts w:hint="eastAsia" w:ascii="Times New Roman" w:hAnsi="Times New Roman"/>
          <w:color w:val="auto"/>
          <w:lang w:eastAsia="zh-CN"/>
        </w:rPr>
        <w:t>PD</w:t>
      </w:r>
      <w:r>
        <w:rPr>
          <w:rFonts w:hint="eastAsia"/>
          <w:color w:val="auto"/>
          <w:lang w:eastAsia="zh-CN"/>
        </w:rPr>
        <w:t>通过罐底基础破损处泄漏且长期未发现，围堰区地面存在破损，导致</w:t>
      </w:r>
      <w:r>
        <w:rPr>
          <w:rFonts w:hint="eastAsia" w:ascii="Times New Roman" w:hAnsi="Times New Roman"/>
          <w:color w:val="auto"/>
          <w:lang w:eastAsia="zh-CN"/>
        </w:rPr>
        <w:t>PD</w:t>
      </w:r>
      <w:r>
        <w:rPr>
          <w:rFonts w:hint="eastAsia"/>
          <w:color w:val="auto"/>
          <w:lang w:eastAsia="zh-CN"/>
        </w:rPr>
        <w:t>下渗造成</w:t>
      </w:r>
      <w:r>
        <w:rPr>
          <w:rFonts w:hint="eastAsia"/>
          <w:color w:val="auto"/>
        </w:rPr>
        <w:t>地下水污染。</w:t>
      </w:r>
    </w:p>
    <w:p>
      <w:pPr>
        <w:spacing w:line="440" w:lineRule="exact"/>
        <w:rPr>
          <w:rFonts w:hint="eastAsia"/>
          <w:color w:val="auto"/>
        </w:rPr>
      </w:pPr>
      <w:r>
        <w:rPr>
          <w:rFonts w:hint="eastAsia"/>
          <w:color w:val="auto"/>
        </w:rPr>
        <w:t>（</w:t>
      </w:r>
      <w:r>
        <w:rPr>
          <w:rFonts w:hint="eastAsia" w:ascii="Times New Roman" w:hAnsi="Times New Roman" w:cs="Times New Roman"/>
          <w:color w:val="auto"/>
        </w:rPr>
        <w:t>2</w:t>
      </w:r>
      <w:r>
        <w:rPr>
          <w:rFonts w:hint="eastAsia"/>
          <w:color w:val="auto"/>
        </w:rPr>
        <w:t>）预测时间</w:t>
      </w:r>
    </w:p>
    <w:p>
      <w:pPr>
        <w:bidi w:val="0"/>
        <w:rPr>
          <w:rFonts w:hint="eastAsia"/>
          <w:lang w:val="en-US" w:eastAsia="zh-CN"/>
        </w:rPr>
      </w:pPr>
      <w:r>
        <w:rPr>
          <w:rFonts w:hint="eastAsia"/>
          <w:color w:val="auto"/>
        </w:rPr>
        <w:t>根据导则要求，分别预测</w:t>
      </w:r>
      <w:r>
        <w:rPr>
          <w:rFonts w:hint="eastAsia" w:ascii="Times New Roman" w:hAnsi="Times New Roman"/>
          <w:color w:val="auto"/>
          <w:lang w:val="en-US" w:eastAsia="zh-CN"/>
        </w:rPr>
        <w:t>100d</w:t>
      </w:r>
      <w:r>
        <w:rPr>
          <w:rFonts w:hint="eastAsia"/>
          <w:color w:val="auto"/>
          <w:lang w:val="en-US" w:eastAsia="zh-CN"/>
        </w:rPr>
        <w:t>、</w:t>
      </w:r>
      <w:r>
        <w:rPr>
          <w:rFonts w:hint="eastAsia" w:ascii="Times New Roman" w:hAnsi="Times New Roman"/>
          <w:color w:val="auto"/>
          <w:lang w:val="en-US" w:eastAsia="zh-CN"/>
        </w:rPr>
        <w:t>1000d</w:t>
      </w:r>
      <w:r>
        <w:rPr>
          <w:rFonts w:hint="eastAsia"/>
          <w:color w:val="auto"/>
          <w:lang w:val="en-US" w:eastAsia="zh-CN"/>
        </w:rPr>
        <w:t>和</w:t>
      </w:r>
      <w:r>
        <w:rPr>
          <w:rFonts w:hint="eastAsia" w:ascii="Times New Roman" w:hAnsi="Times New Roman"/>
          <w:color w:val="auto"/>
          <w:lang w:val="en-US" w:eastAsia="zh-CN"/>
        </w:rPr>
        <w:t>20a</w:t>
      </w:r>
      <w:r>
        <w:rPr>
          <w:rFonts w:hint="eastAsia"/>
          <w:color w:val="auto"/>
          <w:lang w:val="en-US" w:eastAsia="zh-CN"/>
        </w:rPr>
        <w:t>时间段泄漏</w:t>
      </w:r>
      <w:r>
        <w:rPr>
          <w:rFonts w:hint="eastAsia"/>
          <w:color w:val="auto"/>
        </w:rPr>
        <w:t>对地下水环境的影响。</w:t>
      </w:r>
    </w:p>
    <w:p>
      <w:pPr>
        <w:spacing w:line="440" w:lineRule="exact"/>
        <w:rPr>
          <w:rFonts w:hint="eastAsia"/>
          <w:color w:val="auto"/>
        </w:rPr>
      </w:pPr>
      <w:r>
        <w:rPr>
          <w:rFonts w:hint="eastAsia"/>
          <w:lang w:val="en-US" w:eastAsia="zh-CN"/>
        </w:rPr>
        <w:t>（</w:t>
      </w:r>
      <w:r>
        <w:rPr>
          <w:rFonts w:hint="eastAsia" w:ascii="Times New Roman" w:hAnsi="Times New Roman"/>
          <w:lang w:val="en-US" w:eastAsia="zh-CN"/>
        </w:rPr>
        <w:t>3</w:t>
      </w:r>
      <w:r>
        <w:rPr>
          <w:rFonts w:hint="eastAsia"/>
          <w:lang w:val="en-US" w:eastAsia="zh-CN"/>
        </w:rPr>
        <w:t>）</w:t>
      </w:r>
      <w:r>
        <w:rPr>
          <w:rFonts w:hint="eastAsia"/>
          <w:color w:val="auto"/>
        </w:rPr>
        <w:t>预测范围</w:t>
      </w:r>
    </w:p>
    <w:p>
      <w:pPr>
        <w:spacing w:line="440" w:lineRule="exact"/>
        <w:rPr>
          <w:rFonts w:hint="eastAsia"/>
          <w:color w:val="auto"/>
        </w:rPr>
      </w:pPr>
      <w:r>
        <w:rPr>
          <w:rFonts w:hint="eastAsia" w:hAnsi="宋体"/>
          <w:color w:val="auto"/>
        </w:rPr>
        <w:t>从地下水流动系统理论出发，</w:t>
      </w:r>
      <w:r>
        <w:rPr>
          <w:rFonts w:hAnsi="宋体"/>
          <w:color w:val="auto"/>
        </w:rPr>
        <w:t>结合</w:t>
      </w:r>
      <w:r>
        <w:rPr>
          <w:rFonts w:hint="eastAsia" w:hAnsi="宋体"/>
          <w:color w:val="auto"/>
        </w:rPr>
        <w:t>评价</w:t>
      </w:r>
      <w:r>
        <w:rPr>
          <w:rFonts w:hAnsi="宋体"/>
          <w:color w:val="auto"/>
        </w:rPr>
        <w:t>区的水文地质条件，</w:t>
      </w:r>
      <w:r>
        <w:rPr>
          <w:rFonts w:hint="eastAsia" w:hAnsi="宋体"/>
          <w:color w:val="auto"/>
        </w:rPr>
        <w:t>含水系统渗流场数值模拟的水平范围应取至流动系统的自然边界，或项目建设可能影响范围边界，垂直范围则应取到含水层底板。评价区内无河流、分水岭等自然边界，且评价区内水文地质条件较为简单，本次评价模拟范围在水平方向上取建设项目可能影响范围，</w:t>
      </w:r>
      <w:r>
        <w:rPr>
          <w:rFonts w:hint="eastAsia"/>
          <w:color w:val="auto"/>
        </w:rPr>
        <w:t>本项目预测范围为以项目下游</w:t>
      </w:r>
      <w:r>
        <w:rPr>
          <w:rFonts w:hint="eastAsia"/>
          <w:color w:val="auto"/>
          <w:lang w:eastAsia="zh-CN"/>
        </w:rPr>
        <w:t>北</w:t>
      </w:r>
      <w:r>
        <w:rPr>
          <w:rFonts w:hint="eastAsia"/>
          <w:color w:val="auto"/>
        </w:rPr>
        <w:t>向</w:t>
      </w:r>
      <w:r>
        <w:rPr>
          <w:rFonts w:hint="eastAsia" w:ascii="Times New Roman" w:hAnsi="Times New Roman" w:cs="Times New Roman"/>
          <w:color w:val="auto"/>
        </w:rPr>
        <w:t>2km</w:t>
      </w:r>
      <w:r>
        <w:rPr>
          <w:rFonts w:hint="eastAsia"/>
          <w:color w:val="auto"/>
        </w:rPr>
        <w:t>、上游</w:t>
      </w:r>
      <w:r>
        <w:rPr>
          <w:rFonts w:hint="eastAsia" w:ascii="Times New Roman" w:hAnsi="Times New Roman" w:cs="Times New Roman"/>
          <w:color w:val="auto"/>
        </w:rPr>
        <w:t>1km</w:t>
      </w:r>
      <w:r>
        <w:rPr>
          <w:rFonts w:hint="eastAsia"/>
          <w:color w:val="auto"/>
        </w:rPr>
        <w:t>，东西各</w:t>
      </w:r>
      <w:r>
        <w:rPr>
          <w:rFonts w:hint="eastAsia" w:ascii="Times New Roman" w:hAnsi="Times New Roman" w:cs="Times New Roman"/>
          <w:color w:val="auto"/>
        </w:rPr>
        <w:t>1km</w:t>
      </w:r>
      <w:r>
        <w:rPr>
          <w:rFonts w:hint="eastAsia"/>
          <w:color w:val="auto"/>
        </w:rPr>
        <w:t>矩形范围，共计</w:t>
      </w:r>
      <w:r>
        <w:rPr>
          <w:rFonts w:hint="eastAsia" w:ascii="Times New Roman" w:hAnsi="Times New Roman" w:cs="Times New Roman"/>
          <w:color w:val="auto"/>
        </w:rPr>
        <w:t>6k</w:t>
      </w:r>
      <w:r>
        <w:rPr>
          <w:rFonts w:hint="eastAsia"/>
          <w:color w:val="auto"/>
        </w:rPr>
        <w:t xml:space="preserve">㎡范围。 </w:t>
      </w:r>
    </w:p>
    <w:p>
      <w:pPr>
        <w:spacing w:line="440" w:lineRule="exact"/>
        <w:rPr>
          <w:rFonts w:hint="eastAsia"/>
          <w:color w:val="auto"/>
        </w:rPr>
      </w:pPr>
      <w:r>
        <w:rPr>
          <w:rFonts w:hint="eastAsia"/>
          <w:color w:val="auto"/>
        </w:rPr>
        <w:t>（</w:t>
      </w:r>
      <w:r>
        <w:rPr>
          <w:rFonts w:hint="eastAsia" w:ascii="Times New Roman" w:hAnsi="Times New Roman" w:cs="Times New Roman"/>
          <w:color w:val="auto"/>
        </w:rPr>
        <w:t>4</w:t>
      </w:r>
      <w:r>
        <w:rPr>
          <w:rFonts w:hint="eastAsia"/>
          <w:color w:val="auto"/>
        </w:rPr>
        <w:t>）预测因子与标准</w:t>
      </w:r>
    </w:p>
    <w:p>
      <w:pPr>
        <w:spacing w:line="440" w:lineRule="exact"/>
        <w:rPr>
          <w:rFonts w:hint="default" w:eastAsia="宋体"/>
          <w:color w:val="auto"/>
          <w:lang w:val="en-US" w:eastAsia="zh-CN"/>
        </w:rPr>
      </w:pPr>
      <w:r>
        <w:rPr>
          <w:rFonts w:hint="eastAsia"/>
          <w:color w:val="auto"/>
        </w:rPr>
        <w:t>根据评价区地下水环境质量要求，《地下水质量标准》（</w:t>
      </w:r>
      <w:r>
        <w:rPr>
          <w:rFonts w:hint="eastAsia" w:ascii="Times New Roman" w:hAnsi="Times New Roman" w:cs="Times New Roman"/>
          <w:color w:val="auto"/>
        </w:rPr>
        <w:t>GB</w:t>
      </w:r>
      <w:r>
        <w:rPr>
          <w:rFonts w:hint="eastAsia"/>
          <w:color w:val="auto"/>
        </w:rPr>
        <w:t>/</w:t>
      </w:r>
      <w:r>
        <w:rPr>
          <w:rFonts w:hint="eastAsia" w:ascii="Times New Roman" w:hAnsi="Times New Roman" w:cs="Times New Roman"/>
          <w:color w:val="auto"/>
        </w:rPr>
        <w:t>T14848</w:t>
      </w:r>
      <w:r>
        <w:rPr>
          <w:rFonts w:hint="eastAsia"/>
          <w:color w:val="auto"/>
        </w:rPr>
        <w:t>-</w:t>
      </w:r>
      <w:r>
        <w:rPr>
          <w:rFonts w:hint="eastAsia" w:ascii="Times New Roman" w:hAnsi="Times New Roman" w:cs="Times New Roman"/>
          <w:color w:val="auto"/>
        </w:rPr>
        <w:t>2017</w:t>
      </w:r>
      <w:r>
        <w:rPr>
          <w:rFonts w:hint="eastAsia"/>
          <w:color w:val="auto"/>
        </w:rPr>
        <w:t>）Ⅲ类水质为标准，</w:t>
      </w:r>
      <w:r>
        <w:rPr>
          <w:rFonts w:hint="eastAsia" w:ascii="Times New Roman" w:hAnsi="Times New Roman" w:cs="Times New Roman"/>
          <w:color w:val="auto"/>
        </w:rPr>
        <w:t>COD</w:t>
      </w:r>
      <w:r>
        <w:rPr>
          <w:rFonts w:hint="eastAsia"/>
          <w:color w:val="auto"/>
        </w:rPr>
        <w:t>浓度超过</w:t>
      </w:r>
      <w:r>
        <w:rPr>
          <w:rFonts w:hint="eastAsia" w:ascii="Times New Roman" w:hAnsi="Times New Roman" w:cs="Times New Roman"/>
          <w:color w:val="auto"/>
        </w:rPr>
        <w:t>3</w:t>
      </w:r>
      <w:r>
        <w:rPr>
          <w:rFonts w:hint="eastAsia" w:ascii="Times New Roman"/>
          <w:color w:val="auto"/>
        </w:rPr>
        <w:t>.</w:t>
      </w:r>
      <w:r>
        <w:rPr>
          <w:rFonts w:hint="eastAsia" w:ascii="Times New Roman" w:hAnsi="Times New Roman" w:cs="Times New Roman"/>
          <w:color w:val="auto"/>
        </w:rPr>
        <w:t>0mg</w:t>
      </w:r>
      <w:r>
        <w:rPr>
          <w:rFonts w:hint="eastAsia"/>
          <w:color w:val="auto"/>
        </w:rPr>
        <w:t>/</w:t>
      </w:r>
      <w:r>
        <w:rPr>
          <w:rFonts w:hint="eastAsia" w:ascii="Times New Roman" w:hAnsi="Times New Roman" w:cs="Times New Roman"/>
          <w:color w:val="auto"/>
        </w:rPr>
        <w:t>L</w:t>
      </w:r>
      <w:r>
        <w:rPr>
          <w:rFonts w:hint="eastAsia"/>
          <w:color w:val="auto"/>
        </w:rPr>
        <w:t>的范围定为超标范围</w:t>
      </w:r>
      <w:r>
        <w:rPr>
          <w:rFonts w:hint="eastAsia"/>
          <w:color w:val="auto"/>
          <w:lang w:eastAsia="zh-CN"/>
        </w:rPr>
        <w:t>。水中某一有机物的理论需氧量，通常是指将有机物中的碳元素和氢元素完全氧化为二氧化碳和水所需氧量的理论值（即按完全氧化反应式计算出的需氧量，单位为</w:t>
      </w:r>
      <w:r>
        <w:rPr>
          <w:rFonts w:hint="eastAsia" w:ascii="Times New Roman" w:hAnsi="Times New Roman"/>
          <w:color w:val="auto"/>
          <w:lang w:val="en-US" w:eastAsia="zh-CN"/>
        </w:rPr>
        <w:t>g</w:t>
      </w:r>
      <w:r>
        <w:rPr>
          <w:rFonts w:hint="eastAsia"/>
          <w:color w:val="auto"/>
          <w:lang w:val="en-US" w:eastAsia="zh-CN"/>
        </w:rPr>
        <w:t>/</w:t>
      </w:r>
      <w:r>
        <w:rPr>
          <w:rFonts w:hint="eastAsia" w:ascii="Times New Roman" w:hAnsi="Times New Roman"/>
          <w:color w:val="auto"/>
          <w:lang w:val="en-US" w:eastAsia="zh-CN"/>
        </w:rPr>
        <w:t>g</w:t>
      </w:r>
      <w:r>
        <w:rPr>
          <w:rFonts w:hint="eastAsia"/>
          <w:color w:val="auto"/>
          <w:lang w:eastAsia="zh-CN"/>
        </w:rPr>
        <w:t>）。本次评价以泄漏物</w:t>
      </w:r>
      <w:r>
        <w:rPr>
          <w:rFonts w:hint="eastAsia" w:ascii="Times New Roman" w:hAnsi="Times New Roman"/>
          <w:color w:val="auto"/>
          <w:lang w:eastAsia="zh-CN"/>
        </w:rPr>
        <w:t>PD</w:t>
      </w:r>
      <w:r>
        <w:rPr>
          <w:rFonts w:hint="eastAsia"/>
          <w:color w:val="auto"/>
          <w:lang w:eastAsia="zh-CN"/>
        </w:rPr>
        <w:t>的理论</w:t>
      </w:r>
      <w:r>
        <w:rPr>
          <w:rFonts w:hint="eastAsia" w:ascii="Times New Roman" w:hAnsi="Times New Roman"/>
          <w:color w:val="auto"/>
          <w:lang w:val="en-US" w:eastAsia="zh-CN"/>
        </w:rPr>
        <w:t>COD</w:t>
      </w:r>
      <w:r>
        <w:rPr>
          <w:rFonts w:hint="eastAsia"/>
          <w:color w:val="auto"/>
          <w:lang w:val="en-US" w:eastAsia="zh-CN"/>
        </w:rPr>
        <w:t>值进行计算，根据化学式中的碳、氢、氧原子数计算</w:t>
      </w:r>
      <w:r>
        <w:rPr>
          <w:rFonts w:hint="eastAsia" w:ascii="Times New Roman" w:hAnsi="Times New Roman"/>
          <w:color w:val="auto"/>
          <w:lang w:val="en-US" w:eastAsia="zh-CN"/>
        </w:rPr>
        <w:t>COD</w:t>
      </w:r>
      <w:r>
        <w:rPr>
          <w:rFonts w:hint="eastAsia"/>
          <w:color w:val="auto"/>
          <w:lang w:val="en-US" w:eastAsia="zh-CN"/>
        </w:rPr>
        <w:t>的理论值，换算系数=（碳原子数×</w:t>
      </w:r>
      <w:r>
        <w:rPr>
          <w:rFonts w:hint="eastAsia" w:ascii="Times New Roman" w:hAnsi="Times New Roman"/>
          <w:color w:val="auto"/>
          <w:lang w:val="en-US" w:eastAsia="zh-CN"/>
        </w:rPr>
        <w:t>2</w:t>
      </w:r>
      <w:r>
        <w:rPr>
          <w:rFonts w:hint="eastAsia"/>
          <w:color w:val="auto"/>
          <w:lang w:val="en-US" w:eastAsia="zh-CN"/>
        </w:rPr>
        <w:t>+氢原子数×</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-氧原子数）×</w:t>
      </w:r>
      <w:r>
        <w:rPr>
          <w:rFonts w:hint="eastAsia" w:ascii="Times New Roman" w:hAnsi="Times New Roman"/>
          <w:color w:val="auto"/>
          <w:lang w:val="en-US" w:eastAsia="zh-CN"/>
        </w:rPr>
        <w:t>16</w:t>
      </w:r>
      <w:r>
        <w:rPr>
          <w:rFonts w:hint="eastAsia"/>
          <w:color w:val="auto"/>
          <w:lang w:val="en-US" w:eastAsia="zh-CN"/>
        </w:rPr>
        <w:t>/分子量。</w:t>
      </w:r>
    </w:p>
    <w:p>
      <w:pPr>
        <w:spacing w:line="440" w:lineRule="exact"/>
        <w:rPr>
          <w:rFonts w:hint="eastAsia"/>
          <w:color w:val="auto"/>
        </w:rPr>
      </w:pPr>
      <w:r>
        <w:rPr>
          <w:rFonts w:hint="eastAsia" w:ascii="Times New Roman" w:hAnsi="Times New Roman"/>
          <w:color w:val="auto"/>
          <w:lang w:val="en-US" w:eastAsia="zh-CN"/>
        </w:rPr>
        <w:t>PD</w:t>
      </w:r>
      <w:r>
        <w:rPr>
          <w:rFonts w:hint="eastAsia"/>
          <w:color w:val="auto"/>
          <w:lang w:val="en-US" w:eastAsia="zh-CN"/>
        </w:rPr>
        <w:t>换算系数=（</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11</w:t>
      </w:r>
      <w:r>
        <w:rPr>
          <w:rFonts w:hint="eastAsia"/>
          <w:color w:val="auto"/>
          <w:lang w:val="en-US" w:eastAsia="zh-CN"/>
        </w:rPr>
        <w:t>×</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16</w:t>
      </w:r>
      <w:r>
        <w:rPr>
          <w:rFonts w:hint="eastAsia"/>
          <w:color w:val="auto"/>
          <w:lang w:val="en-US" w:eastAsia="zh-CN"/>
        </w:rPr>
        <w:t>/</w:t>
      </w:r>
      <w:r>
        <w:rPr>
          <w:rFonts w:hint="eastAsia" w:ascii="Times New Roman" w:hAnsi="Times New Roman"/>
          <w:color w:val="auto"/>
          <w:lang w:val="en-US" w:eastAsia="zh-CN"/>
        </w:rPr>
        <w:t>85</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91</w:t>
      </w:r>
      <w:r>
        <w:rPr>
          <w:rFonts w:hint="eastAsia"/>
          <w:color w:val="auto"/>
          <w:lang w:val="en-US" w:eastAsia="zh-CN"/>
        </w:rPr>
        <w:t>（</w:t>
      </w:r>
      <w:r>
        <w:rPr>
          <w:rFonts w:hint="eastAsia" w:ascii="Times New Roman" w:hAnsi="Times New Roman"/>
          <w:color w:val="auto"/>
          <w:lang w:val="en-US" w:eastAsia="zh-CN"/>
        </w:rPr>
        <w:t>COD</w:t>
      </w:r>
      <w:r>
        <w:rPr>
          <w:rFonts w:hint="eastAsia"/>
          <w:color w:val="auto"/>
          <w:lang w:val="en-US" w:eastAsia="zh-CN"/>
        </w:rPr>
        <w:t>值</w:t>
      </w:r>
      <w:r>
        <w:rPr>
          <w:rFonts w:hint="eastAsia" w:ascii="Times New Roman" w:hAnsi="Times New Roman"/>
          <w:color w:val="auto"/>
          <w:lang w:val="en-US" w:eastAsia="zh-CN"/>
        </w:rPr>
        <w:t>g</w:t>
      </w:r>
      <w:r>
        <w:rPr>
          <w:rFonts w:hint="eastAsia"/>
          <w:color w:val="auto"/>
          <w:lang w:val="en-US" w:eastAsia="zh-CN"/>
        </w:rPr>
        <w:t>/</w:t>
      </w:r>
      <w:r>
        <w:rPr>
          <w:rFonts w:hint="eastAsia" w:ascii="Times New Roman" w:hAnsi="Times New Roman"/>
          <w:color w:val="auto"/>
          <w:lang w:val="en-US" w:eastAsia="zh-CN"/>
        </w:rPr>
        <w:t>g</w:t>
      </w:r>
      <w:r>
        <w:rPr>
          <w:rFonts w:hint="eastAsia"/>
          <w:color w:val="auto"/>
          <w:lang w:val="en-US" w:eastAsia="zh-CN"/>
        </w:rPr>
        <w:t>）。本次评价</w:t>
      </w:r>
      <w:r>
        <w:rPr>
          <w:rFonts w:hint="eastAsia"/>
          <w:color w:val="auto"/>
        </w:rPr>
        <w:t>预测不同情况下的污染变化，超标距离和最大影响距离。</w:t>
      </w:r>
    </w:p>
    <w:p>
      <w:pPr>
        <w:spacing w:line="440" w:lineRule="exact"/>
        <w:rPr>
          <w:rFonts w:hint="eastAsia"/>
          <w:color w:val="auto"/>
        </w:rPr>
      </w:pPr>
      <w:r>
        <w:rPr>
          <w:rFonts w:hint="eastAsia"/>
          <w:color w:val="auto"/>
        </w:rPr>
        <w:t>（</w:t>
      </w:r>
      <w:r>
        <w:rPr>
          <w:rFonts w:hint="eastAsia" w:ascii="Times New Roman" w:hAnsi="Times New Roman" w:cs="Times New Roman"/>
          <w:color w:val="auto"/>
        </w:rPr>
        <w:t>5</w:t>
      </w:r>
      <w:r>
        <w:rPr>
          <w:rFonts w:hint="eastAsia"/>
          <w:color w:val="auto"/>
        </w:rPr>
        <w:t>）预测方法</w:t>
      </w:r>
    </w:p>
    <w:p>
      <w:pPr>
        <w:bidi w:val="0"/>
        <w:rPr>
          <w:rFonts w:hint="eastAsia"/>
          <w:lang w:val="en-US" w:eastAsia="zh-CN"/>
        </w:rPr>
      </w:pPr>
      <w:r>
        <w:rPr>
          <w:rFonts w:hint="eastAsia"/>
          <w:color w:val="auto"/>
        </w:rPr>
        <w:t>本项目地下水评价等级为二级，按照《环境影响评价技术导则 地下水环境》（</w:t>
      </w:r>
      <w:r>
        <w:rPr>
          <w:rFonts w:hint="eastAsia" w:ascii="Times New Roman" w:hAnsi="Times New Roman" w:cs="Times New Roman"/>
          <w:color w:val="auto"/>
        </w:rPr>
        <w:t>HJ610</w:t>
      </w:r>
      <w:r>
        <w:rPr>
          <w:rFonts w:hint="eastAsia"/>
          <w:color w:val="auto"/>
        </w:rPr>
        <w:t>-</w:t>
      </w:r>
      <w:r>
        <w:rPr>
          <w:rFonts w:hint="eastAsia" w:ascii="Times New Roman" w:hAnsi="Times New Roman" w:cs="Times New Roman"/>
          <w:color w:val="auto"/>
        </w:rPr>
        <w:t>2016</w:t>
      </w:r>
      <w:r>
        <w:rPr>
          <w:rFonts w:hint="eastAsia"/>
          <w:color w:val="auto"/>
        </w:rPr>
        <w:t>）的规定，本次评价预测方法采用解析法。</w:t>
      </w:r>
    </w:p>
    <w:p>
      <w:pPr>
        <w:bidi w:val="0"/>
        <w:rPr>
          <w:rFonts w:hint="eastAsia"/>
          <w:lang w:val="en-US" w:eastAsia="zh-CN"/>
        </w:rPr>
      </w:pPr>
      <w:r>
        <w:rPr>
          <w:rFonts w:hint="eastAsia"/>
          <w:lang w:val="en-US" w:eastAsia="zh-CN"/>
        </w:rPr>
        <w:t>（</w:t>
      </w:r>
      <w:r>
        <w:rPr>
          <w:rFonts w:hint="eastAsia" w:ascii="Times New Roman" w:hAnsi="Times New Roman"/>
          <w:lang w:val="en-US" w:eastAsia="zh-CN"/>
        </w:rPr>
        <w:t>6</w:t>
      </w:r>
      <w:r>
        <w:rPr>
          <w:rFonts w:hint="eastAsia"/>
          <w:lang w:val="en-US" w:eastAsia="zh-CN"/>
        </w:rPr>
        <w:t>）预测源强</w:t>
      </w:r>
    </w:p>
    <w:p>
      <w:pPr>
        <w:rPr>
          <w:color w:val="auto"/>
        </w:rPr>
      </w:pPr>
      <w:r>
        <w:rPr>
          <w:rFonts w:hint="eastAsia"/>
          <w:color w:val="auto"/>
          <w:lang w:val="en-US" w:eastAsia="zh-CN"/>
        </w:rPr>
        <w:t>根据导则</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的要求，特征因子主要为</w:t>
      </w:r>
      <w:r>
        <w:rPr>
          <w:rFonts w:hint="eastAsia" w:ascii="Times New Roman" w:hAnsi="Times New Roman"/>
          <w:color w:val="auto"/>
          <w:lang w:val="en-US" w:eastAsia="zh-CN"/>
        </w:rPr>
        <w:t>PD</w:t>
      </w:r>
      <w:r>
        <w:rPr>
          <w:rFonts w:hint="eastAsia"/>
          <w:color w:val="auto"/>
          <w:lang w:val="en-US" w:eastAsia="zh-CN"/>
        </w:rPr>
        <w:t>（水质污染物为</w:t>
      </w:r>
      <w:r>
        <w:rPr>
          <w:rFonts w:hint="eastAsia" w:ascii="Times New Roman" w:hAnsi="Times New Roman"/>
          <w:color w:val="auto"/>
          <w:lang w:val="en-US" w:eastAsia="zh-CN"/>
        </w:rPr>
        <w:t>COD</w:t>
      </w:r>
      <w:r>
        <w:rPr>
          <w:rFonts w:hint="eastAsia"/>
          <w:color w:val="auto"/>
          <w:lang w:val="en-US" w:eastAsia="zh-CN"/>
        </w:rPr>
        <w:t>）。</w:t>
      </w:r>
      <w:r>
        <w:rPr>
          <w:rFonts w:hint="eastAsia"/>
          <w:color w:val="auto"/>
        </w:rPr>
        <w:t>本</w:t>
      </w:r>
      <w:r>
        <w:rPr>
          <w:rFonts w:hint="eastAsia"/>
          <w:color w:val="auto"/>
          <w:lang w:eastAsia="zh-CN"/>
        </w:rPr>
        <w:t>次评价</w:t>
      </w:r>
      <w:r>
        <w:rPr>
          <w:rFonts w:hint="eastAsia"/>
          <w:color w:val="auto"/>
        </w:rPr>
        <w:t>选择</w:t>
      </w:r>
      <w:r>
        <w:rPr>
          <w:rFonts w:hint="eastAsia" w:ascii="Times New Roman" w:hAnsi="Times New Roman"/>
          <w:color w:val="auto"/>
          <w:lang w:eastAsia="zh-CN"/>
        </w:rPr>
        <w:t>PD</w:t>
      </w:r>
      <w:r>
        <w:rPr>
          <w:rFonts w:hint="eastAsia"/>
          <w:color w:val="auto"/>
          <w:lang w:eastAsia="zh-CN"/>
        </w:rPr>
        <w:t>储罐（</w:t>
      </w:r>
      <w:r>
        <w:rPr>
          <w:rFonts w:hint="eastAsia" w:ascii="Times New Roman" w:hAnsi="Times New Roman" w:cs="Times New Roman"/>
          <w:color w:val="auto"/>
          <w:lang w:val="en-US" w:eastAsia="zh-CN"/>
        </w:rPr>
        <w:t>831m</w:t>
      </w:r>
      <w:r>
        <w:rPr>
          <w:rFonts w:hint="eastAsia" w:ascii="Times New Roman" w:hAnsi="Times New Roman" w:cs="Times New Roman"/>
          <w:color w:val="auto"/>
          <w:lang w:val="en-US" w:eastAsia="zh-CN"/>
        </w:rPr>
        <w:t>³</w:t>
      </w:r>
      <w:r>
        <w:rPr>
          <w:rFonts w:hint="eastAsia"/>
          <w:color w:val="auto"/>
          <w:lang w:eastAsia="zh-CN"/>
        </w:rPr>
        <w:t>）泄漏的情形</w:t>
      </w:r>
      <w:r>
        <w:rPr>
          <w:rFonts w:hint="eastAsia"/>
          <w:color w:val="auto"/>
        </w:rPr>
        <w:t>进行预测。液体泄漏速率</w:t>
      </w:r>
      <w:r>
        <w:rPr>
          <w:rFonts w:hint="eastAsia" w:ascii="Times New Roman" w:hAnsi="Times New Roman" w:cs="Times New Roman"/>
          <w:color w:val="auto"/>
        </w:rPr>
        <w:t>Q</w:t>
      </w:r>
      <w:r>
        <w:rPr>
          <w:rFonts w:hint="eastAsia" w:ascii="Times New Roman" w:hAnsi="Times New Roman" w:cs="Times New Roman"/>
          <w:color w:val="auto"/>
          <w:vertAlign w:val="subscript"/>
        </w:rPr>
        <w:t>L</w:t>
      </w:r>
      <w:r>
        <w:rPr>
          <w:rFonts w:hint="eastAsia"/>
          <w:color w:val="auto"/>
        </w:rPr>
        <w:t>用伯努利方程计算：</w:t>
      </w:r>
    </w:p>
    <w:p>
      <w:pPr>
        <w:jc w:val="center"/>
        <w:rPr>
          <w:rFonts w:hint="eastAsia"/>
          <w:color w:val="auto"/>
        </w:rPr>
      </w:pPr>
      <w:r>
        <w:rPr>
          <w:rFonts w:hint="eastAsia" w:ascii="宋体" w:hAnsi="宋体" w:eastAsia="宋体" w:cs="Times New Roman"/>
          <w:color w:val="auto"/>
          <w:position w:val="-30"/>
          <w:sz w:val="24"/>
          <w:lang w:val="en-US" w:eastAsia="zh-CN" w:bidi="ar-SA"/>
        </w:rPr>
        <w:object>
          <v:shape id="_x0000_i1039" o:spt="75" type="#_x0000_t75" style="height:37pt;width:139pt;" o:ole="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o:OLEObject Type="Embed" ProgID="Equation.3" ShapeID="_x0000_i1039" DrawAspect="Content" ObjectID="_1468075745" r:id="rId74">
            <o:LockedField>false</o:LockedField>
          </o:OLEObject>
        </w:object>
      </w:r>
    </w:p>
    <w:p>
      <w:pPr>
        <w:rPr>
          <w:color w:val="auto"/>
        </w:rPr>
      </w:pPr>
      <w:r>
        <w:rPr>
          <w:rFonts w:hint="eastAsia"/>
          <w:color w:val="auto"/>
        </w:rPr>
        <w:t>式中：</w:t>
      </w:r>
      <w:r>
        <w:rPr>
          <w:rFonts w:hint="eastAsia" w:ascii="Times New Roman" w:hAnsi="Times New Roman" w:cs="Times New Roman"/>
          <w:color w:val="auto"/>
        </w:rPr>
        <w:t>Q</w:t>
      </w:r>
      <w:r>
        <w:rPr>
          <w:rFonts w:hint="eastAsia" w:ascii="Times New Roman" w:hAnsi="Times New Roman" w:cs="Times New Roman"/>
          <w:color w:val="auto"/>
          <w:vertAlign w:val="subscript"/>
        </w:rPr>
        <w:t>L</w:t>
      </w:r>
      <w:r>
        <w:rPr>
          <w:rFonts w:hint="eastAsia"/>
          <w:color w:val="auto"/>
        </w:rPr>
        <w:t>—液体泄漏速率，</w:t>
      </w:r>
      <w:r>
        <w:rPr>
          <w:rFonts w:hint="eastAsia" w:ascii="Times New Roman" w:hAnsi="Times New Roman" w:cs="Times New Roman"/>
          <w:color w:val="auto"/>
        </w:rPr>
        <w:t>kg</w:t>
      </w:r>
      <w:r>
        <w:rPr>
          <w:rFonts w:hint="eastAsia"/>
          <w:color w:val="auto"/>
        </w:rPr>
        <w:t>/</w:t>
      </w:r>
      <w:r>
        <w:rPr>
          <w:rFonts w:hint="eastAsia" w:ascii="Times New Roman" w:hAnsi="Times New Roman" w:cs="Times New Roman"/>
          <w:color w:val="auto"/>
        </w:rPr>
        <w:t>s</w:t>
      </w:r>
      <w:r>
        <w:rPr>
          <w:rFonts w:hint="eastAsia"/>
          <w:color w:val="auto"/>
        </w:rPr>
        <w:t>；</w:t>
      </w:r>
    </w:p>
    <w:p>
      <w:pPr>
        <w:ind w:firstLine="1200" w:firstLineChars="500"/>
        <w:rPr>
          <w:color w:val="auto"/>
        </w:rPr>
      </w:pPr>
      <w:r>
        <w:rPr>
          <w:rFonts w:hint="eastAsia" w:ascii="Times New Roman" w:hAnsi="Times New Roman" w:cs="Times New Roman"/>
          <w:color w:val="auto"/>
        </w:rPr>
        <w:t>P</w:t>
      </w:r>
      <w:r>
        <w:rPr>
          <w:rFonts w:hint="eastAsia"/>
          <w:color w:val="auto"/>
        </w:rPr>
        <w:t>—容器内介质压力，</w:t>
      </w:r>
      <w:r>
        <w:rPr>
          <w:rFonts w:hint="eastAsia" w:ascii="Times New Roman" w:hAnsi="Times New Roman" w:cs="Times New Roman"/>
          <w:color w:val="auto"/>
        </w:rPr>
        <w:t>Pa</w:t>
      </w:r>
      <w:r>
        <w:rPr>
          <w:rFonts w:hint="eastAsia"/>
          <w:color w:val="auto"/>
        </w:rPr>
        <w:t>，取</w:t>
      </w:r>
      <w:r>
        <w:rPr>
          <w:rFonts w:hint="eastAsia" w:ascii="Times New Roman" w:hAnsi="Times New Roman" w:cs="Times New Roman"/>
          <w:color w:val="auto"/>
        </w:rPr>
        <w:t>101352Pa</w:t>
      </w:r>
      <w:r>
        <w:rPr>
          <w:rFonts w:hint="eastAsia"/>
          <w:color w:val="auto"/>
        </w:rPr>
        <w:t>；</w:t>
      </w:r>
    </w:p>
    <w:p>
      <w:pPr>
        <w:ind w:firstLine="1200" w:firstLineChars="500"/>
        <w:rPr>
          <w:color w:val="auto"/>
        </w:rPr>
      </w:pPr>
      <w:r>
        <w:rPr>
          <w:rFonts w:hint="eastAsia" w:ascii="Times New Roman" w:hAnsi="Times New Roman" w:cs="Times New Roman"/>
          <w:color w:val="auto"/>
        </w:rPr>
        <w:t>P</w:t>
      </w:r>
      <w:r>
        <w:rPr>
          <w:rFonts w:hint="eastAsia" w:ascii="Times New Roman" w:hAnsi="Times New Roman" w:cs="Times New Roman"/>
          <w:color w:val="auto"/>
          <w:vertAlign w:val="subscript"/>
        </w:rPr>
        <w:t>0</w:t>
      </w:r>
      <w:r>
        <w:rPr>
          <w:rFonts w:hint="eastAsia"/>
          <w:color w:val="auto"/>
        </w:rPr>
        <w:t>—环境压力，</w:t>
      </w:r>
      <w:r>
        <w:rPr>
          <w:rFonts w:hint="eastAsia" w:ascii="Times New Roman" w:hAnsi="Times New Roman" w:cs="Times New Roman"/>
          <w:color w:val="auto"/>
        </w:rPr>
        <w:t>Pa</w:t>
      </w:r>
      <w:r>
        <w:rPr>
          <w:rFonts w:hint="eastAsia"/>
          <w:color w:val="auto"/>
        </w:rPr>
        <w:t>，</w:t>
      </w:r>
      <w:r>
        <w:rPr>
          <w:rFonts w:hint="eastAsia" w:ascii="Times New Roman" w:hAnsi="Times New Roman" w:cs="Times New Roman"/>
          <w:color w:val="auto"/>
        </w:rPr>
        <w:t>101325Pa</w:t>
      </w:r>
      <w:r>
        <w:rPr>
          <w:rFonts w:hint="eastAsia"/>
          <w:color w:val="auto"/>
        </w:rPr>
        <w:t>；</w:t>
      </w:r>
    </w:p>
    <w:p>
      <w:pPr>
        <w:ind w:firstLine="1200" w:firstLineChars="500"/>
        <w:rPr>
          <w:color w:val="auto"/>
        </w:rPr>
      </w:pPr>
      <w:r>
        <w:rPr>
          <w:rFonts w:hint="eastAsia" w:ascii="Times New Roman" w:hAnsi="Times New Roman" w:cs="Times New Roman"/>
          <w:color w:val="auto"/>
        </w:rPr>
        <w:t>ρ</w:t>
      </w:r>
      <w:r>
        <w:rPr>
          <w:rFonts w:hint="eastAsia"/>
          <w:color w:val="auto"/>
        </w:rPr>
        <w:t>—泄漏液体密度，</w:t>
      </w:r>
      <w:r>
        <w:rPr>
          <w:rFonts w:hint="eastAsia" w:ascii="Times New Roman" w:hAnsi="Times New Roman" w:cs="Times New Roman"/>
          <w:color w:val="auto"/>
        </w:rPr>
        <w:t>kg</w:t>
      </w:r>
      <w:r>
        <w:rPr>
          <w:rFonts w:hint="eastAsia"/>
          <w:color w:val="auto"/>
        </w:rPr>
        <w:t>/</w:t>
      </w:r>
      <w:r>
        <w:rPr>
          <w:rFonts w:hint="eastAsia" w:ascii="Times New Roman" w:hAnsi="Times New Roman" w:cs="Times New Roman"/>
          <w:color w:val="auto"/>
        </w:rPr>
        <w:t>m</w:t>
      </w:r>
      <w:r>
        <w:rPr>
          <w:rFonts w:hint="eastAsia"/>
          <w:color w:val="auto"/>
        </w:rPr>
        <w:t>³，</w:t>
      </w:r>
      <w:r>
        <w:rPr>
          <w:rFonts w:hint="eastAsia" w:ascii="Times New Roman" w:hAnsi="Times New Roman"/>
          <w:color w:val="auto"/>
          <w:lang w:val="en-US" w:eastAsia="zh-CN"/>
        </w:rPr>
        <w:t>PD</w:t>
      </w:r>
      <w:r>
        <w:rPr>
          <w:rFonts w:hint="eastAsia" w:ascii="Times New Roman" w:hAnsi="Times New Roman"/>
          <w:color w:val="auto"/>
          <w:lang w:val="en-US" w:eastAsia="zh-CN"/>
        </w:rPr>
        <w:t>密度</w:t>
      </w:r>
      <w:r>
        <w:rPr>
          <w:rFonts w:hint="eastAsia" w:ascii="Times New Roman" w:hAnsi="Times New Roman" w:cs="Times New Roman"/>
          <w:color w:val="auto"/>
          <w:lang w:val="en-US" w:eastAsia="zh-CN"/>
        </w:rPr>
        <w:t>862kg</w:t>
      </w:r>
      <w:r>
        <w:rPr>
          <w:rFonts w:hint="eastAsia" w:ascii="Times New Roman" w:hAnsi="Times New Roman"/>
          <w:color w:val="auto"/>
          <w:lang w:val="en-US" w:eastAsia="zh-CN"/>
        </w:rPr>
        <w:t>/</w:t>
      </w:r>
      <w:r>
        <w:rPr>
          <w:rFonts w:hint="eastAsia" w:ascii="Times New Roman" w:hAnsi="Times New Roman" w:cs="Times New Roman"/>
          <w:color w:val="auto"/>
          <w:lang w:val="en-US" w:eastAsia="zh-CN"/>
        </w:rPr>
        <w:t>m</w:t>
      </w:r>
      <w:r>
        <w:rPr>
          <w:rFonts w:hint="eastAsia" w:ascii="Times New Roman" w:hAnsi="Times New Roman"/>
          <w:color w:val="auto"/>
          <w:lang w:val="en-US" w:eastAsia="zh-CN"/>
        </w:rPr>
        <w:t>³</w:t>
      </w:r>
      <w:r>
        <w:rPr>
          <w:rFonts w:hint="eastAsia"/>
          <w:color w:val="auto"/>
        </w:rPr>
        <w:t>；</w:t>
      </w:r>
    </w:p>
    <w:p>
      <w:pPr>
        <w:ind w:firstLine="1200" w:firstLineChars="500"/>
        <w:rPr>
          <w:color w:val="auto"/>
        </w:rPr>
      </w:pPr>
      <w:r>
        <w:rPr>
          <w:rFonts w:hint="eastAsia" w:ascii="Times New Roman" w:hAnsi="Times New Roman" w:cs="Times New Roman"/>
          <w:color w:val="auto"/>
        </w:rPr>
        <w:t>g</w:t>
      </w:r>
      <w:r>
        <w:rPr>
          <w:rFonts w:hint="eastAsia"/>
          <w:color w:val="auto"/>
        </w:rPr>
        <w:t>—重力加速度，</w:t>
      </w:r>
      <w:r>
        <w:rPr>
          <w:rFonts w:hint="eastAsia" w:ascii="Times New Roman" w:hAnsi="Times New Roman" w:cs="Times New Roman"/>
          <w:color w:val="auto"/>
        </w:rPr>
        <w:t>9</w:t>
      </w:r>
      <w:r>
        <w:rPr>
          <w:rFonts w:hint="eastAsia"/>
          <w:color w:val="auto"/>
        </w:rPr>
        <w:t>.</w:t>
      </w:r>
      <w:r>
        <w:rPr>
          <w:rFonts w:hint="eastAsia" w:ascii="Times New Roman" w:hAnsi="Times New Roman" w:cs="Times New Roman"/>
          <w:color w:val="auto"/>
        </w:rPr>
        <w:t>81m</w:t>
      </w:r>
      <w:r>
        <w:rPr>
          <w:rFonts w:hint="eastAsia"/>
          <w:color w:val="auto"/>
        </w:rPr>
        <w:t>/</w:t>
      </w:r>
      <w:r>
        <w:rPr>
          <w:rFonts w:hint="eastAsia" w:ascii="Times New Roman" w:hAnsi="Times New Roman" w:cs="Times New Roman"/>
          <w:color w:val="auto"/>
        </w:rPr>
        <w:t>s</w:t>
      </w:r>
      <w:r>
        <w:rPr>
          <w:rFonts w:hint="eastAsia" w:ascii="Times New Roman" w:hAnsi="Times New Roman" w:cs="Times New Roman"/>
          <w:color w:val="auto"/>
          <w:vertAlign w:val="superscript"/>
        </w:rPr>
        <w:t>2</w:t>
      </w:r>
      <w:r>
        <w:rPr>
          <w:rFonts w:hint="eastAsia"/>
          <w:color w:val="auto"/>
        </w:rPr>
        <w:t>；</w:t>
      </w:r>
    </w:p>
    <w:p>
      <w:pPr>
        <w:ind w:firstLine="1200" w:firstLineChars="500"/>
        <w:rPr>
          <w:color w:val="auto"/>
        </w:rPr>
      </w:pPr>
      <w:r>
        <w:rPr>
          <w:rFonts w:hint="eastAsia" w:ascii="Times New Roman" w:hAnsi="Times New Roman" w:cs="Times New Roman"/>
          <w:color w:val="auto"/>
        </w:rPr>
        <w:t>h</w:t>
      </w:r>
      <w:r>
        <w:rPr>
          <w:rFonts w:hint="eastAsia"/>
          <w:color w:val="auto"/>
        </w:rPr>
        <w:t>—裂口之上液位高度，</w:t>
      </w:r>
      <w:r>
        <w:rPr>
          <w:rFonts w:hint="eastAsia" w:ascii="Times New Roman" w:hAnsi="Times New Roman" w:cs="Times New Roman"/>
          <w:color w:val="auto"/>
        </w:rPr>
        <w:t>m</w:t>
      </w:r>
      <w:r>
        <w:rPr>
          <w:rFonts w:hint="eastAsia"/>
          <w:color w:val="auto"/>
        </w:rPr>
        <w:t>，取</w:t>
      </w:r>
      <w:r>
        <w:rPr>
          <w:rFonts w:hint="eastAsia" w:ascii="Times New Roman" w:hAnsi="Times New Roman" w:cs="Times New Roman"/>
          <w:color w:val="auto"/>
          <w:lang w:val="en-US" w:eastAsia="zh-CN"/>
        </w:rPr>
        <w:t>5</w:t>
      </w:r>
      <w:r>
        <w:rPr>
          <w:rFonts w:hint="eastAsia"/>
          <w:color w:val="auto"/>
        </w:rPr>
        <w:t>；</w:t>
      </w:r>
    </w:p>
    <w:p>
      <w:pPr>
        <w:ind w:firstLine="1200" w:firstLineChars="500"/>
        <w:rPr>
          <w:color w:val="auto"/>
        </w:rPr>
      </w:pPr>
      <w:r>
        <w:rPr>
          <w:rFonts w:hint="eastAsia" w:ascii="Times New Roman" w:hAnsi="Times New Roman" w:cs="Times New Roman"/>
          <w:color w:val="auto"/>
        </w:rPr>
        <w:t>Cd</w:t>
      </w:r>
      <w:r>
        <w:rPr>
          <w:rFonts w:hint="eastAsia"/>
          <w:color w:val="auto"/>
        </w:rPr>
        <w:t>—液体泄漏系数，取</w:t>
      </w:r>
      <w:r>
        <w:rPr>
          <w:rFonts w:hint="eastAsia" w:ascii="Times New Roman" w:hAnsi="Times New Roman" w:cs="Times New Roman"/>
          <w:color w:val="auto"/>
        </w:rPr>
        <w:t>0</w:t>
      </w:r>
      <w:r>
        <w:rPr>
          <w:rFonts w:hint="eastAsia"/>
          <w:color w:val="auto"/>
        </w:rPr>
        <w:t>.</w:t>
      </w:r>
      <w:r>
        <w:rPr>
          <w:rFonts w:hint="eastAsia" w:ascii="Times New Roman" w:hAnsi="Times New Roman" w:cs="Times New Roman"/>
          <w:color w:val="auto"/>
        </w:rPr>
        <w:t>65</w:t>
      </w:r>
      <w:r>
        <w:rPr>
          <w:rFonts w:hint="eastAsia"/>
          <w:color w:val="auto"/>
        </w:rPr>
        <w:t>；</w:t>
      </w:r>
    </w:p>
    <w:p>
      <w:pPr>
        <w:spacing w:line="440" w:lineRule="exact"/>
        <w:ind w:firstLine="1200" w:firstLineChars="500"/>
        <w:rPr>
          <w:rFonts w:hint="eastAsia"/>
          <w:color w:val="auto"/>
        </w:rPr>
      </w:pPr>
      <w:r>
        <w:rPr>
          <w:rFonts w:hint="eastAsia" w:ascii="Times New Roman" w:hAnsi="Times New Roman" w:cs="Times New Roman"/>
          <w:color w:val="auto"/>
        </w:rPr>
        <w:t>A</w:t>
      </w:r>
      <w:r>
        <w:rPr>
          <w:rFonts w:hint="eastAsia"/>
          <w:color w:val="auto"/>
        </w:rPr>
        <w:t>—裂口面积，</w:t>
      </w:r>
      <w:r>
        <w:rPr>
          <w:rFonts w:hint="eastAsia" w:ascii="Times New Roman" w:hAnsi="Times New Roman" w:cs="Times New Roman"/>
          <w:color w:val="auto"/>
        </w:rPr>
        <w:t>7</w:t>
      </w:r>
      <w:r>
        <w:rPr>
          <w:rFonts w:hint="eastAsia"/>
          <w:color w:val="auto"/>
        </w:rPr>
        <w:t>.</w:t>
      </w:r>
      <w:r>
        <w:rPr>
          <w:rFonts w:hint="eastAsia" w:ascii="Times New Roman" w:hAnsi="Times New Roman" w:cs="Times New Roman"/>
          <w:color w:val="auto"/>
        </w:rPr>
        <w:t>85</w:t>
      </w:r>
      <w:r>
        <w:rPr>
          <w:rFonts w:hint="eastAsia"/>
          <w:color w:val="auto"/>
        </w:rPr>
        <w:t>×</w:t>
      </w:r>
      <w:r>
        <w:rPr>
          <w:rFonts w:hint="eastAsia" w:ascii="Times New Roman" w:hAnsi="Times New Roman" w:cs="Times New Roman"/>
          <w:color w:val="auto"/>
        </w:rPr>
        <w:t>10</w:t>
      </w:r>
      <w:r>
        <w:rPr>
          <w:rFonts w:hint="eastAsia"/>
          <w:color w:val="auto"/>
          <w:vertAlign w:val="superscript"/>
        </w:rPr>
        <w:t>-</w:t>
      </w:r>
      <w:r>
        <w:rPr>
          <w:rFonts w:hint="eastAsia" w:ascii="Times New Roman" w:hAnsi="Times New Roman" w:cs="Times New Roman"/>
          <w:color w:val="auto"/>
          <w:vertAlign w:val="superscript"/>
        </w:rPr>
        <w:t>5</w:t>
      </w:r>
      <w:r>
        <w:rPr>
          <w:rFonts w:hint="eastAsia"/>
          <w:color w:val="auto"/>
        </w:rPr>
        <w:t>㎡。</w:t>
      </w:r>
    </w:p>
    <w:p>
      <w:pPr>
        <w:bidi w:val="0"/>
        <w:rPr>
          <w:rFonts w:hint="eastAsia"/>
          <w:lang w:val="en-US" w:eastAsia="zh-CN"/>
        </w:rPr>
      </w:pPr>
      <w:r>
        <w:rPr>
          <w:rFonts w:hint="eastAsia"/>
          <w:color w:val="auto"/>
        </w:rPr>
        <w:t>根据导则</w:t>
      </w:r>
      <w:r>
        <w:rPr>
          <w:rFonts w:hint="eastAsia"/>
          <w:color w:val="auto"/>
          <w:lang w:eastAsia="zh-CN"/>
        </w:rPr>
        <w:t>要求</w:t>
      </w:r>
      <w:r>
        <w:rPr>
          <w:rFonts w:hint="eastAsia"/>
          <w:color w:val="auto"/>
        </w:rPr>
        <w:t>，</w:t>
      </w:r>
      <w:r>
        <w:rPr>
          <w:rFonts w:hint="eastAsia"/>
          <w:color w:val="auto"/>
          <w:lang w:eastAsia="zh-CN"/>
        </w:rPr>
        <w:t>以泄漏</w:t>
      </w:r>
      <w:r>
        <w:rPr>
          <w:rFonts w:hint="eastAsia" w:ascii="Times New Roman" w:hAnsi="Times New Roman" w:cs="Times New Roman"/>
          <w:color w:val="auto"/>
        </w:rPr>
        <w:t>10min</w:t>
      </w:r>
      <w:r>
        <w:rPr>
          <w:rFonts w:hint="eastAsia"/>
          <w:color w:val="auto"/>
        </w:rPr>
        <w:t>计，</w:t>
      </w:r>
      <w:r>
        <w:rPr>
          <w:rFonts w:hint="eastAsia" w:ascii="Times New Roman" w:hAnsi="Times New Roman" w:cs="Times New Roman"/>
          <w:color w:val="auto"/>
        </w:rPr>
        <w:t>Q</w:t>
      </w:r>
      <w:r>
        <w:rPr>
          <w:rFonts w:hint="eastAsia" w:ascii="Times New Roman" w:hAnsi="Times New Roman" w:cs="Times New Roman"/>
          <w:color w:val="auto"/>
          <w:vertAlign w:val="subscript"/>
        </w:rPr>
        <w:t>L</w:t>
      </w:r>
      <w:r>
        <w:rPr>
          <w:rFonts w:hint="eastAsia"/>
          <w:color w:val="auto"/>
        </w:rPr>
        <w:t>=</w:t>
      </w:r>
      <w:r>
        <w:rPr>
          <w:rFonts w:hint="eastAsia" w:ascii="Times New Roman" w:hAnsi="Times New Roman" w:cs="Times New Roman"/>
          <w:color w:val="auto"/>
          <w:lang w:val="en-US" w:eastAsia="zh-CN"/>
        </w:rPr>
        <w:t>0</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4354</w:t>
      </w:r>
      <w:r>
        <w:rPr>
          <w:rFonts w:hint="eastAsia" w:ascii="Times New Roman" w:hAnsi="Times New Roman" w:cs="Times New Roman"/>
          <w:color w:val="auto"/>
        </w:rPr>
        <w:t>kg</w:t>
      </w:r>
      <w:r>
        <w:rPr>
          <w:rFonts w:hint="eastAsia"/>
          <w:color w:val="auto"/>
        </w:rPr>
        <w:t>/</w:t>
      </w:r>
      <w:r>
        <w:rPr>
          <w:rFonts w:hint="eastAsia" w:ascii="Times New Roman" w:hAnsi="Times New Roman" w:cs="Times New Roman"/>
          <w:color w:val="auto"/>
        </w:rPr>
        <w:t>s</w:t>
      </w:r>
      <w:r>
        <w:rPr>
          <w:rFonts w:hint="eastAsia"/>
          <w:color w:val="auto"/>
        </w:rPr>
        <w:t>，则</w:t>
      </w:r>
      <w:r>
        <w:rPr>
          <w:rFonts w:hint="eastAsia" w:ascii="Times New Roman" w:hAnsi="Times New Roman"/>
          <w:color w:val="auto"/>
          <w:lang w:eastAsia="zh-CN"/>
        </w:rPr>
        <w:t>PD</w:t>
      </w:r>
      <w:r>
        <w:rPr>
          <w:rFonts w:hint="eastAsia"/>
          <w:color w:val="auto"/>
          <w:lang w:eastAsia="zh-CN"/>
        </w:rPr>
        <w:t>罐</w:t>
      </w:r>
      <w:r>
        <w:rPr>
          <w:rFonts w:hint="eastAsia"/>
          <w:color w:val="auto"/>
        </w:rPr>
        <w:t>共</w:t>
      </w:r>
      <w:r>
        <w:rPr>
          <w:rFonts w:hint="eastAsia"/>
          <w:color w:val="auto"/>
          <w:lang w:eastAsia="zh-CN"/>
        </w:rPr>
        <w:t>泄漏</w:t>
      </w:r>
      <w:r>
        <w:rPr>
          <w:rFonts w:hint="eastAsia" w:ascii="Times New Roman" w:hAnsi="Times New Roman" w:cs="Times New Roman"/>
          <w:color w:val="auto"/>
          <w:lang w:val="en-US" w:eastAsia="zh-CN"/>
        </w:rPr>
        <w:t>261</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24</w:t>
      </w:r>
      <w:r>
        <w:rPr>
          <w:rFonts w:hint="eastAsia" w:ascii="Times New Roman" w:hAnsi="Times New Roman" w:cs="Times New Roman"/>
          <w:color w:val="auto"/>
        </w:rPr>
        <w:t>kg</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0</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303m</w:t>
      </w:r>
      <w:r>
        <w:rPr>
          <w:rFonts w:hint="eastAsia" w:ascii="Times New Roman" w:hAnsi="Times New Roman" w:cs="Times New Roman"/>
          <w:color w:val="auto"/>
          <w:lang w:val="en-US" w:eastAsia="zh-CN"/>
        </w:rPr>
        <w:t>³</w:t>
      </w:r>
      <w:r>
        <w:rPr>
          <w:rFonts w:hint="eastAsia" w:ascii="Times New Roman" w:hAnsi="Times New Roman" w:cs="Times New Roman"/>
          <w:color w:val="auto"/>
          <w:lang w:eastAsia="zh-CN"/>
        </w:rPr>
        <w:t>）</w:t>
      </w:r>
      <w:r>
        <w:rPr>
          <w:rFonts w:hint="eastAsia" w:ascii="Times New Roman" w:hAnsi="Times New Roman"/>
          <w:color w:val="auto"/>
          <w:lang w:eastAsia="zh-CN"/>
        </w:rPr>
        <w:t>，按照换算系数</w:t>
      </w:r>
      <w:r>
        <w:rPr>
          <w:rFonts w:hint="eastAsia" w:ascii="Times New Roman" w:hAnsi="Times New Roman"/>
          <w:color w:val="auto"/>
          <w:lang w:val="en-US" w:eastAsia="zh-CN"/>
        </w:rPr>
        <w:t>，则共计产生</w:t>
      </w:r>
      <w:r>
        <w:rPr>
          <w:rFonts w:hint="eastAsia" w:ascii="Times New Roman" w:hAnsi="Times New Roman"/>
          <w:color w:val="auto"/>
          <w:lang w:val="en-US" w:eastAsia="zh-CN"/>
        </w:rPr>
        <w:t>COD</w:t>
      </w:r>
      <w:r>
        <w:rPr>
          <w:rFonts w:hint="eastAsia" w:ascii="Times New Roman" w:hAnsi="Times New Roman"/>
          <w:color w:val="auto"/>
          <w:lang w:val="en-US" w:eastAsia="zh-CN"/>
        </w:rPr>
        <w:t>：</w:t>
      </w:r>
      <w:r>
        <w:rPr>
          <w:rFonts w:hint="eastAsia" w:ascii="Times New Roman" w:hAnsi="Times New Roman"/>
          <w:color w:val="auto"/>
          <w:lang w:val="en-US" w:eastAsia="zh-CN"/>
        </w:rPr>
        <w:t>760</w:t>
      </w:r>
      <w:r>
        <w:rPr>
          <w:rFonts w:hint="eastAsia" w:ascii="Times New Roman" w:hAnsi="Times New Roman"/>
          <w:color w:val="auto"/>
          <w:lang w:val="en-US" w:eastAsia="zh-CN"/>
        </w:rPr>
        <w:t>.</w:t>
      </w:r>
      <w:r>
        <w:rPr>
          <w:rFonts w:hint="eastAsia" w:ascii="Times New Roman" w:hAnsi="Times New Roman"/>
          <w:color w:val="auto"/>
          <w:lang w:val="en-US" w:eastAsia="zh-CN"/>
        </w:rPr>
        <w:t>2kg</w:t>
      </w:r>
      <w:r>
        <w:rPr>
          <w:rFonts w:hint="eastAsia" w:ascii="Times New Roman" w:hAnsi="Times New Roman"/>
          <w:color w:val="auto"/>
          <w:lang w:eastAsia="zh-CN"/>
        </w:rPr>
        <w:t>，</w:t>
      </w:r>
      <w:r>
        <w:rPr>
          <w:rFonts w:hint="eastAsia"/>
          <w:color w:val="auto"/>
        </w:rPr>
        <w:t>假定污染物全部进入地下水。</w:t>
      </w:r>
    </w:p>
    <w:p>
      <w:pPr>
        <w:spacing w:line="440" w:lineRule="exact"/>
        <w:rPr>
          <w:rFonts w:hint="eastAsia"/>
          <w:color w:val="auto"/>
        </w:rPr>
      </w:pPr>
      <w:r>
        <w:rPr>
          <w:rFonts w:hint="eastAsia"/>
          <w:color w:val="auto"/>
        </w:rPr>
        <w:t>（</w:t>
      </w:r>
      <w:r>
        <w:rPr>
          <w:rFonts w:hint="eastAsia" w:ascii="Times New Roman" w:hAnsi="Times New Roman" w:cs="Times New Roman"/>
          <w:color w:val="auto"/>
        </w:rPr>
        <w:t>7</w:t>
      </w:r>
      <w:r>
        <w:rPr>
          <w:rFonts w:hint="eastAsia"/>
          <w:color w:val="auto"/>
        </w:rPr>
        <w:t>）场地其它因素</w:t>
      </w:r>
    </w:p>
    <w:p>
      <w:pPr>
        <w:spacing w:line="440" w:lineRule="exact"/>
        <w:rPr>
          <w:rFonts w:hint="eastAsia"/>
          <w:color w:val="auto"/>
        </w:rPr>
      </w:pPr>
      <w:r>
        <w:rPr>
          <w:rFonts w:hint="eastAsia"/>
          <w:color w:val="auto"/>
          <w:lang w:eastAsia="zh-CN"/>
        </w:rPr>
        <w:t>本次地下水评价</w:t>
      </w:r>
      <w:r>
        <w:rPr>
          <w:rFonts w:hint="eastAsia"/>
          <w:color w:val="auto"/>
        </w:rPr>
        <w:t>不考虑包气带吸附和降解，忽略污染物在包气带的运移过程，全部进入含水层进行计算，不考虑渗透本身造成的时间滞后。</w:t>
      </w:r>
    </w:p>
    <w:p>
      <w:pPr>
        <w:pStyle w:val="5"/>
        <w:spacing w:before="156"/>
        <w:rPr>
          <w:rFonts w:hint="eastAsia"/>
          <w:color w:val="auto"/>
        </w:rPr>
      </w:pPr>
      <w:r>
        <w:rPr>
          <w:rFonts w:hint="eastAsia" w:ascii="Times New Roman" w:hAnsi="Times New Roman" w:cs="Times New Roman"/>
          <w:color w:val="auto"/>
          <w:lang w:val="en-US" w:eastAsia="zh-CN"/>
        </w:rPr>
        <w:t>6</w:t>
      </w:r>
      <w:r>
        <w:rPr>
          <w:rFonts w:hint="eastAsia"/>
          <w:color w:val="auto"/>
        </w:rPr>
        <w:t>.</w:t>
      </w:r>
      <w:r>
        <w:rPr>
          <w:rFonts w:hint="eastAsia" w:ascii="Times New Roman" w:hAnsi="Times New Roman" w:cs="Times New Roman"/>
          <w:color w:val="auto"/>
          <w:lang w:val="en-US" w:eastAsia="zh-CN"/>
        </w:rPr>
        <w:t>4</w:t>
      </w:r>
      <w:r>
        <w:rPr>
          <w:rFonts w:hint="eastAsia"/>
          <w:color w:val="auto"/>
        </w:rPr>
        <w:t>.</w:t>
      </w:r>
      <w:r>
        <w:rPr>
          <w:rFonts w:hint="eastAsia" w:ascii="Times New Roman" w:hAnsi="Times New Roman" w:cs="Times New Roman"/>
          <w:color w:val="auto"/>
          <w:lang w:val="en-US" w:eastAsia="zh-CN"/>
        </w:rPr>
        <w:t>4</w:t>
      </w:r>
      <w:r>
        <w:rPr>
          <w:rFonts w:hint="eastAsia"/>
          <w:color w:val="auto"/>
        </w:rPr>
        <w:t>地下水环境影响预测与评价</w:t>
      </w:r>
    </w:p>
    <w:p>
      <w:pPr>
        <w:rPr>
          <w:rFonts w:hint="eastAsia"/>
          <w:color w:val="auto"/>
        </w:rPr>
      </w:pPr>
      <w:r>
        <w:rPr>
          <w:rFonts w:hint="eastAsia"/>
          <w:color w:val="auto"/>
        </w:rPr>
        <w:t>（</w:t>
      </w:r>
      <w:r>
        <w:rPr>
          <w:rFonts w:hint="eastAsia" w:ascii="Times New Roman" w:hAnsi="Times New Roman" w:cs="Times New Roman"/>
          <w:color w:val="auto"/>
        </w:rPr>
        <w:t>1</w:t>
      </w:r>
      <w:r>
        <w:rPr>
          <w:rFonts w:hint="eastAsia"/>
          <w:color w:val="auto"/>
        </w:rPr>
        <w:t>）预测模型</w:t>
      </w:r>
    </w:p>
    <w:p>
      <w:pPr>
        <w:ind w:firstLine="480"/>
        <w:rPr>
          <w:rFonts w:hint="eastAsia"/>
          <w:color w:val="auto"/>
        </w:rPr>
      </w:pPr>
      <w:r>
        <w:rPr>
          <w:rFonts w:hint="eastAsia"/>
          <w:color w:val="auto"/>
        </w:rPr>
        <w:t>项目地下水主要受由南向北方向的侧向补给，向北排泄，厂区及附近区域没有集中式供水水源地，地下水动态基本稳定，污染物在浅层含水层中的迁移可根据污染物</w:t>
      </w:r>
      <w:r>
        <w:rPr>
          <w:rFonts w:hint="eastAsia"/>
          <w:color w:val="auto"/>
          <w:lang w:eastAsia="zh-CN"/>
        </w:rPr>
        <w:t>泄漏</w:t>
      </w:r>
      <w:r>
        <w:rPr>
          <w:rFonts w:hint="eastAsia"/>
          <w:color w:val="auto"/>
        </w:rPr>
        <w:t>的不同位置，概化为点源瞬时</w:t>
      </w:r>
      <w:r>
        <w:rPr>
          <w:rFonts w:hint="eastAsia"/>
          <w:color w:val="auto"/>
          <w:lang w:eastAsia="zh-CN"/>
        </w:rPr>
        <w:t>泄漏</w:t>
      </w:r>
      <w:r>
        <w:rPr>
          <w:rFonts w:hint="eastAsia"/>
          <w:color w:val="auto"/>
        </w:rPr>
        <w:t>的一维稳定流动一维水动力弥散问题。根据《环境影响评价技术导则</w:t>
      </w:r>
      <w:r>
        <w:rPr>
          <w:rFonts w:hint="eastAsia"/>
          <w:color w:val="auto"/>
          <w:lang w:val="en-US" w:eastAsia="zh-CN"/>
        </w:rPr>
        <w:t xml:space="preserve"> </w:t>
      </w:r>
      <w:r>
        <w:rPr>
          <w:rFonts w:hint="eastAsia"/>
          <w:color w:val="auto"/>
        </w:rPr>
        <w:t>地下水环境》（</w:t>
      </w:r>
      <w:r>
        <w:rPr>
          <w:rFonts w:hint="eastAsia" w:ascii="Times New Roman" w:hAnsi="Times New Roman" w:cs="Times New Roman"/>
          <w:color w:val="auto"/>
        </w:rPr>
        <w:t>HJ610</w:t>
      </w:r>
      <w:r>
        <w:rPr>
          <w:rFonts w:hint="eastAsia"/>
          <w:color w:val="auto"/>
        </w:rPr>
        <w:t>-</w:t>
      </w:r>
      <w:r>
        <w:rPr>
          <w:rFonts w:hint="eastAsia" w:ascii="Times New Roman" w:hAnsi="Times New Roman" w:cs="Times New Roman"/>
          <w:color w:val="auto"/>
        </w:rPr>
        <w:t>2016</w:t>
      </w:r>
      <w:r>
        <w:rPr>
          <w:rFonts w:hint="eastAsia"/>
          <w:color w:val="auto"/>
        </w:rPr>
        <w:t>）附录中推荐的瞬时注入示踪剂点源模型，污染浓度分布模型如下：</w:t>
      </w:r>
    </w:p>
    <w:p>
      <w:pPr>
        <w:ind w:firstLine="480"/>
        <w:jc w:val="center"/>
        <w:rPr>
          <w:rFonts w:hint="eastAsia"/>
          <w:color w:val="auto"/>
        </w:rPr>
      </w:pPr>
      <w:r>
        <w:rPr>
          <w:rFonts w:hint="eastAsia" w:ascii="宋体" w:hAnsi="宋体" w:eastAsia="宋体" w:cs="Times New Roman"/>
          <w:color w:val="auto"/>
          <w:position w:val="-34"/>
          <w:sz w:val="24"/>
          <w:lang w:val="en-US" w:eastAsia="zh-CN" w:bidi="ar-SA"/>
        </w:rPr>
        <w:object>
          <v:shape id="_x0000_i1040" o:spt="75" type="#_x0000_t75" style="height:42pt;width:128pt;" o:ole="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o:OLEObject Type="Embed" ProgID="Equation.3" ShapeID="_x0000_i1040" DrawAspect="Content" ObjectID="_1468075746" r:id="rId76">
            <o:LockedField>false</o:LockedField>
          </o:OLEObject>
        </w:object>
      </w:r>
    </w:p>
    <w:p>
      <w:pPr>
        <w:widowControl/>
        <w:spacing w:line="440" w:lineRule="exact"/>
        <w:jc w:val="left"/>
        <w:rPr>
          <w:color w:val="auto"/>
        </w:rPr>
      </w:pPr>
      <w:r>
        <w:rPr>
          <w:color w:val="auto"/>
        </w:rPr>
        <w:t>式中：</w:t>
      </w:r>
      <w:r>
        <w:rPr>
          <w:rFonts w:ascii="Times New Roman" w:hAnsi="Times New Roman" w:cs="Times New Roman"/>
          <w:color w:val="auto"/>
        </w:rPr>
        <w:t>x</w:t>
      </w:r>
      <w:r>
        <w:rPr>
          <w:color w:val="auto"/>
        </w:rPr>
        <w:t>—</w:t>
      </w:r>
      <w:r>
        <w:rPr>
          <w:rFonts w:hint="eastAsia"/>
          <w:color w:val="auto"/>
        </w:rPr>
        <w:t>距注入点的距离，</w:t>
      </w:r>
      <w:r>
        <w:rPr>
          <w:rFonts w:hint="eastAsia" w:ascii="Times New Roman" w:hAnsi="Times New Roman" w:cs="Times New Roman"/>
          <w:color w:val="auto"/>
        </w:rPr>
        <w:t>m</w:t>
      </w:r>
      <w:r>
        <w:rPr>
          <w:color w:val="auto"/>
        </w:rPr>
        <w:t>；</w:t>
      </w:r>
    </w:p>
    <w:p>
      <w:pPr>
        <w:spacing w:line="440" w:lineRule="exact"/>
        <w:ind w:firstLine="1200" w:firstLineChars="500"/>
        <w:rPr>
          <w:color w:val="auto"/>
        </w:rPr>
      </w:pPr>
      <w:r>
        <w:rPr>
          <w:rFonts w:ascii="Times New Roman" w:hAnsi="Times New Roman" w:cs="Times New Roman"/>
          <w:color w:val="auto"/>
        </w:rPr>
        <w:t>t</w:t>
      </w:r>
      <w:r>
        <w:rPr>
          <w:color w:val="auto"/>
        </w:rPr>
        <w:t>—时间，</w:t>
      </w:r>
      <w:r>
        <w:rPr>
          <w:rFonts w:ascii="Times New Roman" w:hAnsi="Times New Roman" w:cs="Times New Roman"/>
          <w:color w:val="auto"/>
        </w:rPr>
        <w:t>d</w:t>
      </w:r>
      <w:r>
        <w:rPr>
          <w:color w:val="auto"/>
        </w:rPr>
        <w:t>；</w:t>
      </w:r>
    </w:p>
    <w:p>
      <w:pPr>
        <w:spacing w:line="440" w:lineRule="exact"/>
        <w:ind w:firstLine="1200" w:firstLineChars="500"/>
        <w:rPr>
          <w:color w:val="auto"/>
        </w:rPr>
      </w:pPr>
      <w:r>
        <w:rPr>
          <w:rFonts w:ascii="Times New Roman" w:hAnsi="Times New Roman" w:cs="Times New Roman"/>
          <w:color w:val="auto"/>
        </w:rPr>
        <w:t>C</w:t>
      </w:r>
      <w:r>
        <w:rPr>
          <w:color w:val="auto"/>
        </w:rPr>
        <w:t>(</w:t>
      </w:r>
      <w:r>
        <w:rPr>
          <w:rFonts w:ascii="Times New Roman" w:hAnsi="Times New Roman" w:cs="Times New Roman"/>
          <w:color w:val="auto"/>
        </w:rPr>
        <w:t>x</w:t>
      </w:r>
      <w:r>
        <w:rPr>
          <w:color w:val="auto"/>
        </w:rPr>
        <w:t>，</w:t>
      </w:r>
      <w:r>
        <w:rPr>
          <w:rFonts w:ascii="Times New Roman" w:hAnsi="Times New Roman" w:cs="Times New Roman"/>
          <w:color w:val="auto"/>
        </w:rPr>
        <w:t>t</w:t>
      </w:r>
      <w:r>
        <w:rPr>
          <w:color w:val="auto"/>
        </w:rPr>
        <w:t>)—</w:t>
      </w:r>
      <w:r>
        <w:rPr>
          <w:rFonts w:ascii="Times New Roman" w:hAnsi="Times New Roman" w:cs="Times New Roman"/>
          <w:color w:val="auto"/>
        </w:rPr>
        <w:t>t</w:t>
      </w:r>
      <w:r>
        <w:rPr>
          <w:color w:val="auto"/>
        </w:rPr>
        <w:t>时刻点</w:t>
      </w:r>
      <w:r>
        <w:rPr>
          <w:rFonts w:ascii="Times New Roman" w:hAnsi="Times New Roman" w:cs="Times New Roman"/>
          <w:color w:val="auto"/>
        </w:rPr>
        <w:t>x</w:t>
      </w:r>
      <w:r>
        <w:rPr>
          <w:color w:val="auto"/>
        </w:rPr>
        <w:t>处的</w:t>
      </w:r>
      <w:r>
        <w:rPr>
          <w:rFonts w:hint="eastAsia"/>
          <w:color w:val="auto"/>
        </w:rPr>
        <w:t>污染物的</w:t>
      </w:r>
      <w:r>
        <w:rPr>
          <w:color w:val="auto"/>
        </w:rPr>
        <w:t>浓度，</w:t>
      </w:r>
      <w:r>
        <w:rPr>
          <w:rFonts w:ascii="Times New Roman" w:hAnsi="Times New Roman" w:cs="Times New Roman"/>
          <w:color w:val="auto"/>
        </w:rPr>
        <w:t>g</w:t>
      </w:r>
      <w:r>
        <w:rPr>
          <w:color w:val="auto"/>
        </w:rPr>
        <w:t>/</w:t>
      </w:r>
      <w:r>
        <w:rPr>
          <w:rFonts w:ascii="Times New Roman" w:hAnsi="Times New Roman" w:cs="Times New Roman"/>
          <w:color w:val="auto"/>
        </w:rPr>
        <w:t>L</w:t>
      </w:r>
      <w:r>
        <w:rPr>
          <w:color w:val="auto"/>
        </w:rPr>
        <w:t>；</w:t>
      </w:r>
    </w:p>
    <w:p>
      <w:pPr>
        <w:spacing w:line="440" w:lineRule="exact"/>
        <w:ind w:firstLine="1200" w:firstLineChars="500"/>
        <w:rPr>
          <w:color w:val="auto"/>
        </w:rPr>
      </w:pPr>
      <w:r>
        <w:rPr>
          <w:rFonts w:hint="eastAsia" w:ascii="Times New Roman" w:hAnsi="Times New Roman" w:cs="Times New Roman"/>
          <w:color w:val="auto"/>
        </w:rPr>
        <w:t>m</w:t>
      </w:r>
      <w:r>
        <w:rPr>
          <w:color w:val="auto"/>
        </w:rPr>
        <w:t>—</w:t>
      </w:r>
      <w:r>
        <w:rPr>
          <w:rFonts w:hint="eastAsia"/>
          <w:color w:val="auto"/>
        </w:rPr>
        <w:t>注入示踪剂的质量</w:t>
      </w:r>
      <w:r>
        <w:rPr>
          <w:color w:val="auto"/>
        </w:rPr>
        <w:t>，</w:t>
      </w:r>
      <w:r>
        <w:rPr>
          <w:rFonts w:hint="eastAsia" w:ascii="Times New Roman" w:hAnsi="Times New Roman" w:cs="Times New Roman"/>
          <w:color w:val="auto"/>
        </w:rPr>
        <w:t>kg</w:t>
      </w:r>
      <w:r>
        <w:rPr>
          <w:color w:val="auto"/>
        </w:rPr>
        <w:t>；</w:t>
      </w:r>
    </w:p>
    <w:p>
      <w:pPr>
        <w:spacing w:line="440" w:lineRule="exact"/>
        <w:ind w:firstLine="1200" w:firstLineChars="500"/>
        <w:rPr>
          <w:color w:val="auto"/>
        </w:rPr>
      </w:pPr>
      <w:r>
        <w:rPr>
          <w:rFonts w:hint="eastAsia" w:ascii="Times New Roman" w:hAnsi="Times New Roman" w:cs="Times New Roman"/>
          <w:color w:val="auto"/>
        </w:rPr>
        <w:t>W</w:t>
      </w:r>
      <w:r>
        <w:rPr>
          <w:color w:val="auto"/>
        </w:rPr>
        <w:t>—</w:t>
      </w:r>
      <w:r>
        <w:rPr>
          <w:rFonts w:hint="eastAsia"/>
          <w:color w:val="auto"/>
        </w:rPr>
        <w:t>横截面面积</w:t>
      </w:r>
      <w:r>
        <w:rPr>
          <w:color w:val="auto"/>
        </w:rPr>
        <w:t>，</w:t>
      </w:r>
      <w:r>
        <w:rPr>
          <w:rFonts w:hint="eastAsia"/>
          <w:color w:val="auto"/>
        </w:rPr>
        <w:t>㎡</w:t>
      </w:r>
      <w:r>
        <w:rPr>
          <w:color w:val="auto"/>
        </w:rPr>
        <w:t>；</w:t>
      </w:r>
    </w:p>
    <w:p>
      <w:pPr>
        <w:spacing w:line="440" w:lineRule="exact"/>
        <w:ind w:firstLine="1200" w:firstLineChars="500"/>
        <w:rPr>
          <w:color w:val="auto"/>
        </w:rPr>
      </w:pPr>
      <w:r>
        <w:rPr>
          <w:rFonts w:ascii="Times New Roman" w:hAnsi="Times New Roman" w:cs="Times New Roman"/>
          <w:color w:val="auto"/>
        </w:rPr>
        <w:t>u</w:t>
      </w:r>
      <w:r>
        <w:rPr>
          <w:color w:val="auto"/>
        </w:rPr>
        <w:t>—水流速度，</w:t>
      </w:r>
      <w:r>
        <w:rPr>
          <w:rFonts w:ascii="Times New Roman" w:hAnsi="Times New Roman" w:cs="Times New Roman"/>
          <w:color w:val="auto"/>
        </w:rPr>
        <w:t>m</w:t>
      </w:r>
      <w:r>
        <w:rPr>
          <w:color w:val="auto"/>
        </w:rPr>
        <w:t>/</w:t>
      </w:r>
      <w:r>
        <w:rPr>
          <w:rFonts w:ascii="Times New Roman" w:hAnsi="Times New Roman" w:cs="Times New Roman"/>
          <w:color w:val="auto"/>
        </w:rPr>
        <w:t>d</w:t>
      </w:r>
      <w:r>
        <w:rPr>
          <w:color w:val="auto"/>
        </w:rPr>
        <w:t>；</w:t>
      </w:r>
    </w:p>
    <w:p>
      <w:pPr>
        <w:spacing w:line="440" w:lineRule="exact"/>
        <w:ind w:firstLine="1200" w:firstLineChars="500"/>
        <w:rPr>
          <w:color w:val="auto"/>
        </w:rPr>
      </w:pPr>
      <w:r>
        <w:rPr>
          <w:rFonts w:ascii="Times New Roman" w:hAnsi="Times New Roman" w:cs="Times New Roman"/>
          <w:color w:val="auto"/>
        </w:rPr>
        <w:t>n</w:t>
      </w:r>
      <w:r>
        <w:rPr>
          <w:color w:val="auto"/>
        </w:rPr>
        <w:t>—有效孔隙度，无量纲；</w:t>
      </w:r>
    </w:p>
    <w:p>
      <w:pPr>
        <w:spacing w:line="440" w:lineRule="exact"/>
        <w:ind w:firstLine="1200" w:firstLineChars="500"/>
        <w:rPr>
          <w:rFonts w:hint="eastAsia"/>
          <w:color w:val="auto"/>
        </w:rPr>
      </w:pPr>
      <w:r>
        <w:rPr>
          <w:rFonts w:ascii="Times New Roman" w:hAnsi="Times New Roman" w:cs="Times New Roman"/>
          <w:color w:val="auto"/>
        </w:rPr>
        <w:t>D</w:t>
      </w:r>
      <w:r>
        <w:rPr>
          <w:rFonts w:ascii="Times New Roman" w:hAnsi="Times New Roman" w:cs="Times New Roman"/>
          <w:color w:val="auto"/>
          <w:vertAlign w:val="subscript"/>
        </w:rPr>
        <w:t>L</w:t>
      </w:r>
      <w:r>
        <w:rPr>
          <w:color w:val="auto"/>
        </w:rPr>
        <w:t>—纵向弥散系数，</w:t>
      </w:r>
      <w:r>
        <w:rPr>
          <w:rFonts w:ascii="Times New Roman" w:hAnsi="Times New Roman" w:cs="Times New Roman"/>
          <w:color w:val="auto"/>
        </w:rPr>
        <w:t>m</w:t>
      </w:r>
      <w:r>
        <w:rPr>
          <w:rFonts w:ascii="Times New Roman" w:hAnsi="Times New Roman" w:cs="Times New Roman"/>
          <w:color w:val="auto"/>
          <w:vertAlign w:val="superscript"/>
        </w:rPr>
        <w:t>2</w:t>
      </w:r>
      <w:r>
        <w:rPr>
          <w:color w:val="auto"/>
        </w:rPr>
        <w:t>/</w:t>
      </w:r>
      <w:r>
        <w:rPr>
          <w:rFonts w:ascii="Times New Roman" w:hAnsi="Times New Roman" w:cs="Times New Roman"/>
          <w:color w:val="auto"/>
        </w:rPr>
        <w:t>d</w:t>
      </w:r>
      <w:r>
        <w:rPr>
          <w:rFonts w:hint="eastAsia"/>
          <w:color w:val="auto"/>
        </w:rPr>
        <w:t>；</w:t>
      </w:r>
    </w:p>
    <w:p>
      <w:pPr>
        <w:spacing w:line="440" w:lineRule="exact"/>
        <w:ind w:firstLine="1200" w:firstLineChars="500"/>
        <w:rPr>
          <w:rFonts w:hint="eastAsia"/>
          <w:color w:val="auto"/>
        </w:rPr>
      </w:pPr>
      <w:r>
        <w:rPr>
          <w:rFonts w:ascii="Times New Roman" w:hAnsi="Times New Roman" w:cs="Times New Roman"/>
          <w:color w:val="auto"/>
        </w:rPr>
        <w:t>π</w:t>
      </w:r>
      <w:r>
        <w:rPr>
          <w:color w:val="auto"/>
        </w:rPr>
        <w:t>—圆周率</w:t>
      </w:r>
      <w:r>
        <w:rPr>
          <w:rFonts w:hint="eastAsia"/>
          <w:color w:val="auto"/>
        </w:rPr>
        <w:t>。</w:t>
      </w:r>
    </w:p>
    <w:p>
      <w:pPr>
        <w:ind w:firstLine="480"/>
        <w:rPr>
          <w:rFonts w:hint="eastAsia"/>
          <w:color w:val="auto"/>
        </w:rPr>
      </w:pPr>
      <w:r>
        <w:rPr>
          <w:rFonts w:hint="eastAsia"/>
          <w:color w:val="auto"/>
        </w:rPr>
        <w:t>（</w:t>
      </w:r>
      <w:r>
        <w:rPr>
          <w:rFonts w:hint="eastAsia" w:ascii="Times New Roman" w:hAnsi="Times New Roman" w:cs="Times New Roman"/>
          <w:color w:val="auto"/>
        </w:rPr>
        <w:t>2</w:t>
      </w:r>
      <w:r>
        <w:rPr>
          <w:rFonts w:hint="eastAsia"/>
          <w:color w:val="auto"/>
        </w:rPr>
        <w:t>）模型参数的取值</w:t>
      </w:r>
    </w:p>
    <w:p>
      <w:pPr>
        <w:spacing w:line="440" w:lineRule="exact"/>
        <w:ind w:firstLine="480"/>
        <w:rPr>
          <w:rFonts w:hint="eastAsia"/>
          <w:color w:val="auto"/>
        </w:rPr>
      </w:pPr>
      <w:r>
        <w:rPr>
          <w:rFonts w:hint="eastAsia"/>
          <w:color w:val="auto"/>
        </w:rPr>
        <w:t>主要参数有：外泄污染物的</w:t>
      </w:r>
      <w:r>
        <w:rPr>
          <w:rFonts w:hint="eastAsia"/>
          <w:color w:val="auto"/>
          <w:lang w:eastAsia="zh-CN"/>
        </w:rPr>
        <w:t>泄漏</w:t>
      </w:r>
      <w:r>
        <w:rPr>
          <w:rFonts w:hint="eastAsia"/>
          <w:color w:val="auto"/>
        </w:rPr>
        <w:t>量；含水层厚度、有效孔隙度</w:t>
      </w:r>
      <w:r>
        <w:rPr>
          <w:rFonts w:hint="eastAsia" w:ascii="Times New Roman" w:hAnsi="Times New Roman" w:cs="Times New Roman"/>
          <w:color w:val="auto"/>
        </w:rPr>
        <w:t>n</w:t>
      </w:r>
      <w:r>
        <w:rPr>
          <w:rFonts w:hint="eastAsia"/>
          <w:color w:val="auto"/>
        </w:rPr>
        <w:t>；水流的实际平均速度</w:t>
      </w:r>
      <w:r>
        <w:rPr>
          <w:rFonts w:hint="eastAsia" w:ascii="Times New Roman" w:hAnsi="Times New Roman" w:cs="Times New Roman"/>
          <w:color w:val="auto"/>
        </w:rPr>
        <w:t>u</w:t>
      </w:r>
      <w:r>
        <w:rPr>
          <w:rFonts w:hint="eastAsia"/>
          <w:color w:val="auto"/>
        </w:rPr>
        <w:t>；纵向弥散系数</w:t>
      </w:r>
      <w:r>
        <w:rPr>
          <w:rFonts w:hint="eastAsia" w:ascii="Times New Roman" w:hAnsi="Times New Roman" w:cs="Times New Roman"/>
          <w:color w:val="auto"/>
        </w:rPr>
        <w:t>D</w:t>
      </w:r>
      <w:r>
        <w:rPr>
          <w:rFonts w:hint="eastAsia" w:ascii="Times New Roman" w:hAnsi="Times New Roman" w:cs="Times New Roman"/>
          <w:color w:val="auto"/>
          <w:vertAlign w:val="subscript"/>
        </w:rPr>
        <w:t>L</w:t>
      </w:r>
      <w:r>
        <w:rPr>
          <w:rFonts w:hint="eastAsia"/>
          <w:color w:val="auto"/>
        </w:rPr>
        <w:t>；圆周率为常数。</w:t>
      </w:r>
    </w:p>
    <w:p>
      <w:pPr>
        <w:spacing w:line="440" w:lineRule="exact"/>
        <w:ind w:firstLine="480"/>
        <w:rPr>
          <w:rFonts w:hint="eastAsia"/>
          <w:color w:val="auto"/>
        </w:rPr>
      </w:pPr>
      <w:r>
        <w:rPr>
          <w:rFonts w:hint="eastAsia"/>
          <w:color w:val="auto"/>
        </w:rPr>
        <w:t>①</w:t>
      </w:r>
      <w:r>
        <w:rPr>
          <w:rFonts w:hint="eastAsia" w:ascii="Times New Roman" w:hAnsi="Times New Roman" w:cs="Times New Roman"/>
          <w:color w:val="auto"/>
        </w:rPr>
        <w:t>x</w:t>
      </w:r>
      <w:r>
        <w:rPr>
          <w:rFonts w:hint="eastAsia"/>
          <w:color w:val="auto"/>
        </w:rPr>
        <w:t>坐标选取与地下水水流方向相同，以污染源为坐标零点。根据包气带调查资料，</w:t>
      </w:r>
      <w:r>
        <w:rPr>
          <w:rFonts w:hint="eastAsia"/>
          <w:color w:val="auto"/>
          <w:lang w:eastAsia="zh-CN"/>
        </w:rPr>
        <w:t>本项目含水层</w:t>
      </w:r>
      <w:r>
        <w:rPr>
          <w:rFonts w:hint="eastAsia"/>
          <w:color w:val="auto"/>
        </w:rPr>
        <w:t>渗透系数取</w:t>
      </w:r>
      <w:r>
        <w:rPr>
          <w:rFonts w:hint="eastAsia"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47</w:t>
      </w:r>
      <w:r>
        <w:rPr>
          <w:rFonts w:hint="eastAsia" w:ascii="Times New Roman" w:hAnsi="Times New Roman" w:cs="Times New Roman"/>
          <w:color w:val="auto"/>
        </w:rPr>
        <w:t>m</w:t>
      </w:r>
      <w:r>
        <w:rPr>
          <w:rFonts w:hint="eastAsia"/>
          <w:color w:val="auto"/>
        </w:rPr>
        <w:t>/</w:t>
      </w:r>
      <w:r>
        <w:rPr>
          <w:rFonts w:hint="eastAsia" w:ascii="Times New Roman" w:hAnsi="Times New Roman" w:cs="Times New Roman"/>
          <w:color w:val="auto"/>
        </w:rPr>
        <w:t>d</w:t>
      </w:r>
      <w:r>
        <w:rPr>
          <w:rFonts w:hint="eastAsia"/>
          <w:color w:val="auto"/>
        </w:rPr>
        <w:t>。</w:t>
      </w:r>
    </w:p>
    <w:p>
      <w:pPr>
        <w:spacing w:line="440" w:lineRule="exact"/>
        <w:rPr>
          <w:rFonts w:hint="eastAsia"/>
          <w:color w:val="auto"/>
        </w:rPr>
      </w:pPr>
      <w:r>
        <w:rPr>
          <w:rFonts w:hint="eastAsia"/>
          <w:color w:val="auto"/>
        </w:rPr>
        <w:t>②浅层含水层的平均有效孔隙度</w:t>
      </w:r>
      <w:r>
        <w:rPr>
          <w:rFonts w:hint="eastAsia" w:ascii="Times New Roman" w:hAnsi="Times New Roman" w:cs="Times New Roman"/>
          <w:color w:val="auto"/>
        </w:rPr>
        <w:t>n</w:t>
      </w:r>
    </w:p>
    <w:p>
      <w:pPr>
        <w:spacing w:line="440" w:lineRule="exact"/>
        <w:rPr>
          <w:rFonts w:hint="eastAsia"/>
          <w:color w:val="auto"/>
        </w:rPr>
      </w:pPr>
      <w:r>
        <w:rPr>
          <w:rFonts w:hint="eastAsia"/>
          <w:color w:val="auto"/>
        </w:rPr>
        <w:t>项目区含水层岩性以</w:t>
      </w:r>
      <w:r>
        <w:rPr>
          <w:rFonts w:hint="eastAsia"/>
          <w:color w:val="auto"/>
          <w:lang w:eastAsia="zh-CN"/>
        </w:rPr>
        <w:t>细砂</w:t>
      </w:r>
      <w:r>
        <w:rPr>
          <w:rFonts w:hint="eastAsia"/>
          <w:color w:val="auto"/>
        </w:rPr>
        <w:t>为主，取有效孔隙度为</w:t>
      </w:r>
      <w:r>
        <w:rPr>
          <w:rFonts w:hint="eastAsia" w:ascii="Times New Roman" w:hAnsi="Times New Roman" w:cs="Times New Roman"/>
          <w:color w:val="auto"/>
        </w:rPr>
        <w:t>0</w:t>
      </w:r>
      <w:r>
        <w:rPr>
          <w:rFonts w:hint="eastAsia"/>
          <w:color w:val="auto"/>
        </w:rPr>
        <w:t>.</w:t>
      </w:r>
      <w:r>
        <w:rPr>
          <w:rFonts w:hint="eastAsia" w:ascii="Times New Roman" w:hAnsi="Times New Roman" w:cs="Times New Roman"/>
          <w:color w:val="auto"/>
          <w:lang w:val="en-US" w:eastAsia="zh-CN"/>
        </w:rPr>
        <w:t>15</w:t>
      </w:r>
      <w:r>
        <w:rPr>
          <w:rFonts w:hint="eastAsia"/>
          <w:color w:val="auto"/>
        </w:rPr>
        <w:t>。</w:t>
      </w:r>
    </w:p>
    <w:p>
      <w:pPr>
        <w:spacing w:line="440" w:lineRule="exact"/>
        <w:rPr>
          <w:color w:val="auto"/>
        </w:rPr>
      </w:pPr>
      <w:r>
        <w:rPr>
          <w:rFonts w:hint="eastAsia"/>
          <w:color w:val="auto"/>
        </w:rPr>
        <w:t>③水流实际平均流速</w:t>
      </w:r>
      <w:r>
        <w:rPr>
          <w:rFonts w:hint="eastAsia" w:ascii="Times New Roman" w:hAnsi="Times New Roman" w:cs="Times New Roman"/>
          <w:color w:val="auto"/>
        </w:rPr>
        <w:t>μ</w:t>
      </w:r>
      <w:r>
        <w:rPr>
          <w:rFonts w:hint="eastAsia" w:ascii="Times New Roman"/>
          <w:color w:val="auto"/>
        </w:rPr>
        <w:t xml:space="preserve"> </w:t>
      </w:r>
    </w:p>
    <w:p>
      <w:pPr>
        <w:spacing w:line="440" w:lineRule="exact"/>
        <w:rPr>
          <w:rFonts w:hint="eastAsia"/>
          <w:color w:val="auto"/>
        </w:rPr>
      </w:pPr>
      <w:r>
        <w:rPr>
          <w:rFonts w:hint="eastAsia"/>
          <w:color w:val="auto"/>
        </w:rPr>
        <w:t>项目区包气带渗透系数取</w:t>
      </w:r>
      <w:r>
        <w:rPr>
          <w:rFonts w:hint="eastAsia"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47</w:t>
      </w:r>
      <w:r>
        <w:rPr>
          <w:rFonts w:hint="eastAsia" w:ascii="Times New Roman" w:hAnsi="Times New Roman" w:cs="Times New Roman"/>
          <w:color w:val="auto"/>
        </w:rPr>
        <w:t>m</w:t>
      </w:r>
      <w:r>
        <w:rPr>
          <w:rFonts w:hint="eastAsia"/>
          <w:color w:val="auto"/>
        </w:rPr>
        <w:t>/</w:t>
      </w:r>
      <w:r>
        <w:rPr>
          <w:rFonts w:hint="eastAsia" w:ascii="Times New Roman" w:hAnsi="Times New Roman" w:cs="Times New Roman"/>
          <w:color w:val="auto"/>
        </w:rPr>
        <w:t>d</w:t>
      </w:r>
      <w:r>
        <w:rPr>
          <w:rFonts w:hint="eastAsia"/>
          <w:color w:val="auto"/>
        </w:rPr>
        <w:t>；水力坡度</w:t>
      </w:r>
      <w:r>
        <w:rPr>
          <w:rFonts w:hint="eastAsia" w:ascii="Times New Roman" w:hAnsi="Times New Roman" w:cs="Times New Roman"/>
          <w:color w:val="auto"/>
        </w:rPr>
        <w:t>I</w:t>
      </w:r>
      <w:r>
        <w:rPr>
          <w:rFonts w:hint="eastAsia"/>
          <w:color w:val="auto"/>
        </w:rPr>
        <w:t>=</w:t>
      </w:r>
      <w:r>
        <w:rPr>
          <w:rFonts w:hint="eastAsia" w:ascii="Times New Roman" w:hAnsi="Times New Roman" w:cs="Times New Roman"/>
          <w:color w:val="auto"/>
          <w:lang w:val="en-US" w:eastAsia="zh-CN"/>
        </w:rPr>
        <w:t>5</w:t>
      </w:r>
      <w:r>
        <w:rPr>
          <w:rFonts w:hint="eastAsia"/>
          <w:color w:val="auto"/>
        </w:rPr>
        <w:t>‰（根据</w:t>
      </w:r>
      <w:r>
        <w:rPr>
          <w:rFonts w:hint="eastAsia"/>
          <w:color w:val="auto"/>
          <w:lang w:eastAsia="zh-CN"/>
        </w:rPr>
        <w:t>现有</w:t>
      </w:r>
      <w:r>
        <w:rPr>
          <w:rFonts w:hint="eastAsia"/>
          <w:color w:val="auto"/>
        </w:rPr>
        <w:t>水文地质</w:t>
      </w:r>
      <w:r>
        <w:rPr>
          <w:rFonts w:hint="eastAsia"/>
          <w:color w:val="auto"/>
          <w:lang w:eastAsia="zh-CN"/>
        </w:rPr>
        <w:t>资料</w:t>
      </w:r>
      <w:r>
        <w:rPr>
          <w:rFonts w:hint="eastAsia"/>
          <w:color w:val="auto"/>
        </w:rPr>
        <w:t>），根据达西公式，地下水的渗透流速</w:t>
      </w:r>
      <w:r>
        <w:rPr>
          <w:rFonts w:hint="eastAsia" w:ascii="Times New Roman" w:hAnsi="Times New Roman" w:cs="Times New Roman"/>
          <w:color w:val="auto"/>
        </w:rPr>
        <w:t>V</w:t>
      </w:r>
      <w:r>
        <w:rPr>
          <w:rFonts w:hint="eastAsia"/>
          <w:color w:val="auto"/>
        </w:rPr>
        <w:t>=</w:t>
      </w:r>
      <w:r>
        <w:rPr>
          <w:rFonts w:hint="eastAsia" w:ascii="Times New Roman" w:hAnsi="Times New Roman" w:cs="Times New Roman"/>
          <w:color w:val="auto"/>
        </w:rPr>
        <w:t>KI</w:t>
      </w:r>
      <w:r>
        <w:rPr>
          <w:rFonts w:hint="eastAsia"/>
          <w:color w:val="auto"/>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47</w:t>
      </w:r>
      <w:r>
        <w:rPr>
          <w:rFonts w:hint="eastAsia" w:ascii="Times New Roman" w:hAnsi="Times New Roman" w:cs="Times New Roman"/>
          <w:color w:val="auto"/>
        </w:rPr>
        <w:t>m</w:t>
      </w:r>
      <w:r>
        <w:rPr>
          <w:rFonts w:hint="eastAsia"/>
          <w:color w:val="auto"/>
        </w:rPr>
        <w:t>/</w:t>
      </w:r>
      <w:r>
        <w:rPr>
          <w:rFonts w:hint="eastAsia" w:ascii="Times New Roman" w:hAnsi="Times New Roman" w:cs="Times New Roman"/>
          <w:color w:val="auto"/>
        </w:rPr>
        <w:t>d</w:t>
      </w:r>
      <w:r>
        <w:rPr>
          <w:rFonts w:hint="eastAsia"/>
          <w:color w:val="auto"/>
        </w:rPr>
        <w:t>×</w:t>
      </w:r>
      <w:r>
        <w:rPr>
          <w:rFonts w:hint="eastAsia" w:ascii="Times New Roman" w:hAnsi="Times New Roman" w:cs="Times New Roman"/>
          <w:color w:val="auto"/>
        </w:rPr>
        <w:t>0</w:t>
      </w:r>
      <w:r>
        <w:rPr>
          <w:rFonts w:hint="eastAsia"/>
          <w:color w:val="auto"/>
        </w:rPr>
        <w:t>.</w:t>
      </w:r>
      <w:r>
        <w:rPr>
          <w:rFonts w:hint="eastAsia" w:ascii="Times New Roman" w:hAnsi="Times New Roman" w:cs="Times New Roman"/>
          <w:color w:val="auto"/>
        </w:rPr>
        <w:t>00</w:t>
      </w:r>
      <w:r>
        <w:rPr>
          <w:rFonts w:hint="eastAsia" w:ascii="Times New Roman" w:hAnsi="Times New Roman" w:cs="Times New Roman"/>
          <w:color w:val="auto"/>
          <w:lang w:val="en-US" w:eastAsia="zh-CN"/>
        </w:rPr>
        <w:t>5</w:t>
      </w:r>
      <w:r>
        <w:rPr>
          <w:rFonts w:hint="eastAsia"/>
          <w:color w:val="auto"/>
        </w:rPr>
        <w:t>=</w:t>
      </w:r>
      <w:r>
        <w:rPr>
          <w:rFonts w:hint="eastAsia" w:ascii="Times New Roman" w:hAnsi="Times New Roman" w:cs="Times New Roman"/>
          <w:color w:val="auto"/>
        </w:rPr>
        <w:t>0</w:t>
      </w:r>
      <w:r>
        <w:rPr>
          <w:rFonts w:hint="eastAsia" w:ascii="Times New Roman"/>
          <w:color w:val="auto"/>
        </w:rPr>
        <w:t>.</w:t>
      </w:r>
      <w:r>
        <w:rPr>
          <w:rFonts w:hint="eastAsia" w:ascii="Times New Roman" w:hAnsi="Times New Roman" w:cs="Times New Roman"/>
          <w:color w:val="auto"/>
          <w:lang w:val="en-US" w:eastAsia="zh-CN"/>
        </w:rPr>
        <w:t>0735</w:t>
      </w:r>
      <w:r>
        <w:rPr>
          <w:rFonts w:hint="eastAsia" w:ascii="Times New Roman" w:hAnsi="Times New Roman" w:cs="Times New Roman"/>
          <w:color w:val="auto"/>
        </w:rPr>
        <w:t>m</w:t>
      </w:r>
      <w:r>
        <w:rPr>
          <w:rFonts w:hint="eastAsia"/>
          <w:color w:val="auto"/>
        </w:rPr>
        <w:t>/</w:t>
      </w:r>
      <w:r>
        <w:rPr>
          <w:rFonts w:hint="eastAsia" w:ascii="Times New Roman" w:hAnsi="Times New Roman" w:cs="Times New Roman"/>
          <w:color w:val="auto"/>
        </w:rPr>
        <w:t>d</w:t>
      </w:r>
      <w:r>
        <w:rPr>
          <w:rFonts w:hint="eastAsia"/>
          <w:color w:val="auto"/>
        </w:rPr>
        <w:t>，平均实际流速</w:t>
      </w:r>
      <w:r>
        <w:rPr>
          <w:rFonts w:hint="eastAsia" w:ascii="Times New Roman" w:hAnsi="Times New Roman" w:cs="Times New Roman"/>
          <w:color w:val="auto"/>
        </w:rPr>
        <w:t>μ</w:t>
      </w:r>
      <w:r>
        <w:rPr>
          <w:rFonts w:hint="eastAsia"/>
          <w:color w:val="auto"/>
        </w:rPr>
        <w:t>=</w:t>
      </w:r>
      <w:r>
        <w:rPr>
          <w:rFonts w:hint="eastAsia" w:ascii="Times New Roman" w:hAnsi="Times New Roman" w:cs="Times New Roman"/>
          <w:color w:val="auto"/>
        </w:rPr>
        <w:t>V</w:t>
      </w:r>
      <w:r>
        <w:rPr>
          <w:rFonts w:hint="eastAsia"/>
          <w:color w:val="auto"/>
        </w:rPr>
        <w:t>/</w:t>
      </w:r>
      <w:r>
        <w:rPr>
          <w:rFonts w:hint="eastAsia" w:ascii="Times New Roman" w:hAnsi="Times New Roman" w:cs="Times New Roman"/>
          <w:color w:val="auto"/>
        </w:rPr>
        <w:t>n</w:t>
      </w:r>
      <w:r>
        <w:rPr>
          <w:rFonts w:hint="eastAsia"/>
          <w:color w:val="auto"/>
        </w:rPr>
        <w:t>=</w:t>
      </w:r>
      <w:r>
        <w:rPr>
          <w:rFonts w:hint="eastAsia" w:ascii="Times New Roman" w:hAnsi="Times New Roman" w:cs="Times New Roman"/>
          <w:color w:val="auto"/>
        </w:rPr>
        <w:t>0</w:t>
      </w:r>
      <w:r>
        <w:rPr>
          <w:rFonts w:hint="eastAsia" w:ascii="Times New Roman"/>
          <w:color w:val="auto"/>
        </w:rPr>
        <w:t>.</w:t>
      </w:r>
      <w:r>
        <w:rPr>
          <w:rFonts w:hint="eastAsia" w:ascii="Times New Roman" w:hAnsi="Times New Roman" w:cs="Times New Roman"/>
          <w:color w:val="auto"/>
          <w:lang w:val="en-US" w:eastAsia="zh-CN"/>
        </w:rPr>
        <w:t>049</w:t>
      </w:r>
      <w:r>
        <w:rPr>
          <w:rFonts w:hint="eastAsia" w:ascii="Times New Roman" w:hAnsi="Times New Roman" w:cs="Times New Roman"/>
          <w:color w:val="auto"/>
        </w:rPr>
        <w:t>m</w:t>
      </w:r>
      <w:r>
        <w:rPr>
          <w:rFonts w:hint="eastAsia"/>
          <w:color w:val="auto"/>
        </w:rPr>
        <w:t>/</w:t>
      </w:r>
      <w:r>
        <w:rPr>
          <w:rFonts w:hint="eastAsia" w:ascii="Times New Roman" w:hAnsi="Times New Roman" w:cs="Times New Roman"/>
          <w:color w:val="auto"/>
        </w:rPr>
        <w:t>d</w:t>
      </w:r>
      <w:r>
        <w:rPr>
          <w:rFonts w:hint="eastAsia"/>
          <w:color w:val="auto"/>
        </w:rPr>
        <w:t>。</w:t>
      </w:r>
    </w:p>
    <w:p>
      <w:pPr>
        <w:spacing w:line="440" w:lineRule="exact"/>
        <w:rPr>
          <w:rFonts w:hint="eastAsia"/>
          <w:color w:val="auto"/>
        </w:rPr>
      </w:pPr>
      <w:r>
        <w:rPr>
          <w:rFonts w:hint="eastAsia"/>
          <w:color w:val="auto"/>
        </w:rPr>
        <w:t>④纵向</w:t>
      </w:r>
      <w:r>
        <w:rPr>
          <w:rFonts w:hint="eastAsia" w:ascii="Times New Roman" w:hAnsi="Times New Roman" w:cs="Times New Roman"/>
          <w:color w:val="auto"/>
        </w:rPr>
        <w:t>x</w:t>
      </w:r>
      <w:r>
        <w:rPr>
          <w:rFonts w:hint="eastAsia"/>
          <w:color w:val="auto"/>
        </w:rPr>
        <w:t>方向弥散系数</w:t>
      </w:r>
      <w:r>
        <w:rPr>
          <w:rFonts w:hint="eastAsia" w:ascii="Times New Roman" w:hAnsi="Times New Roman" w:cs="Times New Roman"/>
          <w:color w:val="auto"/>
        </w:rPr>
        <w:t>D</w:t>
      </w:r>
      <w:r>
        <w:rPr>
          <w:rFonts w:hint="eastAsia" w:ascii="Times New Roman" w:hAnsi="Times New Roman" w:cs="Times New Roman"/>
          <w:color w:val="auto"/>
          <w:vertAlign w:val="subscript"/>
        </w:rPr>
        <w:t>L</w:t>
      </w:r>
    </w:p>
    <w:p>
      <w:pPr>
        <w:spacing w:line="440" w:lineRule="exact"/>
        <w:rPr>
          <w:rFonts w:hint="eastAsia"/>
          <w:color w:val="auto"/>
        </w:rPr>
      </w:pPr>
      <w:r>
        <w:rPr>
          <w:rFonts w:ascii="Times New Roman"/>
          <w:color w:val="auto"/>
        </w:rPr>
        <w:t>一般弥散试验的结果受试验场地的尺度效应影响明显，其结果应用受到很大的局限性，因此，本次预测过程中所用的弥散度根据前人有关弥散度尺度效应的研究成果来确定。参考</w:t>
      </w:r>
      <w:r>
        <w:rPr>
          <w:rFonts w:ascii="Times New Roman" w:hAnsi="Times New Roman" w:cs="Times New Roman"/>
          <w:color w:val="auto"/>
        </w:rPr>
        <w:t>Gelhar</w:t>
      </w:r>
      <w:r>
        <w:rPr>
          <w:rFonts w:ascii="Times New Roman"/>
          <w:color w:val="auto"/>
        </w:rPr>
        <w:t xml:space="preserve"> </w:t>
      </w:r>
      <w:r>
        <w:rPr>
          <w:rFonts w:ascii="Times New Roman" w:hAnsi="Times New Roman" w:cs="Times New Roman"/>
          <w:color w:val="auto"/>
        </w:rPr>
        <w:t>L</w:t>
      </w:r>
      <w:r>
        <w:rPr>
          <w:rFonts w:ascii="Times New Roman"/>
          <w:color w:val="auto"/>
        </w:rPr>
        <w:t>.</w:t>
      </w:r>
      <w:r>
        <w:rPr>
          <w:rFonts w:ascii="Times New Roman" w:hAnsi="Times New Roman" w:cs="Times New Roman"/>
          <w:color w:val="auto"/>
        </w:rPr>
        <w:t>W</w:t>
      </w:r>
      <w:r>
        <w:rPr>
          <w:rFonts w:ascii="Times New Roman"/>
          <w:color w:val="auto"/>
        </w:rPr>
        <w:t>（</w:t>
      </w:r>
      <w:r>
        <w:rPr>
          <w:rFonts w:ascii="Times New Roman" w:hAnsi="Times New Roman" w:cs="Times New Roman"/>
          <w:color w:val="auto"/>
        </w:rPr>
        <w:t>1992</w:t>
      </w:r>
      <w:r>
        <w:rPr>
          <w:rFonts w:ascii="Times New Roman"/>
          <w:color w:val="auto"/>
        </w:rPr>
        <w:t>年）在“</w:t>
      </w:r>
      <w:r>
        <w:rPr>
          <w:rFonts w:ascii="Times New Roman" w:hAnsi="Times New Roman" w:cs="Times New Roman"/>
          <w:color w:val="auto"/>
        </w:rPr>
        <w:t>A</w:t>
      </w:r>
      <w:r>
        <w:rPr>
          <w:rFonts w:ascii="Times New Roman"/>
          <w:color w:val="auto"/>
        </w:rPr>
        <w:t xml:space="preserve"> </w:t>
      </w:r>
      <w:r>
        <w:rPr>
          <w:rFonts w:ascii="Times New Roman" w:hAnsi="Times New Roman" w:cs="Times New Roman"/>
          <w:color w:val="auto"/>
        </w:rPr>
        <w:t>critical</w:t>
      </w:r>
      <w:r>
        <w:rPr>
          <w:rFonts w:ascii="Times New Roman"/>
          <w:color w:val="auto"/>
        </w:rPr>
        <w:t xml:space="preserve"> </w:t>
      </w:r>
      <w:r>
        <w:rPr>
          <w:rFonts w:ascii="Times New Roman" w:hAnsi="Times New Roman" w:cs="Times New Roman"/>
          <w:color w:val="auto"/>
        </w:rPr>
        <w:t>review</w:t>
      </w:r>
      <w:r>
        <w:rPr>
          <w:rFonts w:ascii="Times New Roman"/>
          <w:color w:val="auto"/>
        </w:rPr>
        <w:t xml:space="preserve"> </w:t>
      </w:r>
      <w:r>
        <w:rPr>
          <w:rFonts w:ascii="Times New Roman" w:hAnsi="Times New Roman" w:cs="Times New Roman"/>
          <w:color w:val="auto"/>
        </w:rPr>
        <w:t>of</w:t>
      </w:r>
      <w:r>
        <w:rPr>
          <w:rFonts w:ascii="Times New Roman"/>
          <w:color w:val="auto"/>
        </w:rPr>
        <w:t xml:space="preserve"> </w:t>
      </w:r>
      <w:r>
        <w:rPr>
          <w:rFonts w:ascii="Times New Roman" w:hAnsi="Times New Roman" w:cs="Times New Roman"/>
          <w:color w:val="auto"/>
        </w:rPr>
        <w:t>data</w:t>
      </w:r>
      <w:r>
        <w:rPr>
          <w:rFonts w:ascii="Times New Roman"/>
          <w:color w:val="auto"/>
        </w:rPr>
        <w:t xml:space="preserve"> </w:t>
      </w:r>
      <w:r>
        <w:rPr>
          <w:rFonts w:ascii="Times New Roman" w:hAnsi="Times New Roman" w:cs="Times New Roman"/>
          <w:color w:val="auto"/>
        </w:rPr>
        <w:t>on</w:t>
      </w:r>
      <w:r>
        <w:rPr>
          <w:rFonts w:ascii="Times New Roman"/>
          <w:color w:val="auto"/>
        </w:rPr>
        <w:t xml:space="preserve"> </w:t>
      </w:r>
      <w:r>
        <w:rPr>
          <w:rFonts w:ascii="Times New Roman" w:hAnsi="Times New Roman" w:cs="Times New Roman"/>
          <w:color w:val="auto"/>
        </w:rPr>
        <w:t>field</w:t>
      </w:r>
      <w:r>
        <w:rPr>
          <w:rFonts w:ascii="Times New Roman"/>
          <w:color w:val="auto"/>
        </w:rPr>
        <w:t>-</w:t>
      </w:r>
      <w:r>
        <w:rPr>
          <w:rFonts w:ascii="Times New Roman" w:hAnsi="Times New Roman" w:cs="Times New Roman"/>
          <w:color w:val="auto"/>
        </w:rPr>
        <w:t>scaledispersion</w:t>
      </w:r>
      <w:r>
        <w:rPr>
          <w:rFonts w:ascii="Times New Roman"/>
          <w:color w:val="auto"/>
        </w:rPr>
        <w:t xml:space="preserve"> </w:t>
      </w:r>
      <w:r>
        <w:rPr>
          <w:rFonts w:ascii="Times New Roman" w:hAnsi="Times New Roman" w:cs="Times New Roman"/>
          <w:color w:val="auto"/>
        </w:rPr>
        <w:t>in</w:t>
      </w:r>
      <w:r>
        <w:rPr>
          <w:rFonts w:ascii="Times New Roman"/>
          <w:color w:val="auto"/>
        </w:rPr>
        <w:t xml:space="preserve"> </w:t>
      </w:r>
      <w:r>
        <w:rPr>
          <w:rFonts w:ascii="Times New Roman" w:hAnsi="Times New Roman" w:cs="Times New Roman"/>
          <w:color w:val="auto"/>
        </w:rPr>
        <w:t>aquifer</w:t>
      </w:r>
      <w:r>
        <w:rPr>
          <w:rFonts w:ascii="Times New Roman"/>
          <w:color w:val="auto"/>
        </w:rPr>
        <w:t>”一文中对</w:t>
      </w:r>
      <w:r>
        <w:rPr>
          <w:rFonts w:ascii="Times New Roman" w:hAnsi="Times New Roman" w:cs="Times New Roman"/>
          <w:color w:val="auto"/>
        </w:rPr>
        <w:t>59</w:t>
      </w:r>
      <w:r>
        <w:rPr>
          <w:rFonts w:ascii="Times New Roman"/>
          <w:color w:val="auto"/>
        </w:rPr>
        <w:t>个不同尺度的地区弥散度的研究成果，以及成建梅（</w:t>
      </w:r>
      <w:r>
        <w:rPr>
          <w:rFonts w:ascii="Times New Roman" w:hAnsi="Times New Roman" w:cs="Times New Roman"/>
          <w:color w:val="auto"/>
        </w:rPr>
        <w:t>2002</w:t>
      </w:r>
      <w:r>
        <w:rPr>
          <w:rFonts w:ascii="Times New Roman"/>
          <w:color w:val="auto"/>
        </w:rPr>
        <w:t>年）在</w:t>
      </w:r>
      <w:r>
        <w:rPr>
          <w:rFonts w:hint="eastAsia"/>
          <w:color w:val="auto"/>
        </w:rPr>
        <w:t>“</w:t>
      </w:r>
      <w:r>
        <w:rPr>
          <w:rFonts w:ascii="Times New Roman"/>
          <w:color w:val="auto"/>
        </w:rPr>
        <w:t>考虑可信度的弥散尺度效应分析</w:t>
      </w:r>
      <w:r>
        <w:rPr>
          <w:rFonts w:hint="eastAsia"/>
          <w:color w:val="auto"/>
        </w:rPr>
        <w:t>”</w:t>
      </w:r>
      <w:r>
        <w:rPr>
          <w:rFonts w:ascii="Times New Roman"/>
          <w:color w:val="auto"/>
        </w:rPr>
        <w:t>一文中根据</w:t>
      </w:r>
      <w:r>
        <w:rPr>
          <w:rFonts w:ascii="Times New Roman" w:hAnsi="Times New Roman" w:cs="Times New Roman"/>
          <w:color w:val="auto"/>
        </w:rPr>
        <w:t>118</w:t>
      </w:r>
      <w:r>
        <w:rPr>
          <w:rFonts w:ascii="Times New Roman"/>
          <w:color w:val="auto"/>
        </w:rPr>
        <w:t>个弥散资料对纵向弥散度与试验尺度数据回归分析所得到的回归方程</w:t>
      </w:r>
      <w:r>
        <w:rPr>
          <w:rFonts w:hint="eastAsia" w:ascii="Times New Roman"/>
          <w:color w:val="auto"/>
        </w:rPr>
        <w:t>。孔隙介质的二维数值模型关系图见图</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eastAsia" w:ascii="Times New Roman"/>
          <w:color w:val="auto"/>
        </w:rPr>
        <w:t>。</w:t>
      </w:r>
      <w:r>
        <w:rPr>
          <w:rFonts w:ascii="Times New Roman"/>
          <w:color w:val="auto"/>
        </w:rPr>
        <w:t>结合区域水文地质条件特征，</w:t>
      </w:r>
      <w:r>
        <w:rPr>
          <w:rFonts w:hint="eastAsia"/>
          <w:color w:val="auto"/>
        </w:rPr>
        <w:t>确定含水层纵向弥散度应介于</w:t>
      </w:r>
      <w:r>
        <w:rPr>
          <w:rFonts w:hint="eastAsia" w:ascii="Times New Roman" w:hAnsi="Times New Roman" w:cs="Times New Roman"/>
          <w:color w:val="auto"/>
        </w:rPr>
        <w:t>10</w:t>
      </w:r>
      <w:r>
        <w:rPr>
          <w:rFonts w:hint="eastAsia"/>
          <w:color w:val="auto"/>
        </w:rPr>
        <w:t>～</w:t>
      </w:r>
      <w:r>
        <w:rPr>
          <w:rFonts w:hint="eastAsia" w:ascii="Times New Roman" w:hAnsi="Times New Roman" w:cs="Times New Roman"/>
          <w:color w:val="auto"/>
        </w:rPr>
        <w:t>100</w:t>
      </w:r>
      <w:r>
        <w:rPr>
          <w:rFonts w:hint="eastAsia"/>
          <w:color w:val="auto"/>
        </w:rPr>
        <w:t>之间，本次弥散度参数取</w:t>
      </w:r>
      <w:r>
        <w:rPr>
          <w:rFonts w:hint="eastAsia" w:ascii="Times New Roman" w:hAnsi="Times New Roman" w:cs="Times New Roman"/>
          <w:color w:val="auto"/>
        </w:rPr>
        <w:t>10</w:t>
      </w:r>
      <w:r>
        <w:rPr>
          <w:rFonts w:hint="eastAsia"/>
          <w:color w:val="auto"/>
        </w:rPr>
        <w:t>。则纵向弥散系数</w:t>
      </w:r>
      <w:r>
        <w:rPr>
          <w:rFonts w:hint="eastAsia" w:ascii="Times New Roman" w:hAnsi="Times New Roman" w:cs="Times New Roman"/>
          <w:color w:val="auto"/>
        </w:rPr>
        <w:t>DL</w:t>
      </w:r>
      <w:r>
        <w:rPr>
          <w:rFonts w:hint="eastAsia"/>
          <w:color w:val="auto"/>
        </w:rPr>
        <w:t>=</w:t>
      </w:r>
      <w:r>
        <w:rPr>
          <w:rFonts w:hint="eastAsia" w:ascii="Times New Roman" w:hAnsi="Times New Roman" w:cs="Times New Roman"/>
          <w:color w:val="auto"/>
        </w:rPr>
        <w:t>α</w:t>
      </w:r>
      <w:r>
        <w:rPr>
          <w:rFonts w:hint="eastAsia" w:ascii="Times New Roman" w:hAnsi="Times New Roman" w:cs="Times New Roman"/>
          <w:color w:val="auto"/>
          <w:vertAlign w:val="subscript"/>
        </w:rPr>
        <w:t>L</w:t>
      </w:r>
      <w:r>
        <w:rPr>
          <w:rFonts w:hint="eastAsia"/>
          <w:color w:val="auto"/>
        </w:rPr>
        <w:t>×</w:t>
      </w:r>
      <w:r>
        <w:rPr>
          <w:rFonts w:hint="eastAsia" w:ascii="Times New Roman" w:hAnsi="Times New Roman" w:cs="Times New Roman"/>
          <w:color w:val="auto"/>
        </w:rPr>
        <w:t>μ</w:t>
      </w:r>
      <w:r>
        <w:rPr>
          <w:rFonts w:hint="eastAsia"/>
          <w:color w:val="auto"/>
        </w:rPr>
        <w:t>=</w:t>
      </w:r>
      <w:r>
        <w:rPr>
          <w:rFonts w:hint="eastAsia" w:ascii="Times New Roman" w:hAnsi="Times New Roman" w:cs="Times New Roman"/>
          <w:color w:val="auto"/>
        </w:rPr>
        <w:t>10</w:t>
      </w:r>
      <w:r>
        <w:rPr>
          <w:rFonts w:hint="eastAsia"/>
          <w:color w:val="auto"/>
        </w:rPr>
        <w:t>×</w:t>
      </w:r>
      <w:r>
        <w:rPr>
          <w:rFonts w:hint="eastAsia" w:ascii="Times New Roman" w:hAnsi="Times New Roman" w:cs="Times New Roman"/>
          <w:color w:val="auto"/>
        </w:rPr>
        <w:t>0</w:t>
      </w:r>
      <w:r>
        <w:rPr>
          <w:rFonts w:hint="eastAsia" w:ascii="Times New Roman"/>
          <w:color w:val="auto"/>
        </w:rPr>
        <w:t>.</w:t>
      </w:r>
      <w:r>
        <w:rPr>
          <w:rFonts w:hint="eastAsia" w:ascii="Times New Roman" w:hAnsi="Times New Roman" w:cs="Times New Roman"/>
          <w:color w:val="auto"/>
          <w:lang w:val="en-US" w:eastAsia="zh-CN"/>
        </w:rPr>
        <w:t>049</w:t>
      </w:r>
      <w:r>
        <w:rPr>
          <w:rFonts w:hint="eastAsia" w:ascii="Times New Roman" w:hAnsi="Times New Roman" w:cs="Times New Roman"/>
          <w:color w:val="auto"/>
        </w:rPr>
        <w:t>m</w:t>
      </w:r>
      <w:r>
        <w:rPr>
          <w:rFonts w:hint="eastAsia"/>
          <w:color w:val="auto"/>
        </w:rPr>
        <w:t>/</w:t>
      </w:r>
      <w:r>
        <w:rPr>
          <w:rFonts w:hint="eastAsia" w:ascii="Times New Roman" w:hAnsi="Times New Roman" w:cs="Times New Roman"/>
          <w:color w:val="auto"/>
        </w:rPr>
        <w:t>d</w:t>
      </w:r>
      <w:r>
        <w:rPr>
          <w:rFonts w:hint="eastAsia"/>
          <w:color w:val="auto"/>
        </w:rPr>
        <w:t>=</w:t>
      </w:r>
      <w:r>
        <w:rPr>
          <w:rFonts w:hint="eastAsia" w:ascii="Times New Roman" w:hAnsi="Times New Roman" w:cs="Times New Roman"/>
          <w:color w:val="auto"/>
          <w:lang w:val="en-US" w:eastAsia="zh-CN"/>
        </w:rPr>
        <w:t>0</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49</w:t>
      </w:r>
      <w:r>
        <w:rPr>
          <w:rFonts w:hint="eastAsia"/>
          <w:color w:val="auto"/>
        </w:rPr>
        <w:t>㎡/</w:t>
      </w:r>
      <w:r>
        <w:rPr>
          <w:rFonts w:hint="eastAsia" w:ascii="Times New Roman" w:hAnsi="Times New Roman" w:cs="Times New Roman"/>
          <w:color w:val="auto"/>
        </w:rPr>
        <w:t>d</w:t>
      </w:r>
      <w:r>
        <w:rPr>
          <w:rFonts w:hint="eastAsia"/>
          <w:color w:val="auto"/>
        </w:rPr>
        <w:t>。</w:t>
      </w:r>
    </w:p>
    <w:p>
      <w:pPr>
        <w:pStyle w:val="20"/>
        <w:spacing w:before="156"/>
        <w:rPr>
          <w:rFonts w:hint="eastAsia"/>
          <w:color w:val="auto"/>
        </w:rPr>
      </w:pPr>
      <w:r>
        <w:rPr>
          <w:rFonts w:ascii="黑体" w:hAnsi="黑体" w:eastAsia="宋体" w:cs="Times New Roman"/>
          <w:b/>
          <w:color w:val="auto"/>
          <w:kern w:val="0"/>
          <w:sz w:val="21"/>
          <w:szCs w:val="20"/>
          <w:lang w:val="en-US" w:eastAsia="zh-CN" w:bidi="ar-SA"/>
        </w:rPr>
        <w:drawing>
          <wp:anchor distT="0" distB="0" distL="114300" distR="114300" simplePos="0" relativeHeight="251678720" behindDoc="0" locked="0" layoutInCell="1" allowOverlap="1">
            <wp:simplePos x="0" y="0"/>
            <wp:positionH relativeFrom="column">
              <wp:posOffset>433070</wp:posOffset>
            </wp:positionH>
            <wp:positionV relativeFrom="paragraph">
              <wp:posOffset>342265</wp:posOffset>
            </wp:positionV>
            <wp:extent cx="4598035" cy="2482850"/>
            <wp:effectExtent l="0" t="0" r="12065" b="1270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8">
                      <a:lum/>
                    </a:blip>
                    <a:stretch>
                      <a:fillRect/>
                    </a:stretch>
                  </pic:blipFill>
                  <pic:spPr>
                    <a:xfrm>
                      <a:off x="0" y="0"/>
                      <a:ext cx="4598035" cy="2482850"/>
                    </a:xfrm>
                    <a:prstGeom prst="rect">
                      <a:avLst/>
                    </a:prstGeom>
                    <a:noFill/>
                    <a:ln>
                      <a:noFill/>
                    </a:ln>
                  </pic:spPr>
                </pic:pic>
              </a:graphicData>
            </a:graphic>
          </wp:anchor>
        </w:drawing>
      </w:r>
      <w:r>
        <w:rPr>
          <w:rFonts w:hint="eastAsia"/>
          <w:color w:val="auto"/>
        </w:rPr>
        <w:t>图</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color w:val="auto"/>
        </w:rPr>
        <w:t xml:space="preserve"> </w:t>
      </w:r>
      <w:r>
        <w:rPr>
          <w:rFonts w:hint="eastAsia"/>
          <w:color w:val="auto"/>
        </w:rPr>
        <w:t xml:space="preserve"> 孔隙介质</w:t>
      </w:r>
      <w:r>
        <w:rPr>
          <w:rFonts w:ascii="Times New Roman" w:hAnsi="Times New Roman" w:cs="Times New Roman"/>
          <w:color w:val="auto"/>
        </w:rPr>
        <w:t>2</w:t>
      </w:r>
      <w:r>
        <w:rPr>
          <w:rFonts w:hint="eastAsia"/>
          <w:color w:val="auto"/>
        </w:rPr>
        <w:t>维数值模型的</w:t>
      </w:r>
      <w:r>
        <w:rPr>
          <w:rFonts w:hint="eastAsia" w:ascii="黑体" w:hAnsi="黑体" w:eastAsia="宋体" w:cs="Times New Roman"/>
          <w:b/>
          <w:color w:val="auto"/>
          <w:kern w:val="0"/>
          <w:sz w:val="21"/>
          <w:szCs w:val="20"/>
          <w:lang w:val="en-US" w:eastAsia="zh-CN" w:bidi="ar-SA"/>
        </w:rPr>
        <w:drawing>
          <wp:inline distT="0" distB="0" distL="114300" distR="114300">
            <wp:extent cx="800100" cy="238125"/>
            <wp:effectExtent l="0" t="0" r="0" b="8255"/>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pic:cNvPicPr>
                  </pic:nvPicPr>
                  <pic:blipFill>
                    <a:blip r:embed="rId79">
                      <a:lum/>
                    </a:blip>
                    <a:stretch>
                      <a:fillRect/>
                    </a:stretch>
                  </pic:blipFill>
                  <pic:spPr>
                    <a:xfrm>
                      <a:off x="0" y="0"/>
                      <a:ext cx="800100" cy="238125"/>
                    </a:xfrm>
                    <a:prstGeom prst="rect">
                      <a:avLst/>
                    </a:prstGeom>
                    <a:noFill/>
                    <a:ln>
                      <a:noFill/>
                    </a:ln>
                  </pic:spPr>
                </pic:pic>
              </a:graphicData>
            </a:graphic>
          </wp:inline>
        </w:drawing>
      </w:r>
      <w:r>
        <w:rPr>
          <w:rFonts w:hint="eastAsia"/>
          <w:color w:val="auto"/>
        </w:rPr>
        <w:t>图</w:t>
      </w:r>
    </w:p>
    <w:p>
      <w:pPr>
        <w:numPr>
          <w:ilvl w:val="0"/>
          <w:numId w:val="9"/>
        </w:numPr>
        <w:spacing w:line="440" w:lineRule="exact"/>
        <w:ind w:left="0" w:leftChars="0" w:firstLine="480" w:firstLineChars="0"/>
        <w:rPr>
          <w:rFonts w:hint="eastAsia"/>
          <w:color w:val="auto"/>
        </w:rPr>
      </w:pPr>
      <w:r>
        <w:rPr>
          <w:rFonts w:hint="eastAsia"/>
          <w:color w:val="auto"/>
          <w:lang w:eastAsia="zh-CN"/>
        </w:rPr>
        <w:t>地下水环境影响</w:t>
      </w:r>
      <w:r>
        <w:rPr>
          <w:rFonts w:hint="eastAsia"/>
          <w:color w:val="auto"/>
        </w:rPr>
        <w:t>预测</w:t>
      </w:r>
      <w:r>
        <w:rPr>
          <w:rFonts w:hint="eastAsia"/>
          <w:color w:val="auto"/>
          <w:lang w:eastAsia="zh-CN"/>
        </w:rPr>
        <w:t>结果</w:t>
      </w:r>
    </w:p>
    <w:p>
      <w:pPr>
        <w:spacing w:line="440" w:lineRule="exact"/>
        <w:rPr>
          <w:rFonts w:hint="eastAsia"/>
          <w:color w:val="auto"/>
        </w:rPr>
      </w:pPr>
      <w:r>
        <w:rPr>
          <w:rFonts w:hint="eastAsia"/>
          <w:color w:val="auto"/>
        </w:rPr>
        <w:t>①污染物模型参数</w:t>
      </w:r>
    </w:p>
    <w:p>
      <w:pPr>
        <w:bidi w:val="0"/>
        <w:rPr>
          <w:rFonts w:hint="eastAsia"/>
          <w:lang w:val="en-US" w:eastAsia="zh-CN"/>
        </w:rPr>
      </w:pPr>
      <w:r>
        <w:rPr>
          <w:rFonts w:hint="eastAsia"/>
          <w:color w:val="auto"/>
        </w:rPr>
        <w:t>评价工作区的水文地质参数见表</w:t>
      </w:r>
      <w:r>
        <w:rPr>
          <w:rFonts w:hint="eastAsia" w:ascii="Times New Roman" w:hAnsi="Times New Roman" w:cs="Times New Roman"/>
          <w:color w:val="auto"/>
          <w:lang w:val="en-US" w:eastAsia="zh-CN"/>
        </w:rPr>
        <w:t>6</w:t>
      </w:r>
      <w:r>
        <w:rPr>
          <w:rFonts w:hint="eastAsia" w:ascii="Times New Roman"/>
          <w:color w:val="auto"/>
        </w:rPr>
        <w:t>.</w:t>
      </w:r>
      <w:r>
        <w:rPr>
          <w:rFonts w:hint="eastAsia" w:ascii="Times New Roman" w:hAnsi="Times New Roman" w:cs="Times New Roman"/>
          <w:color w:val="auto"/>
          <w:lang w:val="en-US" w:eastAsia="zh-CN"/>
        </w:rPr>
        <w:t>4</w:t>
      </w:r>
      <w:r>
        <w:rPr>
          <w:rFonts w:hint="eastAsia" w:ascii="Times New Roman"/>
          <w:color w:val="auto"/>
        </w:rPr>
        <w:t>-</w:t>
      </w:r>
      <w:r>
        <w:rPr>
          <w:rFonts w:hint="eastAsia" w:ascii="Times New Roman" w:hAnsi="Times New Roman" w:cs="Times New Roman"/>
          <w:color w:val="auto"/>
          <w:lang w:val="en-US" w:eastAsia="zh-CN"/>
        </w:rPr>
        <w:t>1</w:t>
      </w:r>
      <w:r>
        <w:rPr>
          <w:rFonts w:hint="eastAsia"/>
          <w:color w:val="auto"/>
        </w:rPr>
        <w:t>。</w:t>
      </w:r>
    </w:p>
    <w:p>
      <w:pPr>
        <w:pStyle w:val="20"/>
        <w:spacing w:before="0" w:beforeLines="0"/>
        <w:rPr>
          <w:rFonts w:ascii="Times New Roman" w:hAnsi="Times New Roman"/>
          <w:color w:val="auto"/>
        </w:rPr>
      </w:pPr>
      <w:r>
        <w:rPr>
          <w:rFonts w:ascii="Times New Roman" w:hAnsi="Times New Roman"/>
          <w:color w:val="auto"/>
        </w:rPr>
        <w:t>表</w:t>
      </w:r>
      <w:r>
        <w:rPr>
          <w:rFonts w:hint="eastAsia" w:ascii="Times New Roman" w:hAnsi="Times New Roman" w:cs="Times New Roman"/>
          <w:color w:val="auto"/>
          <w:lang w:val="en-US" w:eastAsia="zh-CN"/>
        </w:rPr>
        <w:t>6</w:t>
      </w:r>
      <w:r>
        <w:rPr>
          <w:rFonts w:hint="eastAsia" w:ascii="Times New Roman" w:hAnsi="Times New Roman"/>
          <w:color w:val="auto"/>
        </w:rPr>
        <w:t>.</w:t>
      </w:r>
      <w:r>
        <w:rPr>
          <w:rFonts w:hint="eastAsia" w:ascii="Times New Roman" w:hAnsi="Times New Roman" w:cs="Times New Roman"/>
          <w:color w:val="auto"/>
          <w:lang w:val="en-US" w:eastAsia="zh-CN"/>
        </w:rPr>
        <w:t>4</w:t>
      </w:r>
      <w:r>
        <w:rPr>
          <w:rFonts w:hint="eastAsia" w:ascii="Times New Roman" w:hAnsi="Times New Roman"/>
          <w:color w:val="auto"/>
        </w:rPr>
        <w:t>-</w:t>
      </w:r>
      <w:r>
        <w:rPr>
          <w:rFonts w:hint="eastAsia" w:ascii="Times New Roman" w:hAnsi="Times New Roman" w:cs="Times New Roman"/>
          <w:color w:val="auto"/>
        </w:rPr>
        <w:t>1</w:t>
      </w:r>
      <w:r>
        <w:rPr>
          <w:rFonts w:ascii="Times New Roman" w:hAnsi="Times New Roman"/>
          <w:color w:val="auto"/>
        </w:rPr>
        <w:t xml:space="preserve">  水文地质参数值表</w:t>
      </w:r>
    </w:p>
    <w:tbl>
      <w:tblPr>
        <w:tblStyle w:val="80"/>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764"/>
        <w:gridCol w:w="1414"/>
        <w:gridCol w:w="2467"/>
        <w:gridCol w:w="24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spacing w:line="240" w:lineRule="auto"/>
              <w:ind w:firstLine="0"/>
              <w:jc w:val="center"/>
              <w:rPr>
                <w:rFonts w:hint="eastAsia" w:ascii="Times New Roman" w:eastAsia="宋体"/>
                <w:color w:val="auto"/>
                <w:lang w:eastAsia="zh-CN"/>
              </w:rPr>
            </w:pPr>
            <w:r>
              <w:rPr>
                <w:rFonts w:hint="eastAsia" w:ascii="Times New Roman"/>
                <w:color w:val="auto"/>
                <w:sz w:val="21"/>
                <w:szCs w:val="21"/>
              </w:rPr>
              <w:t>非正常工况</w:t>
            </w:r>
            <w:r>
              <w:rPr>
                <w:rFonts w:hint="eastAsia" w:ascii="Times New Roman"/>
                <w:color w:val="auto"/>
                <w:sz w:val="21"/>
                <w:szCs w:val="21"/>
                <w:lang w:eastAsia="zh-CN"/>
              </w:rPr>
              <w:t>泄漏</w:t>
            </w:r>
          </w:p>
        </w:tc>
        <w:tc>
          <w:tcPr>
            <w:tcW w:w="1764" w:type="dxa"/>
            <w:vAlign w:val="center"/>
          </w:tcPr>
          <w:p>
            <w:pPr>
              <w:spacing w:line="240" w:lineRule="auto"/>
              <w:ind w:firstLine="0"/>
              <w:jc w:val="center"/>
              <w:rPr>
                <w:rFonts w:ascii="Times New Roman"/>
                <w:color w:val="auto"/>
              </w:rPr>
            </w:pPr>
            <w:r>
              <w:rPr>
                <w:rFonts w:ascii="Times New Roman"/>
                <w:color w:val="auto"/>
                <w:sz w:val="21"/>
                <w:szCs w:val="21"/>
              </w:rPr>
              <w:t>渗透系数</w:t>
            </w:r>
          </w:p>
        </w:tc>
        <w:tc>
          <w:tcPr>
            <w:tcW w:w="1414" w:type="dxa"/>
            <w:vMerge w:val="restart"/>
            <w:vAlign w:val="center"/>
          </w:tcPr>
          <w:p>
            <w:pPr>
              <w:spacing w:line="240" w:lineRule="auto"/>
              <w:ind w:firstLine="0"/>
              <w:jc w:val="center"/>
              <w:rPr>
                <w:rFonts w:ascii="Times New Roman"/>
                <w:color w:val="auto"/>
              </w:rPr>
            </w:pPr>
            <w:r>
              <w:rPr>
                <w:rFonts w:ascii="Times New Roman"/>
                <w:color w:val="auto"/>
                <w:sz w:val="21"/>
                <w:szCs w:val="21"/>
              </w:rPr>
              <w:t>有效孔隙度</w:t>
            </w:r>
          </w:p>
        </w:tc>
        <w:tc>
          <w:tcPr>
            <w:tcW w:w="2467" w:type="dxa"/>
            <w:vAlign w:val="center"/>
          </w:tcPr>
          <w:p>
            <w:pPr>
              <w:spacing w:line="240" w:lineRule="auto"/>
              <w:ind w:firstLine="0"/>
              <w:jc w:val="center"/>
              <w:rPr>
                <w:rFonts w:ascii="Times New Roman"/>
                <w:color w:val="auto"/>
              </w:rPr>
            </w:pPr>
            <w:r>
              <w:rPr>
                <w:rFonts w:ascii="Times New Roman"/>
                <w:color w:val="auto"/>
                <w:sz w:val="21"/>
                <w:szCs w:val="21"/>
              </w:rPr>
              <w:t>水流实际速度</w:t>
            </w:r>
          </w:p>
        </w:tc>
        <w:tc>
          <w:tcPr>
            <w:tcW w:w="2466" w:type="dxa"/>
            <w:vAlign w:val="center"/>
          </w:tcPr>
          <w:p>
            <w:pPr>
              <w:spacing w:line="240" w:lineRule="auto"/>
              <w:ind w:firstLine="0"/>
              <w:jc w:val="center"/>
              <w:rPr>
                <w:rFonts w:ascii="Times New Roman"/>
                <w:color w:val="auto"/>
              </w:rPr>
            </w:pPr>
            <w:r>
              <w:rPr>
                <w:rFonts w:ascii="Times New Roman"/>
                <w:color w:val="auto"/>
                <w:sz w:val="21"/>
                <w:szCs w:val="21"/>
              </w:rPr>
              <w:t>纵向弥散系数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spacing w:line="240" w:lineRule="auto"/>
              <w:ind w:firstLine="0"/>
              <w:jc w:val="center"/>
              <w:rPr>
                <w:rFonts w:ascii="Times New Roman"/>
                <w:color w:val="auto"/>
              </w:rPr>
            </w:pPr>
          </w:p>
        </w:tc>
        <w:tc>
          <w:tcPr>
            <w:tcW w:w="1764" w:type="dxa"/>
            <w:vAlign w:val="center"/>
          </w:tcPr>
          <w:p>
            <w:pPr>
              <w:spacing w:line="240" w:lineRule="auto"/>
              <w:ind w:firstLine="0"/>
              <w:jc w:val="center"/>
              <w:rPr>
                <w:rFonts w:hint="eastAsia" w:ascii="Times New Roman"/>
                <w:color w:val="auto"/>
              </w:rPr>
            </w:pPr>
            <w:r>
              <w:rPr>
                <w:rFonts w:hint="eastAsia" w:ascii="Times New Roman" w:hAnsi="Times New Roman" w:cs="Times New Roman"/>
                <w:color w:val="auto"/>
                <w:sz w:val="21"/>
                <w:szCs w:val="21"/>
              </w:rPr>
              <w:t>m</w:t>
            </w:r>
            <w:r>
              <w:rPr>
                <w:rFonts w:hint="eastAsia"/>
                <w:color w:val="auto"/>
                <w:sz w:val="21"/>
                <w:szCs w:val="21"/>
              </w:rPr>
              <w:t>/</w:t>
            </w:r>
            <w:r>
              <w:rPr>
                <w:rFonts w:hint="eastAsia" w:ascii="Times New Roman" w:hAnsi="Times New Roman" w:cs="Times New Roman"/>
                <w:color w:val="auto"/>
                <w:sz w:val="21"/>
                <w:szCs w:val="21"/>
              </w:rPr>
              <w:t>d</w:t>
            </w:r>
          </w:p>
        </w:tc>
        <w:tc>
          <w:tcPr>
            <w:tcW w:w="1414" w:type="dxa"/>
            <w:vMerge w:val="continue"/>
            <w:vAlign w:val="center"/>
          </w:tcPr>
          <w:p>
            <w:pPr>
              <w:spacing w:line="240" w:lineRule="auto"/>
              <w:ind w:firstLine="0"/>
              <w:jc w:val="center"/>
              <w:rPr>
                <w:rFonts w:ascii="Times New Roman"/>
                <w:color w:val="auto"/>
              </w:rPr>
            </w:pPr>
          </w:p>
        </w:tc>
        <w:tc>
          <w:tcPr>
            <w:tcW w:w="2467" w:type="dxa"/>
            <w:vAlign w:val="center"/>
          </w:tcPr>
          <w:p>
            <w:pPr>
              <w:spacing w:line="240" w:lineRule="auto"/>
              <w:ind w:firstLine="0"/>
              <w:jc w:val="center"/>
              <w:rPr>
                <w:rFonts w:hint="eastAsia" w:ascii="Times New Roman"/>
                <w:color w:val="auto"/>
              </w:rPr>
            </w:pPr>
            <w:r>
              <w:rPr>
                <w:rFonts w:hint="eastAsia" w:ascii="Times New Roman" w:hAnsi="Times New Roman" w:cs="Times New Roman"/>
                <w:color w:val="auto"/>
                <w:sz w:val="21"/>
                <w:szCs w:val="21"/>
              </w:rPr>
              <w:t>m</w:t>
            </w:r>
            <w:r>
              <w:rPr>
                <w:rFonts w:hint="eastAsia"/>
                <w:color w:val="auto"/>
                <w:sz w:val="21"/>
                <w:szCs w:val="21"/>
              </w:rPr>
              <w:t>/</w:t>
            </w:r>
            <w:r>
              <w:rPr>
                <w:rFonts w:hint="eastAsia" w:ascii="Times New Roman" w:hAnsi="Times New Roman" w:cs="Times New Roman"/>
                <w:color w:val="auto"/>
                <w:sz w:val="21"/>
                <w:szCs w:val="21"/>
              </w:rPr>
              <w:t>d</w:t>
            </w:r>
          </w:p>
        </w:tc>
        <w:tc>
          <w:tcPr>
            <w:tcW w:w="2466" w:type="dxa"/>
            <w:vAlign w:val="center"/>
          </w:tcPr>
          <w:p>
            <w:pPr>
              <w:spacing w:line="240" w:lineRule="auto"/>
              <w:ind w:firstLine="0"/>
              <w:jc w:val="center"/>
              <w:rPr>
                <w:rFonts w:hint="eastAsia" w:ascii="Times New Roman"/>
                <w:color w:val="auto"/>
              </w:rPr>
            </w:pPr>
            <w:r>
              <w:rPr>
                <w:rFonts w:hint="eastAsia"/>
                <w:color w:val="auto"/>
                <w:sz w:val="21"/>
                <w:szCs w:val="21"/>
              </w:rPr>
              <w:t>㎡/</w:t>
            </w:r>
            <w:r>
              <w:rPr>
                <w:rFonts w:hint="eastAsia" w:ascii="Times New Roman" w:hAnsi="Times New Roman" w:cs="Times New Roman"/>
                <w:color w:val="auto"/>
                <w:sz w:val="21"/>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spacing w:line="240" w:lineRule="auto"/>
              <w:ind w:firstLine="0"/>
              <w:jc w:val="center"/>
              <w:rPr>
                <w:rFonts w:ascii="Times New Roman"/>
                <w:color w:val="auto"/>
              </w:rPr>
            </w:pPr>
          </w:p>
        </w:tc>
        <w:tc>
          <w:tcPr>
            <w:tcW w:w="1764" w:type="dxa"/>
            <w:vAlign w:val="center"/>
          </w:tcPr>
          <w:p>
            <w:pPr>
              <w:spacing w:line="240" w:lineRule="auto"/>
              <w:ind w:firstLine="0"/>
              <w:jc w:val="center"/>
              <w:rPr>
                <w:rFonts w:hint="default" w:ascii="Times New Roman" w:eastAsia="宋体"/>
                <w:color w:val="auto"/>
                <w:lang w:val="en-US"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47</w:t>
            </w:r>
          </w:p>
        </w:tc>
        <w:tc>
          <w:tcPr>
            <w:tcW w:w="1414" w:type="dxa"/>
            <w:vAlign w:val="center"/>
          </w:tcPr>
          <w:p>
            <w:pPr>
              <w:spacing w:line="240" w:lineRule="auto"/>
              <w:ind w:firstLine="0"/>
              <w:jc w:val="center"/>
              <w:rPr>
                <w:rFonts w:hint="default" w:ascii="Times New Roman" w:eastAsia="宋体"/>
                <w:color w:val="auto"/>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color w:val="auto"/>
                <w:sz w:val="21"/>
                <w:szCs w:val="21"/>
                <w:lang w:val="en-US" w:eastAsia="zh-CN"/>
              </w:rPr>
              <w:t>.</w:t>
            </w:r>
            <w:r>
              <w:rPr>
                <w:rFonts w:hint="eastAsia" w:ascii="Times New Roman" w:hAnsi="Times New Roman" w:cs="Times New Roman"/>
                <w:color w:val="auto"/>
                <w:sz w:val="21"/>
                <w:szCs w:val="21"/>
                <w:lang w:val="en-US" w:eastAsia="zh-CN"/>
              </w:rPr>
              <w:t>15</w:t>
            </w:r>
          </w:p>
        </w:tc>
        <w:tc>
          <w:tcPr>
            <w:tcW w:w="2467" w:type="dxa"/>
            <w:vAlign w:val="center"/>
          </w:tcPr>
          <w:p>
            <w:pPr>
              <w:spacing w:line="240" w:lineRule="auto"/>
              <w:ind w:firstLine="0"/>
              <w:jc w:val="center"/>
              <w:rPr>
                <w:rFonts w:hint="default" w:ascii="Times New Roman" w:eastAsia="宋体"/>
                <w:color w:val="auto"/>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color w:val="auto"/>
                <w:sz w:val="21"/>
                <w:szCs w:val="21"/>
                <w:lang w:val="en-US" w:eastAsia="zh-CN"/>
              </w:rPr>
              <w:t>.</w:t>
            </w:r>
            <w:r>
              <w:rPr>
                <w:rFonts w:hint="eastAsia" w:ascii="Times New Roman" w:hAnsi="Times New Roman" w:cs="Times New Roman"/>
                <w:color w:val="auto"/>
                <w:sz w:val="21"/>
                <w:szCs w:val="21"/>
                <w:lang w:val="en-US" w:eastAsia="zh-CN"/>
              </w:rPr>
              <w:t>049</w:t>
            </w:r>
          </w:p>
        </w:tc>
        <w:tc>
          <w:tcPr>
            <w:tcW w:w="2466" w:type="dxa"/>
            <w:vAlign w:val="center"/>
          </w:tcPr>
          <w:p>
            <w:pPr>
              <w:spacing w:line="240" w:lineRule="auto"/>
              <w:ind w:firstLine="0"/>
              <w:jc w:val="center"/>
              <w:rPr>
                <w:rFonts w:hint="default" w:ascii="Times New Roman" w:eastAsia="宋体"/>
                <w:color w:val="auto"/>
                <w:lang w:val="en-US" w:eastAsia="zh-CN"/>
              </w:rPr>
            </w:pPr>
            <w:r>
              <w:rPr>
                <w:rFonts w:hint="eastAsia"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49</w:t>
            </w:r>
          </w:p>
        </w:tc>
      </w:tr>
    </w:tbl>
    <w:p>
      <w:pPr>
        <w:bidi w:val="0"/>
        <w:rPr>
          <w:rFonts w:hint="eastAsia"/>
          <w:lang w:val="en-US" w:eastAsia="zh-CN"/>
        </w:rPr>
      </w:pPr>
    </w:p>
    <w:p>
      <w:pPr>
        <w:rPr>
          <w:rFonts w:hint="eastAsia"/>
          <w:color w:val="auto"/>
        </w:rPr>
      </w:pPr>
      <w:r>
        <w:rPr>
          <w:rFonts w:hint="eastAsia"/>
          <w:color w:val="auto"/>
        </w:rPr>
        <w:t>②预测结果与分析</w:t>
      </w:r>
    </w:p>
    <w:p>
      <w:pPr>
        <w:rPr>
          <w:rFonts w:hint="eastAsia"/>
          <w:color w:val="auto"/>
        </w:rPr>
      </w:pPr>
      <w:r>
        <w:rPr>
          <w:rFonts w:hint="eastAsia"/>
          <w:color w:val="auto"/>
        </w:rPr>
        <w:t>将确定的参数带入模型，可求出含水层不同位置，任何时刻的污染物因子浓度分布情况。污染物在含水层中运移情况见表</w:t>
      </w:r>
      <w:r>
        <w:rPr>
          <w:rFonts w:hint="eastAsia" w:ascii="Times New Roman" w:hAnsi="Times New Roman" w:cs="Times New Roman"/>
          <w:color w:val="auto"/>
          <w:lang w:val="en-US" w:eastAsia="zh-CN"/>
        </w:rPr>
        <w:t>6</w:t>
      </w:r>
      <w:r>
        <w:rPr>
          <w:rFonts w:hint="eastAsia"/>
          <w:color w:val="auto"/>
        </w:rPr>
        <w:t>.</w:t>
      </w:r>
      <w:r>
        <w:rPr>
          <w:rFonts w:hint="eastAsia" w:ascii="Times New Roman" w:hAnsi="Times New Roman" w:cs="Times New Roman"/>
          <w:color w:val="auto"/>
          <w:lang w:val="en-US" w:eastAsia="zh-CN"/>
        </w:rPr>
        <w:t>4</w:t>
      </w:r>
      <w:r>
        <w:rPr>
          <w:rFonts w:hint="eastAsia"/>
          <w:color w:val="auto"/>
        </w:rPr>
        <w:t>-</w:t>
      </w:r>
      <w:r>
        <w:rPr>
          <w:rFonts w:hint="eastAsia" w:ascii="Times New Roman" w:hAnsi="Times New Roman" w:cs="Times New Roman"/>
          <w:color w:val="auto"/>
        </w:rPr>
        <w:t>2</w:t>
      </w:r>
      <w:r>
        <w:rPr>
          <w:rFonts w:hint="eastAsia"/>
          <w:color w:val="auto"/>
        </w:rPr>
        <w:t>。</w:t>
      </w:r>
    </w:p>
    <w:p>
      <w:pPr>
        <w:pStyle w:val="20"/>
        <w:spacing w:before="0" w:beforeLines="0"/>
        <w:rPr>
          <w:color w:val="auto"/>
        </w:rPr>
      </w:pPr>
      <w:r>
        <w:rPr>
          <w:rFonts w:hint="eastAsia"/>
          <w:color w:val="auto"/>
        </w:rPr>
        <w:t>表</w:t>
      </w:r>
      <w:r>
        <w:rPr>
          <w:rFonts w:hint="eastAsia" w:ascii="Times New Roman" w:hAnsi="Times New Roman" w:cs="Times New Roman"/>
          <w:color w:val="auto"/>
          <w:lang w:val="en-US" w:eastAsia="zh-CN"/>
        </w:rPr>
        <w:t>6</w:t>
      </w:r>
      <w:r>
        <w:rPr>
          <w:rFonts w:hint="eastAsia" w:ascii="Times New Roman" w:hAnsi="Times New Roman"/>
          <w:color w:val="auto"/>
        </w:rPr>
        <w:t>.</w:t>
      </w:r>
      <w:r>
        <w:rPr>
          <w:rFonts w:hint="eastAsia" w:ascii="Times New Roman" w:hAnsi="Times New Roman" w:cs="Times New Roman"/>
          <w:color w:val="auto"/>
          <w:lang w:val="en-US" w:eastAsia="zh-CN"/>
        </w:rPr>
        <w:t>4</w:t>
      </w:r>
      <w:r>
        <w:rPr>
          <w:rFonts w:hint="eastAsia" w:ascii="Times New Roman" w:hAnsi="Times New Roman"/>
          <w:color w:val="auto"/>
        </w:rPr>
        <w:t>-</w:t>
      </w:r>
      <w:r>
        <w:rPr>
          <w:rFonts w:hint="eastAsia" w:ascii="Times New Roman" w:hAnsi="Times New Roman" w:cs="Times New Roman"/>
          <w:color w:val="auto"/>
        </w:rPr>
        <w:t>2</w:t>
      </w:r>
      <w:r>
        <w:rPr>
          <w:rFonts w:hint="eastAsia"/>
          <w:color w:val="auto"/>
        </w:rPr>
        <w:t xml:space="preserve"> </w:t>
      </w:r>
      <w:r>
        <w:rPr>
          <w:color w:val="auto"/>
        </w:rPr>
        <w:t xml:space="preserve"> </w:t>
      </w:r>
      <w:r>
        <w:rPr>
          <w:rFonts w:hint="eastAsia" w:ascii="Times New Roman" w:hAnsi="Times New Roman"/>
          <w:color w:val="auto"/>
          <w:lang w:eastAsia="zh-CN"/>
        </w:rPr>
        <w:t>PD</w:t>
      </w:r>
      <w:r>
        <w:rPr>
          <w:rFonts w:hint="eastAsia" w:ascii="Times New Roman" w:hAnsi="Times New Roman"/>
          <w:color w:val="auto"/>
          <w:lang w:eastAsia="zh-CN"/>
        </w:rPr>
        <w:t>储罐泄漏</w:t>
      </w:r>
      <w:r>
        <w:rPr>
          <w:rFonts w:hint="eastAsia" w:ascii="Times New Roman" w:hAnsi="Times New Roman"/>
          <w:color w:val="auto"/>
          <w:lang w:val="en-US" w:eastAsia="zh-CN"/>
        </w:rPr>
        <w:t>COD</w:t>
      </w:r>
      <w:r>
        <w:rPr>
          <w:rFonts w:hint="eastAsia"/>
          <w:color w:val="auto"/>
        </w:rPr>
        <w:t>对地下水污染预测结果表</w:t>
      </w:r>
    </w:p>
    <w:tbl>
      <w:tblPr>
        <w:tblStyle w:val="80"/>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676"/>
        <w:gridCol w:w="2301"/>
        <w:gridCol w:w="2159"/>
        <w:gridCol w:w="2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74" w:type="dxa"/>
            <w:vAlign w:val="center"/>
          </w:tcPr>
          <w:p>
            <w:pPr>
              <w:widowControl/>
              <w:spacing w:line="240" w:lineRule="auto"/>
              <w:ind w:firstLine="0"/>
              <w:jc w:val="center"/>
              <w:rPr>
                <w:rFonts w:ascii="Times New Roman"/>
                <w:color w:val="auto"/>
                <w:sz w:val="21"/>
                <w:szCs w:val="21"/>
              </w:rPr>
            </w:pPr>
            <w:r>
              <w:rPr>
                <w:rFonts w:hint="eastAsia" w:hAnsi="宋体" w:cs="宋体"/>
                <w:color w:val="auto"/>
                <w:sz w:val="21"/>
                <w:szCs w:val="21"/>
              </w:rPr>
              <w:t>污染物</w:t>
            </w:r>
          </w:p>
        </w:tc>
        <w:tc>
          <w:tcPr>
            <w:tcW w:w="1676" w:type="dxa"/>
            <w:vAlign w:val="center"/>
          </w:tcPr>
          <w:p>
            <w:pPr>
              <w:widowControl/>
              <w:spacing w:line="240" w:lineRule="auto"/>
              <w:ind w:firstLine="0"/>
              <w:jc w:val="center"/>
              <w:rPr>
                <w:rFonts w:ascii="Times New Roman"/>
                <w:color w:val="auto"/>
                <w:sz w:val="21"/>
                <w:szCs w:val="21"/>
              </w:rPr>
            </w:pPr>
            <w:r>
              <w:rPr>
                <w:rFonts w:hint="eastAsia" w:hAnsi="宋体" w:cs="宋体"/>
                <w:color w:val="auto"/>
                <w:sz w:val="21"/>
                <w:szCs w:val="21"/>
              </w:rPr>
              <w:t>预测时间（</w:t>
            </w:r>
            <w:r>
              <w:rPr>
                <w:rFonts w:ascii="Times New Roman" w:hAnsi="Times New Roman" w:cs="Times New Roman"/>
                <w:color w:val="auto"/>
                <w:sz w:val="21"/>
                <w:szCs w:val="21"/>
              </w:rPr>
              <w:t>d</w:t>
            </w:r>
            <w:r>
              <w:rPr>
                <w:rFonts w:hint="eastAsia" w:hAnsi="宋体" w:cs="宋体"/>
                <w:color w:val="auto"/>
                <w:sz w:val="21"/>
                <w:szCs w:val="21"/>
              </w:rPr>
              <w:t>）</w:t>
            </w:r>
          </w:p>
        </w:tc>
        <w:tc>
          <w:tcPr>
            <w:tcW w:w="2301" w:type="dxa"/>
            <w:vAlign w:val="center"/>
          </w:tcPr>
          <w:p>
            <w:pPr>
              <w:widowControl/>
              <w:spacing w:line="240" w:lineRule="auto"/>
              <w:ind w:firstLine="0"/>
              <w:jc w:val="center"/>
              <w:rPr>
                <w:rFonts w:ascii="Times New Roman"/>
                <w:color w:val="auto"/>
                <w:sz w:val="21"/>
                <w:szCs w:val="21"/>
              </w:rPr>
            </w:pPr>
            <w:r>
              <w:rPr>
                <w:rFonts w:hint="eastAsia" w:hAnsi="宋体" w:cs="宋体"/>
                <w:color w:val="auto"/>
                <w:sz w:val="21"/>
                <w:szCs w:val="21"/>
              </w:rPr>
              <w:t>最大浓度值</w:t>
            </w:r>
            <w:r>
              <w:rPr>
                <w:rFonts w:ascii="Times New Roman"/>
                <w:color w:val="auto"/>
                <w:sz w:val="21"/>
                <w:szCs w:val="21"/>
              </w:rPr>
              <w:t>(</w:t>
            </w:r>
            <w:r>
              <w:rPr>
                <w:rFonts w:ascii="Times New Roman" w:hAnsi="Times New Roman" w:cs="Times New Roman"/>
                <w:color w:val="auto"/>
                <w:sz w:val="21"/>
                <w:szCs w:val="21"/>
              </w:rPr>
              <w:t>mg</w:t>
            </w:r>
            <w:r>
              <w:rPr>
                <w:rFonts w:ascii="Times New Roman"/>
                <w:color w:val="auto"/>
                <w:sz w:val="21"/>
                <w:szCs w:val="21"/>
              </w:rPr>
              <w:t>/</w:t>
            </w:r>
            <w:r>
              <w:rPr>
                <w:rFonts w:ascii="Times New Roman" w:hAnsi="Times New Roman" w:cs="Times New Roman"/>
                <w:color w:val="auto"/>
                <w:sz w:val="21"/>
                <w:szCs w:val="21"/>
              </w:rPr>
              <w:t>L</w:t>
            </w:r>
            <w:r>
              <w:rPr>
                <w:rFonts w:ascii="Times New Roman"/>
                <w:color w:val="auto"/>
                <w:sz w:val="21"/>
                <w:szCs w:val="21"/>
              </w:rPr>
              <w:t>)</w:t>
            </w:r>
          </w:p>
        </w:tc>
        <w:tc>
          <w:tcPr>
            <w:tcW w:w="2159" w:type="dxa"/>
            <w:vAlign w:val="center"/>
          </w:tcPr>
          <w:p>
            <w:pPr>
              <w:widowControl/>
              <w:spacing w:line="240" w:lineRule="auto"/>
              <w:ind w:firstLine="0"/>
              <w:jc w:val="center"/>
              <w:rPr>
                <w:rFonts w:ascii="Times New Roman"/>
                <w:color w:val="auto"/>
                <w:sz w:val="21"/>
                <w:szCs w:val="21"/>
              </w:rPr>
            </w:pPr>
            <w:r>
              <w:rPr>
                <w:rFonts w:hint="eastAsia" w:hAnsi="宋体" w:cs="宋体"/>
                <w:color w:val="auto"/>
                <w:sz w:val="21"/>
                <w:szCs w:val="21"/>
              </w:rPr>
              <w:t>最大超标距离（</w:t>
            </w:r>
            <w:r>
              <w:rPr>
                <w:rFonts w:ascii="Times New Roman" w:hAnsi="Times New Roman" w:cs="Times New Roman"/>
                <w:color w:val="auto"/>
                <w:sz w:val="21"/>
                <w:szCs w:val="21"/>
              </w:rPr>
              <w:t>m</w:t>
            </w:r>
            <w:r>
              <w:rPr>
                <w:rFonts w:hint="eastAsia" w:hAnsi="宋体" w:cs="宋体"/>
                <w:color w:val="auto"/>
                <w:sz w:val="21"/>
                <w:szCs w:val="21"/>
              </w:rPr>
              <w:t>）</w:t>
            </w:r>
          </w:p>
        </w:tc>
        <w:tc>
          <w:tcPr>
            <w:tcW w:w="2064" w:type="dxa"/>
            <w:vAlign w:val="center"/>
          </w:tcPr>
          <w:p>
            <w:pPr>
              <w:widowControl/>
              <w:spacing w:line="240" w:lineRule="auto"/>
              <w:ind w:firstLine="0"/>
              <w:jc w:val="center"/>
              <w:rPr>
                <w:rFonts w:ascii="Times New Roman"/>
                <w:color w:val="auto"/>
                <w:sz w:val="21"/>
                <w:szCs w:val="21"/>
              </w:rPr>
            </w:pPr>
            <w:r>
              <w:rPr>
                <w:rFonts w:hint="eastAsia" w:hAnsi="宋体" w:cs="宋体"/>
                <w:color w:val="auto"/>
                <w:sz w:val="21"/>
                <w:szCs w:val="21"/>
              </w:rPr>
              <w:t>最大影响距离</w:t>
            </w:r>
            <w:r>
              <w:rPr>
                <w:rFonts w:ascii="Times New Roman"/>
                <w:color w:val="auto"/>
                <w:sz w:val="21"/>
                <w:szCs w:val="21"/>
              </w:rPr>
              <w:t>(</w:t>
            </w:r>
            <w:r>
              <w:rPr>
                <w:rFonts w:ascii="Times New Roman" w:hAnsi="Times New Roman" w:cs="Times New Roman"/>
                <w:color w:val="auto"/>
                <w:sz w:val="21"/>
                <w:szCs w:val="21"/>
              </w:rPr>
              <w:t>m</w:t>
            </w:r>
            <w:r>
              <w:rPr>
                <w:rFonts w:ascii="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4" w:type="dxa"/>
            <w:vMerge w:val="restart"/>
            <w:vAlign w:val="center"/>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olor w:val="auto"/>
                <w:sz w:val="21"/>
                <w:szCs w:val="21"/>
                <w:lang w:val="en-US" w:eastAsia="zh-CN"/>
              </w:rPr>
              <w:t>COD</w:t>
            </w:r>
          </w:p>
        </w:tc>
        <w:tc>
          <w:tcPr>
            <w:tcW w:w="1676" w:type="dxa"/>
            <w:vAlign w:val="center"/>
          </w:tcPr>
          <w:p>
            <w:pPr>
              <w:widowControl/>
              <w:spacing w:line="240" w:lineRule="auto"/>
              <w:ind w:firstLine="0"/>
              <w:jc w:val="center"/>
              <w:rPr>
                <w:rFonts w:ascii="Times New Roman"/>
                <w:color w:val="auto"/>
                <w:sz w:val="21"/>
                <w:szCs w:val="21"/>
              </w:rPr>
            </w:pPr>
            <w:r>
              <w:rPr>
                <w:rFonts w:ascii="Times New Roman" w:hAnsi="Times New Roman" w:cs="Times New Roman"/>
                <w:color w:val="auto"/>
                <w:sz w:val="21"/>
                <w:szCs w:val="21"/>
              </w:rPr>
              <w:t>100</w:t>
            </w:r>
          </w:p>
        </w:tc>
        <w:tc>
          <w:tcPr>
            <w:tcW w:w="2301" w:type="dxa"/>
            <w:vAlign w:val="center"/>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25059</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71</w:t>
            </w:r>
          </w:p>
        </w:tc>
        <w:tc>
          <w:tcPr>
            <w:tcW w:w="2159" w:type="dxa"/>
            <w:vAlign w:val="center"/>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064" w:type="dxa"/>
            <w:vAlign w:val="center"/>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4" w:type="dxa"/>
            <w:vMerge w:val="continue"/>
            <w:vAlign w:val="center"/>
          </w:tcPr>
          <w:p>
            <w:pPr>
              <w:widowControl/>
              <w:spacing w:line="240" w:lineRule="auto"/>
              <w:ind w:firstLine="0"/>
              <w:jc w:val="left"/>
              <w:rPr>
                <w:rFonts w:ascii="Times New Roman"/>
                <w:color w:val="auto"/>
                <w:sz w:val="21"/>
                <w:szCs w:val="21"/>
              </w:rPr>
            </w:pPr>
          </w:p>
        </w:tc>
        <w:tc>
          <w:tcPr>
            <w:tcW w:w="1676" w:type="dxa"/>
            <w:vAlign w:val="center"/>
          </w:tcPr>
          <w:p>
            <w:pPr>
              <w:widowControl/>
              <w:spacing w:line="240" w:lineRule="auto"/>
              <w:ind w:firstLine="0"/>
              <w:jc w:val="center"/>
              <w:rPr>
                <w:rFonts w:ascii="Times New Roman"/>
                <w:color w:val="auto"/>
                <w:sz w:val="21"/>
                <w:szCs w:val="21"/>
              </w:rPr>
            </w:pPr>
            <w:r>
              <w:rPr>
                <w:rFonts w:ascii="Times New Roman" w:hAnsi="Times New Roman" w:cs="Times New Roman"/>
                <w:color w:val="auto"/>
                <w:sz w:val="21"/>
                <w:szCs w:val="21"/>
              </w:rPr>
              <w:t>1000</w:t>
            </w:r>
          </w:p>
        </w:tc>
        <w:tc>
          <w:tcPr>
            <w:tcW w:w="2301" w:type="dxa"/>
            <w:vAlign w:val="bottom"/>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7924</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576</w:t>
            </w:r>
          </w:p>
        </w:tc>
        <w:tc>
          <w:tcPr>
            <w:tcW w:w="2159" w:type="dxa"/>
            <w:vAlign w:val="bottom"/>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173</w:t>
            </w:r>
          </w:p>
        </w:tc>
        <w:tc>
          <w:tcPr>
            <w:tcW w:w="2064" w:type="dxa"/>
            <w:vAlign w:val="bottom"/>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4" w:type="dxa"/>
            <w:vMerge w:val="continue"/>
            <w:vAlign w:val="center"/>
          </w:tcPr>
          <w:p>
            <w:pPr>
              <w:widowControl/>
              <w:spacing w:line="240" w:lineRule="auto"/>
              <w:ind w:firstLine="0"/>
              <w:jc w:val="left"/>
              <w:rPr>
                <w:rFonts w:ascii="Times New Roman"/>
                <w:color w:val="auto"/>
                <w:sz w:val="21"/>
                <w:szCs w:val="21"/>
              </w:rPr>
            </w:pPr>
          </w:p>
        </w:tc>
        <w:tc>
          <w:tcPr>
            <w:tcW w:w="1676" w:type="dxa"/>
            <w:vAlign w:val="center"/>
          </w:tcPr>
          <w:p>
            <w:pPr>
              <w:widowControl/>
              <w:spacing w:line="240" w:lineRule="auto"/>
              <w:ind w:firstLine="0"/>
              <w:jc w:val="center"/>
              <w:rPr>
                <w:rFonts w:ascii="Times New Roman"/>
                <w:color w:val="auto"/>
                <w:sz w:val="21"/>
                <w:szCs w:val="21"/>
              </w:rPr>
            </w:pPr>
            <w:r>
              <w:rPr>
                <w:rFonts w:ascii="Times New Roman" w:hAnsi="Times New Roman" w:cs="Times New Roman"/>
                <w:color w:val="auto"/>
                <w:sz w:val="21"/>
                <w:szCs w:val="21"/>
              </w:rPr>
              <w:t>7300</w:t>
            </w:r>
          </w:p>
        </w:tc>
        <w:tc>
          <w:tcPr>
            <w:tcW w:w="2301" w:type="dxa"/>
            <w:vAlign w:val="bottom"/>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2933</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017</w:t>
            </w:r>
          </w:p>
        </w:tc>
        <w:tc>
          <w:tcPr>
            <w:tcW w:w="2159" w:type="dxa"/>
            <w:vAlign w:val="bottom"/>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671</w:t>
            </w:r>
          </w:p>
        </w:tc>
        <w:tc>
          <w:tcPr>
            <w:tcW w:w="2064" w:type="dxa"/>
            <w:vAlign w:val="bottom"/>
          </w:tcPr>
          <w:p>
            <w:pPr>
              <w:widowControl/>
              <w:spacing w:line="240" w:lineRule="auto"/>
              <w:ind w:firstLine="0"/>
              <w:jc w:val="center"/>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741</w:t>
            </w:r>
          </w:p>
        </w:tc>
      </w:tr>
    </w:tbl>
    <w:p>
      <w:pPr>
        <w:bidi w:val="0"/>
        <w:rPr>
          <w:rFonts w:hint="default"/>
        </w:rPr>
      </w:pPr>
      <w:r>
        <w:rPr>
          <w:rFonts w:hint="eastAsia"/>
          <w:color w:val="auto"/>
        </w:rPr>
        <w:t>根据《环境影响评价技术导则 地下水环境》（</w:t>
      </w:r>
      <w:r>
        <w:rPr>
          <w:rFonts w:hint="eastAsia" w:ascii="Times New Roman" w:hAnsi="Times New Roman" w:cs="Times New Roman"/>
          <w:color w:val="auto"/>
        </w:rPr>
        <w:t>HJ610</w:t>
      </w:r>
      <w:r>
        <w:rPr>
          <w:rFonts w:hint="eastAsia"/>
          <w:color w:val="auto"/>
        </w:rPr>
        <w:t>-</w:t>
      </w:r>
      <w:r>
        <w:rPr>
          <w:rFonts w:hint="eastAsia" w:ascii="Times New Roman" w:hAnsi="Times New Roman" w:cs="Times New Roman"/>
          <w:color w:val="auto"/>
        </w:rPr>
        <w:t>2016</w:t>
      </w:r>
      <w:r>
        <w:rPr>
          <w:rFonts w:hint="eastAsia"/>
          <w:color w:val="auto"/>
        </w:rPr>
        <w:t>），分别预测主要污染物</w:t>
      </w:r>
      <w:r>
        <w:rPr>
          <w:rFonts w:hint="eastAsia" w:ascii="Times New Roman" w:hAnsi="Times New Roman"/>
          <w:color w:val="auto"/>
          <w:lang w:val="en-US" w:eastAsia="zh-CN"/>
        </w:rPr>
        <w:t>COD</w:t>
      </w:r>
      <w:r>
        <w:rPr>
          <w:rFonts w:hint="eastAsia"/>
          <w:color w:val="auto"/>
        </w:rPr>
        <w:t>在</w:t>
      </w:r>
      <w:r>
        <w:rPr>
          <w:rFonts w:hint="eastAsia" w:ascii="Times New Roman" w:hAnsi="Times New Roman" w:cs="Times New Roman"/>
          <w:color w:val="auto"/>
        </w:rPr>
        <w:t>100d</w:t>
      </w:r>
      <w:r>
        <w:rPr>
          <w:rFonts w:hint="eastAsia"/>
          <w:color w:val="auto"/>
        </w:rPr>
        <w:t>，</w:t>
      </w:r>
      <w:r>
        <w:rPr>
          <w:rFonts w:hint="eastAsia" w:ascii="Times New Roman" w:hAnsi="Times New Roman" w:cs="Times New Roman"/>
          <w:color w:val="auto"/>
        </w:rPr>
        <w:t>1000d</w:t>
      </w:r>
      <w:r>
        <w:rPr>
          <w:rFonts w:hint="eastAsia"/>
          <w:color w:val="auto"/>
        </w:rPr>
        <w:t>和</w:t>
      </w:r>
      <w:r>
        <w:rPr>
          <w:rFonts w:hint="eastAsia" w:ascii="Times New Roman" w:hAnsi="Times New Roman" w:cs="Times New Roman"/>
          <w:color w:val="auto"/>
        </w:rPr>
        <w:t>20</w:t>
      </w:r>
      <w:r>
        <w:rPr>
          <w:rFonts w:hint="eastAsia"/>
          <w:color w:val="auto"/>
        </w:rPr>
        <w:t>年在地下水运移的过程，预测结果见图</w:t>
      </w:r>
      <w:r>
        <w:rPr>
          <w:rFonts w:hint="eastAsia" w:ascii="Times New Roman" w:hAnsi="Times New Roman" w:cs="Times New Roman"/>
          <w:color w:val="auto"/>
          <w:lang w:val="en-US" w:eastAsia="zh-CN"/>
        </w:rPr>
        <w:t>6</w:t>
      </w:r>
      <w:r>
        <w:rPr>
          <w:rFonts w:hint="eastAsia"/>
          <w:color w:val="auto"/>
        </w:rPr>
        <w:t>.</w:t>
      </w:r>
      <w:r>
        <w:rPr>
          <w:rFonts w:hint="eastAsia" w:ascii="Times New Roman" w:hAnsi="Times New Roman" w:cs="Times New Roman"/>
          <w:color w:val="auto"/>
          <w:lang w:val="en-US" w:eastAsia="zh-CN"/>
        </w:rPr>
        <w:t>4</w:t>
      </w:r>
      <w:r>
        <w:rPr>
          <w:rFonts w:hint="eastAsia"/>
          <w:color w:val="auto"/>
        </w:rPr>
        <w:t>-</w:t>
      </w:r>
      <w:r>
        <w:rPr>
          <w:rFonts w:hint="eastAsia" w:ascii="Times New Roman" w:hAnsi="Times New Roman" w:cs="Times New Roman"/>
          <w:color w:val="auto"/>
          <w:lang w:val="en-US" w:eastAsia="zh-CN"/>
        </w:rPr>
        <w:t>3</w:t>
      </w:r>
      <w:r>
        <w:rPr>
          <w:rFonts w:hint="eastAsia"/>
          <w:color w:val="auto"/>
        </w:rPr>
        <w:t>～</w:t>
      </w:r>
      <w:r>
        <w:rPr>
          <w:rFonts w:hint="eastAsia" w:ascii="Times New Roman" w:hAnsi="Times New Roman" w:cs="Times New Roman"/>
          <w:color w:val="auto"/>
          <w:lang w:val="en-US" w:eastAsia="zh-CN"/>
        </w:rPr>
        <w:t>6</w:t>
      </w:r>
      <w:r>
        <w:rPr>
          <w:rFonts w:hint="eastAsia"/>
          <w:color w:val="auto"/>
        </w:rPr>
        <w:t>.</w:t>
      </w:r>
      <w:r>
        <w:rPr>
          <w:rFonts w:hint="eastAsia" w:ascii="Times New Roman" w:hAnsi="Times New Roman" w:cs="Times New Roman"/>
          <w:color w:val="auto"/>
          <w:lang w:val="en-US" w:eastAsia="zh-CN"/>
        </w:rPr>
        <w:t>4</w:t>
      </w:r>
      <w:r>
        <w:rPr>
          <w:rFonts w:hint="eastAsia"/>
          <w:color w:val="auto"/>
        </w:rPr>
        <w:t>-</w:t>
      </w:r>
      <w:r>
        <w:rPr>
          <w:rFonts w:hint="eastAsia" w:ascii="Times New Roman" w:hAnsi="Times New Roman" w:cs="Times New Roman"/>
          <w:color w:val="auto"/>
          <w:lang w:val="en-US" w:eastAsia="zh-CN"/>
        </w:rPr>
        <w:t>5</w:t>
      </w:r>
      <w:r>
        <w:rPr>
          <w:rFonts w:hint="eastAsia"/>
          <w:color w:val="auto"/>
        </w:rPr>
        <w:t>。</w:t>
      </w:r>
    </w:p>
    <w:p>
      <w:pPr>
        <w:bidi w:val="0"/>
        <w:rPr>
          <w:rFonts w:hint="default"/>
        </w:rPr>
      </w:pPr>
      <w:r>
        <w:drawing>
          <wp:anchor distT="0" distB="0" distL="114300" distR="114300" simplePos="0" relativeHeight="251681792" behindDoc="0" locked="0" layoutInCell="1" allowOverlap="1">
            <wp:simplePos x="0" y="0"/>
            <wp:positionH relativeFrom="column">
              <wp:posOffset>560705</wp:posOffset>
            </wp:positionH>
            <wp:positionV relativeFrom="paragraph">
              <wp:posOffset>309245</wp:posOffset>
            </wp:positionV>
            <wp:extent cx="4572000" cy="2743200"/>
            <wp:effectExtent l="4445" t="4445" r="14605" b="14605"/>
            <wp:wrapTopAndBottom/>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pPr>
        <w:pStyle w:val="20"/>
        <w:bidi w:val="0"/>
        <w:rPr>
          <w:rFonts w:hint="default"/>
        </w:rPr>
      </w:pPr>
      <w:r>
        <w:rPr>
          <w:rStyle w:val="1112"/>
          <w:b/>
          <w:color w:val="auto"/>
        </w:rPr>
        <w:t>图</w:t>
      </w:r>
      <w:r>
        <w:rPr>
          <w:rStyle w:val="1112"/>
          <w:rFonts w:hint="eastAsia" w:ascii="Times New Roman" w:hAnsi="Times New Roman" w:cs="Times New Roman"/>
          <w:b/>
          <w:color w:val="auto"/>
          <w:lang w:val="en-US" w:eastAsia="zh-CN"/>
        </w:rPr>
        <w:t>6</w:t>
      </w:r>
      <w:r>
        <w:rPr>
          <w:rStyle w:val="1112"/>
          <w:rFonts w:hint="eastAsia"/>
          <w:b/>
          <w:color w:val="auto"/>
        </w:rPr>
        <w:t>.</w:t>
      </w:r>
      <w:r>
        <w:rPr>
          <w:rStyle w:val="1112"/>
          <w:rFonts w:hint="eastAsia" w:ascii="Times New Roman" w:hAnsi="Times New Roman" w:cs="Times New Roman"/>
          <w:b/>
          <w:color w:val="auto"/>
          <w:lang w:val="en-US" w:eastAsia="zh-CN"/>
        </w:rPr>
        <w:t>4</w:t>
      </w:r>
      <w:r>
        <w:rPr>
          <w:rStyle w:val="1112"/>
          <w:rFonts w:hint="eastAsia"/>
          <w:b/>
          <w:color w:val="auto"/>
        </w:rPr>
        <w:t>-</w:t>
      </w:r>
      <w:r>
        <w:rPr>
          <w:rStyle w:val="1112"/>
          <w:rFonts w:hint="eastAsia" w:ascii="Times New Roman" w:hAnsi="Times New Roman" w:cs="Times New Roman"/>
          <w:b/>
          <w:color w:val="auto"/>
          <w:lang w:val="en-US" w:eastAsia="zh-CN"/>
        </w:rPr>
        <w:t>3</w:t>
      </w:r>
      <w:r>
        <w:rPr>
          <w:rStyle w:val="1112"/>
          <w:b/>
          <w:color w:val="auto"/>
        </w:rPr>
        <w:t xml:space="preserve"> </w:t>
      </w:r>
      <w:r>
        <w:rPr>
          <w:rStyle w:val="1112"/>
          <w:rFonts w:hint="eastAsia"/>
          <w:b/>
          <w:color w:val="auto"/>
        </w:rPr>
        <w:t xml:space="preserve">  </w:t>
      </w:r>
      <w:r>
        <w:rPr>
          <w:rStyle w:val="1112"/>
          <w:rFonts w:ascii="Times New Roman" w:hAnsi="Times New Roman" w:cs="Times New Roman"/>
          <w:b/>
          <w:color w:val="auto"/>
        </w:rPr>
        <w:t>1</w:t>
      </w:r>
      <w:r>
        <w:rPr>
          <w:rStyle w:val="1112"/>
          <w:rFonts w:hint="eastAsia" w:ascii="Times New Roman" w:hAnsi="Times New Roman" w:cs="Times New Roman"/>
          <w:b/>
          <w:color w:val="auto"/>
        </w:rPr>
        <w:t>0</w:t>
      </w:r>
      <w:r>
        <w:rPr>
          <w:rStyle w:val="1112"/>
          <w:rFonts w:ascii="Times New Roman" w:hAnsi="Times New Roman" w:cs="Times New Roman"/>
          <w:b/>
          <w:color w:val="auto"/>
        </w:rPr>
        <w:t>0d</w:t>
      </w:r>
      <w:r>
        <w:rPr>
          <w:rStyle w:val="1112"/>
          <w:b/>
          <w:color w:val="auto"/>
        </w:rPr>
        <w:t>，</w:t>
      </w:r>
      <w:r>
        <w:rPr>
          <w:rStyle w:val="1112"/>
          <w:rFonts w:hint="eastAsia" w:ascii="Times New Roman" w:hAnsi="Times New Roman"/>
          <w:b/>
          <w:color w:val="auto"/>
          <w:lang w:val="en-US" w:eastAsia="zh-CN"/>
        </w:rPr>
        <w:t>COD</w:t>
      </w:r>
      <w:r>
        <w:rPr>
          <w:rStyle w:val="1112"/>
          <w:b/>
          <w:color w:val="auto"/>
        </w:rPr>
        <w:t>运移浓度分布</w:t>
      </w:r>
      <w:r>
        <w:rPr>
          <w:rStyle w:val="1112"/>
          <w:rFonts w:hint="eastAsia"/>
          <w:b/>
          <w:color w:val="auto"/>
        </w:rPr>
        <w:t>图</w:t>
      </w:r>
    </w:p>
    <w:p>
      <w:pPr>
        <w:bidi w:val="0"/>
        <w:rPr>
          <w:rFonts w:hint="default"/>
        </w:rPr>
      </w:pPr>
      <w:r>
        <w:drawing>
          <wp:anchor distT="0" distB="0" distL="114300" distR="114300" simplePos="0" relativeHeight="251679744" behindDoc="0" locked="0" layoutInCell="1" allowOverlap="1">
            <wp:simplePos x="0" y="0"/>
            <wp:positionH relativeFrom="column">
              <wp:posOffset>659765</wp:posOffset>
            </wp:positionH>
            <wp:positionV relativeFrom="paragraph">
              <wp:posOffset>153670</wp:posOffset>
            </wp:positionV>
            <wp:extent cx="4572000" cy="2743200"/>
            <wp:effectExtent l="4445" t="4445" r="14605" b="14605"/>
            <wp:wrapTopAndBottom/>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pPr>
        <w:bidi w:val="0"/>
        <w:rPr>
          <w:rFonts w:hint="default"/>
        </w:rPr>
      </w:pPr>
    </w:p>
    <w:p>
      <w:pPr>
        <w:pStyle w:val="1104"/>
        <w:bidi w:val="0"/>
        <w:rPr>
          <w:rFonts w:hint="default"/>
        </w:rPr>
      </w:pPr>
      <w:r>
        <w:rPr>
          <w:rStyle w:val="1112"/>
          <w:b/>
          <w:color w:val="auto"/>
        </w:rPr>
        <w:t>图</w:t>
      </w:r>
      <w:r>
        <w:rPr>
          <w:rStyle w:val="1112"/>
          <w:rFonts w:hint="eastAsia" w:ascii="Times New Roman" w:hAnsi="Times New Roman" w:cs="Times New Roman"/>
          <w:b/>
          <w:color w:val="auto"/>
          <w:lang w:val="en-US" w:eastAsia="zh-CN"/>
        </w:rPr>
        <w:t>6</w:t>
      </w:r>
      <w:r>
        <w:rPr>
          <w:rStyle w:val="1112"/>
          <w:rFonts w:hint="eastAsia"/>
          <w:b/>
          <w:color w:val="auto"/>
        </w:rPr>
        <w:t>.</w:t>
      </w:r>
      <w:r>
        <w:rPr>
          <w:rStyle w:val="1112"/>
          <w:rFonts w:hint="eastAsia" w:ascii="Times New Roman" w:hAnsi="Times New Roman" w:cs="Times New Roman"/>
          <w:b/>
          <w:color w:val="auto"/>
          <w:lang w:val="en-US" w:eastAsia="zh-CN"/>
        </w:rPr>
        <w:t>4</w:t>
      </w:r>
      <w:r>
        <w:rPr>
          <w:rStyle w:val="1112"/>
          <w:rFonts w:hint="eastAsia"/>
          <w:b/>
          <w:color w:val="auto"/>
        </w:rPr>
        <w:t>-</w:t>
      </w:r>
      <w:r>
        <w:rPr>
          <w:rStyle w:val="1112"/>
          <w:rFonts w:hint="eastAsia" w:ascii="Times New Roman" w:hAnsi="Times New Roman" w:cs="Times New Roman"/>
          <w:b/>
          <w:color w:val="auto"/>
          <w:lang w:val="en-US" w:eastAsia="zh-CN"/>
        </w:rPr>
        <w:t>4</w:t>
      </w:r>
      <w:r>
        <w:rPr>
          <w:rStyle w:val="1112"/>
          <w:b/>
          <w:color w:val="auto"/>
        </w:rPr>
        <w:t xml:space="preserve"> </w:t>
      </w:r>
      <w:r>
        <w:rPr>
          <w:rStyle w:val="1112"/>
          <w:rFonts w:hint="eastAsia"/>
          <w:b/>
          <w:color w:val="auto"/>
        </w:rPr>
        <w:t xml:space="preserve">  </w:t>
      </w:r>
      <w:r>
        <w:rPr>
          <w:rStyle w:val="1112"/>
          <w:rFonts w:ascii="Times New Roman" w:hAnsi="Times New Roman" w:cs="Times New Roman"/>
          <w:b/>
          <w:color w:val="auto"/>
        </w:rPr>
        <w:t>1</w:t>
      </w:r>
      <w:r>
        <w:rPr>
          <w:rStyle w:val="1112"/>
          <w:rFonts w:hint="eastAsia" w:ascii="Times New Roman" w:hAnsi="Times New Roman" w:cs="Times New Roman"/>
          <w:b/>
          <w:color w:val="auto"/>
          <w:lang w:val="en-US" w:eastAsia="zh-CN"/>
        </w:rPr>
        <w:t>0</w:t>
      </w:r>
      <w:r>
        <w:rPr>
          <w:rStyle w:val="1112"/>
          <w:rFonts w:hint="eastAsia" w:ascii="Times New Roman" w:hAnsi="Times New Roman" w:cs="Times New Roman"/>
          <w:b/>
          <w:color w:val="auto"/>
        </w:rPr>
        <w:t>0</w:t>
      </w:r>
      <w:r>
        <w:rPr>
          <w:rStyle w:val="1112"/>
          <w:rFonts w:ascii="Times New Roman" w:hAnsi="Times New Roman" w:cs="Times New Roman"/>
          <w:b/>
          <w:color w:val="auto"/>
        </w:rPr>
        <w:t>0d</w:t>
      </w:r>
      <w:r>
        <w:rPr>
          <w:rStyle w:val="1112"/>
          <w:b/>
          <w:color w:val="auto"/>
        </w:rPr>
        <w:t>，</w:t>
      </w:r>
      <w:r>
        <w:rPr>
          <w:rStyle w:val="1112"/>
          <w:rFonts w:hint="eastAsia" w:ascii="Times New Roman" w:hAnsi="Times New Roman"/>
          <w:b/>
          <w:color w:val="auto"/>
          <w:lang w:val="en-US" w:eastAsia="zh-CN"/>
        </w:rPr>
        <w:t>COD</w:t>
      </w:r>
      <w:r>
        <w:rPr>
          <w:rStyle w:val="1112"/>
          <w:b/>
          <w:color w:val="auto"/>
        </w:rPr>
        <w:t>运移浓度分布</w:t>
      </w:r>
      <w:r>
        <w:rPr>
          <w:rStyle w:val="1112"/>
          <w:rFonts w:hint="eastAsia"/>
          <w:b/>
          <w:color w:val="auto"/>
        </w:rPr>
        <w:t>图</w:t>
      </w:r>
    </w:p>
    <w:p>
      <w:pPr>
        <w:pStyle w:val="20"/>
        <w:bidi w:val="0"/>
        <w:rPr>
          <w:rFonts w:hint="default"/>
        </w:rPr>
      </w:pPr>
      <w:r>
        <w:drawing>
          <wp:anchor distT="0" distB="0" distL="114300" distR="114300" simplePos="0" relativeHeight="251680768" behindDoc="0" locked="0" layoutInCell="1" allowOverlap="1">
            <wp:simplePos x="0" y="0"/>
            <wp:positionH relativeFrom="column">
              <wp:posOffset>739140</wp:posOffset>
            </wp:positionH>
            <wp:positionV relativeFrom="paragraph">
              <wp:posOffset>46990</wp:posOffset>
            </wp:positionV>
            <wp:extent cx="4572000" cy="2743200"/>
            <wp:effectExtent l="4445" t="4445" r="14605" b="14605"/>
            <wp:wrapTopAndBottom/>
            <wp:docPr id="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rStyle w:val="1112"/>
          <w:b/>
          <w:color w:val="auto"/>
        </w:rPr>
        <w:t>图</w:t>
      </w:r>
      <w:r>
        <w:rPr>
          <w:rStyle w:val="1112"/>
          <w:rFonts w:hint="eastAsia" w:ascii="Times New Roman" w:hAnsi="Times New Roman" w:cs="Times New Roman"/>
          <w:b/>
          <w:color w:val="auto"/>
          <w:lang w:val="en-US" w:eastAsia="zh-CN"/>
        </w:rPr>
        <w:t>6</w:t>
      </w:r>
      <w:r>
        <w:rPr>
          <w:rStyle w:val="1112"/>
          <w:rFonts w:hint="eastAsia"/>
          <w:b/>
          <w:color w:val="auto"/>
        </w:rPr>
        <w:t>.</w:t>
      </w:r>
      <w:r>
        <w:rPr>
          <w:rStyle w:val="1112"/>
          <w:rFonts w:hint="eastAsia" w:ascii="Times New Roman" w:hAnsi="Times New Roman" w:cs="Times New Roman"/>
          <w:b/>
          <w:color w:val="auto"/>
          <w:lang w:val="en-US" w:eastAsia="zh-CN"/>
        </w:rPr>
        <w:t>4</w:t>
      </w:r>
      <w:r>
        <w:rPr>
          <w:rStyle w:val="1112"/>
          <w:rFonts w:hint="eastAsia"/>
          <w:b/>
          <w:color w:val="auto"/>
        </w:rPr>
        <w:t>-</w:t>
      </w:r>
      <w:r>
        <w:rPr>
          <w:rStyle w:val="1112"/>
          <w:rFonts w:hint="eastAsia" w:ascii="Times New Roman" w:hAnsi="Times New Roman" w:cs="Times New Roman"/>
          <w:b/>
          <w:color w:val="auto"/>
          <w:lang w:val="en-US" w:eastAsia="zh-CN"/>
        </w:rPr>
        <w:t>5</w:t>
      </w:r>
      <w:r>
        <w:rPr>
          <w:rStyle w:val="1112"/>
          <w:b/>
          <w:color w:val="auto"/>
        </w:rPr>
        <w:t xml:space="preserve"> </w:t>
      </w:r>
      <w:r>
        <w:rPr>
          <w:rStyle w:val="1112"/>
          <w:rFonts w:hint="eastAsia"/>
          <w:b/>
          <w:color w:val="auto"/>
        </w:rPr>
        <w:t xml:space="preserve">  </w:t>
      </w:r>
      <w:r>
        <w:rPr>
          <w:rStyle w:val="1112"/>
          <w:rFonts w:hint="eastAsia" w:ascii="Times New Roman" w:hAnsi="Times New Roman" w:cs="Times New Roman"/>
          <w:b/>
          <w:color w:val="auto"/>
          <w:lang w:val="en-US" w:eastAsia="zh-CN"/>
        </w:rPr>
        <w:t>73</w:t>
      </w:r>
      <w:r>
        <w:rPr>
          <w:rStyle w:val="1112"/>
          <w:rFonts w:hint="eastAsia" w:ascii="Times New Roman" w:hAnsi="Times New Roman" w:cs="Times New Roman"/>
          <w:b/>
          <w:color w:val="auto"/>
        </w:rPr>
        <w:t>0</w:t>
      </w:r>
      <w:r>
        <w:rPr>
          <w:rStyle w:val="1112"/>
          <w:rFonts w:ascii="Times New Roman" w:hAnsi="Times New Roman" w:cs="Times New Roman"/>
          <w:b/>
          <w:color w:val="auto"/>
        </w:rPr>
        <w:t>0d</w:t>
      </w:r>
      <w:r>
        <w:rPr>
          <w:rStyle w:val="1112"/>
          <w:b/>
          <w:color w:val="auto"/>
        </w:rPr>
        <w:t>，</w:t>
      </w:r>
      <w:r>
        <w:rPr>
          <w:rStyle w:val="1112"/>
          <w:rFonts w:hint="eastAsia" w:ascii="Times New Roman" w:hAnsi="Times New Roman"/>
          <w:b/>
          <w:color w:val="auto"/>
          <w:lang w:val="en-US" w:eastAsia="zh-CN"/>
        </w:rPr>
        <w:t>COD</w:t>
      </w:r>
      <w:r>
        <w:rPr>
          <w:rStyle w:val="1112"/>
          <w:b/>
          <w:color w:val="auto"/>
        </w:rPr>
        <w:t>运移浓度分布</w:t>
      </w:r>
      <w:r>
        <w:rPr>
          <w:rStyle w:val="1112"/>
          <w:rFonts w:hint="eastAsia"/>
          <w:b/>
          <w:color w:val="auto"/>
        </w:rPr>
        <w:t>图</w:t>
      </w:r>
    </w:p>
    <w:p>
      <w:pPr>
        <w:pStyle w:val="5"/>
        <w:spacing w:before="165"/>
        <w:rPr>
          <w:rFonts w:hint="default" w:ascii="Times New Roman" w:hAnsi="Times New Roman" w:cs="Times New Roman"/>
        </w:rPr>
      </w:pPr>
      <w:r>
        <w:rPr>
          <w:rFonts w:hint="eastAsia" w:ascii="Times New Roman" w:hAnsi="Times New Roman" w:cs="Times New Roman"/>
          <w:lang w:val="en-US" w:eastAsia="zh-CN"/>
        </w:rPr>
        <w:t>6</w:t>
      </w:r>
      <w:r>
        <w:rPr>
          <w:rFonts w:hint="eastAsia" w:hAnsi="Times New Roman" w:cs="Times New Roman"/>
          <w:lang w:val="en-US" w:eastAsia="zh-CN"/>
        </w:rPr>
        <w:t>.</w:t>
      </w:r>
      <w:r>
        <w:rPr>
          <w:rFonts w:hint="eastAsia" w:ascii="Times New Roman" w:hAnsi="Times New Roman" w:cs="Times New Roman"/>
          <w:lang w:val="en-US" w:eastAsia="zh-CN"/>
        </w:rPr>
        <w:t>4</w:t>
      </w:r>
      <w:r>
        <w:rPr>
          <w:rFonts w:hint="eastAsia" w:hAnsi="Times New Roman" w:cs="Times New Roman"/>
          <w:lang w:val="en-US" w:eastAsia="zh-CN"/>
        </w:rPr>
        <w:t>.</w:t>
      </w:r>
      <w:r>
        <w:rPr>
          <w:rFonts w:hint="eastAsia" w:ascii="Times New Roman" w:hAnsi="Times New Roman" w:cs="Times New Roman"/>
          <w:lang w:val="en-US" w:eastAsia="zh-CN"/>
        </w:rPr>
        <w:t>5</w:t>
      </w:r>
      <w:r>
        <w:rPr>
          <w:rFonts w:hint="default" w:ascii="Times New Roman" w:hAnsi="Times New Roman" w:cs="Times New Roman"/>
        </w:rPr>
        <w:t>小结</w:t>
      </w:r>
    </w:p>
    <w:p>
      <w:pPr>
        <w:spacing w:line="480" w:lineRule="exact"/>
        <w:ind w:firstLine="480" w:firstLineChars="200"/>
        <w:jc w:val="left"/>
        <w:rPr>
          <w:rFonts w:hint="eastAsia" w:ascii="Times New Roman" w:hAnsi="Times New Roman"/>
          <w:sz w:val="24"/>
          <w:szCs w:val="24"/>
        </w:rPr>
      </w:pPr>
      <w:r>
        <w:rPr>
          <w:rFonts w:hint="default" w:ascii="Times New Roman" w:hAnsi="Times New Roman" w:cs="Times New Roman"/>
          <w:color w:val="000000"/>
        </w:rPr>
        <w:t>正常状况下，厂区废水可得到有效处置，</w:t>
      </w:r>
      <w:r>
        <w:rPr>
          <w:rFonts w:hint="eastAsia" w:ascii="Times New Roman" w:hAnsi="Times New Roman" w:cs="Times New Roman"/>
          <w:color w:val="000000"/>
          <w:lang w:eastAsia="zh-CN"/>
        </w:rPr>
        <w:t>装置区、罐区等</w:t>
      </w:r>
      <w:r>
        <w:rPr>
          <w:rFonts w:hint="default" w:ascii="Times New Roman" w:hAnsi="Times New Roman" w:cs="Times New Roman"/>
          <w:color w:val="000000"/>
        </w:rPr>
        <w:t>按相应的防渗要求采取防渗漏措施，</w:t>
      </w:r>
      <w:r>
        <w:rPr>
          <w:rFonts w:hint="eastAsia" w:ascii="Times New Roman" w:hAnsi="Times New Roman" w:cs="Times New Roman"/>
          <w:color w:val="000000"/>
          <w:lang w:eastAsia="zh-CN"/>
        </w:rPr>
        <w:t>不会对</w:t>
      </w:r>
      <w:r>
        <w:rPr>
          <w:rFonts w:hint="default" w:ascii="Times New Roman" w:hAnsi="Times New Roman" w:cs="Times New Roman"/>
          <w:color w:val="000000"/>
        </w:rPr>
        <w:t>地下水</w:t>
      </w:r>
      <w:r>
        <w:rPr>
          <w:rFonts w:hint="eastAsia" w:ascii="Times New Roman" w:hAnsi="Times New Roman" w:cs="Times New Roman"/>
          <w:color w:val="000000"/>
          <w:lang w:eastAsia="zh-CN"/>
        </w:rPr>
        <w:t>造成污染</w:t>
      </w:r>
      <w:r>
        <w:rPr>
          <w:rFonts w:hint="default" w:ascii="Times New Roman" w:hAnsi="Times New Roman" w:cs="Times New Roman"/>
          <w:color w:val="000000"/>
        </w:rPr>
        <w:t>；只有在</w:t>
      </w:r>
      <w:r>
        <w:rPr>
          <w:rFonts w:hint="eastAsia" w:ascii="Times New Roman" w:hAnsi="Times New Roman" w:cs="Times New Roman"/>
          <w:color w:val="000000"/>
          <w:lang w:eastAsia="zh-CN"/>
        </w:rPr>
        <w:t>非正常工况</w:t>
      </w:r>
      <w:r>
        <w:rPr>
          <w:rFonts w:hint="default" w:ascii="Times New Roman" w:hAnsi="Times New Roman" w:cs="Times New Roman"/>
          <w:color w:val="000000"/>
        </w:rPr>
        <w:t>下</w:t>
      </w:r>
      <w:r>
        <w:rPr>
          <w:rFonts w:hint="eastAsia" w:ascii="Times New Roman" w:hAnsi="Times New Roman" w:cs="Times New Roman"/>
          <w:color w:val="000000"/>
          <w:lang w:eastAsia="zh-CN"/>
        </w:rPr>
        <w:t>，储罐</w:t>
      </w:r>
      <w:r>
        <w:rPr>
          <w:rFonts w:hint="default" w:ascii="Times New Roman" w:hAnsi="Times New Roman" w:cs="Times New Roman"/>
          <w:color w:val="000000"/>
        </w:rPr>
        <w:t>可能</w:t>
      </w:r>
      <w:r>
        <w:rPr>
          <w:rFonts w:hint="eastAsia" w:ascii="Times New Roman" w:hAnsi="Times New Roman" w:cs="Times New Roman"/>
          <w:color w:val="000000"/>
          <w:lang w:eastAsia="zh-CN"/>
        </w:rPr>
        <w:t>发生泄漏，通过破损的防渗层渗入地下</w:t>
      </w:r>
      <w:r>
        <w:rPr>
          <w:rFonts w:hint="default" w:ascii="Times New Roman" w:hAnsi="Times New Roman" w:cs="Times New Roman"/>
          <w:color w:val="000000"/>
        </w:rPr>
        <w:t>，对地下水环境造成影响。</w:t>
      </w:r>
    </w:p>
    <w:p>
      <w:pPr>
        <w:spacing w:line="480" w:lineRule="exact"/>
        <w:ind w:firstLine="480" w:firstLineChars="200"/>
        <w:jc w:val="left"/>
      </w:pPr>
      <w:r>
        <w:rPr>
          <w:rFonts w:hint="eastAsia" w:ascii="Times New Roman" w:hAnsi="Times New Roman"/>
          <w:sz w:val="24"/>
          <w:szCs w:val="24"/>
          <w:lang w:eastAsia="zh-CN"/>
        </w:rPr>
        <w:t>污染物</w:t>
      </w:r>
      <w:r>
        <w:rPr>
          <w:rFonts w:hint="eastAsia" w:ascii="Times New Roman" w:hAnsi="Times New Roman"/>
          <w:sz w:val="24"/>
          <w:szCs w:val="24"/>
        </w:rPr>
        <w:t>在地下水系统中的迁移转化过程十分复杂，包括挥发、溶解、吸附、沉淀、生物吸收、化学与生物降解等作用。本次</w:t>
      </w:r>
      <w:r>
        <w:rPr>
          <w:rFonts w:hint="eastAsia" w:ascii="Times New Roman" w:hAnsi="Times New Roman"/>
          <w:sz w:val="24"/>
          <w:szCs w:val="24"/>
          <w:lang w:eastAsia="zh-CN"/>
        </w:rPr>
        <w:t>评价</w:t>
      </w:r>
      <w:r>
        <w:rPr>
          <w:rFonts w:hint="eastAsia" w:ascii="Times New Roman" w:hAnsi="Times New Roman"/>
          <w:sz w:val="24"/>
          <w:szCs w:val="24"/>
        </w:rPr>
        <w:t>模拟过程仅考虑污染物的对流、弥散运移过程</w:t>
      </w:r>
      <w:r>
        <w:rPr>
          <w:rFonts w:hint="eastAsia" w:ascii="Times New Roman" w:hAnsi="Times New Roman"/>
          <w:sz w:val="24"/>
          <w:szCs w:val="24"/>
          <w:lang w:eastAsia="zh-CN"/>
        </w:rPr>
        <w:t>，不</w:t>
      </w:r>
      <w:r>
        <w:rPr>
          <w:rFonts w:hint="eastAsia" w:ascii="Times New Roman" w:hAnsi="Times New Roman"/>
          <w:sz w:val="24"/>
          <w:szCs w:val="24"/>
        </w:rPr>
        <w:t>考虑非饱和带的防渗，也没有考虑含水层的吸附、沉淀、降解等作用，所以计算结果是偏保守的，实际污染程度及污染扩散范围要比计算的结果小。</w:t>
      </w:r>
    </w:p>
    <w:p>
      <w:pPr>
        <w:rPr>
          <w:rFonts w:hint="default" w:ascii="Times New Roman" w:hAnsi="Times New Roman" w:cs="Times New Roman"/>
        </w:rPr>
      </w:pPr>
      <w:r>
        <w:rPr>
          <w:rFonts w:hint="default" w:ascii="Times New Roman" w:hAnsi="Times New Roman" w:cs="Times New Roman"/>
        </w:rPr>
        <w:t>由</w:t>
      </w:r>
      <w:r>
        <w:rPr>
          <w:rFonts w:hint="eastAsia" w:ascii="Times New Roman" w:hAnsi="Times New Roman" w:cs="Times New Roman"/>
          <w:color w:val="000000"/>
          <w:lang w:eastAsia="zh-CN"/>
        </w:rPr>
        <w:t>非正常工况下的</w:t>
      </w:r>
      <w:r>
        <w:rPr>
          <w:rFonts w:hint="default" w:ascii="Times New Roman" w:hAnsi="Times New Roman" w:cs="Times New Roman"/>
        </w:rPr>
        <w:t>地下水预测结果</w:t>
      </w:r>
      <w:r>
        <w:rPr>
          <w:rFonts w:hint="eastAsia" w:ascii="Times New Roman" w:hAnsi="Times New Roman" w:cs="Times New Roman"/>
          <w:lang w:eastAsia="zh-CN"/>
        </w:rPr>
        <w:t>可知</w:t>
      </w:r>
      <w:r>
        <w:rPr>
          <w:rFonts w:hint="default" w:ascii="Times New Roman" w:hAnsi="Times New Roman" w:cs="Times New Roman"/>
        </w:rPr>
        <w:t>，污染物迁移方向</w:t>
      </w:r>
      <w:r>
        <w:rPr>
          <w:rFonts w:hint="eastAsia" w:ascii="Times New Roman" w:hAnsi="Times New Roman" w:cs="Times New Roman"/>
          <w:lang w:eastAsia="zh-CN"/>
        </w:rPr>
        <w:t>大致</w:t>
      </w:r>
      <w:r>
        <w:rPr>
          <w:rFonts w:hint="default" w:ascii="Times New Roman" w:hAnsi="Times New Roman" w:cs="Times New Roman"/>
        </w:rPr>
        <w:t>是由</w:t>
      </w:r>
      <w:r>
        <w:rPr>
          <w:rFonts w:hint="default" w:ascii="Times New Roman" w:hAnsi="Times New Roman" w:cs="Times New Roman"/>
          <w:lang w:eastAsia="zh-CN"/>
        </w:rPr>
        <w:t>南</w:t>
      </w:r>
      <w:r>
        <w:rPr>
          <w:rFonts w:hint="default" w:ascii="Times New Roman" w:hAnsi="Times New Roman" w:cs="Times New Roman"/>
        </w:rPr>
        <w:t>向</w:t>
      </w:r>
      <w:r>
        <w:rPr>
          <w:rFonts w:hint="default" w:ascii="Times New Roman" w:hAnsi="Times New Roman" w:cs="Times New Roman"/>
          <w:lang w:eastAsia="zh-CN"/>
        </w:rPr>
        <w:t>北</w:t>
      </w:r>
      <w:r>
        <w:rPr>
          <w:rFonts w:hint="default" w:ascii="Times New Roman" w:hAnsi="Times New Roman" w:cs="Times New Roman"/>
        </w:rPr>
        <w:t>，和水流方向一致，</w:t>
      </w:r>
      <w:r>
        <w:rPr>
          <w:rFonts w:hint="eastAsia" w:ascii="Times New Roman" w:hAnsi="Times New Roman" w:cs="Times New Roman"/>
          <w:lang w:eastAsia="zh-CN"/>
        </w:rPr>
        <w:t>PD</w:t>
      </w:r>
      <w:r>
        <w:rPr>
          <w:rFonts w:hint="eastAsia" w:ascii="Times New Roman" w:hAnsi="Times New Roman" w:cs="Times New Roman"/>
          <w:lang w:eastAsia="zh-CN"/>
        </w:rPr>
        <w:t>储罐</w:t>
      </w:r>
      <w:r>
        <w:rPr>
          <w:rFonts w:hint="default" w:ascii="Times New Roman" w:hAnsi="Times New Roman" w:cs="Times New Roman"/>
          <w:lang w:eastAsia="zh-CN"/>
        </w:rPr>
        <w:t>泄漏在</w:t>
      </w:r>
      <w:r>
        <w:rPr>
          <w:rFonts w:hint="eastAsia" w:ascii="Times New Roman" w:hAnsi="Times New Roman" w:cs="Times New Roman"/>
          <w:lang w:val="en-US" w:eastAsia="zh-CN"/>
        </w:rPr>
        <w:t>2</w:t>
      </w:r>
      <w:r>
        <w:rPr>
          <w:rFonts w:hint="default" w:ascii="Times New Roman" w:hAnsi="Times New Roman" w:cs="Times New Roman"/>
          <w:lang w:val="en-US" w:eastAsia="zh-CN"/>
        </w:rPr>
        <w:t>0</w:t>
      </w:r>
      <w:r>
        <w:rPr>
          <w:rFonts w:hint="default" w:ascii="Times New Roman" w:hAnsi="Times New Roman" w:cs="Times New Roman"/>
          <w:lang w:val="en-US" w:eastAsia="zh-CN"/>
        </w:rPr>
        <w:t>年</w:t>
      </w:r>
      <w:r>
        <w:rPr>
          <w:rFonts w:hint="default" w:ascii="Times New Roman" w:hAnsi="Times New Roman" w:cs="Times New Roman"/>
          <w:color w:val="000000"/>
          <w:lang w:val="en-US" w:eastAsia="zh-CN"/>
        </w:rPr>
        <w:t>模拟</w:t>
      </w:r>
      <w:r>
        <w:rPr>
          <w:rFonts w:hint="default" w:ascii="Times New Roman" w:hAnsi="Times New Roman" w:cs="Times New Roman"/>
          <w:lang w:val="en-US" w:eastAsia="zh-CN"/>
        </w:rPr>
        <w:t>期内地下水</w:t>
      </w:r>
      <w:r>
        <w:rPr>
          <w:rFonts w:hint="eastAsia" w:ascii="Times New Roman" w:hAnsi="Times New Roman" w:cs="Times New Roman"/>
          <w:lang w:val="en-US" w:eastAsia="zh-CN"/>
        </w:rPr>
        <w:t>中污染物</w:t>
      </w:r>
      <w:r>
        <w:rPr>
          <w:rFonts w:hint="default" w:ascii="Times New Roman" w:hAnsi="Times New Roman" w:cs="Times New Roman"/>
        </w:rPr>
        <w:t>COD</w:t>
      </w:r>
      <w:r>
        <w:rPr>
          <w:rFonts w:hint="eastAsia" w:ascii="Times New Roman" w:hAnsi="Times New Roman" w:cs="Times New Roman"/>
          <w:lang w:val="en-US" w:eastAsia="zh-CN"/>
        </w:rPr>
        <w:t>向</w:t>
      </w:r>
      <w:r>
        <w:rPr>
          <w:rFonts w:hint="default" w:ascii="Times New Roman" w:hAnsi="Times New Roman" w:cs="Times New Roman"/>
          <w:lang w:val="en-US" w:eastAsia="zh-CN"/>
        </w:rPr>
        <w:t>下游方向最大</w:t>
      </w:r>
      <w:r>
        <w:rPr>
          <w:rFonts w:hint="eastAsia" w:ascii="Times New Roman" w:hAnsi="Times New Roman" w:cs="Times New Roman"/>
          <w:lang w:val="en-US" w:eastAsia="zh-CN"/>
        </w:rPr>
        <w:t>影响</w:t>
      </w:r>
      <w:r>
        <w:rPr>
          <w:rFonts w:hint="default" w:ascii="Times New Roman" w:hAnsi="Times New Roman" w:cs="Times New Roman"/>
          <w:lang w:val="en-US" w:eastAsia="zh-CN"/>
        </w:rPr>
        <w:t>距离为</w:t>
      </w:r>
      <w:r>
        <w:rPr>
          <w:rFonts w:hint="eastAsia" w:ascii="Times New Roman" w:hAnsi="Times New Roman" w:cs="Times New Roman"/>
          <w:szCs w:val="28"/>
          <w:lang w:val="en-US" w:eastAsia="zh-CN"/>
        </w:rPr>
        <w:t>741</w:t>
      </w:r>
      <w:r>
        <w:rPr>
          <w:rFonts w:hint="default" w:ascii="Times New Roman" w:hAnsi="Times New Roman" w:cs="Times New Roman"/>
          <w:lang w:val="en-US" w:eastAsia="zh-CN"/>
        </w:rPr>
        <w:t>m</w:t>
      </w:r>
      <w:r>
        <w:rPr>
          <w:rFonts w:hint="default" w:ascii="Times New Roman" w:hAnsi="Times New Roman" w:cs="Times New Roman"/>
          <w:lang w:val="en-US" w:eastAsia="zh-CN"/>
        </w:rPr>
        <w:t>，最大</w:t>
      </w:r>
      <w:r>
        <w:rPr>
          <w:rFonts w:hint="eastAsia" w:ascii="Times New Roman" w:hAnsi="Times New Roman" w:cs="Times New Roman"/>
          <w:lang w:val="en-US" w:eastAsia="zh-CN"/>
        </w:rPr>
        <w:t>超标距离</w:t>
      </w:r>
      <w:r>
        <w:rPr>
          <w:rFonts w:hint="default" w:ascii="Times New Roman" w:hAnsi="Times New Roman" w:cs="Times New Roman"/>
          <w:lang w:val="en-US" w:eastAsia="zh-CN"/>
        </w:rPr>
        <w:t>为</w:t>
      </w:r>
      <w:r>
        <w:rPr>
          <w:rFonts w:hint="eastAsia" w:ascii="Times New Roman" w:hAnsi="Times New Roman" w:cs="Times New Roman"/>
          <w:lang w:val="en-US" w:eastAsia="zh-CN"/>
        </w:rPr>
        <w:t>671</w:t>
      </w:r>
      <w:r>
        <w:rPr>
          <w:rFonts w:hint="default" w:ascii="Times New Roman" w:hAnsi="Times New Roman" w:cs="Times New Roman"/>
          <w:lang w:val="en-US" w:eastAsia="zh-CN"/>
        </w:rPr>
        <w:t>m</w:t>
      </w:r>
      <w:r>
        <w:rPr>
          <w:rFonts w:hint="eastAsia" w:ascii="Times New Roman" w:hAnsi="Times New Roman" w:cs="Times New Roman"/>
          <w:szCs w:val="28"/>
          <w:lang w:eastAsia="zh-CN"/>
        </w:rPr>
        <w:t>。本项目</w:t>
      </w:r>
      <w:r>
        <w:rPr>
          <w:rFonts w:hint="default" w:ascii="Times New Roman" w:hAnsi="Times New Roman" w:cs="Times New Roman"/>
          <w:szCs w:val="28"/>
          <w:lang w:eastAsia="zh-CN"/>
        </w:rPr>
        <w:t>下游</w:t>
      </w:r>
      <w:r>
        <w:rPr>
          <w:rFonts w:hint="eastAsia" w:ascii="Times New Roman" w:hAnsi="Times New Roman" w:cs="Times New Roman"/>
          <w:szCs w:val="28"/>
          <w:lang w:eastAsia="zh-CN"/>
        </w:rPr>
        <w:t>最近的环境敏感点为四棵树镇南村，距离本项目约</w:t>
      </w:r>
      <w:r>
        <w:rPr>
          <w:rFonts w:hint="eastAsia" w:ascii="Times New Roman" w:hAnsi="Times New Roman" w:cs="Times New Roman"/>
          <w:szCs w:val="28"/>
          <w:lang w:val="en-US" w:eastAsia="zh-CN"/>
        </w:rPr>
        <w:t>4km</w:t>
      </w:r>
      <w:r>
        <w:rPr>
          <w:rFonts w:hint="eastAsia" w:ascii="Times New Roman" w:hAnsi="Times New Roman" w:cs="Times New Roman"/>
          <w:szCs w:val="28"/>
          <w:lang w:val="en-US" w:eastAsia="zh-CN"/>
        </w:rPr>
        <w:t>，</w:t>
      </w:r>
      <w:r>
        <w:rPr>
          <w:rFonts w:hint="default" w:ascii="Times New Roman" w:hAnsi="Times New Roman" w:cs="Times New Roman"/>
          <w:szCs w:val="28"/>
          <w:lang w:val="en-US" w:eastAsia="zh-CN"/>
        </w:rPr>
        <w:t>受厂区所在区域水文地质条件控制，在该非正常工况下，污染物</w:t>
      </w:r>
      <w:r>
        <w:rPr>
          <w:rFonts w:hint="default" w:ascii="Times New Roman" w:hAnsi="Times New Roman" w:cs="Times New Roman"/>
        </w:rPr>
        <w:t>COD</w:t>
      </w:r>
      <w:r>
        <w:rPr>
          <w:rFonts w:hint="default" w:ascii="Times New Roman" w:hAnsi="Times New Roman" w:cs="Times New Roman"/>
          <w:szCs w:val="28"/>
          <w:lang w:val="en-US" w:eastAsia="zh-CN"/>
        </w:rPr>
        <w:t>在地下水中向下游迁移过程中，不会对敏感目标造成影响。</w:t>
      </w:r>
    </w:p>
    <w:p>
      <w:pPr>
        <w:ind w:firstLine="480"/>
        <w:rPr>
          <w:rFonts w:hint="eastAsia"/>
          <w:lang w:eastAsia="zh-CN"/>
        </w:rPr>
      </w:pPr>
      <w:r>
        <w:rPr>
          <w:rFonts w:hint="eastAsia" w:ascii="Times New Roman" w:hAnsi="Times New Roman" w:cs="Times New Roman"/>
          <w:color w:val="000000"/>
          <w:lang w:eastAsia="zh-CN"/>
        </w:rPr>
        <w:t>综上所述，本</w:t>
      </w:r>
      <w:r>
        <w:rPr>
          <w:rFonts w:hint="eastAsia" w:ascii="Times New Roman" w:hAnsi="Times New Roman"/>
          <w:sz w:val="24"/>
          <w:szCs w:val="24"/>
          <w:lang w:eastAsia="zh-CN"/>
        </w:rPr>
        <w:t>项目占地范围内施行分区防渗，在运营过程中，加强设备管理防止跑冒滴漏现象</w:t>
      </w:r>
      <w:r>
        <w:rPr>
          <w:rFonts w:hint="eastAsia"/>
        </w:rPr>
        <w:t>，尽量避免非正常工况的发生</w:t>
      </w:r>
      <w:r>
        <w:rPr>
          <w:rFonts w:hint="eastAsia"/>
          <w:lang w:eastAsia="zh-CN"/>
        </w:rPr>
        <w:t>。通过对厂区及下游地下水定期监测，</w:t>
      </w:r>
      <w:r>
        <w:rPr>
          <w:rFonts w:hint="eastAsia"/>
        </w:rPr>
        <w:t>一旦发生</w:t>
      </w:r>
      <w:r>
        <w:rPr>
          <w:rFonts w:hint="eastAsia"/>
          <w:lang w:eastAsia="zh-CN"/>
        </w:rPr>
        <w:t>异常应</w:t>
      </w:r>
      <w:r>
        <w:rPr>
          <w:rFonts w:hint="eastAsia"/>
        </w:rPr>
        <w:t>尽快</w:t>
      </w:r>
      <w:r>
        <w:rPr>
          <w:rFonts w:hint="eastAsia"/>
          <w:lang w:eastAsia="zh-CN"/>
        </w:rPr>
        <w:t>调查原因并</w:t>
      </w:r>
      <w:r>
        <w:rPr>
          <w:rFonts w:hint="eastAsia"/>
        </w:rPr>
        <w:t>采取措施，</w:t>
      </w:r>
      <w:r>
        <w:rPr>
          <w:rFonts w:hint="eastAsia"/>
          <w:lang w:eastAsia="zh-CN"/>
        </w:rPr>
        <w:t>对区域地下水的影响较小。</w:t>
      </w:r>
    </w:p>
    <w:p>
      <w:pPr>
        <w:ind w:firstLine="480"/>
        <w:rPr>
          <w:rFonts w:hint="default" w:ascii="Times New Roman" w:hAnsi="Times New Roman" w:cs="Times New Roman"/>
        </w:rPr>
      </w:pPr>
      <w:r>
        <w:rPr>
          <w:rFonts w:hint="eastAsia"/>
          <w:lang w:eastAsia="zh-CN"/>
        </w:rPr>
        <w:t>本</w:t>
      </w:r>
      <w:r>
        <w:rPr>
          <w:rFonts w:hint="eastAsia"/>
        </w:rPr>
        <w:t>项目对地下水环境的影响程度在环境可接受范围。</w:t>
      </w:r>
    </w:p>
    <w:bookmarkEnd w:id="214"/>
    <w:p>
      <w:pPr>
        <w:pStyle w:val="4"/>
        <w:spacing w:before="165" w:after="165"/>
        <w:rPr>
          <w:rFonts w:hint="eastAsia" w:eastAsia="楷体_GB2312"/>
          <w:lang w:eastAsia="zh-CN"/>
        </w:rPr>
      </w:pPr>
      <w:bookmarkStart w:id="215" w:name="_Toc31175"/>
      <w:bookmarkStart w:id="216" w:name="_Toc2584"/>
      <w:r>
        <w:rPr>
          <w:rFonts w:hint="eastAsia" w:ascii="Times New Roman" w:hAnsi="Times New Roman"/>
          <w:lang w:val="en-US" w:eastAsia="zh-CN"/>
        </w:rPr>
        <w:t>6</w:t>
      </w:r>
      <w:r>
        <w:rPr>
          <w:rFonts w:hint="eastAsia"/>
        </w:rPr>
        <w:t>.</w:t>
      </w:r>
      <w:r>
        <w:rPr>
          <w:rFonts w:hint="eastAsia" w:ascii="Times New Roman" w:hAnsi="Times New Roman"/>
          <w:lang w:val="en-US" w:eastAsia="zh-CN"/>
        </w:rPr>
        <w:t>5</w:t>
      </w:r>
      <w:r>
        <w:rPr>
          <w:rFonts w:hint="eastAsia"/>
        </w:rPr>
        <w:t>声</w:t>
      </w:r>
      <w:r>
        <w:t>环境影响</w:t>
      </w:r>
      <w:bookmarkEnd w:id="215"/>
      <w:r>
        <w:rPr>
          <w:rFonts w:hint="eastAsia"/>
          <w:lang w:eastAsia="zh-CN"/>
        </w:rPr>
        <w:t>评价</w:t>
      </w:r>
      <w:bookmarkEnd w:id="216"/>
    </w:p>
    <w:p>
      <w:pPr>
        <w:pStyle w:val="5"/>
        <w:spacing w:before="165"/>
        <w:rPr>
          <w:rFonts w:hint="eastAsia" w:eastAsia="华文楷体"/>
          <w:lang w:eastAsia="zh-CN"/>
        </w:rPr>
      </w:pPr>
      <w:bookmarkStart w:id="217" w:name="_Toc341867180"/>
      <w:r>
        <w:rPr>
          <w:rFonts w:hint="eastAsia" w:ascii="Times New Roman" w:hAnsi="Times New Roman"/>
          <w:lang w:val="en-US" w:eastAsia="zh-CN"/>
        </w:rPr>
        <w:t>6</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预测</w:t>
      </w:r>
      <w:bookmarkEnd w:id="217"/>
      <w:r>
        <w:rPr>
          <w:rFonts w:hint="eastAsia"/>
          <w:lang w:eastAsia="zh-CN"/>
        </w:rPr>
        <w:t>模型</w:t>
      </w:r>
    </w:p>
    <w:p>
      <w:pPr>
        <w:bidi w:val="0"/>
        <w:rPr>
          <w:rFonts w:hint="eastAsia"/>
        </w:rPr>
      </w:pPr>
      <w:r>
        <w:rPr>
          <w:rFonts w:hint="default"/>
          <w:lang w:val="en-US" w:eastAsia="zh-CN"/>
        </w:rPr>
        <w:t>根据项目建设内容及《环境影响评价技术导则</w:t>
      </w:r>
      <w:r>
        <w:rPr>
          <w:rFonts w:hint="eastAsia"/>
          <w:lang w:val="en-US" w:eastAsia="zh-CN"/>
        </w:rPr>
        <w:t xml:space="preserve"> </w:t>
      </w:r>
      <w:r>
        <w:rPr>
          <w:rFonts w:hint="default"/>
          <w:lang w:val="en-US" w:eastAsia="zh-CN"/>
        </w:rPr>
        <w:t>声环境》（</w:t>
      </w:r>
      <w:r>
        <w:rPr>
          <w:rFonts w:hint="default" w:ascii="Times New Roman" w:hAnsi="Times New Roman"/>
          <w:lang w:val="en-US" w:eastAsia="zh-CN"/>
        </w:rPr>
        <w:t>HJ2</w:t>
      </w:r>
      <w:r>
        <w:rPr>
          <w:rFonts w:hint="default"/>
          <w:lang w:val="en-US" w:eastAsia="zh-CN"/>
        </w:rPr>
        <w:t>.</w:t>
      </w:r>
      <w:r>
        <w:rPr>
          <w:rFonts w:hint="default" w:ascii="Times New Roman" w:hAnsi="Times New Roman"/>
          <w:lang w:val="en-US" w:eastAsia="zh-CN"/>
        </w:rPr>
        <w:t>4</w:t>
      </w:r>
      <w:r>
        <w:rPr>
          <w:rFonts w:hint="default"/>
          <w:lang w:val="en-US" w:eastAsia="zh-CN"/>
        </w:rPr>
        <w:t>-</w:t>
      </w:r>
      <w:r>
        <w:rPr>
          <w:rFonts w:hint="default" w:ascii="Times New Roman" w:hAnsi="Times New Roman"/>
          <w:lang w:val="en-US" w:eastAsia="zh-CN"/>
        </w:rPr>
        <w:t>2021</w:t>
      </w:r>
      <w:r>
        <w:rPr>
          <w:rFonts w:hint="default"/>
          <w:lang w:val="en-US" w:eastAsia="zh-CN"/>
        </w:rPr>
        <w:t>）的要求，项目环评采用的模型为《环境影响评价技术导则</w:t>
      </w:r>
      <w:r>
        <w:rPr>
          <w:rFonts w:hint="eastAsia"/>
          <w:lang w:val="en-US" w:eastAsia="zh-CN"/>
        </w:rPr>
        <w:t xml:space="preserve"> </w:t>
      </w:r>
      <w:r>
        <w:rPr>
          <w:rFonts w:hint="default"/>
          <w:lang w:val="en-US" w:eastAsia="zh-CN"/>
        </w:rPr>
        <w:t>声环境》(</w:t>
      </w:r>
      <w:r>
        <w:rPr>
          <w:rFonts w:hint="default" w:ascii="Times New Roman" w:hAnsi="Times New Roman"/>
          <w:lang w:val="en-US" w:eastAsia="zh-CN"/>
        </w:rPr>
        <w:t>HJ2</w:t>
      </w:r>
      <w:r>
        <w:rPr>
          <w:rFonts w:hint="default"/>
          <w:lang w:val="en-US" w:eastAsia="zh-CN"/>
        </w:rPr>
        <w:t>.</w:t>
      </w:r>
      <w:r>
        <w:rPr>
          <w:rFonts w:hint="default" w:ascii="Times New Roman" w:hAnsi="Times New Roman"/>
          <w:lang w:val="en-US" w:eastAsia="zh-CN"/>
        </w:rPr>
        <w:t>4</w:t>
      </w:r>
      <w:r>
        <w:rPr>
          <w:rFonts w:hint="default"/>
          <w:lang w:val="en-US" w:eastAsia="zh-CN"/>
        </w:rPr>
        <w:t>.</w:t>
      </w:r>
      <w:r>
        <w:rPr>
          <w:rFonts w:hint="default" w:ascii="Times New Roman" w:hAnsi="Times New Roman"/>
          <w:lang w:val="en-US" w:eastAsia="zh-CN"/>
        </w:rPr>
        <w:t>2021</w:t>
      </w:r>
      <w:r>
        <w:rPr>
          <w:rFonts w:hint="default"/>
          <w:lang w:val="en-US" w:eastAsia="zh-CN"/>
        </w:rPr>
        <w:t>)附录</w:t>
      </w:r>
      <w:r>
        <w:rPr>
          <w:rFonts w:hint="default" w:ascii="Times New Roman" w:hAnsi="Times New Roman"/>
          <w:lang w:val="en-US" w:eastAsia="zh-CN"/>
        </w:rPr>
        <w:t>A</w:t>
      </w:r>
      <w:r>
        <w:rPr>
          <w:rFonts w:hint="default"/>
          <w:lang w:val="en-US" w:eastAsia="zh-CN"/>
        </w:rPr>
        <w:t>（规范性附录）户外声传播的衰减和附录</w:t>
      </w:r>
      <w:r>
        <w:rPr>
          <w:rFonts w:hint="default" w:ascii="Times New Roman" w:hAnsi="Times New Roman"/>
          <w:lang w:val="en-US" w:eastAsia="zh-CN"/>
        </w:rPr>
        <w:t>B</w:t>
      </w:r>
      <w:r>
        <w:rPr>
          <w:rFonts w:hint="default"/>
          <w:lang w:val="en-US" w:eastAsia="zh-CN"/>
        </w:rPr>
        <w:t>（规范性附录）中“</w:t>
      </w:r>
      <w:r>
        <w:rPr>
          <w:rFonts w:hint="default" w:ascii="Times New Roman" w:hAnsi="Times New Roman"/>
          <w:lang w:val="en-US" w:eastAsia="zh-CN"/>
        </w:rPr>
        <w:t>B</w:t>
      </w:r>
      <w:r>
        <w:rPr>
          <w:rFonts w:hint="default"/>
          <w:lang w:val="en-US" w:eastAsia="zh-CN"/>
        </w:rPr>
        <w:t>.</w:t>
      </w:r>
      <w:r>
        <w:rPr>
          <w:rFonts w:hint="default" w:ascii="Times New Roman" w:hAnsi="Times New Roman"/>
          <w:lang w:val="en-US" w:eastAsia="zh-CN"/>
        </w:rPr>
        <w:t>1</w:t>
      </w:r>
      <w:r>
        <w:rPr>
          <w:rFonts w:hint="default"/>
          <w:lang w:val="en-US" w:eastAsia="zh-CN"/>
        </w:rPr>
        <w:t>工业噪声预测计算模型”。</w:t>
      </w:r>
    </w:p>
    <w:p>
      <w:pPr>
        <w:pStyle w:val="5"/>
        <w:spacing w:before="165"/>
        <w:rPr>
          <w:rFonts w:hint="eastAsia" w:eastAsia="华文楷体"/>
          <w:lang w:eastAsia="zh-CN"/>
        </w:rPr>
      </w:pPr>
      <w:bookmarkStart w:id="218" w:name="_Toc341867181"/>
      <w:r>
        <w:rPr>
          <w:rFonts w:hint="eastAsia" w:ascii="Times New Roman" w:hAnsi="Times New Roman"/>
          <w:lang w:val="en-US" w:eastAsia="zh-CN"/>
        </w:rPr>
        <w:t>6</w:t>
      </w:r>
      <w:r>
        <w:rPr>
          <w:rFonts w:hint="eastAsia"/>
        </w:rPr>
        <w:t>.</w:t>
      </w:r>
      <w:r>
        <w:rPr>
          <w:rFonts w:hint="eastAsia" w:ascii="Times New Roman" w:hAnsi="Times New Roman"/>
          <w:lang w:val="en-US" w:eastAsia="zh-CN"/>
        </w:rPr>
        <w:t>5</w:t>
      </w:r>
      <w:r>
        <w:rPr>
          <w:rFonts w:hint="eastAsia"/>
        </w:rPr>
        <w:t>.</w:t>
      </w:r>
      <w:r>
        <w:rPr>
          <w:rFonts w:hint="eastAsia" w:ascii="Times New Roman" w:hAnsi="Times New Roman"/>
        </w:rPr>
        <w:t>2</w:t>
      </w:r>
      <w:bookmarkEnd w:id="218"/>
      <w:r>
        <w:rPr>
          <w:rFonts w:hint="eastAsia"/>
          <w:lang w:eastAsia="zh-CN"/>
        </w:rPr>
        <w:t>预测参数</w:t>
      </w:r>
    </w:p>
    <w:p>
      <w:pPr>
        <w:ind w:firstLine="480"/>
        <w:rPr>
          <w:rFonts w:hint="eastAsia" w:eastAsia="宋体"/>
          <w:lang w:eastAsia="zh-CN"/>
        </w:rPr>
      </w:pPr>
      <w:bookmarkStart w:id="219" w:name="_Toc87416624"/>
      <w:r>
        <w:rPr>
          <w:rFonts w:hint="eastAsia"/>
          <w:lang w:eastAsia="zh-CN"/>
        </w:rPr>
        <w:t>（</w:t>
      </w:r>
      <w:r>
        <w:rPr>
          <w:rFonts w:hint="eastAsia" w:ascii="Times New Roman" w:hAnsi="Times New Roman"/>
          <w:lang w:val="en-US" w:eastAsia="zh-CN"/>
        </w:rPr>
        <w:t>1</w:t>
      </w:r>
      <w:r>
        <w:rPr>
          <w:rFonts w:hint="eastAsia"/>
          <w:lang w:eastAsia="zh-CN"/>
        </w:rPr>
        <w:t>）噪声源强</w:t>
      </w:r>
    </w:p>
    <w:p>
      <w:pPr>
        <w:ind w:firstLine="480"/>
        <w:rPr>
          <w:rFonts w:hint="default" w:eastAsia="宋体"/>
          <w:lang w:val="en-US" w:eastAsia="zh-CN"/>
        </w:rPr>
      </w:pPr>
      <w:r>
        <w:rPr>
          <w:rFonts w:hint="eastAsia"/>
          <w:lang w:eastAsia="zh-CN"/>
        </w:rPr>
        <w:t>项目在生产过程中产生的噪声主要源自各类泵机等，这些设备产生的噪声一般在</w:t>
      </w:r>
      <w:r>
        <w:rPr>
          <w:rFonts w:hint="eastAsia" w:ascii="Times New Roman" w:hAnsi="Times New Roman"/>
          <w:lang w:val="en-US" w:eastAsia="zh-CN"/>
        </w:rPr>
        <w:t>75dB</w:t>
      </w:r>
      <w:r>
        <w:rPr>
          <w:rFonts w:hint="eastAsia"/>
          <w:lang w:val="en-US" w:eastAsia="zh-CN"/>
        </w:rPr>
        <w:t>（</w:t>
      </w:r>
      <w:r>
        <w:rPr>
          <w:rFonts w:hint="eastAsia" w:ascii="Times New Roman" w:hAnsi="Times New Roman"/>
          <w:lang w:val="en-US" w:eastAsia="zh-CN"/>
        </w:rPr>
        <w:t>A</w:t>
      </w:r>
      <w:r>
        <w:rPr>
          <w:rFonts w:hint="eastAsia"/>
          <w:lang w:val="en-US" w:eastAsia="zh-CN"/>
        </w:rPr>
        <w:t>）～</w:t>
      </w:r>
      <w:r>
        <w:rPr>
          <w:rFonts w:hint="eastAsia" w:ascii="Times New Roman" w:hAnsi="Times New Roman"/>
          <w:lang w:val="en-US" w:eastAsia="zh-CN"/>
        </w:rPr>
        <w:t>90dB</w:t>
      </w:r>
      <w:r>
        <w:rPr>
          <w:rFonts w:hint="eastAsia"/>
          <w:lang w:val="en-US" w:eastAsia="zh-CN"/>
        </w:rPr>
        <w:t>（</w:t>
      </w:r>
      <w:r>
        <w:rPr>
          <w:rFonts w:hint="eastAsia" w:ascii="Times New Roman" w:hAnsi="Times New Roman"/>
          <w:lang w:val="en-US" w:eastAsia="zh-CN"/>
        </w:rPr>
        <w:t>A</w:t>
      </w:r>
      <w:r>
        <w:rPr>
          <w:rFonts w:hint="eastAsia"/>
          <w:lang w:val="en-US" w:eastAsia="zh-CN"/>
        </w:rPr>
        <w:t>），本项目设置有专门的泵房用于放置各类泵机。项目产生噪声的噪声源强调查清单见表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w:t>
      </w:r>
    </w:p>
    <w:p>
      <w:pPr>
        <w:bidi w:val="0"/>
        <w:rPr>
          <w:rFonts w:hint="eastAsia"/>
          <w:lang w:eastAsia="zh-CN"/>
        </w:rPr>
      </w:pP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lang w:eastAsia="zh-CN"/>
        </w:rPr>
        <w:t>基础数据</w:t>
      </w:r>
    </w:p>
    <w:p>
      <w:pPr>
        <w:bidi w:val="0"/>
        <w:rPr>
          <w:rFonts w:hint="default"/>
          <w:lang w:val="en-US" w:eastAsia="zh-CN"/>
        </w:rPr>
      </w:pPr>
      <w:r>
        <w:rPr>
          <w:rFonts w:hint="eastAsia"/>
          <w:lang w:eastAsia="zh-CN"/>
        </w:rPr>
        <w:t>项目噪声环境影响预测基础数据见表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2</w:t>
      </w:r>
      <w:r>
        <w:rPr>
          <w:rFonts w:hint="eastAsia"/>
          <w:lang w:val="en-US" w:eastAsia="zh-CN"/>
        </w:rPr>
        <w:t>。</w:t>
      </w:r>
    </w:p>
    <w:p>
      <w:pPr>
        <w:pStyle w:val="20"/>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2</w:t>
      </w:r>
      <w:r>
        <w:rPr>
          <w:rFonts w:hint="eastAsia"/>
          <w:lang w:val="en-US" w:eastAsia="zh-CN"/>
        </w:rPr>
        <w:t xml:space="preserve">  项目噪声环境影响预测基础数据表</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2293"/>
        <w:gridCol w:w="2293"/>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49" w:type="pc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序号</w:t>
            </w:r>
          </w:p>
        </w:tc>
        <w:tc>
          <w:tcPr>
            <w:tcW w:w="1250"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名称</w:t>
            </w:r>
          </w:p>
        </w:tc>
        <w:tc>
          <w:tcPr>
            <w:tcW w:w="1250"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单位</w:t>
            </w:r>
          </w:p>
        </w:tc>
        <w:tc>
          <w:tcPr>
            <w:tcW w:w="1250"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49"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1</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年平均风速</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m</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s</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1</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49"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2</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主导风向</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49"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3</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年平均气温</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r>
              <w:rPr>
                <w:rFonts w:hint="default"/>
                <w:sz w:val="21"/>
                <w:szCs w:val="21"/>
                <w:vertAlign w:val="baseline"/>
              </w:rPr>
              <w:t>℃</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7</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49"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4</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年平均相对湿度</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12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49"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5</w:t>
            </w:r>
          </w:p>
        </w:tc>
        <w:tc>
          <w:tcPr>
            <w:tcW w:w="1250"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大气压强</w:t>
            </w:r>
          </w:p>
        </w:tc>
        <w:tc>
          <w:tcPr>
            <w:tcW w:w="1250"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atm</w:t>
            </w:r>
          </w:p>
        </w:tc>
        <w:tc>
          <w:tcPr>
            <w:tcW w:w="1250"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1</w:t>
            </w:r>
          </w:p>
        </w:tc>
      </w:tr>
    </w:tbl>
    <w:p>
      <w:pPr>
        <w:bidi w:val="0"/>
        <w:rPr>
          <w:rFonts w:hint="eastAsia"/>
        </w:rPr>
      </w:pPr>
      <w:r>
        <w:rPr>
          <w:lang w:val="en-US" w:eastAsia="zh-CN"/>
        </w:rPr>
        <w:t>声源和预测点间的地形、高差、障碍物等的分布情况以及地面</w:t>
      </w:r>
      <w:r>
        <w:rPr>
          <w:rFonts w:hint="default"/>
          <w:lang w:val="en-US" w:eastAsia="zh-CN"/>
        </w:rPr>
        <w:t>覆盖情况（如草地、水面、水泥地面、土质地面等）根据现场踏勘、项目总平图等</w:t>
      </w:r>
      <w:r>
        <w:rPr>
          <w:rFonts w:hint="eastAsia"/>
          <w:lang w:val="en-US" w:eastAsia="zh-CN"/>
        </w:rPr>
        <w:t>确定</w:t>
      </w:r>
      <w:r>
        <w:rPr>
          <w:rFonts w:hint="default"/>
          <w:lang w:val="en-US" w:eastAsia="zh-CN"/>
        </w:rPr>
        <w:t>，数据精度为</w:t>
      </w:r>
      <w:r>
        <w:rPr>
          <w:rFonts w:hint="default" w:ascii="Times New Roman" w:hAnsi="Times New Roman"/>
          <w:lang w:val="en-US" w:eastAsia="zh-CN"/>
        </w:rPr>
        <w:t>10m</w:t>
      </w:r>
      <w:r>
        <w:rPr>
          <w:rFonts w:hint="default"/>
          <w:lang w:val="en-US" w:eastAsia="zh-CN"/>
        </w:rPr>
        <w:t>。</w:t>
      </w:r>
    </w:p>
    <w:p>
      <w:pPr>
        <w:bidi w:val="0"/>
        <w:rPr>
          <w:rFonts w:hint="eastAsia"/>
        </w:rPr>
      </w:pPr>
    </w:p>
    <w:p>
      <w:pPr>
        <w:bidi w:val="0"/>
        <w:rPr>
          <w:rFonts w:hint="eastAsia"/>
        </w:rPr>
      </w:pPr>
    </w:p>
    <w:p>
      <w:pPr>
        <w:pStyle w:val="2"/>
        <w:rPr>
          <w:rFonts w:hint="eastAsia"/>
        </w:rPr>
      </w:pPr>
    </w:p>
    <w:p>
      <w:pPr>
        <w:rPr>
          <w:rFonts w:hint="eastAsia"/>
        </w:rPr>
        <w:sectPr>
          <w:pgSz w:w="11906" w:h="16838"/>
          <w:pgMar w:top="1474" w:right="1474" w:bottom="1474" w:left="1474" w:header="850" w:footer="992" w:gutter="0"/>
          <w:pgBorders>
            <w:top w:val="none" w:sz="0" w:space="0"/>
            <w:left w:val="none" w:sz="0" w:space="0"/>
            <w:bottom w:val="none" w:sz="0" w:space="0"/>
            <w:right w:val="none" w:sz="0" w:space="0"/>
          </w:pgBorders>
          <w:cols w:space="720" w:num="1"/>
          <w:docGrid w:type="lines" w:linePitch="331" w:charSpace="0"/>
        </w:sectPr>
      </w:pP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工业企业噪声源强调查清单（室内声源）</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677"/>
        <w:gridCol w:w="960"/>
        <w:gridCol w:w="420"/>
        <w:gridCol w:w="1638"/>
        <w:gridCol w:w="1101"/>
        <w:gridCol w:w="711"/>
        <w:gridCol w:w="780"/>
        <w:gridCol w:w="756"/>
        <w:gridCol w:w="714"/>
        <w:gridCol w:w="810"/>
        <w:gridCol w:w="1252"/>
        <w:gridCol w:w="630"/>
        <w:gridCol w:w="1327"/>
        <w:gridCol w:w="1026"/>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restar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序号</w:t>
            </w:r>
          </w:p>
        </w:tc>
        <w:tc>
          <w:tcPr>
            <w:tcW w:w="677"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建筑物名称</w:t>
            </w:r>
          </w:p>
        </w:tc>
        <w:tc>
          <w:tcPr>
            <w:tcW w:w="96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声源名称</w:t>
            </w:r>
          </w:p>
        </w:tc>
        <w:tc>
          <w:tcPr>
            <w:tcW w:w="42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型号</w:t>
            </w:r>
          </w:p>
        </w:tc>
        <w:tc>
          <w:tcPr>
            <w:tcW w:w="2739" w:type="dxa"/>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声源源强（任选一种）</w:t>
            </w:r>
          </w:p>
        </w:tc>
        <w:tc>
          <w:tcPr>
            <w:tcW w:w="711"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声源控制措施</w:t>
            </w:r>
          </w:p>
        </w:tc>
        <w:tc>
          <w:tcPr>
            <w:tcW w:w="2250" w:type="dxa"/>
            <w:gridSpan w:val="3"/>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空间相对位置/</w:t>
            </w:r>
            <w:r>
              <w:rPr>
                <w:rFonts w:hint="eastAsia" w:ascii="Times New Roman" w:hAnsi="Times New Roman"/>
                <w:spacing w:val="-11"/>
                <w:w w:val="90"/>
                <w:sz w:val="21"/>
                <w:szCs w:val="21"/>
                <w:vertAlign w:val="baseline"/>
                <w:lang w:val="en-US" w:eastAsia="zh-CN"/>
              </w:rPr>
              <w:t>m</w:t>
            </w:r>
          </w:p>
        </w:tc>
        <w:tc>
          <w:tcPr>
            <w:tcW w:w="81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距室内边界距离/</w:t>
            </w:r>
            <w:r>
              <w:rPr>
                <w:rFonts w:hint="eastAsia" w:ascii="Times New Roman" w:hAnsi="Times New Roman"/>
                <w:spacing w:val="-11"/>
                <w:w w:val="90"/>
                <w:sz w:val="21"/>
                <w:szCs w:val="21"/>
                <w:vertAlign w:val="baseline"/>
                <w:lang w:val="en-US" w:eastAsia="zh-CN"/>
              </w:rPr>
              <w:t>m</w:t>
            </w:r>
          </w:p>
        </w:tc>
        <w:tc>
          <w:tcPr>
            <w:tcW w:w="1252"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室内边界声级/</w:t>
            </w:r>
            <w:r>
              <w:rPr>
                <w:rFonts w:hint="eastAsia" w:ascii="Times New Roman" w:hAnsi="Times New Roman"/>
                <w:spacing w:val="-11"/>
                <w:w w:val="90"/>
                <w:sz w:val="21"/>
                <w:szCs w:val="21"/>
                <w:vertAlign w:val="baseline"/>
                <w:lang w:val="en-US" w:eastAsia="zh-CN"/>
              </w:rPr>
              <w:t>dB</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A</w:t>
            </w:r>
            <w:r>
              <w:rPr>
                <w:rFonts w:hint="eastAsia"/>
                <w:spacing w:val="-11"/>
                <w:w w:val="90"/>
                <w:sz w:val="21"/>
                <w:szCs w:val="21"/>
                <w:vertAlign w:val="baseline"/>
                <w:lang w:val="en-US" w:eastAsia="zh-CN"/>
              </w:rPr>
              <w:t>）</w:t>
            </w:r>
          </w:p>
        </w:tc>
        <w:tc>
          <w:tcPr>
            <w:tcW w:w="63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运行时段</w:t>
            </w:r>
          </w:p>
        </w:tc>
        <w:tc>
          <w:tcPr>
            <w:tcW w:w="1327"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建筑物插入损失/</w:t>
            </w:r>
            <w:r>
              <w:rPr>
                <w:rFonts w:hint="eastAsia" w:ascii="Times New Roman" w:hAnsi="Times New Roman"/>
                <w:spacing w:val="-11"/>
                <w:w w:val="90"/>
                <w:sz w:val="21"/>
                <w:szCs w:val="21"/>
                <w:vertAlign w:val="baseline"/>
                <w:lang w:val="en-US" w:eastAsia="zh-CN"/>
              </w:rPr>
              <w:t>dB</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A</w:t>
            </w:r>
            <w:r>
              <w:rPr>
                <w:rFonts w:hint="eastAsia"/>
                <w:spacing w:val="-11"/>
                <w:w w:val="90"/>
                <w:sz w:val="21"/>
                <w:szCs w:val="21"/>
                <w:vertAlign w:val="baseline"/>
                <w:lang w:val="en-US" w:eastAsia="zh-CN"/>
              </w:rPr>
              <w:t>）</w:t>
            </w:r>
          </w:p>
        </w:tc>
        <w:tc>
          <w:tcPr>
            <w:tcW w:w="1808" w:type="dxa"/>
            <w:gridSpan w:val="2"/>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67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42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（声压级/距声源距离）/（</w:t>
            </w:r>
            <w:r>
              <w:rPr>
                <w:rFonts w:hint="eastAsia" w:ascii="Times New Roman" w:hAnsi="Times New Roman"/>
                <w:spacing w:val="-11"/>
                <w:w w:val="90"/>
                <w:sz w:val="21"/>
                <w:szCs w:val="21"/>
                <w:vertAlign w:val="baseline"/>
                <w:lang w:val="en-US" w:eastAsia="zh-CN"/>
              </w:rPr>
              <w:t>dB</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A</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m</w:t>
            </w:r>
            <w:r>
              <w:rPr>
                <w:rFonts w:hint="eastAsia"/>
                <w:spacing w:val="-11"/>
                <w:w w:val="90"/>
                <w:sz w:val="21"/>
                <w:szCs w:val="21"/>
                <w:vertAlign w:val="baseline"/>
                <w:lang w:val="en-US" w:eastAsia="zh-CN"/>
              </w:rPr>
              <w:t>）</w:t>
            </w: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声功率级/</w:t>
            </w:r>
            <w:r>
              <w:rPr>
                <w:rFonts w:hint="eastAsia" w:ascii="Times New Roman" w:hAnsi="Times New Roman"/>
                <w:spacing w:val="-11"/>
                <w:w w:val="90"/>
                <w:sz w:val="21"/>
                <w:szCs w:val="21"/>
                <w:vertAlign w:val="baseline"/>
                <w:lang w:val="en-US" w:eastAsia="zh-CN"/>
              </w:rPr>
              <w:t>dB</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A</w:t>
            </w:r>
            <w:r>
              <w:rPr>
                <w:rFonts w:hint="eastAsia"/>
                <w:spacing w:val="-11"/>
                <w:w w:val="90"/>
                <w:sz w:val="21"/>
                <w:szCs w:val="21"/>
                <w:vertAlign w:val="baseline"/>
                <w:lang w:val="en-US" w:eastAsia="zh-CN"/>
              </w:rPr>
              <w:t>）</w:t>
            </w:r>
          </w:p>
        </w:tc>
        <w:tc>
          <w:tcPr>
            <w:tcW w:w="71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X</w:t>
            </w:r>
          </w:p>
        </w:tc>
        <w:tc>
          <w:tcPr>
            <w:tcW w:w="7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Y</w:t>
            </w:r>
          </w:p>
        </w:tc>
        <w:tc>
          <w:tcPr>
            <w:tcW w:w="7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Z</w:t>
            </w:r>
          </w:p>
        </w:tc>
        <w:tc>
          <w:tcPr>
            <w:tcW w:w="8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25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6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32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声压级/</w:t>
            </w:r>
            <w:r>
              <w:rPr>
                <w:rFonts w:hint="eastAsia" w:ascii="Times New Roman" w:hAnsi="Times New Roman"/>
                <w:spacing w:val="-11"/>
                <w:w w:val="90"/>
                <w:sz w:val="21"/>
                <w:szCs w:val="21"/>
                <w:vertAlign w:val="baseline"/>
                <w:lang w:val="en-US" w:eastAsia="zh-CN"/>
              </w:rPr>
              <w:t>dB</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A</w:t>
            </w:r>
            <w:r>
              <w:rPr>
                <w:rFonts w:hint="eastAsia"/>
                <w:spacing w:val="-11"/>
                <w:w w:val="90"/>
                <w:sz w:val="21"/>
                <w:szCs w:val="21"/>
                <w:vertAlign w:val="baseline"/>
                <w:lang w:val="en-US" w:eastAsia="zh-CN"/>
              </w:rPr>
              <w:t>）</w:t>
            </w:r>
          </w:p>
        </w:tc>
        <w:tc>
          <w:tcPr>
            <w:tcW w:w="782"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c>
          <w:tcPr>
            <w:tcW w:w="67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泵房</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泵机</w:t>
            </w:r>
          </w:p>
        </w:tc>
        <w:tc>
          <w:tcPr>
            <w:tcW w:w="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w w:val="90"/>
                <w:sz w:val="21"/>
                <w:szCs w:val="21"/>
                <w:vertAlign w:val="baseline"/>
                <w:lang w:val="en-US" w:eastAsia="zh-CN" w:bidi="ar-SA"/>
              </w:rPr>
            </w:pPr>
            <w:r>
              <w:rPr>
                <w:rFonts w:hint="eastAsia" w:ascii="Times New Roman" w:hAnsi="Times New Roman"/>
                <w:spacing w:val="-11"/>
                <w:w w:val="90"/>
                <w:sz w:val="21"/>
                <w:szCs w:val="21"/>
                <w:vertAlign w:val="baseline"/>
                <w:lang w:val="en-US" w:eastAsia="zh-CN"/>
              </w:rPr>
              <w:t>96</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1</w:t>
            </w:r>
          </w:p>
        </w:tc>
        <w:tc>
          <w:tcPr>
            <w:tcW w:w="71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隔声、减振</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239</w:t>
            </w:r>
          </w:p>
        </w:tc>
        <w:tc>
          <w:tcPr>
            <w:tcW w:w="7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50</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7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87</w:t>
            </w:r>
          </w:p>
        </w:tc>
        <w:tc>
          <w:tcPr>
            <w:tcW w:w="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w w:val="90"/>
                <w:kern w:val="2"/>
                <w:sz w:val="21"/>
                <w:szCs w:val="21"/>
                <w:vertAlign w:val="baseline"/>
                <w:lang w:val="en-US" w:eastAsia="zh-CN" w:bidi="ar-SA"/>
              </w:rPr>
            </w:pPr>
            <w:r>
              <w:rPr>
                <w:rFonts w:hint="eastAsia"/>
                <w:spacing w:val="-11"/>
                <w:w w:val="90"/>
                <w:sz w:val="21"/>
                <w:szCs w:val="21"/>
                <w:vertAlign w:val="baseline"/>
                <w:lang w:val="en-US" w:eastAsia="zh-CN"/>
              </w:rPr>
              <w:t>无</w:t>
            </w:r>
          </w:p>
        </w:tc>
        <w:tc>
          <w:tcPr>
            <w:tcW w:w="13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31</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56</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4</w:t>
            </w:r>
          </w:p>
        </w:tc>
        <w:tc>
          <w:tcPr>
            <w:tcW w:w="782"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2</w:t>
            </w:r>
          </w:p>
        </w:tc>
        <w:tc>
          <w:tcPr>
            <w:tcW w:w="67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真空泵</w:t>
            </w:r>
          </w:p>
        </w:tc>
        <w:tc>
          <w:tcPr>
            <w:tcW w:w="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w w:val="90"/>
                <w:sz w:val="21"/>
                <w:szCs w:val="21"/>
                <w:vertAlign w:val="baseline"/>
                <w:lang w:val="en-US" w:eastAsia="zh-CN" w:bidi="ar-SA"/>
              </w:rPr>
            </w:pPr>
            <w:r>
              <w:rPr>
                <w:rFonts w:hint="eastAsia" w:ascii="Times New Roman" w:hAnsi="Times New Roman"/>
                <w:spacing w:val="-11"/>
                <w:w w:val="90"/>
                <w:sz w:val="21"/>
                <w:szCs w:val="21"/>
                <w:vertAlign w:val="baseline"/>
                <w:lang w:val="en-US" w:eastAsia="zh-CN"/>
              </w:rPr>
              <w:t>90</w:t>
            </w:r>
          </w:p>
        </w:tc>
        <w:tc>
          <w:tcPr>
            <w:tcW w:w="71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239</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8</w:t>
            </w:r>
          </w:p>
        </w:tc>
        <w:tc>
          <w:tcPr>
            <w:tcW w:w="7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44</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6</w:t>
            </w:r>
          </w:p>
        </w:tc>
        <w:tc>
          <w:tcPr>
            <w:tcW w:w="7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81</w:t>
            </w:r>
          </w:p>
        </w:tc>
        <w:tc>
          <w:tcPr>
            <w:tcW w:w="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w w:val="90"/>
                <w:kern w:val="2"/>
                <w:sz w:val="21"/>
                <w:szCs w:val="21"/>
                <w:vertAlign w:val="baseline"/>
                <w:lang w:val="en-US" w:eastAsia="zh-CN" w:bidi="ar-SA"/>
              </w:rPr>
            </w:pPr>
            <w:r>
              <w:rPr>
                <w:rFonts w:hint="eastAsia"/>
                <w:spacing w:val="-11"/>
                <w:w w:val="90"/>
                <w:sz w:val="21"/>
                <w:szCs w:val="21"/>
                <w:vertAlign w:val="baseline"/>
                <w:lang w:val="en-US" w:eastAsia="zh-CN"/>
              </w:rPr>
              <w:t>无</w:t>
            </w:r>
          </w:p>
        </w:tc>
        <w:tc>
          <w:tcPr>
            <w:tcW w:w="13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31</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50</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4</w:t>
            </w:r>
          </w:p>
        </w:tc>
        <w:tc>
          <w:tcPr>
            <w:tcW w:w="782"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3</w:t>
            </w:r>
          </w:p>
        </w:tc>
        <w:tc>
          <w:tcPr>
            <w:tcW w:w="67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装车泵</w:t>
            </w:r>
          </w:p>
        </w:tc>
        <w:tc>
          <w:tcPr>
            <w:tcW w:w="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w w:val="90"/>
                <w:sz w:val="21"/>
                <w:szCs w:val="21"/>
                <w:vertAlign w:val="baseline"/>
                <w:lang w:val="en-US" w:eastAsia="zh-CN" w:bidi="ar-SA"/>
              </w:rPr>
            </w:pPr>
            <w:r>
              <w:rPr>
                <w:rFonts w:hint="eastAsia" w:ascii="Times New Roman" w:hAnsi="Times New Roman"/>
                <w:spacing w:val="-11"/>
                <w:w w:val="90"/>
                <w:sz w:val="21"/>
                <w:szCs w:val="21"/>
                <w:vertAlign w:val="baseline"/>
                <w:lang w:val="en-US" w:eastAsia="zh-CN"/>
              </w:rPr>
              <w:t>91</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9</w:t>
            </w:r>
          </w:p>
        </w:tc>
        <w:tc>
          <w:tcPr>
            <w:tcW w:w="71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p>
        </w:tc>
        <w:tc>
          <w:tcPr>
            <w:tcW w:w="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244</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5</w:t>
            </w:r>
          </w:p>
        </w:tc>
        <w:tc>
          <w:tcPr>
            <w:tcW w:w="7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47</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7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83</w:t>
            </w:r>
          </w:p>
        </w:tc>
        <w:tc>
          <w:tcPr>
            <w:tcW w:w="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pacing w:val="-11"/>
                <w:w w:val="90"/>
                <w:kern w:val="2"/>
                <w:sz w:val="21"/>
                <w:szCs w:val="21"/>
                <w:vertAlign w:val="baseline"/>
                <w:lang w:val="en-US" w:eastAsia="zh-CN" w:bidi="ar-SA"/>
              </w:rPr>
            </w:pPr>
            <w:r>
              <w:rPr>
                <w:rFonts w:hint="eastAsia"/>
                <w:spacing w:val="-11"/>
                <w:w w:val="90"/>
                <w:sz w:val="21"/>
                <w:szCs w:val="21"/>
                <w:vertAlign w:val="baseline"/>
                <w:lang w:val="en-US" w:eastAsia="zh-CN"/>
              </w:rPr>
              <w:t>无</w:t>
            </w:r>
          </w:p>
        </w:tc>
        <w:tc>
          <w:tcPr>
            <w:tcW w:w="13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31</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52</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782"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4</w:t>
            </w:r>
          </w:p>
        </w:tc>
        <w:tc>
          <w:tcPr>
            <w:tcW w:w="67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罗茨水环真空机组</w:t>
            </w:r>
          </w:p>
        </w:tc>
        <w:tc>
          <w:tcPr>
            <w:tcW w:w="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p>
        </w:tc>
        <w:tc>
          <w:tcPr>
            <w:tcW w:w="163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p>
        </w:tc>
        <w:tc>
          <w:tcPr>
            <w:tcW w:w="11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w w:val="90"/>
                <w:sz w:val="21"/>
                <w:szCs w:val="21"/>
                <w:vertAlign w:val="baseline"/>
                <w:lang w:val="en-US" w:eastAsia="zh-CN" w:bidi="ar-SA"/>
              </w:rPr>
            </w:pPr>
            <w:r>
              <w:rPr>
                <w:rFonts w:hint="eastAsia" w:ascii="Times New Roman" w:hAnsi="Times New Roman"/>
                <w:spacing w:val="-11"/>
                <w:w w:val="90"/>
                <w:sz w:val="21"/>
                <w:szCs w:val="21"/>
                <w:vertAlign w:val="baseline"/>
                <w:lang w:val="en-US" w:eastAsia="zh-CN"/>
              </w:rPr>
              <w:t>90</w:t>
            </w:r>
          </w:p>
        </w:tc>
        <w:tc>
          <w:tcPr>
            <w:tcW w:w="71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p>
        </w:tc>
        <w:tc>
          <w:tcPr>
            <w:tcW w:w="78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233</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8</w:t>
            </w:r>
          </w:p>
        </w:tc>
        <w:tc>
          <w:tcPr>
            <w:tcW w:w="7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47</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71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2</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81</w:t>
            </w:r>
          </w:p>
        </w:tc>
        <w:tc>
          <w:tcPr>
            <w:tcW w:w="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w w:val="90"/>
                <w:sz w:val="21"/>
                <w:szCs w:val="21"/>
                <w:vertAlign w:val="baseline"/>
                <w:lang w:val="en-US" w:eastAsia="zh-CN"/>
              </w:rPr>
            </w:pPr>
            <w:r>
              <w:rPr>
                <w:rFonts w:hint="eastAsia"/>
                <w:spacing w:val="-11"/>
                <w:w w:val="90"/>
                <w:sz w:val="21"/>
                <w:szCs w:val="21"/>
                <w:vertAlign w:val="baseline"/>
                <w:lang w:val="en-US" w:eastAsia="zh-CN"/>
              </w:rPr>
              <w:t>无</w:t>
            </w:r>
          </w:p>
        </w:tc>
        <w:tc>
          <w:tcPr>
            <w:tcW w:w="13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31</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50</w:t>
            </w:r>
            <w:r>
              <w:rPr>
                <w:rFonts w:hint="eastAsia"/>
                <w:spacing w:val="-11"/>
                <w:w w:val="90"/>
                <w:sz w:val="21"/>
                <w:szCs w:val="21"/>
                <w:vertAlign w:val="baseline"/>
                <w:lang w:val="en-US" w:eastAsia="zh-CN"/>
              </w:rPr>
              <w:t>.</w:t>
            </w:r>
            <w:r>
              <w:rPr>
                <w:rFonts w:hint="eastAsia" w:ascii="Times New Roman" w:hAnsi="Times New Roman"/>
                <w:spacing w:val="-11"/>
                <w:w w:val="90"/>
                <w:sz w:val="21"/>
                <w:szCs w:val="21"/>
                <w:vertAlign w:val="baseline"/>
                <w:lang w:val="en-US" w:eastAsia="zh-CN"/>
              </w:rPr>
              <w:t>3</w:t>
            </w:r>
          </w:p>
        </w:tc>
        <w:tc>
          <w:tcPr>
            <w:tcW w:w="782"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w w:val="90"/>
                <w:sz w:val="21"/>
                <w:szCs w:val="21"/>
                <w:vertAlign w:val="baseline"/>
                <w:lang w:val="en-US" w:eastAsia="zh-CN"/>
              </w:rPr>
            </w:pPr>
            <w:r>
              <w:rPr>
                <w:rFonts w:hint="eastAsia" w:ascii="Times New Roman" w:hAnsi="Times New Roman"/>
                <w:spacing w:val="-11"/>
                <w:w w:val="90"/>
                <w:sz w:val="21"/>
                <w:szCs w:val="21"/>
                <w:vertAlign w:val="baseline"/>
                <w:lang w:val="en-US" w:eastAsia="zh-CN"/>
              </w:rPr>
              <w:t>1</w:t>
            </w:r>
          </w:p>
        </w:tc>
      </w:tr>
    </w:tbl>
    <w:p>
      <w:pPr>
        <w:rPr>
          <w:rFonts w:hint="eastAsia"/>
        </w:rPr>
      </w:pPr>
    </w:p>
    <w:p>
      <w:pPr>
        <w:pStyle w:val="2"/>
        <w:rPr>
          <w:rFonts w:hint="eastAsia"/>
        </w:rPr>
        <w:sectPr>
          <w:pgSz w:w="16838" w:h="11906" w:orient="landscape"/>
          <w:pgMar w:top="1474" w:right="1474" w:bottom="1474" w:left="1474" w:header="850" w:footer="992" w:gutter="0"/>
          <w:pgBorders>
            <w:top w:val="none" w:sz="0" w:space="0"/>
            <w:left w:val="none" w:sz="0" w:space="0"/>
            <w:bottom w:val="none" w:sz="0" w:space="0"/>
            <w:right w:val="none" w:sz="0" w:space="0"/>
          </w:pgBorders>
          <w:cols w:space="720" w:num="1"/>
          <w:docGrid w:type="lines" w:linePitch="331" w:charSpace="0"/>
        </w:sectPr>
      </w:pPr>
    </w:p>
    <w:p>
      <w:pPr>
        <w:bidi w:val="0"/>
        <w:rPr>
          <w:rFonts w:hint="eastAsia"/>
          <w:lang w:eastAsia="zh-CN"/>
        </w:rPr>
      </w:pPr>
      <w:r>
        <w:rPr>
          <w:rFonts w:hint="eastAsia"/>
          <w:lang w:eastAsia="zh-CN"/>
        </w:rPr>
        <w:t>（</w:t>
      </w:r>
      <w:r>
        <w:rPr>
          <w:rFonts w:hint="eastAsia" w:ascii="Times New Roman" w:hAnsi="Times New Roman"/>
          <w:lang w:val="en-US" w:eastAsia="zh-CN"/>
        </w:rPr>
        <w:t>3</w:t>
      </w:r>
      <w:r>
        <w:rPr>
          <w:rFonts w:hint="eastAsia"/>
          <w:lang w:eastAsia="zh-CN"/>
        </w:rPr>
        <w:t>）预测结果</w:t>
      </w:r>
    </w:p>
    <w:p>
      <w:pPr>
        <w:bidi w:val="0"/>
        <w:rPr>
          <w:rFonts w:hint="eastAsia" w:eastAsia="宋体"/>
          <w:lang w:val="en-US" w:eastAsia="zh-CN"/>
        </w:rPr>
      </w:pPr>
      <w:r>
        <w:rPr>
          <w:rFonts w:hint="default"/>
        </w:rPr>
        <w:t>通过预测模型计算，项目厂界噪声预测结果与达标分析见表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lang w:val="en-US" w:eastAsia="zh-CN"/>
        </w:rPr>
        <w:t>。</w:t>
      </w:r>
    </w:p>
    <w:p>
      <w:pPr>
        <w:pStyle w:val="20"/>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lang w:val="en-US" w:eastAsia="zh-CN"/>
        </w:rPr>
        <w:t xml:space="preserve">  厂界噪声预测结果与达标分析表</w:t>
      </w:r>
    </w:p>
    <w:tbl>
      <w:tblPr>
        <w:tblStyle w:val="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889"/>
        <w:gridCol w:w="890"/>
        <w:gridCol w:w="573"/>
        <w:gridCol w:w="767"/>
        <w:gridCol w:w="1753"/>
        <w:gridCol w:w="175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预测方位</w:t>
            </w:r>
          </w:p>
        </w:tc>
        <w:tc>
          <w:tcPr>
            <w:tcW w:w="1282" w:type="pct"/>
            <w:gridSpan w:val="3"/>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r>
              <w:rPr>
                <w:rFonts w:hint="eastAsia"/>
                <w:sz w:val="21"/>
                <w:szCs w:val="21"/>
                <w:vertAlign w:val="baseline"/>
                <w:lang w:eastAsia="zh-CN"/>
              </w:rPr>
              <w:t>空间相对位置</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m</w:t>
            </w:r>
          </w:p>
        </w:tc>
        <w:tc>
          <w:tcPr>
            <w:tcW w:w="418" w:type="pct"/>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时段</w:t>
            </w:r>
          </w:p>
        </w:tc>
        <w:tc>
          <w:tcPr>
            <w:tcW w:w="955" w:type="pct"/>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贡献值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w:t>
            </w:r>
            <w:r>
              <w:rPr>
                <w:rFonts w:hint="eastAsia" w:ascii="Times New Roman" w:hAnsi="Times New Roman"/>
                <w:sz w:val="21"/>
                <w:szCs w:val="21"/>
                <w:vertAlign w:val="baseline"/>
                <w:lang w:val="en-US" w:eastAsia="zh-CN"/>
              </w:rPr>
              <w:t>dB</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A</w:t>
            </w:r>
            <w:r>
              <w:rPr>
                <w:rFonts w:hint="eastAsia"/>
                <w:sz w:val="21"/>
                <w:szCs w:val="21"/>
                <w:vertAlign w:val="baseline"/>
                <w:lang w:val="en-US" w:eastAsia="zh-CN"/>
              </w:rPr>
              <w:t>）</w:t>
            </w:r>
            <w:r>
              <w:rPr>
                <w:rFonts w:hint="eastAsia"/>
                <w:sz w:val="21"/>
                <w:szCs w:val="21"/>
                <w:vertAlign w:val="baseline"/>
                <w:lang w:eastAsia="zh-CN"/>
              </w:rPr>
              <w:t>）</w:t>
            </w:r>
          </w:p>
        </w:tc>
        <w:tc>
          <w:tcPr>
            <w:tcW w:w="955" w:type="pct"/>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标准限值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w:t>
            </w:r>
            <w:r>
              <w:rPr>
                <w:rFonts w:hint="eastAsia" w:ascii="Times New Roman" w:hAnsi="Times New Roman"/>
                <w:sz w:val="21"/>
                <w:szCs w:val="21"/>
                <w:vertAlign w:val="baseline"/>
                <w:lang w:val="en-US" w:eastAsia="zh-CN"/>
              </w:rPr>
              <w:t>dB</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A</w:t>
            </w:r>
            <w:r>
              <w:rPr>
                <w:rFonts w:hint="eastAsia"/>
                <w:sz w:val="21"/>
                <w:szCs w:val="21"/>
                <w:vertAlign w:val="baseline"/>
                <w:lang w:val="en-US" w:eastAsia="zh-CN"/>
              </w:rPr>
              <w:t>）</w:t>
            </w:r>
            <w:r>
              <w:rPr>
                <w:rFonts w:hint="eastAsia"/>
                <w:sz w:val="21"/>
                <w:szCs w:val="21"/>
                <w:vertAlign w:val="baseline"/>
                <w:lang w:eastAsia="zh-CN"/>
              </w:rPr>
              <w:t>）</w:t>
            </w:r>
          </w:p>
        </w:tc>
        <w:tc>
          <w:tcPr>
            <w:tcW w:w="694" w:type="pct"/>
            <w:vMerge w:val="restar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X</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Y</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val="en-US" w:eastAsia="zh-CN"/>
              </w:rPr>
            </w:pPr>
            <w:r>
              <w:rPr>
                <w:rFonts w:hint="eastAsia" w:ascii="Times New Roman" w:hAnsi="Times New Roman"/>
                <w:sz w:val="21"/>
                <w:szCs w:val="21"/>
                <w:vertAlign w:val="baseline"/>
                <w:lang w:val="en-US" w:eastAsia="zh-CN"/>
              </w:rPr>
              <w:t>Z</w:t>
            </w:r>
          </w:p>
        </w:tc>
        <w:tc>
          <w:tcPr>
            <w:tcW w:w="41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95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95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694"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东侧</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Times New Roman" w:hAnsi="Times New Roman" w:eastAsia="Arial" w:cs="Arial"/>
                <w:sz w:val="20"/>
              </w:rPr>
              <w:t>518</w:t>
            </w:r>
            <w:r>
              <w:rPr>
                <w:rFonts w:ascii="Arial" w:hAnsi="Arial" w:eastAsia="Arial" w:cs="Arial"/>
                <w:sz w:val="20"/>
              </w:rPr>
              <w:t>.</w:t>
            </w:r>
            <w:r>
              <w:rPr>
                <w:rFonts w:ascii="Times New Roman" w:hAnsi="Times New Roman" w:eastAsia="Arial" w:cs="Arial"/>
                <w:sz w:val="20"/>
              </w:rPr>
              <w:t>2</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Arial" w:hAnsi="Arial" w:eastAsia="Arial" w:cs="Arial"/>
                <w:sz w:val="20"/>
              </w:rPr>
              <w:t>-</w:t>
            </w:r>
            <w:r>
              <w:rPr>
                <w:rFonts w:ascii="Times New Roman" w:hAnsi="Times New Roman" w:eastAsia="Arial" w:cs="Arial"/>
                <w:sz w:val="20"/>
              </w:rPr>
              <w:t>517</w:t>
            </w:r>
            <w:r>
              <w:rPr>
                <w:rFonts w:ascii="Arial" w:hAnsi="Arial" w:eastAsia="Arial" w:cs="Arial"/>
                <w:sz w:val="20"/>
              </w:rPr>
              <w:t>.</w:t>
            </w:r>
            <w:r>
              <w:rPr>
                <w:rFonts w:ascii="Times New Roman" w:hAnsi="Times New Roman" w:eastAsia="Arial" w:cs="Arial"/>
                <w:sz w:val="20"/>
              </w:rPr>
              <w:t>6</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昼间</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2</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65</w:t>
            </w:r>
          </w:p>
        </w:tc>
        <w:tc>
          <w:tcPr>
            <w:tcW w:w="6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Times New Roman" w:hAnsi="Times New Roman" w:eastAsia="Arial" w:cs="Arial"/>
                <w:sz w:val="20"/>
              </w:rPr>
              <w:t>518</w:t>
            </w:r>
            <w:r>
              <w:rPr>
                <w:rFonts w:ascii="Arial" w:hAnsi="Arial" w:eastAsia="Arial" w:cs="Arial"/>
                <w:sz w:val="20"/>
              </w:rPr>
              <w:t>.</w:t>
            </w:r>
            <w:r>
              <w:rPr>
                <w:rFonts w:ascii="Times New Roman" w:hAnsi="Times New Roman" w:eastAsia="Arial" w:cs="Arial"/>
                <w:sz w:val="20"/>
              </w:rPr>
              <w:t>2</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Arial" w:hAnsi="Arial" w:eastAsia="Arial" w:cs="Arial"/>
                <w:sz w:val="20"/>
              </w:rPr>
              <w:t>-</w:t>
            </w:r>
            <w:r>
              <w:rPr>
                <w:rFonts w:ascii="Times New Roman" w:hAnsi="Times New Roman" w:eastAsia="Arial" w:cs="Arial"/>
                <w:sz w:val="20"/>
              </w:rPr>
              <w:t>517</w:t>
            </w:r>
            <w:r>
              <w:rPr>
                <w:rFonts w:ascii="Arial" w:hAnsi="Arial" w:eastAsia="Arial" w:cs="Arial"/>
                <w:sz w:val="20"/>
              </w:rPr>
              <w:t>.</w:t>
            </w:r>
            <w:r>
              <w:rPr>
                <w:rFonts w:ascii="Times New Roman" w:hAnsi="Times New Roman" w:eastAsia="Arial" w:cs="Arial"/>
                <w:sz w:val="20"/>
              </w:rPr>
              <w:t>6</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夜间</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2</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55</w:t>
            </w:r>
          </w:p>
        </w:tc>
        <w:tc>
          <w:tcPr>
            <w:tcW w:w="6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南侧</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Arial" w:hAnsi="Arial" w:eastAsia="Arial" w:cs="Arial"/>
                <w:sz w:val="20"/>
              </w:rPr>
              <w:t>-</w:t>
            </w:r>
            <w:r>
              <w:rPr>
                <w:rFonts w:ascii="Times New Roman" w:hAnsi="Times New Roman" w:eastAsia="Arial" w:cs="Arial"/>
                <w:sz w:val="20"/>
              </w:rPr>
              <w:t>139</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Arial" w:hAnsi="Arial" w:eastAsia="Arial" w:cs="Arial"/>
                <w:sz w:val="20"/>
              </w:rPr>
              <w:t>-</w:t>
            </w:r>
            <w:r>
              <w:rPr>
                <w:rFonts w:ascii="Times New Roman" w:hAnsi="Times New Roman" w:eastAsia="Arial" w:cs="Arial"/>
                <w:sz w:val="20"/>
              </w:rPr>
              <w:t>795</w:t>
            </w:r>
            <w:r>
              <w:rPr>
                <w:rFonts w:ascii="Arial" w:hAnsi="Arial" w:eastAsia="Arial" w:cs="Arial"/>
                <w:sz w:val="20"/>
              </w:rPr>
              <w:t>.</w:t>
            </w:r>
            <w:r>
              <w:rPr>
                <w:rFonts w:ascii="Times New Roman" w:hAnsi="Times New Roman" w:eastAsia="Arial" w:cs="Arial"/>
                <w:sz w:val="20"/>
              </w:rPr>
              <w:t>5</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昼间</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0</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65</w:t>
            </w:r>
          </w:p>
        </w:tc>
        <w:tc>
          <w:tcPr>
            <w:tcW w:w="6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Arial" w:hAnsi="Arial" w:eastAsia="Arial" w:cs="Arial"/>
                <w:sz w:val="20"/>
              </w:rPr>
              <w:t>-</w:t>
            </w:r>
            <w:r>
              <w:rPr>
                <w:rFonts w:ascii="Times New Roman" w:hAnsi="Times New Roman" w:eastAsia="Arial" w:cs="Arial"/>
                <w:sz w:val="20"/>
              </w:rPr>
              <w:t>139</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Arial" w:hAnsi="Arial" w:eastAsia="Arial" w:cs="Arial"/>
                <w:sz w:val="20"/>
              </w:rPr>
              <w:t>-</w:t>
            </w:r>
            <w:r>
              <w:rPr>
                <w:rFonts w:ascii="Times New Roman" w:hAnsi="Times New Roman" w:eastAsia="Arial" w:cs="Arial"/>
                <w:sz w:val="20"/>
              </w:rPr>
              <w:t>795</w:t>
            </w:r>
            <w:r>
              <w:rPr>
                <w:rFonts w:ascii="Arial" w:hAnsi="Arial" w:eastAsia="Arial" w:cs="Arial"/>
                <w:sz w:val="20"/>
              </w:rPr>
              <w:t>.</w:t>
            </w:r>
            <w:r>
              <w:rPr>
                <w:rFonts w:ascii="Times New Roman" w:hAnsi="Times New Roman" w:eastAsia="Arial" w:cs="Arial"/>
                <w:sz w:val="20"/>
              </w:rPr>
              <w:t>5</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夜间</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0</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55</w:t>
            </w:r>
          </w:p>
        </w:tc>
        <w:tc>
          <w:tcPr>
            <w:tcW w:w="6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西侧</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Arial" w:hAnsi="Arial" w:eastAsia="Arial" w:cs="Arial"/>
                <w:sz w:val="20"/>
              </w:rPr>
              <w:t>-</w:t>
            </w:r>
            <w:r>
              <w:rPr>
                <w:rFonts w:ascii="Times New Roman" w:hAnsi="Times New Roman" w:eastAsia="Arial" w:cs="Arial"/>
                <w:sz w:val="20"/>
              </w:rPr>
              <w:t>346</w:t>
            </w:r>
            <w:r>
              <w:rPr>
                <w:rFonts w:ascii="Arial" w:hAnsi="Arial" w:eastAsia="Arial" w:cs="Arial"/>
                <w:sz w:val="20"/>
              </w:rPr>
              <w:t>.</w:t>
            </w:r>
            <w:r>
              <w:rPr>
                <w:rFonts w:ascii="Times New Roman" w:hAnsi="Times New Roman" w:eastAsia="Arial" w:cs="Arial"/>
                <w:sz w:val="20"/>
              </w:rPr>
              <w:t>8</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Arial" w:hAnsi="Arial" w:eastAsia="Arial" w:cs="Arial"/>
                <w:sz w:val="20"/>
              </w:rPr>
              <w:t>-</w:t>
            </w:r>
            <w:r>
              <w:rPr>
                <w:rFonts w:ascii="Times New Roman" w:hAnsi="Times New Roman" w:eastAsia="Arial" w:cs="Arial"/>
                <w:sz w:val="20"/>
              </w:rPr>
              <w:t>346</w:t>
            </w:r>
            <w:r>
              <w:rPr>
                <w:rFonts w:ascii="Arial" w:hAnsi="Arial" w:eastAsia="Arial" w:cs="Arial"/>
                <w:sz w:val="20"/>
              </w:rPr>
              <w:t>.</w:t>
            </w:r>
            <w:r>
              <w:rPr>
                <w:rFonts w:ascii="Times New Roman" w:hAnsi="Times New Roman" w:eastAsia="Arial" w:cs="Arial"/>
                <w:sz w:val="20"/>
              </w:rPr>
              <w:t>2</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昼间</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10</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65</w:t>
            </w:r>
          </w:p>
        </w:tc>
        <w:tc>
          <w:tcPr>
            <w:tcW w:w="6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Arial" w:hAnsi="Arial" w:eastAsia="Arial" w:cs="Arial"/>
                <w:sz w:val="20"/>
              </w:rPr>
              <w:t>-</w:t>
            </w:r>
            <w:r>
              <w:rPr>
                <w:rFonts w:ascii="Times New Roman" w:hAnsi="Times New Roman" w:eastAsia="Arial" w:cs="Arial"/>
                <w:sz w:val="20"/>
              </w:rPr>
              <w:t>346</w:t>
            </w:r>
            <w:r>
              <w:rPr>
                <w:rFonts w:ascii="Arial" w:hAnsi="Arial" w:eastAsia="Arial" w:cs="Arial"/>
                <w:sz w:val="20"/>
              </w:rPr>
              <w:t>.</w:t>
            </w:r>
            <w:r>
              <w:rPr>
                <w:rFonts w:ascii="Times New Roman" w:hAnsi="Times New Roman" w:eastAsia="Arial" w:cs="Arial"/>
                <w:sz w:val="20"/>
              </w:rPr>
              <w:t>8</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Arial" w:hAnsi="Arial" w:eastAsia="Arial" w:cs="Arial"/>
                <w:sz w:val="20"/>
              </w:rPr>
              <w:t>-</w:t>
            </w:r>
            <w:r>
              <w:rPr>
                <w:rFonts w:ascii="Times New Roman" w:hAnsi="Times New Roman" w:eastAsia="Arial" w:cs="Arial"/>
                <w:sz w:val="20"/>
              </w:rPr>
              <w:t>346</w:t>
            </w:r>
            <w:r>
              <w:rPr>
                <w:rFonts w:ascii="Arial" w:hAnsi="Arial" w:eastAsia="Arial" w:cs="Arial"/>
                <w:sz w:val="20"/>
              </w:rPr>
              <w:t>.</w:t>
            </w:r>
            <w:r>
              <w:rPr>
                <w:rFonts w:ascii="Times New Roman" w:hAnsi="Times New Roman" w:eastAsia="Arial" w:cs="Arial"/>
                <w:sz w:val="20"/>
              </w:rPr>
              <w:t>2</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 w:val="21"/>
                <w:szCs w:val="21"/>
                <w:vertAlign w:val="baseline"/>
                <w:lang w:val="en-US" w:eastAsia="zh-CN" w:bidi="ar-SA"/>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夜间</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10</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55</w:t>
            </w:r>
          </w:p>
        </w:tc>
        <w:tc>
          <w:tcPr>
            <w:tcW w:w="6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北侧</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ascii="Times New Roman" w:hAnsi="Times New Roman" w:eastAsia="Arial" w:cs="Arial"/>
                <w:sz w:val="20"/>
              </w:rPr>
              <w:t>348</w:t>
            </w:r>
            <w:r>
              <w:rPr>
                <w:rFonts w:ascii="Arial" w:hAnsi="Arial" w:eastAsia="Arial" w:cs="Arial"/>
                <w:sz w:val="20"/>
              </w:rPr>
              <w:t>.</w:t>
            </w:r>
            <w:r>
              <w:rPr>
                <w:rFonts w:ascii="Times New Roman" w:hAnsi="Times New Roman" w:eastAsia="Arial" w:cs="Arial"/>
                <w:sz w:val="20"/>
              </w:rPr>
              <w:t>8</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ascii="Times New Roman" w:hAnsi="Times New Roman" w:eastAsia="Arial" w:cs="Arial"/>
                <w:sz w:val="20"/>
              </w:rPr>
              <w:t>351</w:t>
            </w:r>
            <w:r>
              <w:rPr>
                <w:rFonts w:ascii="Arial" w:hAnsi="Arial" w:eastAsia="Arial" w:cs="Arial"/>
                <w:sz w:val="20"/>
              </w:rPr>
              <w:t>.</w:t>
            </w:r>
            <w:r>
              <w:rPr>
                <w:rFonts w:ascii="Times New Roman" w:hAnsi="Times New Roman" w:eastAsia="Arial" w:cs="Arial"/>
                <w:sz w:val="20"/>
              </w:rPr>
              <w:t>1</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昼间</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w:t>
            </w:r>
          </w:p>
        </w:tc>
        <w:tc>
          <w:tcPr>
            <w:tcW w:w="95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65</w:t>
            </w:r>
          </w:p>
        </w:tc>
        <w:tc>
          <w:tcPr>
            <w:tcW w:w="6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pct"/>
            <w:vMerge w:val="continue"/>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rPr>
            </w:pPr>
          </w:p>
        </w:tc>
        <w:tc>
          <w:tcPr>
            <w:tcW w:w="4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ascii="Times New Roman" w:hAnsi="Times New Roman" w:eastAsia="Arial" w:cs="Arial"/>
                <w:sz w:val="20"/>
              </w:rPr>
              <w:t>348</w:t>
            </w:r>
            <w:r>
              <w:rPr>
                <w:rFonts w:ascii="Arial" w:hAnsi="Arial" w:eastAsia="Arial" w:cs="Arial"/>
                <w:sz w:val="20"/>
              </w:rPr>
              <w:t>.</w:t>
            </w:r>
            <w:r>
              <w:rPr>
                <w:rFonts w:ascii="Times New Roman" w:hAnsi="Times New Roman" w:eastAsia="Arial" w:cs="Arial"/>
                <w:sz w:val="20"/>
              </w:rPr>
              <w:t>8</w:t>
            </w:r>
          </w:p>
        </w:tc>
        <w:tc>
          <w:tcPr>
            <w:tcW w:w="4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ascii="Times New Roman" w:hAnsi="Times New Roman" w:eastAsia="Arial" w:cs="Arial"/>
                <w:sz w:val="20"/>
              </w:rPr>
              <w:t>351</w:t>
            </w:r>
            <w:r>
              <w:rPr>
                <w:rFonts w:ascii="Arial" w:hAnsi="Arial" w:eastAsia="Arial" w:cs="Arial"/>
                <w:sz w:val="20"/>
              </w:rPr>
              <w:t>.</w:t>
            </w:r>
            <w:r>
              <w:rPr>
                <w:rFonts w:ascii="Times New Roman" w:hAnsi="Times New Roman" w:eastAsia="Arial" w:cs="Arial"/>
                <w:sz w:val="20"/>
              </w:rPr>
              <w:t>1</w:t>
            </w:r>
          </w:p>
        </w:tc>
        <w:tc>
          <w:tcPr>
            <w:tcW w:w="310"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ascii="Times New Roman" w:hAnsi="Times New Roman" w:eastAsia="Arial" w:cs="Arial"/>
                <w:sz w:val="20"/>
              </w:rPr>
              <w:t>1</w:t>
            </w:r>
            <w:r>
              <w:rPr>
                <w:rFonts w:ascii="Arial" w:hAnsi="Arial" w:eastAsia="Arial" w:cs="Arial"/>
                <w:sz w:val="20"/>
              </w:rPr>
              <w:t>.</w:t>
            </w:r>
            <w:r>
              <w:rPr>
                <w:rFonts w:ascii="Times New Roman" w:hAnsi="Times New Roman" w:eastAsia="Arial" w:cs="Arial"/>
                <w:sz w:val="20"/>
              </w:rPr>
              <w:t>2</w:t>
            </w:r>
          </w:p>
        </w:tc>
        <w:tc>
          <w:tcPr>
            <w:tcW w:w="418"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eastAsia="zh-CN"/>
              </w:rPr>
              <w:t>夜间</w:t>
            </w:r>
          </w:p>
        </w:tc>
        <w:tc>
          <w:tcPr>
            <w:tcW w:w="95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4</w:t>
            </w:r>
          </w:p>
        </w:tc>
        <w:tc>
          <w:tcPr>
            <w:tcW w:w="95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vertAlign w:val="baseline"/>
                <w:lang w:val="en-US" w:eastAsia="zh-CN"/>
              </w:rPr>
            </w:pPr>
            <w:r>
              <w:rPr>
                <w:rFonts w:hint="eastAsia" w:ascii="Times New Roman" w:hAnsi="Times New Roman"/>
                <w:sz w:val="21"/>
                <w:szCs w:val="21"/>
                <w:vertAlign w:val="baseline"/>
                <w:lang w:val="en-US" w:eastAsia="zh-CN"/>
              </w:rPr>
              <w:t>55</w:t>
            </w:r>
          </w:p>
        </w:tc>
        <w:tc>
          <w:tcPr>
            <w:tcW w:w="694"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达标</w:t>
            </w:r>
          </w:p>
        </w:tc>
      </w:tr>
    </w:tbl>
    <w:p>
      <w:pPr>
        <w:bidi w:val="0"/>
        <w:rPr>
          <w:rFonts w:hint="default"/>
          <w:lang w:val="en-US" w:eastAsia="zh-CN"/>
        </w:rPr>
      </w:pPr>
      <w:r>
        <w:t>由上表可知，正常工况下，</w:t>
      </w:r>
      <w:r>
        <w:rPr>
          <w:rFonts w:hint="eastAsia"/>
          <w:lang w:eastAsia="zh-CN"/>
        </w:rPr>
        <w:t>本</w:t>
      </w:r>
      <w:r>
        <w:t>项目</w:t>
      </w:r>
      <w:r>
        <w:rPr>
          <w:rFonts w:hint="eastAsia"/>
          <w:lang w:eastAsia="zh-CN"/>
        </w:rPr>
        <w:t>噪声对</w:t>
      </w:r>
      <w:r>
        <w:t>厂界</w:t>
      </w:r>
      <w:r>
        <w:rPr>
          <w:rFonts w:hint="eastAsia"/>
          <w:lang w:eastAsia="zh-CN"/>
        </w:rPr>
        <w:t>贡献值</w:t>
      </w:r>
      <w:r>
        <w:t>满足《工业企业厂界环境噪声排</w:t>
      </w:r>
      <w:r>
        <w:rPr>
          <w:rFonts w:hint="default"/>
        </w:rPr>
        <w:t>放标准》(</w:t>
      </w:r>
      <w:r>
        <w:rPr>
          <w:rFonts w:hint="default" w:ascii="Times New Roman" w:hAnsi="Times New Roman"/>
        </w:rPr>
        <w:t>GB12348</w:t>
      </w:r>
      <w:r>
        <w:rPr>
          <w:rFonts w:hint="eastAsia"/>
          <w:lang w:val="en-US" w:eastAsia="zh-CN"/>
        </w:rPr>
        <w:t>-</w:t>
      </w:r>
      <w:r>
        <w:rPr>
          <w:rFonts w:hint="default" w:ascii="Times New Roman" w:hAnsi="Times New Roman"/>
        </w:rPr>
        <w:t>2008</w:t>
      </w:r>
      <w:r>
        <w:rPr>
          <w:rFonts w:hint="default"/>
        </w:rPr>
        <w:t>)</w:t>
      </w:r>
      <w:r>
        <w:rPr>
          <w:rFonts w:hint="eastAsia" w:ascii="Times New Roman" w:hAnsi="Times New Roman"/>
          <w:lang w:val="en-US" w:eastAsia="zh-CN"/>
        </w:rPr>
        <w:t>3</w:t>
      </w:r>
      <w:r>
        <w:rPr>
          <w:rFonts w:hint="default"/>
        </w:rPr>
        <w:t>类标准。</w:t>
      </w:r>
      <w:r>
        <w:rPr>
          <w:rFonts w:hint="eastAsia"/>
          <w:lang w:eastAsia="zh-CN"/>
        </w:rPr>
        <w:t>厂界</w:t>
      </w:r>
      <w:r>
        <w:rPr>
          <w:rFonts w:hint="default"/>
        </w:rPr>
        <w:t>噪声预测结果与达标分析见表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lang w:val="en-US" w:eastAsia="zh-CN"/>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lang w:val="en-US" w:eastAsia="zh-CN"/>
        </w:rPr>
        <w:t xml:space="preserve">  厂界噪声预测结果与达标分析表</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383"/>
        <w:gridCol w:w="707"/>
        <w:gridCol w:w="708"/>
        <w:gridCol w:w="707"/>
        <w:gridCol w:w="708"/>
        <w:gridCol w:w="707"/>
        <w:gridCol w:w="708"/>
        <w:gridCol w:w="707"/>
        <w:gridCol w:w="714"/>
        <w:gridCol w:w="707"/>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restart"/>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eastAsia="zh-CN"/>
              </w:rPr>
            </w:pPr>
            <w:r>
              <w:rPr>
                <w:rFonts w:hint="eastAsia"/>
                <w:spacing w:val="-11"/>
                <w:sz w:val="21"/>
                <w:szCs w:val="21"/>
                <w:vertAlign w:val="baseline"/>
                <w:lang w:eastAsia="zh-CN"/>
              </w:rPr>
              <w:t>序号</w:t>
            </w:r>
          </w:p>
        </w:tc>
        <w:tc>
          <w:tcPr>
            <w:tcW w:w="754" w:type="pct"/>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21"/>
                <w:vertAlign w:val="baseline"/>
                <w:lang w:eastAsia="zh-CN"/>
              </w:rPr>
            </w:pPr>
            <w:r>
              <w:rPr>
                <w:rFonts w:hint="eastAsia"/>
                <w:spacing w:val="-11"/>
                <w:sz w:val="21"/>
                <w:szCs w:val="21"/>
                <w:vertAlign w:val="baseline"/>
                <w:lang w:eastAsia="zh-CN"/>
              </w:rPr>
              <w:t>声环境保</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eastAsia="zh-CN"/>
              </w:rPr>
            </w:pPr>
            <w:r>
              <w:rPr>
                <w:rFonts w:hint="eastAsia"/>
                <w:spacing w:val="-11"/>
                <w:sz w:val="21"/>
                <w:szCs w:val="21"/>
                <w:vertAlign w:val="baseline"/>
                <w:lang w:eastAsia="zh-CN"/>
              </w:rPr>
              <w:t>护目标名称</w:t>
            </w:r>
          </w:p>
        </w:tc>
        <w:tc>
          <w:tcPr>
            <w:tcW w:w="771" w:type="pct"/>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21"/>
                <w:vertAlign w:val="baseline"/>
                <w:lang w:eastAsia="zh-CN"/>
              </w:rPr>
            </w:pPr>
            <w:r>
              <w:rPr>
                <w:rFonts w:hint="eastAsia"/>
                <w:spacing w:val="-11"/>
                <w:sz w:val="21"/>
                <w:szCs w:val="21"/>
                <w:vertAlign w:val="baseline"/>
                <w:lang w:eastAsia="zh-CN"/>
              </w:rPr>
              <w:t>噪声现状值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rPr>
            </w:pP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dB</w:t>
            </w: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A</w:t>
            </w:r>
            <w:r>
              <w:rPr>
                <w:rFonts w:hint="eastAsia"/>
                <w:spacing w:val="-11"/>
                <w:sz w:val="21"/>
                <w:szCs w:val="21"/>
                <w:vertAlign w:val="baseline"/>
                <w:lang w:val="en-US" w:eastAsia="zh-CN"/>
              </w:rPr>
              <w:t>）</w:t>
            </w:r>
          </w:p>
        </w:tc>
        <w:tc>
          <w:tcPr>
            <w:tcW w:w="771" w:type="pct"/>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21"/>
                <w:vertAlign w:val="baseline"/>
                <w:lang w:eastAsia="zh-CN"/>
              </w:rPr>
            </w:pPr>
            <w:r>
              <w:rPr>
                <w:rFonts w:hint="eastAsia"/>
                <w:spacing w:val="-11"/>
                <w:sz w:val="21"/>
                <w:szCs w:val="21"/>
                <w:vertAlign w:val="baseline"/>
                <w:lang w:eastAsia="zh-CN"/>
              </w:rPr>
              <w:t>噪声标准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rPr>
            </w:pP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dB</w:t>
            </w: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A</w:t>
            </w:r>
            <w:r>
              <w:rPr>
                <w:rFonts w:hint="eastAsia"/>
                <w:spacing w:val="-11"/>
                <w:sz w:val="21"/>
                <w:szCs w:val="21"/>
                <w:vertAlign w:val="baseline"/>
                <w:lang w:val="en-US" w:eastAsia="zh-CN"/>
              </w:rPr>
              <w:t>）</w:t>
            </w:r>
          </w:p>
        </w:tc>
        <w:tc>
          <w:tcPr>
            <w:tcW w:w="771" w:type="pct"/>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21"/>
                <w:vertAlign w:val="baseline"/>
                <w:lang w:eastAsia="zh-CN"/>
              </w:rPr>
            </w:pPr>
            <w:r>
              <w:rPr>
                <w:rFonts w:hint="eastAsia"/>
                <w:spacing w:val="-11"/>
                <w:sz w:val="21"/>
                <w:szCs w:val="21"/>
                <w:vertAlign w:val="baseline"/>
                <w:lang w:eastAsia="zh-CN"/>
              </w:rPr>
              <w:t>噪声贡献值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rPr>
            </w:pP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dB</w:t>
            </w: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A</w:t>
            </w:r>
            <w:r>
              <w:rPr>
                <w:rFonts w:hint="eastAsia"/>
                <w:spacing w:val="-11"/>
                <w:sz w:val="21"/>
                <w:szCs w:val="21"/>
                <w:vertAlign w:val="baseline"/>
                <w:lang w:val="en-US" w:eastAsia="zh-CN"/>
              </w:rPr>
              <w:t>）</w:t>
            </w:r>
          </w:p>
        </w:tc>
        <w:tc>
          <w:tcPr>
            <w:tcW w:w="774" w:type="pct"/>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21"/>
                <w:vertAlign w:val="baseline"/>
                <w:lang w:eastAsia="zh-CN"/>
              </w:rPr>
            </w:pPr>
            <w:r>
              <w:rPr>
                <w:rFonts w:hint="eastAsia"/>
                <w:spacing w:val="-11"/>
                <w:sz w:val="21"/>
                <w:szCs w:val="21"/>
                <w:vertAlign w:val="baseline"/>
                <w:lang w:eastAsia="zh-CN"/>
              </w:rPr>
              <w:t>噪声预测值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rPr>
            </w:pP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dB</w:t>
            </w:r>
            <w:r>
              <w:rPr>
                <w:rFonts w:hint="eastAsia"/>
                <w:spacing w:val="-11"/>
                <w:sz w:val="21"/>
                <w:szCs w:val="21"/>
                <w:vertAlign w:val="baseline"/>
                <w:lang w:val="en-US" w:eastAsia="zh-CN"/>
              </w:rPr>
              <w:t>（</w:t>
            </w:r>
            <w:r>
              <w:rPr>
                <w:rFonts w:hint="eastAsia" w:ascii="Times New Roman" w:hAnsi="Times New Roman"/>
                <w:spacing w:val="-11"/>
                <w:sz w:val="21"/>
                <w:szCs w:val="21"/>
                <w:vertAlign w:val="baseline"/>
                <w:lang w:val="en-US" w:eastAsia="zh-CN"/>
              </w:rPr>
              <w:t>A</w:t>
            </w:r>
            <w:r>
              <w:rPr>
                <w:rFonts w:hint="eastAsia"/>
                <w:spacing w:val="-11"/>
                <w:sz w:val="21"/>
                <w:szCs w:val="21"/>
                <w:vertAlign w:val="baseline"/>
                <w:lang w:val="en-US" w:eastAsia="zh-CN"/>
              </w:rPr>
              <w:t>）</w:t>
            </w:r>
          </w:p>
        </w:tc>
        <w:tc>
          <w:tcPr>
            <w:tcW w:w="774" w:type="pct"/>
            <w:gridSpan w:val="2"/>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21"/>
                <w:vertAlign w:val="baseline"/>
                <w:lang w:eastAsia="zh-CN"/>
              </w:rPr>
            </w:pPr>
            <w:r>
              <w:rPr>
                <w:rFonts w:hint="eastAsia"/>
                <w:spacing w:val="-11"/>
                <w:sz w:val="21"/>
                <w:szCs w:val="21"/>
                <w:vertAlign w:val="baseline"/>
                <w:lang w:eastAsia="zh-CN"/>
              </w:rPr>
              <w:t>超标和</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rPr>
            </w:pPr>
            <w:r>
              <w:rPr>
                <w:rFonts w:hint="eastAsia"/>
                <w:spacing w:val="-11"/>
                <w:sz w:val="21"/>
                <w:szCs w:val="21"/>
                <w:vertAlign w:val="baseline"/>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rPr>
            </w:pPr>
          </w:p>
        </w:tc>
        <w:tc>
          <w:tcPr>
            <w:tcW w:w="75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rPr>
            </w:pP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昼间</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夜间</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昼间</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夜间</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昼间</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夜间</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昼间</w:t>
            </w:r>
          </w:p>
        </w:tc>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夜间</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昼间</w:t>
            </w:r>
          </w:p>
        </w:tc>
        <w:tc>
          <w:tcPr>
            <w:tcW w:w="388"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pacing w:val="-11"/>
                <w:kern w:val="2"/>
                <w:sz w:val="21"/>
                <w:szCs w:val="21"/>
                <w:vertAlign w:val="baseline"/>
                <w:lang w:val="en-US" w:eastAsia="zh-CN" w:bidi="ar-SA"/>
              </w:rPr>
            </w:pPr>
            <w:r>
              <w:rPr>
                <w:rFonts w:hint="eastAsia"/>
                <w:spacing w:val="-11"/>
                <w:sz w:val="21"/>
                <w:szCs w:val="21"/>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1</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eastAsia="zh-CN"/>
              </w:rPr>
            </w:pPr>
            <w:r>
              <w:rPr>
                <w:rFonts w:hint="eastAsia"/>
                <w:spacing w:val="-11"/>
                <w:sz w:val="21"/>
                <w:szCs w:val="21"/>
                <w:vertAlign w:val="baseline"/>
                <w:lang w:eastAsia="zh-CN"/>
              </w:rPr>
              <w:t>厂界东</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56</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46</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65</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55</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2</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2</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56</w:t>
            </w:r>
          </w:p>
        </w:tc>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46</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eastAsia="zh-CN"/>
              </w:rPr>
            </w:pPr>
            <w:r>
              <w:rPr>
                <w:rFonts w:hint="eastAsia"/>
                <w:spacing w:val="-11"/>
                <w:sz w:val="21"/>
                <w:szCs w:val="21"/>
                <w:vertAlign w:val="baseline"/>
                <w:lang w:eastAsia="zh-CN"/>
              </w:rPr>
              <w:t>达标</w:t>
            </w:r>
          </w:p>
        </w:tc>
        <w:tc>
          <w:tcPr>
            <w:tcW w:w="388"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eastAsia="zh-CN"/>
              </w:rPr>
            </w:pPr>
            <w:r>
              <w:rPr>
                <w:rFonts w:hint="eastAsia"/>
                <w:spacing w:val="-11"/>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2</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eastAsia="zh-CN"/>
              </w:rPr>
            </w:pPr>
            <w:r>
              <w:rPr>
                <w:rFonts w:hint="eastAsia"/>
                <w:spacing w:val="-11"/>
                <w:sz w:val="21"/>
                <w:szCs w:val="21"/>
                <w:vertAlign w:val="baseline"/>
                <w:lang w:eastAsia="zh-CN"/>
              </w:rPr>
              <w:t>厂界南</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54</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46</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65</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55</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0</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0</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54</w:t>
            </w:r>
          </w:p>
        </w:tc>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46</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spacing w:val="-11"/>
                <w:sz w:val="21"/>
                <w:szCs w:val="21"/>
                <w:vertAlign w:val="baseline"/>
                <w:lang w:eastAsia="zh-CN"/>
              </w:rPr>
              <w:t>达标</w:t>
            </w:r>
          </w:p>
        </w:tc>
        <w:tc>
          <w:tcPr>
            <w:tcW w:w="388"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spacing w:val="-11"/>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3</w:t>
            </w:r>
          </w:p>
        </w:tc>
        <w:tc>
          <w:tcPr>
            <w:tcW w:w="75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pacing w:val="-11"/>
                <w:sz w:val="21"/>
                <w:szCs w:val="21"/>
                <w:vertAlign w:val="baseline"/>
                <w:lang w:eastAsia="zh-CN"/>
              </w:rPr>
            </w:pPr>
            <w:r>
              <w:rPr>
                <w:rFonts w:hint="eastAsia"/>
                <w:spacing w:val="-11"/>
                <w:sz w:val="21"/>
                <w:szCs w:val="21"/>
                <w:vertAlign w:val="baseline"/>
                <w:lang w:eastAsia="zh-CN"/>
              </w:rPr>
              <w:t>厂界西</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56</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48</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65</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55</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10</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10</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56</w:t>
            </w:r>
          </w:p>
        </w:tc>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48</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spacing w:val="-11"/>
                <w:sz w:val="21"/>
                <w:szCs w:val="21"/>
                <w:vertAlign w:val="baseline"/>
                <w:lang w:eastAsia="zh-CN"/>
              </w:rPr>
              <w:t>达标</w:t>
            </w:r>
          </w:p>
        </w:tc>
        <w:tc>
          <w:tcPr>
            <w:tcW w:w="388"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spacing w:val="-11"/>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left w:val="single" w:color="auto" w:sz="12"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21"/>
                <w:vertAlign w:val="baseline"/>
                <w:lang w:val="en-US" w:eastAsia="zh-CN"/>
              </w:rPr>
            </w:pPr>
            <w:r>
              <w:rPr>
                <w:rFonts w:hint="eastAsia" w:ascii="Times New Roman" w:hAnsi="Times New Roman"/>
                <w:spacing w:val="-11"/>
                <w:sz w:val="21"/>
                <w:szCs w:val="21"/>
                <w:vertAlign w:val="baseline"/>
                <w:lang w:val="en-US" w:eastAsia="zh-CN"/>
              </w:rPr>
              <w:t>4</w:t>
            </w:r>
          </w:p>
        </w:tc>
        <w:tc>
          <w:tcPr>
            <w:tcW w:w="75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21"/>
                <w:vertAlign w:val="baseline"/>
                <w:lang w:eastAsia="zh-CN"/>
              </w:rPr>
            </w:pPr>
            <w:r>
              <w:rPr>
                <w:rFonts w:hint="eastAsia"/>
                <w:spacing w:val="-11"/>
                <w:sz w:val="21"/>
                <w:szCs w:val="21"/>
                <w:vertAlign w:val="baseline"/>
                <w:lang w:eastAsia="zh-CN"/>
              </w:rPr>
              <w:t>厂界北</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57</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45</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65</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55</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4</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pacing w:val="-11"/>
                <w:sz w:val="21"/>
                <w:szCs w:val="21"/>
                <w:vertAlign w:val="baseline"/>
                <w:lang w:val="en-US" w:eastAsia="zh-CN"/>
              </w:rPr>
            </w:pPr>
            <w:r>
              <w:rPr>
                <w:rFonts w:hint="eastAsia" w:ascii="Times New Roman" w:hAnsi="Times New Roman"/>
                <w:spacing w:val="-11"/>
                <w:sz w:val="21"/>
                <w:szCs w:val="21"/>
                <w:vertAlign w:val="baseline"/>
                <w:lang w:val="en-US" w:eastAsia="zh-CN"/>
              </w:rPr>
              <w:t>4</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57</w:t>
            </w:r>
          </w:p>
        </w:tc>
        <w:tc>
          <w:tcPr>
            <w:tcW w:w="388"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ascii="Times New Roman" w:hAnsi="Times New Roman"/>
                <w:spacing w:val="-11"/>
                <w:sz w:val="21"/>
                <w:szCs w:val="21"/>
                <w:vertAlign w:val="baseline"/>
                <w:lang w:val="en-US" w:eastAsia="zh-CN"/>
              </w:rPr>
              <w:t>45</w:t>
            </w:r>
          </w:p>
        </w:tc>
        <w:tc>
          <w:tcPr>
            <w:tcW w:w="385"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spacing w:val="-11"/>
                <w:sz w:val="21"/>
                <w:szCs w:val="21"/>
                <w:vertAlign w:val="baseline"/>
                <w:lang w:eastAsia="zh-CN"/>
              </w:rPr>
              <w:t>达标</w:t>
            </w:r>
          </w:p>
        </w:tc>
        <w:tc>
          <w:tcPr>
            <w:tcW w:w="388"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21"/>
                <w:vertAlign w:val="baseline"/>
                <w:lang w:val="en-US" w:eastAsia="zh-CN" w:bidi="ar-SA"/>
              </w:rPr>
            </w:pPr>
            <w:r>
              <w:rPr>
                <w:rFonts w:hint="eastAsia"/>
                <w:spacing w:val="-11"/>
                <w:sz w:val="21"/>
                <w:szCs w:val="21"/>
                <w:vertAlign w:val="baseline"/>
                <w:lang w:eastAsia="zh-CN"/>
              </w:rPr>
              <w:t>达标</w:t>
            </w:r>
          </w:p>
        </w:tc>
      </w:tr>
    </w:tbl>
    <w:p>
      <w:pPr>
        <w:bidi w:val="0"/>
        <w:rPr>
          <w:rFonts w:hint="eastAsia"/>
          <w:lang w:eastAsia="zh-CN"/>
        </w:rPr>
      </w:pPr>
      <w:r>
        <w:rPr>
          <w:rFonts w:hint="eastAsia"/>
          <w:lang w:eastAsia="zh-CN"/>
        </w:rPr>
        <w:t>由表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lang w:eastAsia="zh-CN"/>
        </w:rPr>
        <w:t>可知，在采取了隔声、减振等降噪措施后，正常工况下，本项目对厂界声环境几乎没有影响，厂界噪声满足《工业企业厂界环境噪声排放标准》（</w:t>
      </w:r>
      <w:r>
        <w:rPr>
          <w:rFonts w:hint="eastAsia" w:ascii="Times New Roman" w:hAnsi="Times New Roman"/>
          <w:lang w:val="en-US" w:eastAsia="zh-CN"/>
        </w:rPr>
        <w:t>GB12348</w:t>
      </w:r>
      <w:r>
        <w:rPr>
          <w:rFonts w:hint="eastAsia" w:ascii="Times New Roman" w:hAnsi="Times New Roman"/>
          <w:lang w:val="en-US" w:eastAsia="zh-CN"/>
        </w:rPr>
        <w:t>-</w:t>
      </w:r>
      <w:r>
        <w:rPr>
          <w:rFonts w:hint="eastAsia" w:ascii="Times New Roman" w:hAnsi="Times New Roman"/>
          <w:lang w:val="en-US" w:eastAsia="zh-CN"/>
        </w:rPr>
        <w:t>2008</w:t>
      </w:r>
      <w:r>
        <w:rPr>
          <w:rFonts w:hint="eastAsia"/>
          <w:lang w:eastAsia="zh-CN"/>
        </w:rPr>
        <w:t>）</w:t>
      </w:r>
      <w:r>
        <w:rPr>
          <w:rFonts w:hint="eastAsia" w:ascii="Times New Roman" w:hAnsi="Times New Roman"/>
          <w:lang w:val="en-US" w:eastAsia="zh-CN"/>
        </w:rPr>
        <w:t>3</w:t>
      </w:r>
      <w:r>
        <w:rPr>
          <w:rFonts w:hint="eastAsia"/>
          <w:lang w:val="en-US" w:eastAsia="zh-CN"/>
        </w:rPr>
        <w:t>类标准。</w:t>
      </w:r>
    </w:p>
    <w:bookmarkEnd w:id="219"/>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lang w:val="en-US" w:eastAsia="zh-CN"/>
        </w:rPr>
        <w:t>声环境影响评价自查表</w:t>
      </w:r>
    </w:p>
    <w:p>
      <w:pPr>
        <w:bidi w:val="0"/>
        <w:rPr>
          <w:rFonts w:hint="default" w:eastAsia="宋体"/>
          <w:lang w:val="en-US" w:eastAsia="zh-CN"/>
        </w:rPr>
      </w:pPr>
      <w:r>
        <w:rPr>
          <w:rFonts w:hint="eastAsia"/>
          <w:lang w:eastAsia="zh-CN"/>
        </w:rPr>
        <w:t>本项目声环境影响评价自查表见表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w:t>
      </w:r>
    </w:p>
    <w:p>
      <w:pPr>
        <w:pStyle w:val="20"/>
        <w:bidi w:val="0"/>
        <w:rPr>
          <w:rFonts w:hint="default"/>
          <w:lang w:val="en-US" w:eastAsia="zh-CN"/>
        </w:rPr>
      </w:pPr>
      <w:r>
        <w:rPr>
          <w:rFonts w:hint="eastAsia"/>
          <w:lang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 xml:space="preserve">  声环境影响评价自查表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470"/>
        <w:gridCol w:w="1093"/>
        <w:gridCol w:w="547"/>
        <w:gridCol w:w="353"/>
        <w:gridCol w:w="193"/>
        <w:gridCol w:w="1094"/>
        <w:gridCol w:w="998"/>
        <w:gridCol w:w="95"/>
        <w:gridCol w:w="547"/>
        <w:gridCol w:w="54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gridSpan w:val="2"/>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r>
              <w:rPr>
                <w:rFonts w:hint="eastAsia"/>
                <w:spacing w:val="-11"/>
                <w:sz w:val="20"/>
                <w:szCs w:val="20"/>
                <w:vertAlign w:val="baseline"/>
                <w:lang w:eastAsia="zh-CN"/>
              </w:rPr>
              <w:t>工作内容</w:t>
            </w:r>
          </w:p>
        </w:tc>
        <w:tc>
          <w:tcPr>
            <w:tcW w:w="6564" w:type="dxa"/>
            <w:gridSpan w:val="10"/>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vertAlign w:val="baseline"/>
                <w:lang w:eastAsia="zh-CN"/>
              </w:rPr>
            </w:pPr>
            <w:r>
              <w:rPr>
                <w:rFonts w:hint="eastAsia"/>
                <w:sz w:val="20"/>
                <w:szCs w:val="20"/>
                <w:vertAlign w:val="baseline"/>
                <w:lang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评价等级与范围</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评价等级</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一级</w:t>
            </w:r>
            <w:r>
              <w:rPr>
                <w:rFonts w:hint="eastAsia" w:ascii="宋体" w:hAnsi="宋体" w:cs="Times New Roman"/>
                <w:sz w:val="20"/>
                <w:szCs w:val="20"/>
              </w:rPr>
              <w:sym w:font="Wingdings 2" w:char="00A3"/>
            </w:r>
            <w:r>
              <w:rPr>
                <w:rFonts w:hint="eastAsia" w:cs="Times New Roman"/>
                <w:sz w:val="20"/>
                <w:szCs w:val="20"/>
                <w:lang w:val="en-US" w:eastAsia="zh-CN"/>
              </w:rPr>
              <w:t xml:space="preserve">                   二级</w:t>
            </w:r>
            <w:r>
              <w:rPr>
                <w:rFonts w:hint="eastAsia" w:ascii="宋体" w:hAnsi="宋体" w:cs="Times New Roman"/>
                <w:sz w:val="20"/>
                <w:szCs w:val="20"/>
              </w:rPr>
              <w:t>□</w:t>
            </w:r>
            <w:r>
              <w:rPr>
                <w:rFonts w:hint="eastAsia" w:cs="Times New Roman"/>
                <w:sz w:val="20"/>
                <w:szCs w:val="20"/>
                <w:lang w:val="en-US" w:eastAsia="zh-CN"/>
              </w:rPr>
              <w:t xml:space="preserve">                   三级</w:t>
            </w:r>
            <w:r>
              <w:rPr>
                <w:rFonts w:hint="eastAsia" w:ascii="宋体" w:hAnsi="宋体" w:cs="Times New Roman"/>
                <w:sz w:val="20"/>
                <w:szCs w:val="20"/>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评价范围</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ascii="Times New Roman" w:hAnsi="Times New Roman"/>
                <w:sz w:val="20"/>
                <w:szCs w:val="20"/>
                <w:vertAlign w:val="baseline"/>
                <w:lang w:val="en-US" w:eastAsia="zh-CN"/>
              </w:rPr>
              <w:t>200m</w:t>
            </w:r>
            <w:r>
              <w:rPr>
                <w:rFonts w:hint="eastAsia" w:ascii="宋体" w:hAnsi="宋体" w:cs="Times New Roman"/>
                <w:sz w:val="20"/>
                <w:szCs w:val="20"/>
              </w:rPr>
              <w:t>□</w:t>
            </w:r>
            <w:r>
              <w:rPr>
                <w:rFonts w:hint="eastAsia" w:cs="Times New Roman"/>
                <w:sz w:val="20"/>
                <w:szCs w:val="20"/>
                <w:lang w:val="en-US" w:eastAsia="zh-CN"/>
              </w:rPr>
              <w:t xml:space="preserve">               大于</w:t>
            </w:r>
            <w:r>
              <w:rPr>
                <w:rFonts w:hint="eastAsia" w:ascii="Times New Roman" w:hAnsi="Times New Roman" w:cs="Times New Roman"/>
                <w:sz w:val="20"/>
                <w:szCs w:val="20"/>
                <w:lang w:val="en-US" w:eastAsia="zh-CN"/>
              </w:rPr>
              <w:t>200m</w:t>
            </w:r>
            <w:r>
              <w:rPr>
                <w:rFonts w:hint="eastAsia" w:ascii="宋体" w:hAnsi="宋体" w:cs="Times New Roman"/>
                <w:sz w:val="20"/>
                <w:szCs w:val="20"/>
              </w:rPr>
              <w:t>□</w:t>
            </w:r>
            <w:r>
              <w:rPr>
                <w:rFonts w:hint="eastAsia" w:cs="Times New Roman"/>
                <w:sz w:val="20"/>
                <w:szCs w:val="20"/>
                <w:lang w:val="en-US" w:eastAsia="zh-CN"/>
              </w:rPr>
              <w:t xml:space="preserve">               小于</w:t>
            </w:r>
            <w:r>
              <w:rPr>
                <w:rFonts w:hint="eastAsia" w:ascii="Times New Roman" w:hAnsi="Times New Roman" w:cs="Times New Roman"/>
                <w:sz w:val="20"/>
                <w:szCs w:val="20"/>
                <w:lang w:val="en-US" w:eastAsia="zh-CN"/>
              </w:rPr>
              <w:t>200m</w:t>
            </w:r>
            <w:r>
              <w:rPr>
                <w:rFonts w:hint="eastAsia" w:ascii="宋体" w:hAnsi="宋体" w:cs="Times New Roman"/>
                <w:sz w:val="20"/>
                <w:szCs w:val="20"/>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评价因子</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评价因子</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等效连续</w:t>
            </w:r>
            <w:r>
              <w:rPr>
                <w:rFonts w:hint="eastAsia" w:ascii="Times New Roman" w:hAnsi="Times New Roman"/>
                <w:sz w:val="20"/>
                <w:szCs w:val="20"/>
                <w:vertAlign w:val="baseline"/>
                <w:lang w:val="en-US" w:eastAsia="zh-CN"/>
              </w:rPr>
              <w:t>A</w:t>
            </w:r>
            <w:r>
              <w:rPr>
                <w:rFonts w:hint="eastAsia"/>
                <w:sz w:val="20"/>
                <w:szCs w:val="20"/>
                <w:vertAlign w:val="baseline"/>
                <w:lang w:val="en-US" w:eastAsia="zh-CN"/>
              </w:rPr>
              <w:t>声级</w:t>
            </w:r>
            <w:r>
              <w:rPr>
                <w:rFonts w:hint="eastAsia" w:ascii="宋体" w:hAnsi="宋体" w:cs="Times New Roman"/>
                <w:sz w:val="20"/>
                <w:szCs w:val="20"/>
              </w:rPr>
              <w:sym w:font="Wingdings 2" w:char="0052"/>
            </w:r>
            <w:r>
              <w:rPr>
                <w:rFonts w:hint="eastAsia" w:cs="Times New Roman"/>
                <w:sz w:val="20"/>
                <w:szCs w:val="20"/>
                <w:lang w:val="en-US" w:eastAsia="zh-CN"/>
              </w:rPr>
              <w:t xml:space="preserve">      最大</w:t>
            </w:r>
            <w:r>
              <w:rPr>
                <w:rFonts w:hint="eastAsia" w:ascii="Times New Roman" w:hAnsi="Times New Roman" w:cs="Times New Roman"/>
                <w:sz w:val="20"/>
                <w:szCs w:val="20"/>
                <w:lang w:val="en-US" w:eastAsia="zh-CN"/>
              </w:rPr>
              <w:t>A</w:t>
            </w:r>
            <w:r>
              <w:rPr>
                <w:rFonts w:hint="eastAsia" w:cs="Times New Roman"/>
                <w:sz w:val="20"/>
                <w:szCs w:val="20"/>
                <w:lang w:val="en-US" w:eastAsia="zh-CN"/>
              </w:rPr>
              <w:t>声级</w:t>
            </w:r>
            <w:r>
              <w:rPr>
                <w:rFonts w:hint="eastAsia" w:ascii="宋体" w:hAnsi="宋体" w:cs="Times New Roman"/>
                <w:sz w:val="20"/>
                <w:szCs w:val="20"/>
              </w:rPr>
              <w:t>□</w:t>
            </w:r>
            <w:r>
              <w:rPr>
                <w:rFonts w:hint="eastAsia" w:cs="Times New Roman"/>
                <w:sz w:val="20"/>
                <w:szCs w:val="20"/>
                <w:lang w:val="en-US" w:eastAsia="zh-CN"/>
              </w:rPr>
              <w:t xml:space="preserve">    计权等效连续感觉噪声级</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评价标准</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评价标准</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国家标准</w:t>
            </w:r>
            <w:r>
              <w:rPr>
                <w:rFonts w:hint="eastAsia" w:ascii="宋体" w:hAnsi="宋体" w:cs="Times New Roman"/>
                <w:sz w:val="18"/>
                <w:szCs w:val="18"/>
              </w:rPr>
              <w:sym w:font="Wingdings 2" w:char="0052"/>
            </w:r>
            <w:r>
              <w:rPr>
                <w:rFonts w:hint="eastAsia" w:cs="Times New Roman"/>
                <w:sz w:val="18"/>
                <w:szCs w:val="18"/>
                <w:lang w:val="en-US" w:eastAsia="zh-CN"/>
              </w:rPr>
              <w:t xml:space="preserve">                </w:t>
            </w:r>
            <w:r>
              <w:rPr>
                <w:rFonts w:hint="eastAsia" w:cs="Times New Roman"/>
                <w:sz w:val="20"/>
                <w:szCs w:val="20"/>
                <w:lang w:val="en-US" w:eastAsia="zh-CN"/>
              </w:rPr>
              <w:t>地方标准</w:t>
            </w:r>
            <w:r>
              <w:rPr>
                <w:rFonts w:hint="eastAsia" w:ascii="宋体" w:hAnsi="宋体" w:cs="Times New Roman"/>
                <w:sz w:val="18"/>
                <w:szCs w:val="18"/>
              </w:rPr>
              <w:t>□</w:t>
            </w:r>
            <w:r>
              <w:rPr>
                <w:rFonts w:hint="eastAsia" w:cs="Times New Roman"/>
                <w:sz w:val="18"/>
                <w:szCs w:val="18"/>
                <w:lang w:val="en-US" w:eastAsia="zh-CN"/>
              </w:rPr>
              <w:t xml:space="preserve">                </w:t>
            </w:r>
            <w:r>
              <w:rPr>
                <w:rFonts w:hint="eastAsia" w:cs="Times New Roman"/>
                <w:sz w:val="20"/>
                <w:szCs w:val="20"/>
                <w:lang w:val="en-US" w:eastAsia="zh-CN"/>
              </w:rPr>
              <w:t>国外标准</w:t>
            </w:r>
            <w:r>
              <w:rPr>
                <w:rFonts w:hint="eastAsia" w:ascii="宋体" w:hAnsi="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现状评价</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r>
              <w:rPr>
                <w:rFonts w:hint="eastAsia"/>
                <w:spacing w:val="-11"/>
                <w:sz w:val="20"/>
                <w:szCs w:val="20"/>
                <w:vertAlign w:val="baseline"/>
                <w:lang w:eastAsia="zh-CN"/>
              </w:rPr>
              <w:t>环境功能区</w:t>
            </w:r>
          </w:p>
        </w:tc>
        <w:tc>
          <w:tcPr>
            <w:tcW w:w="10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val="en-US" w:eastAsia="zh-CN"/>
              </w:rPr>
            </w:pPr>
            <w:r>
              <w:rPr>
                <w:rFonts w:hint="eastAsia" w:ascii="Times New Roman" w:hAnsi="Times New Roman"/>
                <w:sz w:val="20"/>
                <w:szCs w:val="20"/>
                <w:vertAlign w:val="baseline"/>
                <w:lang w:val="en-US" w:eastAsia="zh-CN"/>
              </w:rPr>
              <w:t>0</w:t>
            </w:r>
            <w:r>
              <w:rPr>
                <w:rFonts w:hint="eastAsia"/>
                <w:sz w:val="20"/>
                <w:szCs w:val="20"/>
                <w:vertAlign w:val="baseline"/>
                <w:lang w:val="en-US" w:eastAsia="zh-CN"/>
              </w:rPr>
              <w:t>类区</w:t>
            </w:r>
            <w:r>
              <w:rPr>
                <w:rFonts w:hint="eastAsia" w:ascii="宋体" w:hAnsi="宋体" w:cs="Times New Roman"/>
                <w:sz w:val="18"/>
                <w:szCs w:val="18"/>
              </w:rPr>
              <w:t>□</w:t>
            </w:r>
          </w:p>
        </w:tc>
        <w:tc>
          <w:tcPr>
            <w:tcW w:w="109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lang w:val="en-US" w:eastAsia="zh-CN"/>
              </w:rPr>
            </w:pPr>
            <w:r>
              <w:rPr>
                <w:rFonts w:hint="eastAsia" w:ascii="Times New Roman" w:hAnsi="Times New Roman"/>
                <w:sz w:val="20"/>
                <w:szCs w:val="20"/>
                <w:vertAlign w:val="baseline"/>
                <w:lang w:val="en-US" w:eastAsia="zh-CN"/>
              </w:rPr>
              <w:t>1</w:t>
            </w:r>
            <w:r>
              <w:rPr>
                <w:rFonts w:hint="eastAsia"/>
                <w:sz w:val="20"/>
                <w:szCs w:val="20"/>
                <w:vertAlign w:val="baseline"/>
                <w:lang w:val="en-US" w:eastAsia="zh-CN"/>
              </w:rPr>
              <w:t>类区</w:t>
            </w:r>
            <w:r>
              <w:rPr>
                <w:rFonts w:hint="eastAsia" w:ascii="宋体" w:hAnsi="宋体" w:cs="Times New Roman"/>
                <w:sz w:val="18"/>
                <w:szCs w:val="18"/>
              </w:rPr>
              <w:t>□</w:t>
            </w:r>
          </w:p>
        </w:tc>
        <w:tc>
          <w:tcPr>
            <w:tcW w:w="10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val="en-US" w:eastAsia="zh-CN"/>
              </w:rPr>
            </w:pPr>
            <w:r>
              <w:rPr>
                <w:rFonts w:hint="eastAsia" w:ascii="Times New Roman" w:hAnsi="Times New Roman"/>
                <w:sz w:val="20"/>
                <w:szCs w:val="20"/>
                <w:vertAlign w:val="baseline"/>
                <w:lang w:val="en-US" w:eastAsia="zh-CN"/>
              </w:rPr>
              <w:t>2</w:t>
            </w:r>
            <w:r>
              <w:rPr>
                <w:rFonts w:hint="eastAsia"/>
                <w:sz w:val="20"/>
                <w:szCs w:val="20"/>
                <w:vertAlign w:val="baseline"/>
                <w:lang w:val="en-US" w:eastAsia="zh-CN"/>
              </w:rPr>
              <w:t>类区</w:t>
            </w:r>
            <w:r>
              <w:rPr>
                <w:rFonts w:hint="eastAsia" w:ascii="宋体" w:hAnsi="宋体" w:cs="Times New Roman"/>
                <w:sz w:val="18"/>
                <w:szCs w:val="18"/>
              </w:rPr>
              <w:t>□</w:t>
            </w: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val="en-US" w:eastAsia="zh-CN"/>
              </w:rPr>
            </w:pPr>
            <w:r>
              <w:rPr>
                <w:rFonts w:hint="eastAsia" w:ascii="Times New Roman" w:hAnsi="Times New Roman"/>
                <w:sz w:val="20"/>
                <w:szCs w:val="20"/>
                <w:vertAlign w:val="baseline"/>
                <w:lang w:val="en-US" w:eastAsia="zh-CN"/>
              </w:rPr>
              <w:t>3</w:t>
            </w:r>
            <w:r>
              <w:rPr>
                <w:rFonts w:hint="eastAsia"/>
                <w:sz w:val="20"/>
                <w:szCs w:val="20"/>
                <w:vertAlign w:val="baseline"/>
                <w:lang w:val="en-US" w:eastAsia="zh-CN"/>
              </w:rPr>
              <w:t>类区</w:t>
            </w:r>
            <w:r>
              <w:rPr>
                <w:rFonts w:hint="eastAsia" w:ascii="宋体" w:hAnsi="宋体" w:cs="Times New Roman"/>
                <w:sz w:val="18"/>
                <w:szCs w:val="18"/>
              </w:rPr>
              <w:sym w:font="Wingdings 2" w:char="0052"/>
            </w:r>
          </w:p>
        </w:tc>
        <w:tc>
          <w:tcPr>
            <w:tcW w:w="10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ascii="Times New Roman" w:hAnsi="Times New Roman"/>
                <w:sz w:val="20"/>
                <w:szCs w:val="20"/>
                <w:vertAlign w:val="baseline"/>
                <w:lang w:val="en-US" w:eastAsia="zh-CN"/>
              </w:rPr>
              <w:t>4a</w:t>
            </w:r>
            <w:r>
              <w:rPr>
                <w:rFonts w:hint="eastAsia"/>
                <w:sz w:val="20"/>
                <w:szCs w:val="20"/>
                <w:vertAlign w:val="baseline"/>
                <w:lang w:val="en-US" w:eastAsia="zh-CN"/>
              </w:rPr>
              <w:t>类区</w:t>
            </w:r>
            <w:r>
              <w:rPr>
                <w:rFonts w:hint="eastAsia" w:ascii="宋体" w:hAnsi="宋体" w:cs="Times New Roman"/>
                <w:sz w:val="18"/>
                <w:szCs w:val="18"/>
              </w:rPr>
              <w:t>□</w:t>
            </w:r>
          </w:p>
        </w:tc>
        <w:tc>
          <w:tcPr>
            <w:tcW w:w="1098"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ascii="Times New Roman" w:hAnsi="Times New Roman"/>
                <w:sz w:val="20"/>
                <w:szCs w:val="20"/>
                <w:vertAlign w:val="baseline"/>
                <w:lang w:val="en-US" w:eastAsia="zh-CN"/>
              </w:rPr>
              <w:t>4b</w:t>
            </w:r>
            <w:r>
              <w:rPr>
                <w:rFonts w:hint="eastAsia"/>
                <w:sz w:val="20"/>
                <w:szCs w:val="20"/>
                <w:vertAlign w:val="baseline"/>
                <w:lang w:val="en-US" w:eastAsia="zh-CN"/>
              </w:rPr>
              <w:t>类区</w:t>
            </w:r>
            <w:r>
              <w:rPr>
                <w:rFonts w:hint="eastAsia" w:ascii="宋体" w:hAnsi="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r>
              <w:rPr>
                <w:rFonts w:hint="eastAsia"/>
                <w:spacing w:val="-11"/>
                <w:sz w:val="20"/>
                <w:szCs w:val="20"/>
                <w:vertAlign w:val="baseline"/>
                <w:lang w:eastAsia="zh-CN"/>
              </w:rPr>
              <w:t>评价年度</w:t>
            </w:r>
          </w:p>
        </w:tc>
        <w:tc>
          <w:tcPr>
            <w:tcW w:w="16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初期</w:t>
            </w:r>
            <w:r>
              <w:rPr>
                <w:rFonts w:hint="eastAsia" w:ascii="宋体" w:hAnsi="宋体" w:cs="Times New Roman"/>
                <w:sz w:val="18"/>
                <w:szCs w:val="18"/>
              </w:rPr>
              <w:sym w:font="Wingdings 2" w:char="0052"/>
            </w:r>
          </w:p>
        </w:tc>
        <w:tc>
          <w:tcPr>
            <w:tcW w:w="164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近期</w:t>
            </w:r>
            <w:r>
              <w:rPr>
                <w:rFonts w:hint="eastAsia" w:ascii="宋体" w:hAnsi="宋体" w:cs="Times New Roman"/>
                <w:sz w:val="18"/>
                <w:szCs w:val="18"/>
              </w:rPr>
              <w:t>□</w:t>
            </w:r>
          </w:p>
        </w:tc>
        <w:tc>
          <w:tcPr>
            <w:tcW w:w="1640"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中期</w:t>
            </w:r>
            <w:r>
              <w:rPr>
                <w:rFonts w:hint="eastAsia" w:ascii="宋体" w:hAnsi="宋体" w:cs="Times New Roman"/>
                <w:sz w:val="18"/>
                <w:szCs w:val="18"/>
              </w:rPr>
              <w:t>□</w:t>
            </w:r>
          </w:p>
        </w:tc>
        <w:tc>
          <w:tcPr>
            <w:tcW w:w="1644" w:type="dxa"/>
            <w:gridSpan w:val="2"/>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远期</w:t>
            </w:r>
            <w:r>
              <w:rPr>
                <w:rFonts w:hint="eastAsia" w:ascii="宋体" w:hAnsi="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现状调查方法</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现场实测法</w:t>
            </w:r>
            <w:r>
              <w:rPr>
                <w:rFonts w:hint="eastAsia" w:ascii="宋体" w:hAnsi="宋体" w:cs="Times New Roman"/>
                <w:sz w:val="18"/>
                <w:szCs w:val="18"/>
              </w:rPr>
              <w:sym w:font="Wingdings 2" w:char="00A3"/>
            </w:r>
            <w:r>
              <w:rPr>
                <w:rFonts w:hint="eastAsia" w:cs="Times New Roman"/>
                <w:sz w:val="18"/>
                <w:szCs w:val="18"/>
                <w:lang w:val="en-US" w:eastAsia="zh-CN"/>
              </w:rPr>
              <w:t xml:space="preserve">         </w:t>
            </w:r>
            <w:r>
              <w:rPr>
                <w:rFonts w:hint="eastAsia" w:cs="Times New Roman"/>
                <w:sz w:val="20"/>
                <w:szCs w:val="20"/>
                <w:lang w:val="en-US" w:eastAsia="zh-CN"/>
              </w:rPr>
              <w:t>现场实测加模型计算法</w:t>
            </w:r>
            <w:r>
              <w:rPr>
                <w:rFonts w:hint="eastAsia" w:ascii="宋体" w:hAnsi="宋体" w:cs="Times New Roman"/>
                <w:sz w:val="18"/>
                <w:szCs w:val="18"/>
              </w:rPr>
              <w:t>□</w:t>
            </w:r>
            <w:r>
              <w:rPr>
                <w:rFonts w:hint="eastAsia" w:cs="Times New Roman"/>
                <w:sz w:val="18"/>
                <w:szCs w:val="18"/>
                <w:lang w:val="en-US" w:eastAsia="zh-CN"/>
              </w:rPr>
              <w:t xml:space="preserve">         </w:t>
            </w:r>
            <w:r>
              <w:rPr>
                <w:rFonts w:hint="eastAsia" w:cs="Times New Roman"/>
                <w:sz w:val="20"/>
                <w:szCs w:val="20"/>
                <w:lang w:val="en-US" w:eastAsia="zh-CN"/>
              </w:rPr>
              <w:t>收集资料</w:t>
            </w:r>
            <w:r>
              <w:rPr>
                <w:rFonts w:hint="eastAsia" w:ascii="宋体" w:hAnsi="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现状评价</w:t>
            </w:r>
          </w:p>
        </w:tc>
        <w:tc>
          <w:tcPr>
            <w:tcW w:w="199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rPr>
            </w:pPr>
            <w:r>
              <w:rPr>
                <w:rFonts w:hint="eastAsia"/>
                <w:sz w:val="20"/>
                <w:szCs w:val="20"/>
                <w:vertAlign w:val="baseline"/>
                <w:lang w:eastAsia="zh-CN"/>
              </w:rPr>
              <w:t>达标百分比</w:t>
            </w:r>
          </w:p>
        </w:tc>
        <w:tc>
          <w:tcPr>
            <w:tcW w:w="4571" w:type="dxa"/>
            <w:gridSpan w:val="7"/>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ascii="Times New Roman" w:hAnsi="Times New Roman"/>
                <w:sz w:val="20"/>
                <w:szCs w:val="20"/>
                <w:vertAlign w:val="baseline"/>
                <w:lang w:val="en-US" w:eastAsia="zh-CN"/>
              </w:rPr>
              <w:t>100</w:t>
            </w:r>
            <w:r>
              <w:rPr>
                <w:rFonts w:hint="eastAsia"/>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噪声源调查</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噪声源调查方法</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现场实测</w:t>
            </w:r>
            <w:r>
              <w:rPr>
                <w:rFonts w:hint="eastAsia" w:ascii="宋体" w:hAnsi="宋体" w:cs="Times New Roman"/>
                <w:sz w:val="18"/>
                <w:szCs w:val="18"/>
              </w:rPr>
              <w:t>□</w:t>
            </w:r>
            <w:r>
              <w:rPr>
                <w:rFonts w:hint="eastAsia" w:cs="Times New Roman"/>
                <w:sz w:val="18"/>
                <w:szCs w:val="18"/>
                <w:lang w:val="en-US" w:eastAsia="zh-CN"/>
              </w:rPr>
              <w:t xml:space="preserve">            </w:t>
            </w:r>
            <w:r>
              <w:rPr>
                <w:rFonts w:hint="eastAsia" w:cs="Times New Roman"/>
                <w:sz w:val="20"/>
                <w:szCs w:val="20"/>
                <w:vertAlign w:val="baseline"/>
                <w:lang w:val="en-US" w:eastAsia="zh-CN"/>
              </w:rPr>
              <w:t xml:space="preserve">  已有资料</w:t>
            </w:r>
            <w:r>
              <w:rPr>
                <w:rFonts w:hint="eastAsia" w:cs="Times New Roman"/>
                <w:sz w:val="20"/>
                <w:szCs w:val="20"/>
                <w:vertAlign w:val="baseline"/>
                <w:lang w:eastAsia="zh-CN"/>
              </w:rPr>
              <w:sym w:font="Wingdings 2" w:char="0052"/>
            </w:r>
            <w:r>
              <w:rPr>
                <w:rFonts w:hint="eastAsia" w:cs="Times New Roman"/>
                <w:sz w:val="20"/>
                <w:szCs w:val="20"/>
                <w:vertAlign w:val="baseline"/>
                <w:lang w:val="en-US" w:eastAsia="zh-CN"/>
              </w:rPr>
              <w:t xml:space="preserve">             研究成果</w:t>
            </w:r>
            <w:r>
              <w:rPr>
                <w:rFonts w:hint="eastAsia" w:cs="Times New Roman"/>
                <w:sz w:val="20"/>
                <w:szCs w:val="20"/>
                <w:vertAlign w:val="baseline"/>
                <w:lang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声环境影响预测与评价</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预测模型</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导则推荐模型</w:t>
            </w:r>
            <w:r>
              <w:rPr>
                <w:rFonts w:hint="eastAsia" w:ascii="宋体" w:hAnsi="宋体" w:cs="Times New Roman"/>
                <w:sz w:val="18"/>
                <w:szCs w:val="18"/>
              </w:rPr>
              <w:sym w:font="Wingdings 2" w:char="0052"/>
            </w:r>
            <w:r>
              <w:rPr>
                <w:rFonts w:hint="eastAsia" w:cs="Times New Roman"/>
                <w:sz w:val="18"/>
                <w:szCs w:val="18"/>
                <w:lang w:val="en-US" w:eastAsia="zh-CN"/>
              </w:rPr>
              <w:t xml:space="preserve">               其他</w:t>
            </w:r>
            <w:r>
              <w:rPr>
                <w:rFonts w:hint="eastAsia" w:ascii="宋体" w:hAnsi="宋体" w:cs="Times New Roman"/>
                <w:sz w:val="18"/>
                <w:szCs w:val="18"/>
              </w:rPr>
              <w:t>□</w:t>
            </w:r>
            <w:r>
              <w:rPr>
                <w:rFonts w:hint="eastAsia" w:cs="Times New Roman"/>
                <w:sz w:val="18"/>
                <w:szCs w:val="18"/>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预测范围</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ascii="Times New Roman" w:hAnsi="Times New Roman"/>
                <w:sz w:val="20"/>
                <w:szCs w:val="20"/>
                <w:vertAlign w:val="baseline"/>
                <w:lang w:val="en-US" w:eastAsia="zh-CN"/>
              </w:rPr>
              <w:t>200m</w:t>
            </w:r>
            <w:r>
              <w:rPr>
                <w:rFonts w:hint="eastAsia" w:ascii="宋体" w:hAnsi="宋体" w:cs="Times New Roman"/>
                <w:sz w:val="20"/>
                <w:szCs w:val="20"/>
              </w:rPr>
              <w:t>□</w:t>
            </w:r>
            <w:r>
              <w:rPr>
                <w:rFonts w:hint="eastAsia" w:cs="Times New Roman"/>
                <w:sz w:val="20"/>
                <w:szCs w:val="20"/>
                <w:lang w:val="en-US" w:eastAsia="zh-CN"/>
              </w:rPr>
              <w:t xml:space="preserve">                大于</w:t>
            </w:r>
            <w:r>
              <w:rPr>
                <w:rFonts w:hint="eastAsia" w:ascii="Times New Roman" w:hAnsi="Times New Roman" w:cs="Times New Roman"/>
                <w:sz w:val="20"/>
                <w:szCs w:val="20"/>
                <w:lang w:val="en-US" w:eastAsia="zh-CN"/>
              </w:rPr>
              <w:t>200m</w:t>
            </w:r>
            <w:r>
              <w:rPr>
                <w:rFonts w:hint="eastAsia" w:ascii="宋体" w:hAnsi="宋体" w:cs="Times New Roman"/>
                <w:sz w:val="20"/>
                <w:szCs w:val="20"/>
              </w:rPr>
              <w:t>□</w:t>
            </w:r>
            <w:r>
              <w:rPr>
                <w:rFonts w:hint="eastAsia" w:cs="Times New Roman"/>
                <w:sz w:val="20"/>
                <w:szCs w:val="20"/>
                <w:lang w:val="en-US" w:eastAsia="zh-CN"/>
              </w:rPr>
              <w:t xml:space="preserve">              小于</w:t>
            </w:r>
            <w:r>
              <w:rPr>
                <w:rFonts w:hint="eastAsia" w:ascii="Times New Roman" w:hAnsi="Times New Roman" w:cs="Times New Roman"/>
                <w:sz w:val="20"/>
                <w:szCs w:val="20"/>
                <w:lang w:val="en-US" w:eastAsia="zh-CN"/>
              </w:rPr>
              <w:t>200m</w:t>
            </w:r>
            <w:r>
              <w:rPr>
                <w:rFonts w:hint="eastAsia" w:ascii="宋体" w:hAnsi="宋体" w:cs="Times New Roman"/>
                <w:sz w:val="20"/>
                <w:szCs w:val="20"/>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预测因子</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rPr>
            </w:pPr>
            <w:r>
              <w:rPr>
                <w:rFonts w:hint="eastAsia"/>
                <w:sz w:val="20"/>
                <w:szCs w:val="20"/>
                <w:vertAlign w:val="baseline"/>
                <w:lang w:eastAsia="zh-CN"/>
              </w:rPr>
              <w:t>等效连续</w:t>
            </w:r>
            <w:r>
              <w:rPr>
                <w:rFonts w:hint="eastAsia" w:ascii="Times New Roman" w:hAnsi="Times New Roman"/>
                <w:sz w:val="20"/>
                <w:szCs w:val="20"/>
                <w:vertAlign w:val="baseline"/>
                <w:lang w:val="en-US" w:eastAsia="zh-CN"/>
              </w:rPr>
              <w:t>A</w:t>
            </w:r>
            <w:r>
              <w:rPr>
                <w:rFonts w:hint="eastAsia"/>
                <w:sz w:val="20"/>
                <w:szCs w:val="20"/>
                <w:vertAlign w:val="baseline"/>
                <w:lang w:val="en-US" w:eastAsia="zh-CN"/>
              </w:rPr>
              <w:t>声级</w:t>
            </w:r>
            <w:r>
              <w:rPr>
                <w:rFonts w:hint="eastAsia" w:ascii="宋体" w:hAnsi="宋体" w:cs="Times New Roman"/>
                <w:sz w:val="20"/>
                <w:szCs w:val="20"/>
              </w:rPr>
              <w:sym w:font="Wingdings 2" w:char="0052"/>
            </w:r>
            <w:r>
              <w:rPr>
                <w:rFonts w:hint="eastAsia" w:cs="Times New Roman"/>
                <w:sz w:val="20"/>
                <w:szCs w:val="20"/>
                <w:lang w:val="en-US" w:eastAsia="zh-CN"/>
              </w:rPr>
              <w:t xml:space="preserve">      最大</w:t>
            </w:r>
            <w:r>
              <w:rPr>
                <w:rFonts w:hint="eastAsia" w:ascii="Times New Roman" w:hAnsi="Times New Roman" w:cs="Times New Roman"/>
                <w:sz w:val="20"/>
                <w:szCs w:val="20"/>
                <w:lang w:val="en-US" w:eastAsia="zh-CN"/>
              </w:rPr>
              <w:t>A</w:t>
            </w:r>
            <w:r>
              <w:rPr>
                <w:rFonts w:hint="eastAsia" w:cs="Times New Roman"/>
                <w:sz w:val="20"/>
                <w:szCs w:val="20"/>
                <w:lang w:val="en-US" w:eastAsia="zh-CN"/>
              </w:rPr>
              <w:t>声级</w:t>
            </w:r>
            <w:r>
              <w:rPr>
                <w:rFonts w:hint="eastAsia" w:ascii="宋体" w:hAnsi="宋体" w:cs="Times New Roman"/>
                <w:sz w:val="20"/>
                <w:szCs w:val="20"/>
              </w:rPr>
              <w:t>□</w:t>
            </w:r>
            <w:r>
              <w:rPr>
                <w:rFonts w:hint="eastAsia" w:cs="Times New Roman"/>
                <w:sz w:val="20"/>
                <w:szCs w:val="20"/>
                <w:lang w:val="en-US" w:eastAsia="zh-CN"/>
              </w:rPr>
              <w:t xml:space="preserve">    计权等效连续感觉噪声级</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厂界噪声贡献值</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rPr>
            </w:pPr>
            <w:r>
              <w:rPr>
                <w:rFonts w:hint="eastAsia"/>
                <w:sz w:val="20"/>
                <w:szCs w:val="20"/>
                <w:vertAlign w:val="baseline"/>
                <w:lang w:eastAsia="zh-CN"/>
              </w:rPr>
              <w:t>达标</w:t>
            </w:r>
            <w:r>
              <w:rPr>
                <w:rFonts w:hint="eastAsia" w:ascii="宋体" w:hAnsi="宋体" w:cs="Times New Roman"/>
                <w:sz w:val="18"/>
                <w:szCs w:val="18"/>
              </w:rPr>
              <w:sym w:font="Wingdings 2" w:char="0052"/>
            </w:r>
            <w:r>
              <w:rPr>
                <w:rFonts w:hint="eastAsia" w:cs="Times New Roman"/>
                <w:sz w:val="18"/>
                <w:szCs w:val="18"/>
                <w:lang w:val="en-US" w:eastAsia="zh-CN"/>
              </w:rPr>
              <w:t xml:space="preserve">                         </w:t>
            </w:r>
            <w:r>
              <w:rPr>
                <w:rFonts w:hint="eastAsia"/>
                <w:sz w:val="20"/>
                <w:szCs w:val="20"/>
                <w:vertAlign w:val="baseline"/>
                <w:lang w:eastAsia="zh-CN"/>
              </w:rPr>
              <w:t>不达标</w:t>
            </w:r>
            <w:r>
              <w:rPr>
                <w:rFonts w:hint="eastAsia" w:ascii="宋体" w:hAnsi="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声环境保护目标处噪声值</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rPr>
            </w:pPr>
            <w:r>
              <w:rPr>
                <w:rFonts w:hint="eastAsia"/>
                <w:sz w:val="20"/>
                <w:szCs w:val="20"/>
                <w:vertAlign w:val="baseline"/>
                <w:lang w:eastAsia="zh-CN"/>
              </w:rPr>
              <w:t>达标</w:t>
            </w:r>
            <w:r>
              <w:rPr>
                <w:rFonts w:hint="eastAsia" w:ascii="宋体" w:hAnsi="宋体" w:cs="Times New Roman"/>
                <w:sz w:val="18"/>
                <w:szCs w:val="18"/>
              </w:rPr>
              <w:sym w:font="Wingdings 2" w:char="0052"/>
            </w:r>
            <w:r>
              <w:rPr>
                <w:rFonts w:hint="eastAsia" w:cs="Times New Roman"/>
                <w:sz w:val="18"/>
                <w:szCs w:val="18"/>
                <w:lang w:val="en-US" w:eastAsia="zh-CN"/>
              </w:rPr>
              <w:t xml:space="preserve">                         </w:t>
            </w:r>
            <w:r>
              <w:rPr>
                <w:rFonts w:hint="eastAsia"/>
                <w:sz w:val="20"/>
                <w:szCs w:val="20"/>
                <w:vertAlign w:val="baseline"/>
                <w:lang w:eastAsia="zh-CN"/>
              </w:rPr>
              <w:t>不达标</w:t>
            </w:r>
            <w:r>
              <w:rPr>
                <w:rFonts w:hint="eastAsia" w:ascii="宋体" w:hAnsi="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环境监测计划</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排放监测</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厂界监测</w:t>
            </w:r>
            <w:r>
              <w:rPr>
                <w:rFonts w:hint="eastAsia" w:ascii="宋体" w:hAnsi="宋体" w:cs="Times New Roman"/>
                <w:sz w:val="20"/>
                <w:szCs w:val="20"/>
              </w:rPr>
              <w:sym w:font="Wingdings 2" w:char="0052"/>
            </w:r>
            <w:r>
              <w:rPr>
                <w:rFonts w:hint="eastAsia" w:cs="Times New Roman"/>
                <w:sz w:val="20"/>
                <w:szCs w:val="20"/>
                <w:lang w:val="en-US" w:eastAsia="zh-CN"/>
              </w:rPr>
              <w:t xml:space="preserve">   固定位置监测</w:t>
            </w:r>
            <w:r>
              <w:rPr>
                <w:rFonts w:hint="eastAsia" w:ascii="宋体" w:hAnsi="宋体" w:cs="Times New Roman"/>
                <w:sz w:val="20"/>
                <w:szCs w:val="20"/>
              </w:rPr>
              <w:t>□</w:t>
            </w:r>
            <w:r>
              <w:rPr>
                <w:rFonts w:hint="eastAsia" w:cs="Times New Roman"/>
                <w:sz w:val="20"/>
                <w:szCs w:val="20"/>
                <w:lang w:val="en-US" w:eastAsia="zh-CN"/>
              </w:rPr>
              <w:t xml:space="preserve">   自动监测</w:t>
            </w:r>
            <w:r>
              <w:rPr>
                <w:rFonts w:hint="eastAsia" w:ascii="宋体" w:hAnsi="宋体" w:cs="Times New Roman"/>
                <w:sz w:val="20"/>
                <w:szCs w:val="20"/>
              </w:rPr>
              <w:t>□</w:t>
            </w:r>
            <w:r>
              <w:rPr>
                <w:rFonts w:hint="eastAsia" w:cs="Times New Roman"/>
                <w:sz w:val="20"/>
                <w:szCs w:val="20"/>
                <w:lang w:val="en-US" w:eastAsia="zh-CN"/>
              </w:rPr>
              <w:t xml:space="preserve">   手动监测</w:t>
            </w:r>
            <w:r>
              <w:rPr>
                <w:rFonts w:hint="eastAsia" w:ascii="宋体" w:hAnsi="宋体" w:cs="Times New Roman"/>
                <w:sz w:val="20"/>
                <w:szCs w:val="20"/>
              </w:rPr>
              <w:t>□</w:t>
            </w:r>
            <w:r>
              <w:rPr>
                <w:rFonts w:hint="eastAsia" w:cs="Times New Roman"/>
                <w:sz w:val="20"/>
                <w:szCs w:val="20"/>
                <w:lang w:val="en-US" w:eastAsia="zh-CN"/>
              </w:rPr>
              <w:t xml:space="preserve">  无监测</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0"/>
                <w:szCs w:val="20"/>
                <w:vertAlign w:val="baseline"/>
              </w:rPr>
            </w:pP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声环境保护目标处噪声监测</w:t>
            </w:r>
          </w:p>
        </w:tc>
        <w:tc>
          <w:tcPr>
            <w:tcW w:w="199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rPr>
            </w:pPr>
            <w:r>
              <w:rPr>
                <w:rFonts w:hint="eastAsia"/>
                <w:sz w:val="20"/>
                <w:szCs w:val="20"/>
                <w:vertAlign w:val="baseline"/>
                <w:lang w:eastAsia="zh-CN"/>
              </w:rPr>
              <w:t>监测因子：（）</w:t>
            </w:r>
          </w:p>
        </w:tc>
        <w:tc>
          <w:tcPr>
            <w:tcW w:w="228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rPr>
            </w:pPr>
            <w:r>
              <w:rPr>
                <w:rFonts w:hint="eastAsia"/>
                <w:sz w:val="20"/>
                <w:szCs w:val="20"/>
                <w:vertAlign w:val="baseline"/>
                <w:lang w:eastAsia="zh-CN"/>
              </w:rPr>
              <w:t>监测点位数：（</w:t>
            </w:r>
            <w:r>
              <w:rPr>
                <w:rFonts w:hint="eastAsia"/>
                <w:sz w:val="20"/>
                <w:szCs w:val="20"/>
                <w:vertAlign w:val="baseline"/>
                <w:lang w:val="en-US" w:eastAsia="zh-CN"/>
              </w:rPr>
              <w:t xml:space="preserve">  </w:t>
            </w:r>
            <w:r>
              <w:rPr>
                <w:rFonts w:hint="eastAsia"/>
                <w:sz w:val="20"/>
                <w:szCs w:val="20"/>
                <w:vertAlign w:val="baseline"/>
                <w:lang w:eastAsia="zh-CN"/>
              </w:rPr>
              <w:t>）</w:t>
            </w:r>
          </w:p>
        </w:tc>
        <w:tc>
          <w:tcPr>
            <w:tcW w:w="2286" w:type="dxa"/>
            <w:gridSpan w:val="4"/>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rPr>
            </w:pPr>
            <w:r>
              <w:rPr>
                <w:rFonts w:hint="eastAsia"/>
                <w:sz w:val="20"/>
                <w:szCs w:val="20"/>
                <w:vertAlign w:val="baseline"/>
                <w:lang w:eastAsia="zh-CN"/>
              </w:rPr>
              <w:t>无监测</w:t>
            </w:r>
            <w:r>
              <w:rPr>
                <w:rFonts w:hint="eastAsia" w:ascii="宋体" w:hAnsi="宋体" w:cs="Times New Roman"/>
                <w:sz w:val="18"/>
                <w:szCs w:val="18"/>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评价结论</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pacing w:val="-11"/>
                <w:sz w:val="20"/>
                <w:szCs w:val="20"/>
                <w:vertAlign w:val="baseline"/>
                <w:lang w:eastAsia="zh-CN"/>
              </w:rPr>
            </w:pPr>
            <w:r>
              <w:rPr>
                <w:rFonts w:hint="eastAsia"/>
                <w:spacing w:val="-11"/>
                <w:sz w:val="20"/>
                <w:szCs w:val="20"/>
                <w:vertAlign w:val="baseline"/>
                <w:lang w:eastAsia="zh-CN"/>
              </w:rPr>
              <w:t>环境影响</w:t>
            </w:r>
          </w:p>
        </w:tc>
        <w:tc>
          <w:tcPr>
            <w:tcW w:w="6564" w:type="dxa"/>
            <w:gridSpan w:val="10"/>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0"/>
                <w:szCs w:val="20"/>
                <w:vertAlign w:val="baseline"/>
                <w:lang w:val="en-US" w:eastAsia="zh-CN"/>
              </w:rPr>
            </w:pPr>
            <w:r>
              <w:rPr>
                <w:rFonts w:hint="eastAsia"/>
                <w:sz w:val="20"/>
                <w:szCs w:val="20"/>
                <w:vertAlign w:val="baseline"/>
                <w:lang w:eastAsia="zh-CN"/>
              </w:rPr>
              <w:t>可行</w:t>
            </w:r>
            <w:r>
              <w:rPr>
                <w:rFonts w:hint="eastAsia" w:ascii="宋体" w:hAnsi="宋体" w:cs="Times New Roman"/>
                <w:sz w:val="18"/>
                <w:szCs w:val="18"/>
              </w:rPr>
              <w:sym w:font="Wingdings 2" w:char="0052"/>
            </w:r>
            <w:r>
              <w:rPr>
                <w:rFonts w:hint="eastAsia" w:cs="Times New Roman"/>
                <w:sz w:val="18"/>
                <w:szCs w:val="18"/>
                <w:lang w:val="en-US" w:eastAsia="zh-CN"/>
              </w:rPr>
              <w:t xml:space="preserve">                        </w:t>
            </w:r>
            <w:r>
              <w:rPr>
                <w:rFonts w:hint="eastAsia" w:cs="Times New Roman"/>
                <w:sz w:val="20"/>
                <w:szCs w:val="20"/>
                <w:lang w:val="en-US" w:eastAsia="zh-CN"/>
              </w:rPr>
              <w:t>不可行</w:t>
            </w:r>
            <w:r>
              <w:rPr>
                <w:rFonts w:hint="eastAsia" w:ascii="宋体" w:hAnsi="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12"/>
            <w:tcBorders>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sz w:val="20"/>
                <w:szCs w:val="20"/>
                <w:vertAlign w:val="baseline"/>
              </w:rPr>
            </w:pPr>
            <w:r>
              <w:rPr>
                <w:rFonts w:hint="eastAsia"/>
                <w:spacing w:val="-11"/>
                <w:sz w:val="20"/>
                <w:szCs w:val="20"/>
                <w:vertAlign w:val="baseline"/>
                <w:lang w:eastAsia="zh-CN"/>
              </w:rPr>
              <w:t>注：“</w:t>
            </w:r>
            <w:r>
              <w:rPr>
                <w:rFonts w:hint="eastAsia" w:ascii="宋体" w:hAnsi="宋体" w:cs="Times New Roman"/>
                <w:sz w:val="18"/>
                <w:szCs w:val="18"/>
              </w:rPr>
              <w:t>□</w:t>
            </w:r>
            <w:r>
              <w:rPr>
                <w:rFonts w:hint="eastAsia"/>
                <w:spacing w:val="-11"/>
                <w:sz w:val="20"/>
                <w:szCs w:val="20"/>
                <w:vertAlign w:val="baseline"/>
                <w:lang w:eastAsia="zh-CN"/>
              </w:rPr>
              <w:t>”为勾选项，可√；“（</w:t>
            </w:r>
            <w:r>
              <w:rPr>
                <w:rFonts w:hint="eastAsia"/>
                <w:spacing w:val="-11"/>
                <w:sz w:val="20"/>
                <w:szCs w:val="20"/>
                <w:vertAlign w:val="baseline"/>
                <w:lang w:val="en-US" w:eastAsia="zh-CN"/>
              </w:rPr>
              <w:t xml:space="preserve">      </w:t>
            </w:r>
            <w:r>
              <w:rPr>
                <w:rFonts w:hint="eastAsia"/>
                <w:spacing w:val="-11"/>
                <w:sz w:val="20"/>
                <w:szCs w:val="20"/>
                <w:vertAlign w:val="baseline"/>
                <w:lang w:eastAsia="zh-CN"/>
              </w:rPr>
              <w:t>）”为内容填写项。</w:t>
            </w:r>
          </w:p>
        </w:tc>
      </w:tr>
    </w:tbl>
    <w:p>
      <w:pPr>
        <w:pStyle w:val="4"/>
        <w:spacing w:before="165" w:after="165"/>
        <w:rPr>
          <w:rFonts w:hint="eastAsia"/>
        </w:rPr>
      </w:pPr>
      <w:bookmarkStart w:id="220" w:name="_Toc1355"/>
      <w:bookmarkStart w:id="221" w:name="_Toc28741"/>
      <w:r>
        <w:rPr>
          <w:rFonts w:hint="eastAsia" w:ascii="Times New Roman" w:hAnsi="Times New Roman"/>
          <w:lang w:val="en-US" w:eastAsia="zh-CN"/>
        </w:rPr>
        <w:t>6</w:t>
      </w:r>
      <w:r>
        <w:rPr>
          <w:rFonts w:hint="eastAsia"/>
        </w:rPr>
        <w:t>.</w:t>
      </w:r>
      <w:r>
        <w:rPr>
          <w:rFonts w:hint="eastAsia" w:ascii="Times New Roman" w:hAnsi="Times New Roman"/>
          <w:lang w:val="en-US" w:eastAsia="zh-CN"/>
        </w:rPr>
        <w:t>6</w:t>
      </w:r>
      <w:r>
        <w:rPr>
          <w:rFonts w:hint="eastAsia"/>
        </w:rPr>
        <w:t>固体废物</w:t>
      </w:r>
      <w:r>
        <w:t>环境影响分析</w:t>
      </w:r>
      <w:bookmarkEnd w:id="220"/>
      <w:bookmarkEnd w:id="221"/>
    </w:p>
    <w:bookmarkEnd w:id="176"/>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val="en-US" w:eastAsia="zh-CN"/>
        </w:rPr>
        <w:t>固废的产生、收集、贮存过程分析</w:t>
      </w:r>
    </w:p>
    <w:p>
      <w:pPr>
        <w:spacing w:line="440" w:lineRule="exact"/>
        <w:rPr>
          <w:rFonts w:hint="eastAsia"/>
          <w:lang w:eastAsia="zh-CN"/>
        </w:rPr>
      </w:pPr>
      <w:r>
        <w:rPr>
          <w:rFonts w:hint="eastAsia"/>
          <w:lang w:eastAsia="zh-CN"/>
        </w:rPr>
        <w:t>（</w:t>
      </w:r>
      <w:r>
        <w:rPr>
          <w:rFonts w:hint="eastAsia" w:ascii="Times New Roman" w:hAnsi="Times New Roman"/>
          <w:lang w:val="en-US" w:eastAsia="zh-CN"/>
        </w:rPr>
        <w:t>1</w:t>
      </w:r>
      <w:r>
        <w:rPr>
          <w:rFonts w:hint="eastAsia"/>
          <w:lang w:eastAsia="zh-CN"/>
        </w:rPr>
        <w:t>）一般固废</w:t>
      </w:r>
    </w:p>
    <w:p>
      <w:pPr>
        <w:spacing w:line="440" w:lineRule="exact"/>
        <w:rPr>
          <w:rFonts w:hint="eastAsia"/>
          <w:lang w:val="en-US" w:eastAsia="zh-CN"/>
        </w:rPr>
      </w:pPr>
      <w:r>
        <w:rPr>
          <w:rFonts w:hint="eastAsia"/>
          <w:lang w:val="en-US" w:eastAsia="zh-CN"/>
        </w:rPr>
        <w:t>本项目新增一般固废主要为新增的少量污水站污泥产生量，纳入厂内现有工程固废管理，压滤后拉运至乌苏工业园区一般工业固废填埋场。</w:t>
      </w:r>
    </w:p>
    <w:p>
      <w:pPr>
        <w:spacing w:line="440" w:lineRule="exact"/>
        <w:rPr>
          <w:rFonts w:hint="eastAsia"/>
          <w:lang w:eastAsia="zh-CN"/>
        </w:rPr>
      </w:pPr>
      <w:r>
        <w:rPr>
          <w:rFonts w:hint="eastAsia"/>
          <w:lang w:eastAsia="zh-CN"/>
        </w:rPr>
        <w:t>（</w:t>
      </w:r>
      <w:r>
        <w:rPr>
          <w:rFonts w:hint="eastAsia" w:ascii="Times New Roman" w:hAnsi="Times New Roman"/>
          <w:lang w:val="en-US" w:eastAsia="zh-CN"/>
        </w:rPr>
        <w:t>2</w:t>
      </w:r>
      <w:r>
        <w:rPr>
          <w:rFonts w:hint="eastAsia"/>
          <w:lang w:eastAsia="zh-CN"/>
        </w:rPr>
        <w:t>）危险废物</w:t>
      </w:r>
    </w:p>
    <w:p>
      <w:pPr>
        <w:spacing w:line="440" w:lineRule="exact"/>
        <w:rPr>
          <w:rFonts w:hint="default" w:eastAsia="宋体"/>
          <w:lang w:val="en-US" w:eastAsia="zh-CN"/>
        </w:rPr>
      </w:pPr>
      <w:r>
        <w:rPr>
          <w:rFonts w:hint="eastAsia"/>
          <w:lang w:val="en-US" w:eastAsia="zh-CN"/>
        </w:rPr>
        <w:t>本项目主要危险废物为废催化剂，包括</w:t>
      </w:r>
      <w:r>
        <w:rPr>
          <w:rFonts w:hint="eastAsia" w:ascii="Times New Roman" w:hAnsi="Times New Roman"/>
          <w:lang w:val="en-US" w:eastAsia="zh-CN"/>
        </w:rPr>
        <w:t>PD</w:t>
      </w:r>
      <w:r>
        <w:rPr>
          <w:rFonts w:hint="eastAsia"/>
          <w:lang w:val="en-US" w:eastAsia="zh-CN"/>
        </w:rPr>
        <w:t>反应器废催化剂，废物代码：</w:t>
      </w:r>
      <w:r>
        <w:rPr>
          <w:rFonts w:hint="eastAsia" w:ascii="Times New Roman" w:hAnsi="Times New Roman"/>
          <w:lang w:val="en-US" w:eastAsia="zh-CN"/>
        </w:rPr>
        <w:t>276</w:t>
      </w:r>
      <w:r>
        <w:rPr>
          <w:rFonts w:hint="eastAsia"/>
          <w:lang w:val="en-US" w:eastAsia="zh-CN"/>
        </w:rPr>
        <w:t>-</w:t>
      </w:r>
      <w:r>
        <w:rPr>
          <w:rFonts w:hint="eastAsia" w:ascii="Times New Roman" w:hAnsi="Times New Roman"/>
          <w:lang w:val="en-US" w:eastAsia="zh-CN"/>
        </w:rPr>
        <w:t>006</w:t>
      </w:r>
      <w:r>
        <w:rPr>
          <w:rFonts w:hint="eastAsia"/>
          <w:lang w:val="en-US" w:eastAsia="zh-CN"/>
        </w:rPr>
        <w:t>-</w:t>
      </w:r>
      <w:r>
        <w:rPr>
          <w:rFonts w:hint="eastAsia" w:ascii="Times New Roman" w:hAnsi="Times New Roman"/>
          <w:lang w:val="en-US" w:eastAsia="zh-CN"/>
        </w:rPr>
        <w:t>50</w:t>
      </w:r>
      <w:r>
        <w:rPr>
          <w:rFonts w:hint="eastAsia"/>
          <w:lang w:val="en-US" w:eastAsia="zh-CN"/>
        </w:rPr>
        <w:t>，合计产生量约</w:t>
      </w:r>
      <w:r>
        <w:rPr>
          <w:rFonts w:hint="eastAsia" w:ascii="Times New Roman" w:hAnsi="Times New Roman"/>
          <w:lang w:val="en-US" w:eastAsia="zh-CN"/>
        </w:rPr>
        <w:t>0</w:t>
      </w:r>
      <w:r>
        <w:rPr>
          <w:rFonts w:hint="eastAsia" w:ascii="Times New Roman" w:hAnsi="Times New Roman"/>
          <w:lang w:val="en-US" w:eastAsia="zh-CN"/>
        </w:rPr>
        <w:t>.</w:t>
      </w:r>
      <w:r>
        <w:rPr>
          <w:rFonts w:hint="eastAsia" w:ascii="Times New Roman" w:hAnsi="Times New Roman"/>
          <w:lang w:val="en-US" w:eastAsia="zh-CN"/>
        </w:rPr>
        <w:t>6t</w:t>
      </w:r>
      <w:r>
        <w:rPr>
          <w:rFonts w:hint="eastAsia"/>
          <w:lang w:val="en-US" w:eastAsia="zh-CN"/>
        </w:rPr>
        <w:t>/</w:t>
      </w:r>
      <w:r>
        <w:rPr>
          <w:rFonts w:hint="eastAsia" w:ascii="Times New Roman" w:hAnsi="Times New Roman"/>
          <w:lang w:val="en-US" w:eastAsia="zh-CN"/>
        </w:rPr>
        <w:t>a</w:t>
      </w:r>
      <w:r>
        <w:rPr>
          <w:rFonts w:hint="eastAsia"/>
          <w:lang w:val="en-US" w:eastAsia="zh-CN"/>
        </w:rPr>
        <w:t>，厂内危险废物贮存库暂存，定期委托有资质的单位处理。</w:t>
      </w:r>
    </w:p>
    <w:p>
      <w:pPr>
        <w:ind w:firstLine="480"/>
        <w:rPr>
          <w:rFonts w:hint="eastAsia" w:eastAsia="宋体"/>
          <w:lang w:eastAsia="zh-CN"/>
        </w:rPr>
      </w:pPr>
      <w:r>
        <w:rPr>
          <w:rFonts w:hint="eastAsia"/>
          <w:lang w:eastAsia="zh-CN"/>
        </w:rPr>
        <w:t>（</w:t>
      </w:r>
      <w:r>
        <w:rPr>
          <w:rFonts w:hint="eastAsia" w:ascii="Times New Roman" w:hAnsi="Times New Roman"/>
          <w:lang w:val="en-US" w:eastAsia="zh-CN"/>
        </w:rPr>
        <w:t>3</w:t>
      </w:r>
      <w:r>
        <w:rPr>
          <w:rFonts w:hint="eastAsia"/>
          <w:lang w:eastAsia="zh-CN"/>
        </w:rPr>
        <w:t>）生活垃圾</w:t>
      </w:r>
    </w:p>
    <w:p>
      <w:pPr>
        <w:ind w:firstLine="480"/>
        <w:rPr>
          <w:rFonts w:hint="eastAsia"/>
          <w:lang w:val="en-US" w:eastAsia="zh-CN"/>
        </w:rPr>
      </w:pPr>
      <w:r>
        <w:rPr>
          <w:rFonts w:hint="eastAsia"/>
          <w:lang w:eastAsia="zh-CN"/>
        </w:rPr>
        <w:t>本项目新增员工生活垃圾</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332t</w:t>
      </w:r>
      <w:r>
        <w:rPr>
          <w:rFonts w:hint="eastAsia"/>
          <w:lang w:val="en-US" w:eastAsia="zh-CN"/>
        </w:rPr>
        <w:t>/</w:t>
      </w:r>
      <w:r>
        <w:rPr>
          <w:rFonts w:hint="eastAsia" w:ascii="Times New Roman" w:hAnsi="Times New Roman"/>
          <w:lang w:val="en-US" w:eastAsia="zh-CN"/>
        </w:rPr>
        <w:t>a</w:t>
      </w:r>
      <w:r>
        <w:rPr>
          <w:rFonts w:hint="eastAsia"/>
          <w:lang w:val="en-US" w:eastAsia="zh-CN"/>
        </w:rPr>
        <w:t>，纳入厂内生活垃圾管理，集中分类收集，委托园区环卫定期清运。</w:t>
      </w:r>
    </w:p>
    <w:p>
      <w:pPr>
        <w:ind w:firstLine="480"/>
        <w:rPr>
          <w:rFonts w:hint="eastAsia"/>
        </w:rPr>
      </w:pPr>
      <w:r>
        <w:rPr>
          <w:rFonts w:hint="eastAsia"/>
          <w:lang w:val="en-US" w:eastAsia="zh-CN"/>
        </w:rPr>
        <w:t>综上所述，</w:t>
      </w:r>
      <w:r>
        <w:rPr>
          <w:rFonts w:hint="eastAsia"/>
        </w:rPr>
        <w:t>本项目所有</w:t>
      </w:r>
      <w:r>
        <w:t>固废可得到妥善处理，</w:t>
      </w:r>
      <w:r>
        <w:rPr>
          <w:rFonts w:hint="eastAsia"/>
        </w:rPr>
        <w:t>去向明确</w:t>
      </w:r>
      <w:r>
        <w:t>。</w:t>
      </w:r>
    </w:p>
    <w:p>
      <w:pPr>
        <w:pStyle w:val="5"/>
        <w:bidi w:val="0"/>
        <w:rPr>
          <w:rFonts w:hint="default"/>
          <w:lang w:val="en-US" w:eastAsia="zh-CN"/>
        </w:rPr>
      </w:pPr>
      <w:bookmarkStart w:id="222" w:name="_Toc28812"/>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危险废物环境影响分析</w:t>
      </w:r>
    </w:p>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危险废物贮存场所（设施）分析</w:t>
      </w:r>
    </w:p>
    <w:p>
      <w:pPr>
        <w:widowControl w:val="0"/>
        <w:wordWrap/>
        <w:adjustRightInd w:val="0"/>
        <w:snapToGrid w:val="0"/>
        <w:ind w:firstLine="480"/>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本项目废催化剂的暂存依托厂内现有危险废物贮存库，该危险废物贮存库位于原导热油炉储煤仓的北侧，占地面积</w:t>
      </w:r>
      <w:r>
        <w:rPr>
          <w:rFonts w:hint="eastAsia" w:ascii="Times New Roman" w:hAnsi="Times New Roman" w:cs="Times New Roman"/>
          <w:color w:val="auto"/>
          <w:lang w:val="en-US" w:eastAsia="zh-CN"/>
        </w:rPr>
        <w:t>800</w:t>
      </w:r>
      <w:r>
        <w:rPr>
          <w:rFonts w:hint="eastAsia" w:ascii="Times New Roman" w:hAnsi="Times New Roman" w:cs="Times New Roman"/>
          <w:color w:val="auto"/>
          <w:lang w:val="en-US" w:eastAsia="zh-CN"/>
        </w:rPr>
        <w:t>㎡，贮存库为框架结构，地面防渗采用了至少</w:t>
      </w:r>
      <w:r>
        <w:rPr>
          <w:rFonts w:hint="eastAsia" w:ascii="Times New Roman" w:hAnsi="Times New Roman" w:cs="Times New Roman"/>
          <w:color w:val="auto"/>
          <w:lang w:val="en-US" w:eastAsia="zh-CN"/>
        </w:rPr>
        <w:t>2mm</w:t>
      </w:r>
      <w:r>
        <w:rPr>
          <w:rFonts w:hint="eastAsia" w:ascii="Times New Roman" w:hAnsi="Times New Roman" w:cs="Times New Roman"/>
          <w:color w:val="auto"/>
          <w:lang w:val="en-US" w:eastAsia="zh-CN"/>
        </w:rPr>
        <w:t>厚且渗透系数的</w:t>
      </w:r>
      <w:r>
        <w:rPr>
          <w:rFonts w:hint="eastAsia" w:ascii="Times New Roman" w:hAnsi="Times New Roman" w:cs="Times New Roman"/>
          <w:color w:val="auto"/>
          <w:lang w:val="en-US" w:eastAsia="zh-CN"/>
        </w:rPr>
        <w:t>HDPE</w:t>
      </w:r>
      <w:r>
        <w:rPr>
          <w:rFonts w:hint="eastAsia" w:ascii="Times New Roman" w:hAnsi="Times New Roman" w:cs="Times New Roman"/>
          <w:color w:val="auto"/>
          <w:lang w:val="en-US" w:eastAsia="zh-CN"/>
        </w:rPr>
        <w:t>防渗膜处理，地面与裙角采用了坚固、防渗材料。表面无裂隙。</w:t>
      </w:r>
      <w:r>
        <w:rPr>
          <w:rFonts w:hint="eastAsia"/>
          <w:lang w:eastAsia="zh-CN"/>
        </w:rPr>
        <w:t>危险废物</w:t>
      </w:r>
      <w:r>
        <w:t>储存</w:t>
      </w:r>
      <w:r>
        <w:rPr>
          <w:rFonts w:hint="eastAsia"/>
          <w:lang w:eastAsia="zh-CN"/>
        </w:rPr>
        <w:t>采用</w:t>
      </w:r>
      <w:r>
        <w:t>分区设置</w:t>
      </w:r>
      <w:r>
        <w:rPr>
          <w:rFonts w:hint="eastAsia"/>
          <w:lang w:eastAsia="zh-CN"/>
        </w:rPr>
        <w:t>。</w:t>
      </w:r>
      <w:r>
        <w:t>不相容的危险废物</w:t>
      </w:r>
      <w:r>
        <w:rPr>
          <w:rFonts w:hint="eastAsia"/>
        </w:rPr>
        <w:t>（性质不同）均</w:t>
      </w:r>
      <w:r>
        <w:t>分开存放且设有隔断。</w:t>
      </w:r>
    </w:p>
    <w:p>
      <w:r>
        <w:rPr>
          <w:rFonts w:hint="eastAsia"/>
          <w:lang w:eastAsia="zh-CN"/>
        </w:rPr>
        <w:t>危险废物贮存库</w:t>
      </w:r>
      <w:r>
        <w:t>按照《危险废物贮存污染控制标准》</w:t>
      </w:r>
      <w:r>
        <w:rPr>
          <w:rFonts w:hint="eastAsia"/>
          <w:lang w:eastAsia="zh-CN"/>
        </w:rPr>
        <w:t>（</w:t>
      </w:r>
      <w:r>
        <w:rPr>
          <w:rFonts w:hint="eastAsia" w:ascii="Times New Roman" w:hAnsi="Times New Roman"/>
          <w:lang w:val="en-US" w:eastAsia="zh-CN"/>
        </w:rPr>
        <w:t>GB18597</w:t>
      </w:r>
      <w:r>
        <w:rPr>
          <w:rFonts w:hint="eastAsia"/>
          <w:lang w:val="en-US" w:eastAsia="zh-CN"/>
        </w:rPr>
        <w:t>-</w:t>
      </w:r>
      <w:r>
        <w:rPr>
          <w:rFonts w:hint="eastAsia" w:ascii="Times New Roman" w:hAnsi="Times New Roman"/>
          <w:lang w:val="en-US" w:eastAsia="zh-CN"/>
        </w:rPr>
        <w:t>2023</w:t>
      </w:r>
      <w:r>
        <w:rPr>
          <w:rFonts w:hint="eastAsia"/>
          <w:lang w:eastAsia="zh-CN"/>
        </w:rPr>
        <w:t>）</w:t>
      </w:r>
      <w:r>
        <w:t>要求，设计</w:t>
      </w:r>
      <w:r>
        <w:rPr>
          <w:rFonts w:hint="eastAsia"/>
          <w:lang w:eastAsia="zh-CN"/>
        </w:rPr>
        <w:t>了</w:t>
      </w:r>
      <w:r>
        <w:t>堵截泄漏的裙角，地面与裙脚，同时在存放液体性危险废物的区域设计了收集沟，</w:t>
      </w:r>
      <w:r>
        <w:rPr>
          <w:rFonts w:hint="eastAsia"/>
          <w:lang w:eastAsia="zh-CN"/>
        </w:rPr>
        <w:t>可</w:t>
      </w:r>
      <w:r>
        <w:t>收集小量泄漏。</w:t>
      </w:r>
    </w:p>
    <w:p>
      <w:r>
        <w:rPr>
          <w:rFonts w:hint="eastAsia"/>
          <w:lang w:eastAsia="zh-CN"/>
        </w:rPr>
        <w:t>危险废物贮存库</w:t>
      </w:r>
      <w:r>
        <w:t>设置</w:t>
      </w:r>
      <w:r>
        <w:rPr>
          <w:rFonts w:hint="eastAsia"/>
          <w:lang w:eastAsia="zh-CN"/>
        </w:rPr>
        <w:t>了</w:t>
      </w:r>
      <w:r>
        <w:t>明显标志。危险废物收集、储存、运输、处置过程均按照《危险废物贮存污染控制标准》（</w:t>
      </w:r>
      <w:r>
        <w:rPr>
          <w:rFonts w:ascii="Times New Roman" w:hAnsi="Times New Roman"/>
        </w:rPr>
        <w:t>GB18597</w:t>
      </w:r>
      <w:r>
        <w:t>-</w:t>
      </w:r>
      <w:r>
        <w:rPr>
          <w:rFonts w:ascii="Times New Roman" w:hAnsi="Times New Roman"/>
        </w:rPr>
        <w:t>20</w:t>
      </w:r>
      <w:r>
        <w:rPr>
          <w:rFonts w:hint="eastAsia" w:ascii="Times New Roman" w:hAnsi="Times New Roman"/>
          <w:lang w:val="en-US" w:eastAsia="zh-CN"/>
        </w:rPr>
        <w:t>23</w:t>
      </w:r>
      <w:r>
        <w:t>）、《危险废物收集</w:t>
      </w:r>
      <w:r>
        <w:rPr>
          <w:rFonts w:hint="eastAsia"/>
          <w:lang w:val="en-US" w:eastAsia="zh-CN"/>
        </w:rPr>
        <w:t xml:space="preserve"> </w:t>
      </w:r>
      <w:r>
        <w:t>贮存</w:t>
      </w:r>
      <w:r>
        <w:rPr>
          <w:rFonts w:hint="eastAsia"/>
          <w:lang w:val="en-US" w:eastAsia="zh-CN"/>
        </w:rPr>
        <w:t xml:space="preserve"> </w:t>
      </w:r>
      <w:r>
        <w:t>运输技术规范》（</w:t>
      </w:r>
      <w:r>
        <w:rPr>
          <w:rFonts w:ascii="Times New Roman" w:hAnsi="Times New Roman"/>
        </w:rPr>
        <w:t>HJ2025</w:t>
      </w:r>
      <w:r>
        <w:t>-</w:t>
      </w:r>
      <w:r>
        <w:rPr>
          <w:rFonts w:ascii="Times New Roman" w:hAnsi="Times New Roman"/>
        </w:rPr>
        <w:t>2012</w:t>
      </w:r>
      <w:r>
        <w:t>）</w:t>
      </w:r>
      <w:r>
        <w:rPr>
          <w:rFonts w:hint="eastAsia"/>
          <w:lang w:eastAsia="zh-CN"/>
        </w:rPr>
        <w:t>相关要求进行</w:t>
      </w:r>
      <w:r>
        <w:t>。</w:t>
      </w:r>
    </w:p>
    <w:p>
      <w:pPr>
        <w:rPr>
          <w:rFonts w:hint="eastAsia"/>
        </w:rPr>
      </w:pPr>
      <w:r>
        <w:rPr>
          <w:rFonts w:hint="eastAsia"/>
          <w:lang w:eastAsia="zh-CN"/>
        </w:rPr>
        <w:t>危险废物库由安全环境</w:t>
      </w:r>
      <w:r>
        <w:rPr>
          <w:rFonts w:hint="eastAsia"/>
        </w:rPr>
        <w:t>部门负责管理，保管库房钥匙并建立贮存台账，记录各种危险废物种类及入、出库数量，按月归档，监督并协助危险废物处置单位装车运输。</w:t>
      </w:r>
    </w:p>
    <w:p>
      <w:r>
        <w:rPr>
          <w:rFonts w:hint="eastAsia"/>
          <w:lang w:eastAsia="zh-CN"/>
        </w:rPr>
        <w:t>根据管理规章制度，</w:t>
      </w:r>
      <w:r>
        <w:rPr>
          <w:rFonts w:hint="eastAsia"/>
        </w:rPr>
        <w:t>没有特殊情况任何人不得随便进出危险废物贮存库房，进入危险废物贮存库房须佩戴安全防护用品，关闭手机，禁止长时间停留。</w:t>
      </w:r>
    </w:p>
    <w:p>
      <w:r>
        <w:rPr>
          <w:rFonts w:hint="eastAsia"/>
          <w:lang w:eastAsia="zh-CN"/>
        </w:rPr>
        <w:t>厂内危险废物库</w:t>
      </w:r>
      <w:r>
        <w:rPr>
          <w:rFonts w:hint="eastAsia"/>
        </w:rPr>
        <w:t>符合消防要求，配备有有效使用期内的泡沫或干粉灭火器，“禁止吸烟”、“禁止饮食”</w:t>
      </w:r>
      <w:r>
        <w:rPr>
          <w:rFonts w:hint="eastAsia"/>
          <w:lang w:eastAsia="zh-CN"/>
        </w:rPr>
        <w:t>等</w:t>
      </w:r>
      <w:r>
        <w:rPr>
          <w:rFonts w:hint="eastAsia"/>
        </w:rPr>
        <w:t>告示牌完好。通风照明设施要能达到相关要求</w:t>
      </w:r>
      <w:r>
        <w:t>。</w:t>
      </w:r>
    </w:p>
    <w:p>
      <w:pPr>
        <w:widowControl w:val="0"/>
        <w:wordWrap/>
        <w:adjustRightInd w:val="0"/>
        <w:snapToGrid w:val="0"/>
        <w:ind w:firstLine="480"/>
        <w:textAlignment w:val="auto"/>
        <w:rPr>
          <w:rFonts w:hint="default" w:ascii="Times New Roman" w:hAnsi="Times New Roman" w:cs="Times New Roman"/>
          <w:color w:val="auto"/>
        </w:rPr>
      </w:pPr>
      <w:r>
        <w:rPr>
          <w:rFonts w:hint="eastAsia"/>
          <w:lang w:eastAsia="zh-CN"/>
        </w:rPr>
        <w:t>经核实，现有</w:t>
      </w:r>
      <w:r>
        <w:rPr>
          <w:rFonts w:hint="eastAsia"/>
        </w:rPr>
        <w:t>危险废物贮存时间</w:t>
      </w:r>
      <w:r>
        <w:rPr>
          <w:rFonts w:hint="eastAsia"/>
          <w:lang w:eastAsia="zh-CN"/>
        </w:rPr>
        <w:t>均</w:t>
      </w:r>
      <w:r>
        <w:rPr>
          <w:rFonts w:hint="eastAsia"/>
        </w:rPr>
        <w:t>不超过一年</w:t>
      </w:r>
      <w:r>
        <w:rPr>
          <w:rFonts w:hint="eastAsia"/>
          <w:lang w:eastAsia="zh-CN"/>
        </w:rPr>
        <w:t>，</w:t>
      </w:r>
      <w:r>
        <w:rPr>
          <w:rFonts w:hint="eastAsia"/>
        </w:rPr>
        <w:t>危险废物贮存管理人员</w:t>
      </w:r>
      <w:r>
        <w:rPr>
          <w:rFonts w:hint="eastAsia"/>
          <w:lang w:eastAsia="zh-CN"/>
        </w:rPr>
        <w:t>均</w:t>
      </w:r>
      <w:r>
        <w:rPr>
          <w:rFonts w:hint="eastAsia"/>
        </w:rPr>
        <w:t>经过培训考核合格后上岗操作，</w:t>
      </w:r>
      <w:r>
        <w:rPr>
          <w:rFonts w:hint="eastAsia"/>
          <w:lang w:eastAsia="zh-CN"/>
        </w:rPr>
        <w:t>安全环境部门</w:t>
      </w:r>
      <w:r>
        <w:rPr>
          <w:rFonts w:hint="eastAsia"/>
        </w:rPr>
        <w:t>定期对仓储状况进行巡检</w:t>
      </w:r>
      <w:r>
        <w:rPr>
          <w:rFonts w:hint="eastAsia"/>
          <w:lang w:eastAsia="zh-CN"/>
        </w:rPr>
        <w:t>并完善台账</w:t>
      </w:r>
      <w:r>
        <w:rPr>
          <w:rFonts w:hint="eastAsia"/>
        </w:rPr>
        <w:t>。</w:t>
      </w:r>
    </w:p>
    <w:p>
      <w:pPr>
        <w:widowControl w:val="0"/>
        <w:wordWrap/>
        <w:adjustRightInd w:val="0"/>
        <w:snapToGrid w:val="0"/>
        <w:ind w:firstLine="48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本项目实施后，厂内</w:t>
      </w:r>
      <w:r>
        <w:rPr>
          <w:rFonts w:hint="default" w:ascii="Times New Roman" w:hAnsi="Times New Roman" w:cs="Times New Roman"/>
          <w:color w:val="auto"/>
        </w:rPr>
        <w:t>危险废物贮存场所基本情况见</w:t>
      </w:r>
      <w:r>
        <w:rPr>
          <w:rFonts w:hint="eastAsia" w:ascii="Times New Roman" w:hAnsi="Times New Roman" w:cs="Times New Roman"/>
          <w:color w:val="auto"/>
          <w:lang w:eastAsia="zh-CN"/>
        </w:rPr>
        <w:t>表</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p>
    <w:p>
      <w:pPr>
        <w:pStyle w:val="20"/>
        <w:widowControl w:val="0"/>
        <w:wordWrap/>
        <w:adjustRightInd w:val="0"/>
        <w:snapToGrid w:val="0"/>
        <w:spacing w:beforeLines="0"/>
        <w:ind w:firstLine="480"/>
        <w:textAlignment w:val="auto"/>
        <w:rPr>
          <w:rFonts w:hint="default" w:ascii="Times New Roman" w:hAnsi="Times New Roman" w:cs="Times New Roman"/>
          <w:color w:val="auto"/>
          <w:kern w:val="0"/>
          <w:szCs w:val="24"/>
        </w:rPr>
      </w:pPr>
      <w:r>
        <w:rPr>
          <w:rFonts w:hint="default" w:ascii="Times New Roman" w:hAnsi="Times New Roman" w:eastAsia="宋体" w:cs="Times New Roman"/>
          <w:b/>
          <w:bCs/>
          <w:color w:val="auto"/>
        </w:rPr>
        <w:t>表</w:t>
      </w:r>
      <w:r>
        <w:rPr>
          <w:rFonts w:hint="eastAsia" w:ascii="Times New Roman" w:hAnsi="Times New Roman" w:cs="Times New Roman"/>
          <w:b/>
          <w:bCs/>
          <w:color w:val="auto"/>
          <w:lang w:val="en-US" w:eastAsia="zh-CN"/>
        </w:rPr>
        <w:t>6</w:t>
      </w:r>
      <w:r>
        <w:rPr>
          <w:rFonts w:hint="eastAsia" w:ascii="Times New Roman" w:hAnsi="Times New Roman" w:eastAsia="宋体" w:cs="Times New Roman"/>
          <w:b/>
          <w:bCs/>
          <w:color w:val="auto"/>
          <w:lang w:val="en-US" w:eastAsia="zh-CN"/>
        </w:rPr>
        <w:t>.</w:t>
      </w:r>
      <w:r>
        <w:rPr>
          <w:rFonts w:hint="eastAsia"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lang w:val="en-US" w:eastAsia="zh-CN"/>
        </w:rPr>
        <w:t>-</w:t>
      </w:r>
      <w:r>
        <w:rPr>
          <w:rFonts w:hint="eastAsia" w:ascii="Times New Roman" w:hAnsi="Times New Roman" w:cs="Times New Roman"/>
          <w:b/>
          <w:bCs/>
          <w:color w:val="auto"/>
          <w:lang w:val="en-US" w:eastAsia="zh-CN"/>
        </w:rPr>
        <w:t>1</w:t>
      </w:r>
      <w:r>
        <w:rPr>
          <w:rFonts w:hint="default"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本项目实施后厂内</w:t>
      </w:r>
      <w:r>
        <w:rPr>
          <w:rFonts w:hint="default" w:ascii="Times New Roman" w:hAnsi="Times New Roman" w:eastAsia="宋体" w:cs="Times New Roman"/>
          <w:b/>
          <w:bCs/>
          <w:color w:val="auto"/>
          <w:kern w:val="0"/>
          <w:szCs w:val="24"/>
        </w:rPr>
        <w:t>危险废物贮存场所基本情况</w:t>
      </w:r>
    </w:p>
    <w:tbl>
      <w:tblPr>
        <w:tblStyle w:val="8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113"/>
        <w:gridCol w:w="2142"/>
        <w:gridCol w:w="805"/>
        <w:gridCol w:w="1183"/>
        <w:gridCol w:w="720"/>
        <w:gridCol w:w="720"/>
        <w:gridCol w:w="669"/>
        <w:gridCol w:w="703"/>
        <w:gridCol w:w="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序号</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贮存场所名称</w:t>
            </w: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危险废物名称</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危废</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类别</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废物代码</w:t>
            </w:r>
          </w:p>
        </w:tc>
        <w:tc>
          <w:tcPr>
            <w:tcW w:w="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位置</w:t>
            </w:r>
          </w:p>
        </w:tc>
        <w:tc>
          <w:tcPr>
            <w:tcW w:w="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占地</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面积</w:t>
            </w: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贮存</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方式</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贮存</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能力</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贮存</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spacing w:val="-11"/>
                <w:sz w:val="21"/>
                <w:szCs w:val="16"/>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1</w:t>
            </w:r>
          </w:p>
        </w:tc>
        <w:tc>
          <w:tcPr>
            <w:tcW w:w="11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default"/>
                <w:spacing w:val="-11"/>
                <w:sz w:val="21"/>
                <w:szCs w:val="16"/>
              </w:rPr>
              <w:t>危险废物暂存</w:t>
            </w:r>
            <w:r>
              <w:rPr>
                <w:rFonts w:hint="eastAsia"/>
                <w:spacing w:val="-11"/>
                <w:sz w:val="21"/>
                <w:szCs w:val="16"/>
                <w:lang w:eastAsia="zh-CN"/>
              </w:rPr>
              <w:t>库</w:t>
            </w: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废有机溶剂（废酸）</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HW06</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900</w:t>
            </w:r>
            <w:r>
              <w:rPr>
                <w:rFonts w:hint="eastAsia"/>
                <w:spacing w:val="-11"/>
                <w:sz w:val="21"/>
                <w:szCs w:val="16"/>
                <w:lang w:val="en-US" w:eastAsia="zh-CN"/>
              </w:rPr>
              <w:t>-</w:t>
            </w:r>
            <w:r>
              <w:rPr>
                <w:rFonts w:hint="eastAsia" w:ascii="Times New Roman" w:hAnsi="Times New Roman"/>
                <w:spacing w:val="-11"/>
                <w:sz w:val="21"/>
                <w:szCs w:val="16"/>
                <w:lang w:val="en-US" w:eastAsia="zh-CN"/>
              </w:rPr>
              <w:t>402</w:t>
            </w:r>
            <w:r>
              <w:rPr>
                <w:rFonts w:hint="eastAsia"/>
                <w:spacing w:val="-11"/>
                <w:sz w:val="21"/>
                <w:szCs w:val="16"/>
                <w:lang w:val="en-US" w:eastAsia="zh-CN"/>
              </w:rPr>
              <w:t>-</w:t>
            </w:r>
            <w:r>
              <w:rPr>
                <w:rFonts w:hint="eastAsia" w:ascii="Times New Roman" w:hAnsi="Times New Roman"/>
                <w:spacing w:val="-11"/>
                <w:sz w:val="21"/>
                <w:szCs w:val="16"/>
                <w:lang w:val="en-US" w:eastAsia="zh-CN"/>
              </w:rPr>
              <w:t>06</w:t>
            </w:r>
          </w:p>
        </w:tc>
        <w:tc>
          <w:tcPr>
            <w:tcW w:w="7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color w:val="auto"/>
                <w:spacing w:val="-11"/>
                <w:sz w:val="21"/>
                <w:szCs w:val="16"/>
                <w:lang w:val="en-US" w:eastAsia="zh-CN"/>
              </w:rPr>
              <w:t>原导热油炉煤仓北侧</w:t>
            </w:r>
          </w:p>
        </w:tc>
        <w:tc>
          <w:tcPr>
            <w:tcW w:w="7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eastAsia="zh-CN"/>
              </w:rPr>
            </w:pPr>
            <w:r>
              <w:rPr>
                <w:rFonts w:hint="eastAsia" w:ascii="Times New Roman" w:hAnsi="Times New Roman"/>
                <w:spacing w:val="-11"/>
                <w:sz w:val="21"/>
                <w:szCs w:val="16"/>
                <w:lang w:val="en-US" w:eastAsia="zh-CN"/>
              </w:rPr>
              <w:t>800</w:t>
            </w:r>
            <w:r>
              <w:rPr>
                <w:rFonts w:hint="eastAsia"/>
                <w:spacing w:val="-11"/>
                <w:sz w:val="21"/>
                <w:szCs w:val="16"/>
                <w:lang w:eastAsia="zh-CN"/>
              </w:rPr>
              <w:t>㎡</w:t>
            </w: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default"/>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50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eastAsia="zh-CN"/>
              </w:rPr>
            </w:pPr>
            <w:r>
              <w:rPr>
                <w:rFonts w:hint="eastAsia" w:ascii="Times New Roman" w:hAnsi="Times New Roman"/>
                <w:spacing w:val="-11"/>
                <w:sz w:val="21"/>
                <w:szCs w:val="16"/>
                <w:lang w:val="en-US" w:eastAsia="zh-CN"/>
              </w:rPr>
              <w:t>2</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eastAsia="zh-CN"/>
              </w:rPr>
            </w:pPr>
            <w:r>
              <w:rPr>
                <w:rFonts w:hint="default"/>
                <w:spacing w:val="-11"/>
                <w:sz w:val="21"/>
                <w:szCs w:val="16"/>
                <w:lang w:val="en-US" w:eastAsia="zh-CN"/>
              </w:rPr>
              <w:t>废机油</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ascii="Times New Roman" w:hAnsi="Times New Roman"/>
                <w:spacing w:val="-11"/>
                <w:sz w:val="21"/>
                <w:szCs w:val="16"/>
              </w:rPr>
              <w:t>HW</w:t>
            </w:r>
            <w:r>
              <w:rPr>
                <w:rFonts w:hint="eastAsia" w:ascii="Times New Roman" w:hAnsi="Times New Roman"/>
                <w:spacing w:val="-11"/>
                <w:sz w:val="21"/>
                <w:szCs w:val="16"/>
                <w:lang w:val="en-US" w:eastAsia="zh-CN"/>
              </w:rPr>
              <w:t>08</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r>
              <w:rPr>
                <w:rFonts w:hint="default" w:ascii="Times New Roman" w:hAnsi="Times New Roman"/>
                <w:spacing w:val="-11"/>
                <w:sz w:val="21"/>
                <w:szCs w:val="16"/>
                <w:lang w:val="en-US" w:eastAsia="zh-CN"/>
              </w:rPr>
              <w:t>900</w:t>
            </w:r>
            <w:r>
              <w:rPr>
                <w:rFonts w:hint="default"/>
                <w:spacing w:val="-11"/>
                <w:sz w:val="21"/>
                <w:szCs w:val="16"/>
                <w:lang w:val="en-US" w:eastAsia="zh-CN"/>
              </w:rPr>
              <w:t>-</w:t>
            </w:r>
            <w:r>
              <w:rPr>
                <w:rFonts w:hint="default" w:ascii="Times New Roman" w:hAnsi="Times New Roman"/>
                <w:spacing w:val="-11"/>
                <w:sz w:val="21"/>
                <w:szCs w:val="16"/>
                <w:lang w:val="en-US" w:eastAsia="zh-CN"/>
              </w:rPr>
              <w:t>2</w:t>
            </w:r>
            <w:r>
              <w:rPr>
                <w:rFonts w:hint="eastAsia" w:ascii="Times New Roman" w:hAnsi="Times New Roman"/>
                <w:spacing w:val="-11"/>
                <w:sz w:val="21"/>
                <w:szCs w:val="16"/>
                <w:lang w:val="en-US" w:eastAsia="zh-CN"/>
              </w:rPr>
              <w:t>14</w:t>
            </w:r>
            <w:r>
              <w:rPr>
                <w:rFonts w:hint="default"/>
                <w:spacing w:val="-11"/>
                <w:sz w:val="21"/>
                <w:szCs w:val="16"/>
                <w:lang w:val="en-US" w:eastAsia="zh-CN"/>
              </w:rPr>
              <w:t>-</w:t>
            </w:r>
            <w:r>
              <w:rPr>
                <w:rFonts w:hint="default" w:ascii="Times New Roman" w:hAnsi="Times New Roman"/>
                <w:spacing w:val="-11"/>
                <w:sz w:val="21"/>
                <w:szCs w:val="16"/>
                <w:lang w:val="en-US" w:eastAsia="zh-CN"/>
              </w:rPr>
              <w:t>08</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eastAsia="zh-CN"/>
              </w:rPr>
            </w:pP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default"/>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50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ascii="Times New Roman" w:hAnsi="Times New Roman"/>
                <w:spacing w:val="-11"/>
                <w:sz w:val="21"/>
                <w:szCs w:val="16"/>
                <w:lang w:val="en-US" w:eastAsia="zh-CN"/>
              </w:rPr>
              <w:t>3</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废导热油（检维修产生）</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HW08</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900</w:t>
            </w:r>
            <w:r>
              <w:rPr>
                <w:rFonts w:hint="eastAsia"/>
                <w:spacing w:val="-11"/>
                <w:sz w:val="21"/>
                <w:szCs w:val="16"/>
                <w:lang w:val="en-US" w:eastAsia="zh-CN"/>
              </w:rPr>
              <w:t>-</w:t>
            </w:r>
            <w:r>
              <w:rPr>
                <w:rFonts w:hint="eastAsia" w:ascii="Times New Roman" w:hAnsi="Times New Roman"/>
                <w:spacing w:val="-11"/>
                <w:sz w:val="21"/>
                <w:szCs w:val="16"/>
                <w:lang w:val="en-US" w:eastAsia="zh-CN"/>
              </w:rPr>
              <w:t>217</w:t>
            </w:r>
            <w:r>
              <w:rPr>
                <w:rFonts w:hint="eastAsia"/>
                <w:spacing w:val="-11"/>
                <w:sz w:val="21"/>
                <w:szCs w:val="16"/>
                <w:lang w:val="en-US" w:eastAsia="zh-CN"/>
              </w:rPr>
              <w:t>-</w:t>
            </w:r>
            <w:r>
              <w:rPr>
                <w:rFonts w:hint="eastAsia" w:ascii="Times New Roman" w:hAnsi="Times New Roman"/>
                <w:spacing w:val="-11"/>
                <w:sz w:val="21"/>
                <w:szCs w:val="16"/>
                <w:lang w:val="en-US" w:eastAsia="zh-CN"/>
              </w:rPr>
              <w:t>08</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default"/>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20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4</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ascii="Times New Roman" w:hAnsi="Times New Roman"/>
                <w:spacing w:val="-11"/>
                <w:sz w:val="21"/>
                <w:szCs w:val="16"/>
                <w:lang w:val="en-US" w:eastAsia="zh-CN"/>
              </w:rPr>
              <w:t>DN</w:t>
            </w:r>
            <w:r>
              <w:rPr>
                <w:rFonts w:hint="eastAsia"/>
                <w:spacing w:val="-11"/>
                <w:sz w:val="21"/>
                <w:szCs w:val="16"/>
                <w:lang w:val="en-US" w:eastAsia="zh-CN"/>
              </w:rPr>
              <w:t>溶液生产废树脂</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HW13</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900</w:t>
            </w:r>
            <w:r>
              <w:rPr>
                <w:rFonts w:hint="eastAsia"/>
                <w:spacing w:val="-11"/>
                <w:sz w:val="21"/>
                <w:szCs w:val="16"/>
                <w:lang w:val="en-US" w:eastAsia="zh-CN"/>
              </w:rPr>
              <w:t>-</w:t>
            </w:r>
            <w:r>
              <w:rPr>
                <w:rFonts w:hint="eastAsia" w:ascii="Times New Roman" w:hAnsi="Times New Roman"/>
                <w:spacing w:val="-11"/>
                <w:sz w:val="21"/>
                <w:szCs w:val="16"/>
                <w:lang w:val="en-US" w:eastAsia="zh-CN"/>
              </w:rPr>
              <w:t>015</w:t>
            </w:r>
            <w:r>
              <w:rPr>
                <w:rFonts w:hint="eastAsia"/>
                <w:spacing w:val="-11"/>
                <w:sz w:val="21"/>
                <w:szCs w:val="16"/>
                <w:lang w:val="en-US" w:eastAsia="zh-CN"/>
              </w:rPr>
              <w:t>-</w:t>
            </w:r>
            <w:r>
              <w:rPr>
                <w:rFonts w:hint="eastAsia" w:ascii="Times New Roman" w:hAnsi="Times New Roman"/>
                <w:spacing w:val="-11"/>
                <w:sz w:val="21"/>
                <w:szCs w:val="16"/>
                <w:lang w:val="en-US" w:eastAsia="zh-CN"/>
              </w:rPr>
              <w:t>13</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default"/>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50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5</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废加氢催化剂</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HW46</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900</w:t>
            </w:r>
            <w:r>
              <w:rPr>
                <w:rFonts w:hint="eastAsia"/>
                <w:spacing w:val="-11"/>
                <w:sz w:val="21"/>
                <w:szCs w:val="16"/>
                <w:lang w:val="en-US" w:eastAsia="zh-CN"/>
              </w:rPr>
              <w:t>-</w:t>
            </w:r>
            <w:r>
              <w:rPr>
                <w:rFonts w:hint="eastAsia" w:ascii="Times New Roman" w:hAnsi="Times New Roman"/>
                <w:spacing w:val="-11"/>
                <w:sz w:val="21"/>
                <w:szCs w:val="16"/>
                <w:lang w:val="en-US" w:eastAsia="zh-CN"/>
              </w:rPr>
              <w:t>037</w:t>
            </w:r>
            <w:r>
              <w:rPr>
                <w:rFonts w:hint="eastAsia"/>
                <w:spacing w:val="-11"/>
                <w:sz w:val="21"/>
                <w:szCs w:val="16"/>
                <w:lang w:val="en-US" w:eastAsia="zh-CN"/>
              </w:rPr>
              <w:t>-</w:t>
            </w:r>
            <w:r>
              <w:rPr>
                <w:rFonts w:hint="eastAsia" w:ascii="Times New Roman" w:hAnsi="Times New Roman"/>
                <w:spacing w:val="-11"/>
                <w:sz w:val="21"/>
                <w:szCs w:val="16"/>
                <w:lang w:val="en-US" w:eastAsia="zh-CN"/>
              </w:rPr>
              <w:t>46</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50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6</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废脱硝催化剂</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HW50</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772</w:t>
            </w:r>
            <w:r>
              <w:rPr>
                <w:rFonts w:hint="eastAsia"/>
                <w:spacing w:val="-11"/>
                <w:sz w:val="21"/>
                <w:szCs w:val="16"/>
                <w:lang w:val="en-US" w:eastAsia="zh-CN"/>
              </w:rPr>
              <w:t>-</w:t>
            </w:r>
            <w:r>
              <w:rPr>
                <w:rFonts w:hint="eastAsia" w:ascii="Times New Roman" w:hAnsi="Times New Roman"/>
                <w:spacing w:val="-11"/>
                <w:sz w:val="21"/>
                <w:szCs w:val="16"/>
                <w:lang w:val="en-US" w:eastAsia="zh-CN"/>
              </w:rPr>
              <w:t>007</w:t>
            </w:r>
            <w:r>
              <w:rPr>
                <w:rFonts w:hint="eastAsia"/>
                <w:spacing w:val="-11"/>
                <w:sz w:val="21"/>
                <w:szCs w:val="16"/>
                <w:lang w:val="en-US" w:eastAsia="zh-CN"/>
              </w:rPr>
              <w:t>-</w:t>
            </w:r>
            <w:r>
              <w:rPr>
                <w:rFonts w:hint="eastAsia" w:ascii="Times New Roman" w:hAnsi="Times New Roman"/>
                <w:spacing w:val="-11"/>
                <w:sz w:val="21"/>
                <w:szCs w:val="16"/>
                <w:lang w:val="en-US" w:eastAsia="zh-CN"/>
              </w:rPr>
              <w:t>50</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50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7</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废</w:t>
            </w:r>
            <w:r>
              <w:rPr>
                <w:rFonts w:hint="eastAsia" w:ascii="Times New Roman" w:hAnsi="Times New Roman"/>
                <w:spacing w:val="-11"/>
                <w:sz w:val="21"/>
                <w:szCs w:val="16"/>
                <w:lang w:val="en-US" w:eastAsia="zh-CN"/>
              </w:rPr>
              <w:t>PD</w:t>
            </w:r>
            <w:r>
              <w:rPr>
                <w:rFonts w:hint="eastAsia"/>
                <w:spacing w:val="-11"/>
                <w:sz w:val="21"/>
                <w:szCs w:val="16"/>
                <w:lang w:val="en-US" w:eastAsia="zh-CN"/>
              </w:rPr>
              <w:t>反应器催化剂</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HW50</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276</w:t>
            </w:r>
            <w:r>
              <w:rPr>
                <w:rFonts w:hint="eastAsia"/>
                <w:spacing w:val="-11"/>
                <w:sz w:val="21"/>
                <w:szCs w:val="16"/>
                <w:lang w:val="en-US" w:eastAsia="zh-CN"/>
              </w:rPr>
              <w:t>-</w:t>
            </w:r>
            <w:r>
              <w:rPr>
                <w:rFonts w:hint="eastAsia" w:ascii="Times New Roman" w:hAnsi="Times New Roman"/>
                <w:spacing w:val="-11"/>
                <w:sz w:val="21"/>
                <w:szCs w:val="16"/>
                <w:lang w:val="en-US" w:eastAsia="zh-CN"/>
              </w:rPr>
              <w:t>006</w:t>
            </w:r>
            <w:r>
              <w:rPr>
                <w:rFonts w:hint="eastAsia"/>
                <w:spacing w:val="-11"/>
                <w:sz w:val="21"/>
                <w:szCs w:val="16"/>
                <w:lang w:val="en-US" w:eastAsia="zh-CN"/>
              </w:rPr>
              <w:t>-</w:t>
            </w:r>
            <w:r>
              <w:rPr>
                <w:rFonts w:hint="eastAsia" w:ascii="Times New Roman" w:hAnsi="Times New Roman"/>
                <w:spacing w:val="-11"/>
                <w:sz w:val="21"/>
                <w:szCs w:val="16"/>
                <w:lang w:val="en-US" w:eastAsia="zh-CN"/>
              </w:rPr>
              <w:t>50</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10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8</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水质在线监测废酸</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spacing w:val="-11"/>
                <w:sz w:val="21"/>
                <w:szCs w:val="16"/>
                <w:lang w:val="en-US" w:eastAsia="zh-CN"/>
              </w:rPr>
            </w:pPr>
            <w:r>
              <w:rPr>
                <w:rFonts w:hint="eastAsia" w:ascii="Times New Roman" w:hAnsi="Times New Roman"/>
                <w:spacing w:val="-11"/>
                <w:sz w:val="21"/>
                <w:szCs w:val="16"/>
                <w:lang w:val="en-US" w:eastAsia="zh-CN"/>
              </w:rPr>
              <w:t>HW06</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spacing w:val="-11"/>
                <w:sz w:val="21"/>
                <w:szCs w:val="16"/>
                <w:lang w:val="en-US" w:eastAsia="zh-CN"/>
              </w:rPr>
            </w:pPr>
            <w:r>
              <w:rPr>
                <w:rFonts w:hint="eastAsia" w:ascii="Times New Roman" w:hAnsi="Times New Roman"/>
                <w:spacing w:val="-11"/>
                <w:sz w:val="21"/>
                <w:szCs w:val="16"/>
                <w:lang w:val="en-US" w:eastAsia="zh-CN"/>
              </w:rPr>
              <w:t>900</w:t>
            </w:r>
            <w:r>
              <w:rPr>
                <w:rFonts w:hint="eastAsia" w:ascii="Times New Roman" w:hAnsi="Times New Roman"/>
                <w:spacing w:val="-11"/>
                <w:sz w:val="21"/>
                <w:szCs w:val="16"/>
                <w:lang w:val="en-US" w:eastAsia="zh-CN"/>
              </w:rPr>
              <w:t>-</w:t>
            </w:r>
            <w:r>
              <w:rPr>
                <w:rFonts w:hint="eastAsia" w:ascii="Times New Roman" w:hAnsi="Times New Roman"/>
                <w:spacing w:val="-11"/>
                <w:sz w:val="21"/>
                <w:szCs w:val="16"/>
                <w:lang w:val="en-US" w:eastAsia="zh-CN"/>
              </w:rPr>
              <w:t>402</w:t>
            </w:r>
            <w:r>
              <w:rPr>
                <w:rFonts w:hint="eastAsia" w:ascii="Times New Roman" w:hAnsi="Times New Roman"/>
                <w:spacing w:val="-11"/>
                <w:sz w:val="21"/>
                <w:szCs w:val="16"/>
                <w:lang w:val="en-US" w:eastAsia="zh-CN"/>
              </w:rPr>
              <w:t>-</w:t>
            </w:r>
            <w:r>
              <w:rPr>
                <w:rFonts w:hint="eastAsia" w:ascii="Times New Roman" w:hAnsi="Times New Roman"/>
                <w:spacing w:val="-11"/>
                <w:sz w:val="21"/>
                <w:szCs w:val="16"/>
                <w:lang w:val="en-US" w:eastAsia="zh-CN"/>
              </w:rPr>
              <w:t>06</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pacing w:val="-11"/>
                <w:sz w:val="21"/>
                <w:szCs w:val="16"/>
                <w:lang w:val="en-US" w:eastAsia="zh-CN"/>
              </w:rPr>
            </w:pPr>
            <w:r>
              <w:rPr>
                <w:rFonts w:hint="eastAsia"/>
                <w:spacing w:val="-11"/>
                <w:sz w:val="21"/>
                <w:szCs w:val="16"/>
                <w:lang w:val="en-US" w:eastAsia="zh-CN"/>
              </w:rPr>
              <w:t>桶装</w:t>
            </w:r>
          </w:p>
        </w:tc>
        <w:tc>
          <w:tcPr>
            <w:tcW w:w="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pacing w:val="-11"/>
                <w:sz w:val="21"/>
                <w:szCs w:val="16"/>
                <w:lang w:val="en-US" w:eastAsia="zh-CN"/>
              </w:rPr>
            </w:pPr>
            <w:r>
              <w:rPr>
                <w:rFonts w:hint="eastAsia" w:ascii="Times New Roman" w:hAnsi="Times New Roman"/>
                <w:spacing w:val="-11"/>
                <w:sz w:val="21"/>
                <w:szCs w:val="16"/>
                <w:lang w:val="en-US" w:eastAsia="zh-CN"/>
              </w:rPr>
              <w:t>10</w:t>
            </w:r>
          </w:p>
        </w:tc>
        <w:tc>
          <w:tcPr>
            <w:tcW w:w="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spacing w:val="-11"/>
                <w:sz w:val="21"/>
                <w:szCs w:val="16"/>
                <w:lang w:val="en-US" w:eastAsia="zh-CN"/>
              </w:rPr>
            </w:pPr>
            <w:r>
              <w:rPr>
                <w:rFonts w:hint="eastAsia" w:ascii="Times New Roman" w:hAnsi="Times New Roman"/>
                <w:spacing w:val="-11"/>
                <w:sz w:val="21"/>
                <w:szCs w:val="16"/>
                <w:lang w:val="en-US" w:eastAsia="zh-CN"/>
              </w:rPr>
              <w:t>1a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9</w:t>
            </w:r>
          </w:p>
        </w:tc>
        <w:tc>
          <w:tcPr>
            <w:tcW w:w="11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污水处理设施</w:t>
            </w: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污水处理</w:t>
            </w:r>
            <w:r>
              <w:rPr>
                <w:rFonts w:hint="eastAsia" w:ascii="Times New Roman" w:hAnsi="Times New Roman"/>
                <w:spacing w:val="-11"/>
                <w:sz w:val="21"/>
                <w:szCs w:val="16"/>
                <w:lang w:val="en-US" w:eastAsia="zh-CN"/>
              </w:rPr>
              <w:t>RO</w:t>
            </w:r>
            <w:r>
              <w:rPr>
                <w:rFonts w:hint="eastAsia"/>
                <w:spacing w:val="-11"/>
                <w:sz w:val="21"/>
                <w:szCs w:val="16"/>
                <w:lang w:val="en-US" w:eastAsia="zh-CN"/>
              </w:rPr>
              <w:t>废膜</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HW13</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265</w:t>
            </w:r>
            <w:r>
              <w:rPr>
                <w:rFonts w:hint="eastAsia"/>
                <w:spacing w:val="-11"/>
                <w:sz w:val="21"/>
                <w:szCs w:val="16"/>
                <w:lang w:val="en-US" w:eastAsia="zh-CN"/>
              </w:rPr>
              <w:t>-</w:t>
            </w:r>
            <w:r>
              <w:rPr>
                <w:rFonts w:hint="eastAsia" w:ascii="Times New Roman" w:hAnsi="Times New Roman"/>
                <w:spacing w:val="-11"/>
                <w:sz w:val="21"/>
                <w:szCs w:val="16"/>
                <w:lang w:val="en-US" w:eastAsia="zh-CN"/>
              </w:rPr>
              <w:t>101</w:t>
            </w:r>
            <w:r>
              <w:rPr>
                <w:rFonts w:hint="eastAsia"/>
                <w:spacing w:val="-11"/>
                <w:sz w:val="21"/>
                <w:szCs w:val="16"/>
                <w:lang w:val="en-US" w:eastAsia="zh-CN"/>
              </w:rPr>
              <w:t>-</w:t>
            </w:r>
            <w:r>
              <w:rPr>
                <w:rFonts w:hint="eastAsia" w:ascii="Times New Roman" w:hAnsi="Times New Roman"/>
                <w:spacing w:val="-11"/>
                <w:sz w:val="21"/>
                <w:szCs w:val="16"/>
                <w:lang w:val="en-US" w:eastAsia="zh-CN"/>
              </w:rPr>
              <w:t>13</w:t>
            </w:r>
          </w:p>
        </w:tc>
        <w:tc>
          <w:tcPr>
            <w:tcW w:w="7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污水站</w:t>
            </w:r>
          </w:p>
        </w:tc>
        <w:tc>
          <w:tcPr>
            <w:tcW w:w="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w:t>
            </w: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散装</w:t>
            </w:r>
          </w:p>
        </w:tc>
        <w:tc>
          <w:tcPr>
            <w:tcW w:w="1329"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定期在装置上直接更换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10</w:t>
            </w:r>
          </w:p>
        </w:tc>
        <w:tc>
          <w:tcPr>
            <w:tcW w:w="11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MVR</w:t>
            </w:r>
            <w:r>
              <w:rPr>
                <w:rFonts w:hint="eastAsia"/>
                <w:spacing w:val="-11"/>
                <w:sz w:val="21"/>
                <w:szCs w:val="16"/>
                <w:lang w:val="en-US" w:eastAsia="zh-CN"/>
              </w:rPr>
              <w:t>盐</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HW13</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265</w:t>
            </w:r>
            <w:r>
              <w:rPr>
                <w:rFonts w:hint="eastAsia"/>
                <w:spacing w:val="-11"/>
                <w:sz w:val="21"/>
                <w:szCs w:val="16"/>
                <w:lang w:val="en-US" w:eastAsia="zh-CN"/>
              </w:rPr>
              <w:t>-</w:t>
            </w:r>
            <w:r>
              <w:rPr>
                <w:rFonts w:hint="eastAsia" w:ascii="Times New Roman" w:hAnsi="Times New Roman"/>
                <w:spacing w:val="-11"/>
                <w:sz w:val="21"/>
                <w:szCs w:val="16"/>
                <w:lang w:val="en-US" w:eastAsia="zh-CN"/>
              </w:rPr>
              <w:t>104</w:t>
            </w:r>
            <w:r>
              <w:rPr>
                <w:rFonts w:hint="eastAsia"/>
                <w:spacing w:val="-11"/>
                <w:sz w:val="21"/>
                <w:szCs w:val="16"/>
                <w:lang w:val="en-US" w:eastAsia="zh-CN"/>
              </w:rPr>
              <w:t>-</w:t>
            </w:r>
            <w:r>
              <w:rPr>
                <w:rFonts w:hint="eastAsia" w:ascii="Times New Roman" w:hAnsi="Times New Roman"/>
                <w:spacing w:val="-11"/>
                <w:sz w:val="21"/>
                <w:szCs w:val="16"/>
                <w:lang w:val="en-US" w:eastAsia="zh-CN"/>
              </w:rPr>
              <w:t>13</w:t>
            </w: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p>
        </w:tc>
        <w:tc>
          <w:tcPr>
            <w:tcW w:w="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w:t>
            </w: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散装</w:t>
            </w:r>
          </w:p>
        </w:tc>
        <w:tc>
          <w:tcPr>
            <w:tcW w:w="1329"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pacing w:val="-11"/>
                <w:sz w:val="21"/>
                <w:szCs w:val="16"/>
                <w:lang w:val="en-US" w:eastAsia="zh-CN"/>
              </w:rPr>
            </w:pPr>
            <w:r>
              <w:rPr>
                <w:rFonts w:hint="eastAsia" w:ascii="Times New Roman" w:hAnsi="Times New Roman"/>
                <w:spacing w:val="-11"/>
                <w:sz w:val="21"/>
                <w:szCs w:val="16"/>
                <w:lang w:val="en-US" w:eastAsia="zh-CN"/>
              </w:rPr>
              <w:t>11</w:t>
            </w:r>
          </w:p>
        </w:tc>
        <w:tc>
          <w:tcPr>
            <w:tcW w:w="11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导热油炉</w:t>
            </w:r>
          </w:p>
        </w:tc>
        <w:tc>
          <w:tcPr>
            <w:tcW w:w="21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spacing w:val="-11"/>
                <w:sz w:val="21"/>
                <w:szCs w:val="16"/>
                <w:lang w:val="en-US" w:eastAsia="zh-CN"/>
              </w:rPr>
              <w:t>废导热油</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HW08</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11"/>
                <w:sz w:val="21"/>
                <w:szCs w:val="16"/>
                <w:lang w:val="en-US" w:eastAsia="zh-CN" w:bidi="ar-SA"/>
              </w:rPr>
            </w:pPr>
            <w:r>
              <w:rPr>
                <w:rFonts w:hint="eastAsia" w:ascii="Times New Roman" w:hAnsi="Times New Roman"/>
                <w:spacing w:val="-11"/>
                <w:sz w:val="21"/>
                <w:szCs w:val="16"/>
                <w:lang w:val="en-US" w:eastAsia="zh-CN"/>
              </w:rPr>
              <w:t>900</w:t>
            </w:r>
            <w:r>
              <w:rPr>
                <w:rFonts w:hint="eastAsia"/>
                <w:spacing w:val="-11"/>
                <w:sz w:val="21"/>
                <w:szCs w:val="16"/>
                <w:lang w:val="en-US" w:eastAsia="zh-CN"/>
              </w:rPr>
              <w:t>-</w:t>
            </w:r>
            <w:r>
              <w:rPr>
                <w:rFonts w:hint="eastAsia" w:ascii="Times New Roman" w:hAnsi="Times New Roman"/>
                <w:spacing w:val="-11"/>
                <w:sz w:val="21"/>
                <w:szCs w:val="16"/>
                <w:lang w:val="en-US" w:eastAsia="zh-CN"/>
              </w:rPr>
              <w:t>249</w:t>
            </w:r>
            <w:r>
              <w:rPr>
                <w:rFonts w:hint="eastAsia" w:ascii="Times New Roman" w:hAnsi="Times New Roman"/>
                <w:spacing w:val="-11"/>
                <w:sz w:val="21"/>
                <w:szCs w:val="16"/>
                <w:lang w:val="en-US" w:eastAsia="zh-CN"/>
              </w:rPr>
              <w:t>-</w:t>
            </w:r>
            <w:r>
              <w:rPr>
                <w:rFonts w:hint="eastAsia" w:ascii="Times New Roman" w:hAnsi="Times New Roman"/>
                <w:spacing w:val="-11"/>
                <w:sz w:val="21"/>
                <w:szCs w:val="16"/>
                <w:lang w:val="en-US" w:eastAsia="zh-CN"/>
              </w:rPr>
              <w:t>08</w:t>
            </w:r>
          </w:p>
        </w:tc>
        <w:tc>
          <w:tcPr>
            <w:tcW w:w="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厂区中部</w:t>
            </w:r>
          </w:p>
        </w:tc>
        <w:tc>
          <w:tcPr>
            <w:tcW w:w="7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w:t>
            </w:r>
          </w:p>
        </w:tc>
        <w:tc>
          <w:tcPr>
            <w:tcW w:w="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pacing w:val="-11"/>
                <w:sz w:val="21"/>
                <w:szCs w:val="16"/>
                <w:lang w:val="en-US" w:eastAsia="zh-CN"/>
              </w:rPr>
            </w:pPr>
            <w:r>
              <w:rPr>
                <w:rFonts w:hint="eastAsia"/>
                <w:spacing w:val="-11"/>
                <w:sz w:val="21"/>
                <w:szCs w:val="16"/>
                <w:lang w:val="en-US" w:eastAsia="zh-CN"/>
              </w:rPr>
              <w:t>散装</w:t>
            </w:r>
          </w:p>
        </w:tc>
        <w:tc>
          <w:tcPr>
            <w:tcW w:w="132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pacing w:val="-11"/>
                <w:sz w:val="21"/>
                <w:szCs w:val="16"/>
                <w:lang w:val="en-US" w:eastAsia="zh-CN"/>
              </w:rPr>
            </w:pPr>
            <w:r>
              <w:rPr>
                <w:rFonts w:hint="eastAsia"/>
                <w:spacing w:val="-11"/>
                <w:sz w:val="21"/>
                <w:szCs w:val="16"/>
                <w:lang w:val="en-US" w:eastAsia="zh-CN"/>
              </w:rPr>
              <w:t>定期在装置上直接更换</w:t>
            </w:r>
          </w:p>
        </w:tc>
      </w:tr>
    </w:tbl>
    <w:p>
      <w:pPr>
        <w:topLinePunct/>
        <w:spacing w:before="120"/>
        <w:ind w:firstLine="480" w:firstLineChars="200"/>
        <w:rPr>
          <w:rFonts w:hint="eastAsia" w:ascii="Times New Roman" w:hAnsi="Times New Roman" w:eastAsia="宋体" w:cs="Times New Roman"/>
          <w:snapToGrid w:val="0"/>
          <w:color w:val="auto"/>
          <w:lang w:eastAsia="zh-CN"/>
        </w:rPr>
      </w:pPr>
      <w:r>
        <w:rPr>
          <w:rFonts w:hint="eastAsia" w:ascii="Times New Roman" w:hAnsi="Times New Roman" w:cs="Times New Roman"/>
          <w:snapToGrid w:val="0"/>
          <w:color w:val="auto"/>
          <w:lang w:eastAsia="zh-CN"/>
        </w:rPr>
        <w:t>建设单位属于危险废物重点监管单位，</w:t>
      </w:r>
      <w:r>
        <w:rPr>
          <w:rFonts w:hint="default" w:ascii="Times New Roman" w:hAnsi="Times New Roman" w:cs="Times New Roman"/>
          <w:snapToGrid w:val="0"/>
          <w:color w:val="auto"/>
        </w:rPr>
        <w:t>为防止危险固体废物在厂内临时存储过程中对环境产生污染影响，</w:t>
      </w:r>
      <w:r>
        <w:rPr>
          <w:rFonts w:hint="eastAsia" w:ascii="Times New Roman" w:hAnsi="Times New Roman" w:cs="Times New Roman"/>
          <w:snapToGrid w:val="0"/>
          <w:color w:val="auto"/>
          <w:lang w:eastAsia="zh-CN"/>
        </w:rPr>
        <w:t>根据《危险废物管理计划和管理台账制定技术导则》（</w:t>
      </w:r>
      <w:r>
        <w:rPr>
          <w:rFonts w:hint="eastAsia" w:ascii="Times New Roman" w:hAnsi="Times New Roman" w:cs="Times New Roman"/>
          <w:snapToGrid w:val="0"/>
          <w:color w:val="auto"/>
          <w:lang w:val="en-US" w:eastAsia="zh-CN"/>
        </w:rPr>
        <w:t>HJ1259</w:t>
      </w:r>
      <w:r>
        <w:rPr>
          <w:rFonts w:hint="eastAsia" w:ascii="Times New Roman" w:hAnsi="Times New Roman" w:cs="Times New Roman"/>
          <w:snapToGrid w:val="0"/>
          <w:color w:val="auto"/>
          <w:lang w:val="en-US" w:eastAsia="zh-CN"/>
        </w:rPr>
        <w:t>-</w:t>
      </w:r>
      <w:r>
        <w:rPr>
          <w:rFonts w:hint="eastAsia" w:ascii="Times New Roman" w:hAnsi="Times New Roman" w:cs="Times New Roman"/>
          <w:snapToGrid w:val="0"/>
          <w:color w:val="auto"/>
          <w:lang w:val="en-US" w:eastAsia="zh-CN"/>
        </w:rPr>
        <w:t>2022</w:t>
      </w:r>
      <w:r>
        <w:rPr>
          <w:rFonts w:hint="eastAsia" w:ascii="Times New Roman" w:hAnsi="Times New Roman" w:cs="Times New Roman"/>
          <w:snapToGrid w:val="0"/>
          <w:color w:val="auto"/>
          <w:lang w:eastAsia="zh-CN"/>
        </w:rPr>
        <w:t>）进行台账管理，应当按照月度和年度申报危险废物有关资料，且于每月</w:t>
      </w:r>
      <w:r>
        <w:rPr>
          <w:rFonts w:hint="eastAsia" w:ascii="Times New Roman" w:hAnsi="Times New Roman" w:cs="Times New Roman"/>
          <w:snapToGrid w:val="0"/>
          <w:color w:val="auto"/>
          <w:lang w:val="en-US" w:eastAsia="zh-CN"/>
        </w:rPr>
        <w:t>15</w:t>
      </w:r>
      <w:r>
        <w:rPr>
          <w:rFonts w:hint="eastAsia" w:ascii="Times New Roman" w:hAnsi="Times New Roman" w:cs="Times New Roman"/>
          <w:snapToGrid w:val="0"/>
          <w:color w:val="auto"/>
          <w:lang w:val="en-US" w:eastAsia="zh-CN"/>
        </w:rPr>
        <w:t>日前和每年</w:t>
      </w:r>
      <w:r>
        <w:rPr>
          <w:rFonts w:hint="eastAsia" w:ascii="Times New Roman" w:hAnsi="Times New Roman" w:cs="Times New Roman"/>
          <w:snapToGrid w:val="0"/>
          <w:color w:val="auto"/>
          <w:lang w:val="en-US" w:eastAsia="zh-CN"/>
        </w:rPr>
        <w:t>3</w:t>
      </w:r>
      <w:r>
        <w:rPr>
          <w:rFonts w:hint="eastAsia" w:ascii="Times New Roman" w:hAnsi="Times New Roman" w:cs="Times New Roman"/>
          <w:snapToGrid w:val="0"/>
          <w:color w:val="auto"/>
          <w:lang w:val="en-US" w:eastAsia="zh-CN"/>
        </w:rPr>
        <w:t>月</w:t>
      </w:r>
      <w:r>
        <w:rPr>
          <w:rFonts w:hint="eastAsia" w:ascii="Times New Roman" w:hAnsi="Times New Roman" w:cs="Times New Roman"/>
          <w:snapToGrid w:val="0"/>
          <w:color w:val="auto"/>
          <w:lang w:val="en-US" w:eastAsia="zh-CN"/>
        </w:rPr>
        <w:t>31</w:t>
      </w:r>
      <w:r>
        <w:rPr>
          <w:rFonts w:hint="eastAsia" w:ascii="Times New Roman" w:hAnsi="Times New Roman" w:cs="Times New Roman"/>
          <w:snapToGrid w:val="0"/>
          <w:color w:val="auto"/>
          <w:lang w:val="en-US" w:eastAsia="zh-CN"/>
        </w:rPr>
        <w:t>日前分别完成上一月度和上一年度的申报</w:t>
      </w:r>
      <w:r>
        <w:rPr>
          <w:rFonts w:hint="eastAsia" w:ascii="Times New Roman" w:hAnsi="Times New Roman" w:cs="Times New Roman"/>
          <w:snapToGrid w:val="0"/>
          <w:color w:val="auto"/>
          <w:lang w:eastAsia="zh-CN"/>
        </w:rPr>
        <w:t>。</w:t>
      </w:r>
    </w:p>
    <w:p>
      <w:pPr>
        <w:bidi w:val="0"/>
        <w:rPr>
          <w:rFonts w:hint="default" w:ascii="Times New Roman" w:hAnsi="Times New Roman" w:eastAsia="宋体" w:cs="Times New Roman"/>
          <w:snapToGrid w:val="0"/>
          <w:color w:val="auto"/>
          <w:lang w:val="en-US" w:eastAsia="zh-CN"/>
        </w:rPr>
      </w:pPr>
      <w:r>
        <w:rPr>
          <w:rFonts w:hint="eastAsia"/>
          <w:lang w:eastAsia="zh-CN"/>
        </w:rPr>
        <w:t>本项目依托的危险废物贮存库已建成并投运多年，根据危险废物暂存库规范设置了标识标牌，库房地面采取了防渗硬化并设置有截水沟和集水池，对各类不同性质的危险废物进行了分类存放。根据调查，</w:t>
      </w:r>
      <w:r>
        <w:rPr>
          <w:rFonts w:hint="eastAsia"/>
          <w:color w:val="auto"/>
          <w:lang w:eastAsia="zh-CN"/>
        </w:rPr>
        <w:t>建设单位</w:t>
      </w:r>
      <w:r>
        <w:rPr>
          <w:rFonts w:hint="eastAsia" w:ascii="Times New Roman" w:hAnsi="Times New Roman" w:cs="Times New Roman"/>
          <w:snapToGrid w:val="0"/>
          <w:color w:val="auto"/>
          <w:lang w:eastAsia="zh-CN"/>
        </w:rPr>
        <w:t>已按照相关管理要求采用了电子地磅、电子标签、电子管理台账等技术手段对危险废物贮存过程进行信息化管理，可确保数据完整、真实、准确；危险废物暂存库采用了视频监控并按要求保存视频记录</w:t>
      </w:r>
      <w:r>
        <w:rPr>
          <w:rFonts w:hint="eastAsia" w:ascii="Times New Roman" w:hAnsi="Times New Roman" w:cs="Times New Roman"/>
          <w:snapToGrid w:val="0"/>
          <w:color w:val="auto"/>
          <w:lang w:val="en-US" w:eastAsia="zh-CN"/>
        </w:rPr>
        <w:t>。</w:t>
      </w:r>
    </w:p>
    <w:p>
      <w:pPr>
        <w:bidi w:val="0"/>
        <w:rPr>
          <w:rFonts w:hint="eastAsia"/>
          <w:color w:val="auto"/>
          <w:lang w:val="en-US" w:eastAsia="zh-CN"/>
        </w:rPr>
      </w:pPr>
      <w:r>
        <w:rPr>
          <w:rFonts w:hint="eastAsia" w:ascii="Times New Roman" w:hAnsi="Times New Roman" w:cs="Times New Roman"/>
          <w:snapToGrid w:val="0"/>
          <w:color w:val="auto"/>
          <w:lang w:eastAsia="zh-CN"/>
        </w:rPr>
        <w:t>本项目依托的</w:t>
      </w:r>
      <w:r>
        <w:rPr>
          <w:rFonts w:hint="eastAsia"/>
          <w:lang w:eastAsia="zh-CN"/>
        </w:rPr>
        <w:t>危险废物暂存库设置符合</w:t>
      </w:r>
      <w:r>
        <w:rPr>
          <w:rFonts w:hint="default"/>
        </w:rPr>
        <w:t>《危险废物贮存污染控制标准》(</w:t>
      </w:r>
      <w:r>
        <w:rPr>
          <w:rFonts w:hint="default" w:ascii="Times New Roman" w:hAnsi="Times New Roman"/>
        </w:rPr>
        <w:t>GB</w:t>
      </w:r>
      <w:r>
        <w:rPr>
          <w:rFonts w:hint="eastAsia" w:ascii="Times New Roman" w:hAnsi="Times New Roman"/>
          <w:lang w:eastAsia="zh-CN"/>
        </w:rPr>
        <w:t>18597</w:t>
      </w:r>
      <w:r>
        <w:rPr>
          <w:rFonts w:hint="eastAsia"/>
          <w:lang w:eastAsia="zh-CN"/>
        </w:rPr>
        <w:t>-</w:t>
      </w:r>
      <w:r>
        <w:rPr>
          <w:rFonts w:hint="eastAsia" w:ascii="Times New Roman" w:hAnsi="Times New Roman"/>
          <w:lang w:eastAsia="zh-CN"/>
        </w:rPr>
        <w:t>2023</w:t>
      </w:r>
      <w:r>
        <w:rPr>
          <w:rFonts w:hint="default"/>
        </w:rPr>
        <w:t>)</w:t>
      </w:r>
      <w:r>
        <w:rPr>
          <w:rFonts w:hint="eastAsia"/>
          <w:lang w:eastAsia="zh-CN"/>
        </w:rPr>
        <w:t>的相关要求。</w:t>
      </w:r>
      <w:r>
        <w:rPr>
          <w:rFonts w:hint="eastAsia"/>
          <w:color w:val="auto"/>
          <w:lang w:val="en-US" w:eastAsia="zh-CN"/>
        </w:rPr>
        <w:t>危险废物暂存时间不超过</w:t>
      </w:r>
      <w:r>
        <w:rPr>
          <w:rFonts w:hint="eastAsia" w:ascii="Times New Roman" w:hAnsi="Times New Roman"/>
          <w:color w:val="auto"/>
          <w:lang w:val="en-US" w:eastAsia="zh-CN"/>
        </w:rPr>
        <w:t>1a</w:t>
      </w:r>
      <w:r>
        <w:rPr>
          <w:rFonts w:hint="eastAsia"/>
          <w:color w:val="auto"/>
          <w:lang w:val="en-US" w:eastAsia="zh-CN"/>
        </w:rPr>
        <w:t>，按规范要求定期处理，不会对周围环境造成较大影响。</w:t>
      </w:r>
    </w:p>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运输过程的环境影响分析</w:t>
      </w:r>
    </w:p>
    <w:p>
      <w:pPr>
        <w:rPr>
          <w:rFonts w:hint="eastAsia"/>
          <w:color w:val="auto"/>
          <w:lang w:val="en-US" w:eastAsia="zh-CN"/>
        </w:rPr>
      </w:pPr>
      <w:r>
        <w:rPr>
          <w:rFonts w:hint="eastAsia"/>
          <w:color w:val="auto"/>
          <w:lang w:val="en-US" w:eastAsia="zh-CN"/>
        </w:rPr>
        <w:t>项目危险废物均采用汽车拉运的方式，按照《危险废物收集 贮存 运输技术规范》（</w:t>
      </w:r>
      <w:r>
        <w:rPr>
          <w:rFonts w:hint="eastAsia" w:ascii="Times New Roman" w:hAnsi="Times New Roman"/>
          <w:color w:val="auto"/>
          <w:lang w:val="en-US" w:eastAsia="zh-CN"/>
        </w:rPr>
        <w:t>HJ2025</w:t>
      </w:r>
      <w:r>
        <w:rPr>
          <w:rFonts w:hint="eastAsia"/>
          <w:color w:val="auto"/>
          <w:lang w:val="en-US" w:eastAsia="zh-CN"/>
        </w:rPr>
        <w:t>-</w:t>
      </w:r>
      <w:r>
        <w:rPr>
          <w:rFonts w:hint="eastAsia" w:ascii="Times New Roman" w:hAnsi="Times New Roman"/>
          <w:color w:val="auto"/>
          <w:lang w:val="en-US" w:eastAsia="zh-CN"/>
        </w:rPr>
        <w:t>2012</w:t>
      </w:r>
      <w:r>
        <w:rPr>
          <w:rFonts w:hint="eastAsia"/>
          <w:color w:val="auto"/>
          <w:lang w:val="en-US" w:eastAsia="zh-CN"/>
        </w:rPr>
        <w:t>）、《危险废物转移管理办法》的要求执行。建设单位应具备危险废物管理制度（包括联单管理、包装标识、事故应急方法培训等），污染防治措施和应急预案，对危险废物收集、贮存、运输过程的事故易发环节定期组织应急演练。</w:t>
      </w:r>
    </w:p>
    <w:p>
      <w:pPr>
        <w:rPr>
          <w:rFonts w:hint="eastAsia"/>
          <w:color w:val="auto"/>
          <w:lang w:val="en-US" w:eastAsia="zh-CN"/>
        </w:rPr>
      </w:pPr>
      <w:r>
        <w:rPr>
          <w:rFonts w:hint="eastAsia"/>
          <w:color w:val="auto"/>
          <w:lang w:val="en-US" w:eastAsia="zh-CN"/>
        </w:rPr>
        <w:t>危险废物运输由持有危险废物经营许可证的单位按照许可经营范围组织实施，承担危险废物运输的单位应获得交通运输部门颁发的危险货物运输资质。公路运输应按照《道路危险货物运输管理规定》（交通部令[</w:t>
      </w:r>
      <w:r>
        <w:rPr>
          <w:rFonts w:hint="eastAsia" w:ascii="Times New Roman" w:hAnsi="Times New Roman"/>
          <w:color w:val="auto"/>
          <w:lang w:val="en-US" w:eastAsia="zh-CN"/>
        </w:rPr>
        <w:t>2019</w:t>
      </w:r>
      <w:r>
        <w:rPr>
          <w:rFonts w:hint="eastAsia"/>
          <w:color w:val="auto"/>
          <w:lang w:val="en-US" w:eastAsia="zh-CN"/>
        </w:rPr>
        <w:t>年]第</w:t>
      </w:r>
      <w:r>
        <w:rPr>
          <w:rFonts w:hint="eastAsia" w:ascii="Times New Roman" w:hAnsi="Times New Roman"/>
          <w:color w:val="auto"/>
          <w:lang w:val="en-US" w:eastAsia="zh-CN"/>
        </w:rPr>
        <w:t>42</w:t>
      </w:r>
      <w:r>
        <w:rPr>
          <w:rFonts w:hint="eastAsia"/>
          <w:color w:val="auto"/>
          <w:lang w:val="en-US" w:eastAsia="zh-CN"/>
        </w:rPr>
        <w:t>号）、</w:t>
      </w:r>
      <w:r>
        <w:rPr>
          <w:rFonts w:hint="eastAsia" w:ascii="Times New Roman" w:hAnsi="Times New Roman"/>
          <w:color w:val="auto"/>
          <w:lang w:val="en-US" w:eastAsia="zh-CN"/>
        </w:rPr>
        <w:t>JT617</w:t>
      </w:r>
      <w:r>
        <w:rPr>
          <w:rFonts w:hint="eastAsia"/>
          <w:color w:val="auto"/>
          <w:lang w:val="en-US" w:eastAsia="zh-CN"/>
        </w:rPr>
        <w:t>及</w:t>
      </w:r>
      <w:r>
        <w:rPr>
          <w:rFonts w:hint="eastAsia" w:ascii="Times New Roman" w:hAnsi="Times New Roman"/>
          <w:color w:val="auto"/>
          <w:lang w:val="en-US" w:eastAsia="zh-CN"/>
        </w:rPr>
        <w:t>JT618</w:t>
      </w:r>
      <w:r>
        <w:rPr>
          <w:rFonts w:hint="eastAsia"/>
          <w:color w:val="auto"/>
          <w:lang w:val="en-US" w:eastAsia="zh-CN"/>
        </w:rPr>
        <w:t>执行。危险废物包装上按照</w:t>
      </w:r>
      <w:r>
        <w:rPr>
          <w:rFonts w:hint="eastAsia" w:ascii="Times New Roman" w:hAnsi="Times New Roman"/>
          <w:color w:val="auto"/>
          <w:lang w:val="en-US" w:eastAsia="zh-CN"/>
        </w:rPr>
        <w:t>GB18597</w:t>
      </w:r>
      <w:r>
        <w:rPr>
          <w:rFonts w:hint="eastAsia"/>
          <w:color w:val="auto"/>
          <w:lang w:val="en-US" w:eastAsia="zh-CN"/>
        </w:rPr>
        <w:t>附录</w:t>
      </w:r>
      <w:r>
        <w:rPr>
          <w:rFonts w:hint="eastAsia" w:ascii="Times New Roman" w:hAnsi="Times New Roman"/>
          <w:color w:val="auto"/>
          <w:lang w:val="en-US" w:eastAsia="zh-CN"/>
        </w:rPr>
        <w:t>A</w:t>
      </w:r>
      <w:r>
        <w:rPr>
          <w:rFonts w:hint="eastAsia"/>
          <w:color w:val="auto"/>
          <w:lang w:val="en-US" w:eastAsia="zh-CN"/>
        </w:rPr>
        <w:t>设置标志，运输车辆按照</w:t>
      </w:r>
      <w:r>
        <w:rPr>
          <w:rFonts w:hint="eastAsia" w:ascii="Times New Roman" w:hAnsi="Times New Roman"/>
          <w:color w:val="auto"/>
          <w:lang w:val="en-US" w:eastAsia="zh-CN"/>
        </w:rPr>
        <w:t>GB13392</w:t>
      </w:r>
      <w:r>
        <w:rPr>
          <w:rFonts w:hint="eastAsia"/>
          <w:color w:val="auto"/>
          <w:lang w:val="en-US" w:eastAsia="zh-CN"/>
        </w:rPr>
        <w:t>设置车辆标志。中转、装卸过程中，应遵循如下技术要求：</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）卸载区的工作人员应熟悉废物的危险特性，并配备适当的个人防护装备。</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）卸载区应配备必要的消防设备和设施，并设置明显的指示标志。</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）危险废物装载区应设置隔离设施，液态废物卸载区应设施收集槽和缓冲罐。</w:t>
      </w:r>
    </w:p>
    <w:p>
      <w:pPr>
        <w:bidi w:val="0"/>
        <w:rPr>
          <w:rFonts w:hint="eastAsia"/>
        </w:rPr>
      </w:pPr>
      <w:r>
        <w:rPr>
          <w:rFonts w:hint="eastAsia"/>
          <w:color w:val="auto"/>
          <w:lang w:val="en-US" w:eastAsia="zh-CN"/>
        </w:rPr>
        <w:t>项目通过严格的全过程管理，涉及的危险废物均可得到妥善处理，去向明确，不会对项目周围产生较大环境影响。</w:t>
      </w:r>
    </w:p>
    <w:p>
      <w:pPr>
        <w:pStyle w:val="4"/>
        <w:spacing w:before="165" w:after="165"/>
      </w:pPr>
      <w:bookmarkStart w:id="223" w:name="_Toc29022"/>
      <w:r>
        <w:rPr>
          <w:rFonts w:hint="eastAsia" w:ascii="Times New Roman" w:hAnsi="Times New Roman"/>
          <w:lang w:val="en-US" w:eastAsia="zh-CN"/>
        </w:rPr>
        <w:t>6</w:t>
      </w:r>
      <w:r>
        <w:rPr>
          <w:rFonts w:hint="eastAsia"/>
        </w:rPr>
        <w:t>.</w:t>
      </w:r>
      <w:r>
        <w:rPr>
          <w:rFonts w:hint="eastAsia" w:ascii="Times New Roman" w:hAnsi="Times New Roman"/>
          <w:lang w:val="en-US" w:eastAsia="zh-CN"/>
        </w:rPr>
        <w:t>7</w:t>
      </w:r>
      <w:r>
        <w:t>生态影响分析</w:t>
      </w:r>
      <w:bookmarkEnd w:id="222"/>
      <w:bookmarkEnd w:id="223"/>
    </w:p>
    <w:p>
      <w:pPr>
        <w:rPr>
          <w:rFonts w:hint="eastAsia"/>
        </w:rPr>
      </w:pPr>
      <w:r>
        <w:rPr>
          <w:rFonts w:hint="eastAsia"/>
        </w:rPr>
        <w:t>本项目占地面积</w:t>
      </w:r>
      <w:r>
        <w:rPr>
          <w:rFonts w:hint="eastAsia" w:ascii="Times New Roman" w:hAnsi="Times New Roman"/>
          <w:lang w:val="en-US" w:eastAsia="zh-CN"/>
        </w:rPr>
        <w:t>3400</w:t>
      </w:r>
      <w:r>
        <w:rPr>
          <w:rFonts w:hint="eastAsia"/>
          <w:lang w:val="en-US" w:eastAsia="zh-CN"/>
        </w:rPr>
        <w:t>.</w:t>
      </w:r>
      <w:r>
        <w:rPr>
          <w:rFonts w:hint="eastAsia" w:ascii="Times New Roman" w:hAnsi="Times New Roman"/>
          <w:lang w:val="en-US" w:eastAsia="zh-CN"/>
        </w:rPr>
        <w:t>1</w:t>
      </w:r>
      <w:r>
        <w:rPr>
          <w:rFonts w:hint="eastAsia"/>
          <w:lang w:val="en-US" w:eastAsia="zh-CN"/>
        </w:rPr>
        <w:t>㎡，建构筑物占地面积</w:t>
      </w:r>
      <w:r>
        <w:rPr>
          <w:rFonts w:hint="eastAsia" w:ascii="Times New Roman" w:hAnsi="Times New Roman"/>
          <w:lang w:val="en-US" w:eastAsia="zh-CN"/>
        </w:rPr>
        <w:t>1119</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rPr>
        <w:t>，</w:t>
      </w:r>
      <w:r>
        <w:rPr>
          <w:rFonts w:hint="eastAsia"/>
          <w:lang w:eastAsia="zh-CN"/>
        </w:rPr>
        <w:t>占地</w:t>
      </w:r>
      <w:r>
        <w:rPr>
          <w:rFonts w:hint="eastAsia"/>
        </w:rPr>
        <w:t>属于</w:t>
      </w:r>
      <w:r>
        <w:rPr>
          <w:rFonts w:hint="eastAsia"/>
          <w:lang w:eastAsia="zh-CN"/>
        </w:rPr>
        <w:t>企业厂内预留</w:t>
      </w:r>
      <w:r>
        <w:rPr>
          <w:rFonts w:hint="eastAsia"/>
        </w:rPr>
        <w:t>工业用地，</w:t>
      </w:r>
      <w:r>
        <w:rPr>
          <w:rFonts w:hint="eastAsia"/>
          <w:color w:val="auto"/>
          <w:lang w:val="en-US" w:eastAsia="zh-CN"/>
        </w:rPr>
        <w:t>项目区由于长期的人为活动，区域内基本无自然植被</w:t>
      </w:r>
      <w:r>
        <w:rPr>
          <w:rFonts w:hint="eastAsia"/>
          <w:color w:val="auto"/>
          <w:lang w:eastAsia="zh-CN"/>
        </w:rPr>
        <w:t>，</w:t>
      </w:r>
      <w:r>
        <w:rPr>
          <w:rFonts w:hint="eastAsia"/>
          <w:color w:val="auto"/>
          <w:lang w:val="en-US" w:eastAsia="zh-CN"/>
        </w:rPr>
        <w:t>本项目建设过程对区域内生态影响主要是地表扰动。</w:t>
      </w:r>
    </w:p>
    <w:p>
      <w:pPr>
        <w:pStyle w:val="5"/>
        <w:spacing w:before="165"/>
        <w:rPr>
          <w:rFonts w:hint="eastAsia"/>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7</w:t>
      </w:r>
      <w:r>
        <w:rPr>
          <w:rFonts w:hint="eastAsia"/>
        </w:rPr>
        <w:t>.</w:t>
      </w:r>
      <w:r>
        <w:rPr>
          <w:rFonts w:hint="eastAsia" w:ascii="Times New Roman" w:hAnsi="Times New Roman"/>
        </w:rPr>
        <w:t>1</w:t>
      </w:r>
      <w:r>
        <w:rPr>
          <w:rFonts w:hint="eastAsia"/>
        </w:rPr>
        <w:t>对土壤生态的影响分析</w:t>
      </w:r>
    </w:p>
    <w:p>
      <w:pPr>
        <w:ind w:firstLine="480"/>
      </w:pPr>
      <w:r>
        <w:rPr>
          <w:rFonts w:hint="eastAsia"/>
        </w:rPr>
        <w:t>运营期</w:t>
      </w:r>
      <w:r>
        <w:t>对土壤环境的影响主要是</w:t>
      </w:r>
      <w:r>
        <w:rPr>
          <w:rFonts w:hint="eastAsia"/>
        </w:rPr>
        <w:t>由于设备跑冒滴漏、罐区事故</w:t>
      </w:r>
      <w:r>
        <w:rPr>
          <w:rFonts w:hint="eastAsia"/>
          <w:lang w:eastAsia="zh-CN"/>
        </w:rPr>
        <w:t>泄漏</w:t>
      </w:r>
      <w:r>
        <w:rPr>
          <w:rFonts w:hint="eastAsia"/>
        </w:rPr>
        <w:t>可能</w:t>
      </w:r>
      <w:r>
        <w:t>对周围土壤、</w:t>
      </w:r>
      <w:r>
        <w:rPr>
          <w:rFonts w:hint="eastAsia"/>
        </w:rPr>
        <w:t>地表植被造成</w:t>
      </w:r>
      <w:r>
        <w:t>影响。</w:t>
      </w:r>
    </w:p>
    <w:p>
      <w:pPr>
        <w:ind w:firstLine="480"/>
        <w:rPr>
          <w:rFonts w:hint="eastAsia"/>
        </w:rPr>
      </w:pPr>
      <w:r>
        <w:rPr>
          <w:rFonts w:hint="eastAsia"/>
        </w:rPr>
        <w:t>项目储罐区、生产车间和各池体均采用严格的硬化、防腐与防渗，减少生产</w:t>
      </w:r>
      <w:r>
        <w:rPr>
          <w:rFonts w:hint="eastAsia"/>
          <w:lang w:eastAsia="zh-CN"/>
        </w:rPr>
        <w:t>过程对</w:t>
      </w:r>
      <w:r>
        <w:rPr>
          <w:rFonts w:hint="eastAsia"/>
        </w:rPr>
        <w:t>周边土壤造成累积性污染，通过加强运营期管理，预计本项目的实施</w:t>
      </w:r>
      <w:r>
        <w:t>对</w:t>
      </w:r>
      <w:r>
        <w:rPr>
          <w:rFonts w:hint="eastAsia"/>
        </w:rPr>
        <w:t>项目区土壤</w:t>
      </w:r>
      <w:r>
        <w:t>的影响</w:t>
      </w:r>
      <w:r>
        <w:rPr>
          <w:rFonts w:hint="eastAsia"/>
        </w:rPr>
        <w:t>不大。</w:t>
      </w:r>
    </w:p>
    <w:p>
      <w:pPr>
        <w:pStyle w:val="5"/>
        <w:spacing w:before="165"/>
        <w:rPr>
          <w:rFonts w:hint="eastAsia"/>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7</w:t>
      </w:r>
      <w:r>
        <w:rPr>
          <w:rFonts w:hint="eastAsia"/>
        </w:rPr>
        <w:t>.</w:t>
      </w:r>
      <w:r>
        <w:rPr>
          <w:rFonts w:hint="eastAsia" w:ascii="Times New Roman" w:hAnsi="Times New Roman"/>
        </w:rPr>
        <w:t>2</w:t>
      </w:r>
      <w:r>
        <w:rPr>
          <w:rFonts w:hint="eastAsia"/>
        </w:rPr>
        <w:t>对</w:t>
      </w:r>
      <w:r>
        <w:rPr>
          <w:rFonts w:hint="eastAsia"/>
          <w:lang w:eastAsia="zh-CN"/>
        </w:rPr>
        <w:t>动植物</w:t>
      </w:r>
      <w:r>
        <w:rPr>
          <w:rFonts w:hint="eastAsia"/>
        </w:rPr>
        <w:t>的影响分析</w:t>
      </w:r>
    </w:p>
    <w:p>
      <w:pPr>
        <w:spacing w:line="440" w:lineRule="exact"/>
      </w:pPr>
      <w:r>
        <w:t>本项目</w:t>
      </w:r>
      <w:r>
        <w:rPr>
          <w:rFonts w:hint="eastAsia"/>
          <w:lang w:eastAsia="zh-CN"/>
        </w:rPr>
        <w:t>建设位于建设单位厂区内预留空地，所在区域</w:t>
      </w:r>
      <w:r>
        <w:rPr>
          <w:rFonts w:hint="eastAsia"/>
          <w:color w:val="auto"/>
          <w:lang w:val="en-US" w:eastAsia="zh-CN"/>
        </w:rPr>
        <w:t>无珍稀、濒危野生动植物天然集中分布区，且项目工程量及占地面积较小，对周边植被及动物的影响不大，因此，不会对区域动植物产生明显影响。</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3</w:t>
      </w:r>
      <w:r>
        <w:rPr>
          <w:rFonts w:hint="eastAsia"/>
          <w:lang w:val="en-US" w:eastAsia="zh-CN"/>
        </w:rPr>
        <w:t>生态影响评价自查表</w:t>
      </w:r>
    </w:p>
    <w:p>
      <w:pPr>
        <w:bidi w:val="0"/>
        <w:rPr>
          <w:rFonts w:hint="default" w:eastAsia="宋体"/>
          <w:lang w:val="en-US" w:eastAsia="zh-CN"/>
        </w:rPr>
      </w:pPr>
      <w:r>
        <w:rPr>
          <w:rFonts w:hint="eastAsia"/>
          <w:lang w:eastAsia="zh-CN"/>
        </w:rPr>
        <w:t>本项目生态影响评价自查表见表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lang w:val="en-US" w:eastAsia="zh-CN"/>
        </w:rPr>
        <w:t xml:space="preserve">  生态影响评价自查表</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560"/>
        <w:gridCol w:w="6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1" w:type="dxa"/>
            <w:gridSpan w:val="2"/>
            <w:tcBorders>
              <w:top w:val="single" w:color="auto" w:sz="12" w:space="0"/>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r>
              <w:rPr>
                <w:rFonts w:hint="eastAsia"/>
                <w:sz w:val="20"/>
                <w:szCs w:val="20"/>
                <w:vertAlign w:val="baseline"/>
                <w:lang w:eastAsia="zh-CN"/>
              </w:rPr>
              <w:t>工作内容</w:t>
            </w:r>
          </w:p>
        </w:tc>
        <w:tc>
          <w:tcPr>
            <w:tcW w:w="6323" w:type="dxa"/>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lang w:eastAsia="zh-CN"/>
              </w:rPr>
            </w:pPr>
            <w:r>
              <w:rPr>
                <w:rFonts w:hint="eastAsia"/>
                <w:sz w:val="20"/>
                <w:szCs w:val="20"/>
                <w:vertAlign w:val="baseline"/>
                <w:lang w:eastAsia="zh-CN"/>
              </w:rPr>
              <w:t>生态影响</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识别</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生态保护目标</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重要物种</w:t>
            </w:r>
            <w:r>
              <w:rPr>
                <w:rFonts w:hint="eastAsia" w:ascii="宋体" w:hAnsi="宋体" w:cs="Times New Roman"/>
                <w:sz w:val="20"/>
                <w:szCs w:val="20"/>
              </w:rPr>
              <w:t>□</w:t>
            </w:r>
            <w:r>
              <w:rPr>
                <w:rFonts w:hint="eastAsia" w:cs="Times New Roman"/>
                <w:sz w:val="20"/>
                <w:szCs w:val="20"/>
                <w:lang w:eastAsia="zh-CN"/>
              </w:rPr>
              <w:t>；国家公园</w:t>
            </w:r>
            <w:r>
              <w:rPr>
                <w:rFonts w:hint="eastAsia" w:ascii="宋体" w:hAnsi="宋体" w:cs="Times New Roman"/>
                <w:sz w:val="20"/>
                <w:szCs w:val="20"/>
              </w:rPr>
              <w:t>□</w:t>
            </w:r>
            <w:r>
              <w:rPr>
                <w:rFonts w:hint="eastAsia" w:cs="Times New Roman"/>
                <w:sz w:val="20"/>
                <w:szCs w:val="20"/>
                <w:lang w:eastAsia="zh-CN"/>
              </w:rPr>
              <w:t>；自然保护区</w:t>
            </w:r>
            <w:r>
              <w:rPr>
                <w:rFonts w:hint="eastAsia" w:ascii="宋体" w:hAnsi="宋体" w:cs="Times New Roman"/>
                <w:sz w:val="20"/>
                <w:szCs w:val="20"/>
              </w:rPr>
              <w:t>□</w:t>
            </w:r>
            <w:r>
              <w:rPr>
                <w:rFonts w:hint="eastAsia" w:cs="Times New Roman"/>
                <w:sz w:val="20"/>
                <w:szCs w:val="20"/>
                <w:lang w:eastAsia="zh-CN"/>
              </w:rPr>
              <w:t>；自然公园</w:t>
            </w:r>
            <w:r>
              <w:rPr>
                <w:rFonts w:hint="eastAsia" w:ascii="宋体" w:hAnsi="宋体" w:cs="Times New Roman"/>
                <w:sz w:val="20"/>
                <w:szCs w:val="20"/>
              </w:rPr>
              <w:t>□</w:t>
            </w:r>
            <w:r>
              <w:rPr>
                <w:rFonts w:hint="eastAsia" w:cs="Times New Roman"/>
                <w:sz w:val="20"/>
                <w:szCs w:val="20"/>
                <w:lang w:eastAsia="zh-CN"/>
              </w:rPr>
              <w:t>；世界自然遗产</w:t>
            </w:r>
            <w:r>
              <w:rPr>
                <w:rFonts w:hint="eastAsia" w:ascii="宋体" w:hAnsi="宋体" w:cs="Times New Roman"/>
                <w:sz w:val="20"/>
                <w:szCs w:val="20"/>
              </w:rPr>
              <w:t>□</w:t>
            </w:r>
            <w:r>
              <w:rPr>
                <w:rFonts w:hint="eastAsia" w:cs="Times New Roman"/>
                <w:sz w:val="20"/>
                <w:szCs w:val="20"/>
                <w:lang w:eastAsia="zh-CN"/>
              </w:rPr>
              <w:t>；生态保护红线</w:t>
            </w:r>
            <w:r>
              <w:rPr>
                <w:rFonts w:hint="eastAsia" w:ascii="宋体" w:hAnsi="宋体" w:cs="Times New Roman"/>
                <w:sz w:val="20"/>
                <w:szCs w:val="20"/>
              </w:rPr>
              <w:t>□</w:t>
            </w:r>
            <w:r>
              <w:rPr>
                <w:rFonts w:hint="eastAsia" w:cs="Times New Roman"/>
                <w:sz w:val="20"/>
                <w:szCs w:val="20"/>
                <w:lang w:eastAsia="zh-CN"/>
              </w:rPr>
              <w:t>；重要生境</w:t>
            </w:r>
            <w:r>
              <w:rPr>
                <w:rFonts w:hint="eastAsia" w:ascii="宋体" w:hAnsi="宋体" w:cs="Times New Roman"/>
                <w:sz w:val="20"/>
                <w:szCs w:val="20"/>
              </w:rPr>
              <w:t>□</w:t>
            </w:r>
            <w:r>
              <w:rPr>
                <w:rFonts w:hint="eastAsia" w:cs="Times New Roman"/>
                <w:sz w:val="20"/>
                <w:szCs w:val="20"/>
                <w:lang w:eastAsia="zh-CN"/>
              </w:rPr>
              <w:t>；其他具有重要生态功能、对保护生物多样性具有重要意义的区域</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影响方式</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工程占用</w:t>
            </w:r>
            <w:r>
              <w:rPr>
                <w:rFonts w:hint="eastAsia" w:ascii="宋体" w:hAnsi="宋体" w:cs="Times New Roman"/>
                <w:sz w:val="20"/>
                <w:szCs w:val="20"/>
              </w:rPr>
              <w:sym w:font="Wingdings 2" w:char="0052"/>
            </w:r>
            <w:r>
              <w:rPr>
                <w:rFonts w:hint="eastAsia" w:cs="Times New Roman"/>
                <w:sz w:val="20"/>
                <w:szCs w:val="20"/>
                <w:lang w:eastAsia="zh-CN"/>
              </w:rPr>
              <w:t>；施工活动干扰</w:t>
            </w:r>
            <w:r>
              <w:rPr>
                <w:rFonts w:hint="eastAsia" w:ascii="宋体" w:hAnsi="宋体" w:cs="Times New Roman"/>
                <w:sz w:val="20"/>
                <w:szCs w:val="20"/>
              </w:rPr>
              <w:t>□</w:t>
            </w:r>
            <w:r>
              <w:rPr>
                <w:rFonts w:hint="eastAsia" w:cs="Times New Roman"/>
                <w:sz w:val="20"/>
                <w:szCs w:val="20"/>
                <w:lang w:eastAsia="zh-CN"/>
              </w:rPr>
              <w:t>；改变环境条件</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评价因子</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sz w:val="20"/>
                <w:szCs w:val="20"/>
                <w:vertAlign w:val="baseline"/>
                <w:lang w:eastAsia="zh-CN"/>
              </w:rPr>
              <w:t>物种</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sz w:val="20"/>
                <w:szCs w:val="20"/>
                <w:vertAlign w:val="baseline"/>
                <w:lang w:eastAsia="zh-CN"/>
              </w:rPr>
              <w:t>生境</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sz w:val="20"/>
                <w:szCs w:val="20"/>
                <w:vertAlign w:val="baseline"/>
                <w:lang w:eastAsia="zh-CN"/>
              </w:rPr>
              <w:t>生物群落</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sz w:val="20"/>
                <w:szCs w:val="20"/>
                <w:vertAlign w:val="baseline"/>
                <w:lang w:eastAsia="zh-CN"/>
              </w:rPr>
              <w:t>生态系统</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sz w:val="20"/>
                <w:szCs w:val="20"/>
                <w:vertAlign w:val="baseline"/>
                <w:lang w:eastAsia="zh-CN"/>
              </w:rPr>
              <w:t>生物多样性</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sz w:val="20"/>
                <w:szCs w:val="20"/>
                <w:vertAlign w:val="baseline"/>
                <w:lang w:eastAsia="zh-CN"/>
              </w:rPr>
              <w:t>生态敏感区</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cs="Times New Roman"/>
                <w:sz w:val="20"/>
                <w:szCs w:val="20"/>
                <w:lang w:eastAsia="zh-CN"/>
              </w:rPr>
              <w:t>自然景观</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cs="Times New Roman"/>
                <w:sz w:val="20"/>
                <w:szCs w:val="20"/>
                <w:lang w:eastAsia="zh-CN"/>
              </w:rPr>
            </w:pPr>
            <w:r>
              <w:rPr>
                <w:rFonts w:hint="eastAsia"/>
                <w:sz w:val="20"/>
                <w:szCs w:val="20"/>
                <w:vertAlign w:val="baseline"/>
                <w:lang w:eastAsia="zh-CN"/>
              </w:rPr>
              <w:t>自然遗迹</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其他</w:t>
            </w:r>
            <w:r>
              <w:rPr>
                <w:rFonts w:hint="eastAsia" w:ascii="宋体" w:hAnsi="宋体" w:cs="Times New Roman"/>
                <w:sz w:val="20"/>
                <w:szCs w:val="20"/>
              </w:rPr>
              <w:t>□</w:t>
            </w:r>
            <w:r>
              <w:rPr>
                <w:rFonts w:hint="eastAsia" w:cs="Times New Roman"/>
                <w:sz w:val="20"/>
                <w:szCs w:val="20"/>
                <w:lang w:eastAsia="zh-CN"/>
              </w:rPr>
              <w:t>（</w:t>
            </w:r>
            <w:r>
              <w:rPr>
                <w:rFonts w:hint="eastAsia" w:cs="Times New Roman"/>
                <w:sz w:val="20"/>
                <w:szCs w:val="20"/>
                <w:lang w:val="en-US" w:eastAsia="zh-CN"/>
              </w:rPr>
              <w:t xml:space="preserve">                                          </w:t>
            </w:r>
            <w:r>
              <w:rPr>
                <w:rFonts w:hint="eastAsia"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1" w:type="dxa"/>
            <w:gridSpan w:val="2"/>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评价等级</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eastAsia="宋体"/>
                <w:sz w:val="20"/>
                <w:szCs w:val="20"/>
                <w:vertAlign w:val="baseline"/>
                <w:lang w:val="en-US" w:eastAsia="zh-CN"/>
              </w:rPr>
            </w:pPr>
            <w:r>
              <w:rPr>
                <w:rFonts w:hint="eastAsia"/>
                <w:sz w:val="20"/>
                <w:szCs w:val="20"/>
                <w:vertAlign w:val="baseline"/>
                <w:lang w:eastAsia="zh-CN"/>
              </w:rPr>
              <w:t>一级</w:t>
            </w:r>
            <w:r>
              <w:rPr>
                <w:rFonts w:hint="eastAsia" w:ascii="宋体" w:hAnsi="宋体" w:cs="Times New Roman"/>
                <w:sz w:val="20"/>
                <w:szCs w:val="20"/>
              </w:rPr>
              <w:t>□</w:t>
            </w:r>
            <w:r>
              <w:rPr>
                <w:rFonts w:hint="eastAsia" w:cs="Times New Roman"/>
                <w:sz w:val="20"/>
                <w:szCs w:val="20"/>
                <w:lang w:val="en-US" w:eastAsia="zh-CN"/>
              </w:rPr>
              <w:t xml:space="preserve">        二级</w:t>
            </w:r>
            <w:r>
              <w:rPr>
                <w:rFonts w:hint="eastAsia" w:ascii="宋体" w:hAnsi="宋体" w:cs="Times New Roman"/>
                <w:sz w:val="20"/>
                <w:szCs w:val="20"/>
              </w:rPr>
              <w:t>□</w:t>
            </w:r>
            <w:r>
              <w:rPr>
                <w:rFonts w:hint="eastAsia" w:cs="Times New Roman"/>
                <w:sz w:val="20"/>
                <w:szCs w:val="20"/>
                <w:lang w:val="en-US" w:eastAsia="zh-CN"/>
              </w:rPr>
              <w:t xml:space="preserve">        三级</w:t>
            </w:r>
            <w:r>
              <w:rPr>
                <w:rFonts w:hint="eastAsia" w:ascii="宋体" w:hAnsi="宋体" w:cs="Times New Roman"/>
                <w:sz w:val="20"/>
                <w:szCs w:val="20"/>
              </w:rPr>
              <w:t>□</w:t>
            </w:r>
            <w:r>
              <w:rPr>
                <w:rFonts w:hint="eastAsia" w:cs="Times New Roman"/>
                <w:sz w:val="20"/>
                <w:szCs w:val="20"/>
                <w:lang w:val="en-US" w:eastAsia="zh-CN"/>
              </w:rPr>
              <w:t xml:space="preserve">        生态影响简单分析</w:t>
            </w:r>
            <w:r>
              <w:rPr>
                <w:rFonts w:hint="eastAsia" w:ascii="宋体" w:hAnsi="宋体" w:cs="Times New Roman"/>
                <w:sz w:val="20"/>
                <w:szCs w:val="20"/>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1" w:type="dxa"/>
            <w:gridSpan w:val="2"/>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评价范围</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eastAsia="宋体"/>
                <w:sz w:val="20"/>
                <w:szCs w:val="20"/>
                <w:vertAlign w:val="baseline"/>
                <w:lang w:val="en-US" w:eastAsia="zh-CN"/>
              </w:rPr>
            </w:pPr>
            <w:r>
              <w:rPr>
                <w:rFonts w:hint="eastAsia"/>
                <w:sz w:val="20"/>
                <w:szCs w:val="20"/>
                <w:vertAlign w:val="baseline"/>
                <w:lang w:eastAsia="zh-CN"/>
              </w:rPr>
              <w:t>陆域面积：（</w:t>
            </w:r>
            <w:r>
              <w:rPr>
                <w:rFonts w:hint="eastAsia"/>
                <w:sz w:val="20"/>
                <w:szCs w:val="20"/>
                <w:vertAlign w:val="baseline"/>
                <w:lang w:val="en-US" w:eastAsia="zh-CN"/>
              </w:rPr>
              <w:t xml:space="preserve">  </w:t>
            </w:r>
            <w:r>
              <w:rPr>
                <w:rFonts w:hint="eastAsia" w:ascii="Times New Roman" w:hAnsi="Times New Roman"/>
                <w:sz w:val="20"/>
                <w:szCs w:val="20"/>
                <w:vertAlign w:val="baseline"/>
                <w:lang w:val="en-US" w:eastAsia="zh-CN"/>
              </w:rPr>
              <w:t>0</w:t>
            </w:r>
            <w:r>
              <w:rPr>
                <w:rFonts w:hint="eastAsia"/>
                <w:sz w:val="20"/>
                <w:szCs w:val="20"/>
                <w:vertAlign w:val="baseline"/>
                <w:lang w:val="en-US" w:eastAsia="zh-CN"/>
              </w:rPr>
              <w:t>.</w:t>
            </w:r>
            <w:r>
              <w:rPr>
                <w:rFonts w:hint="eastAsia" w:ascii="Times New Roman" w:hAnsi="Times New Roman"/>
                <w:sz w:val="20"/>
                <w:szCs w:val="20"/>
                <w:vertAlign w:val="baseline"/>
                <w:lang w:val="en-US" w:eastAsia="zh-CN"/>
              </w:rPr>
              <w:t>0034</w:t>
            </w:r>
            <w:r>
              <w:rPr>
                <w:rFonts w:hint="eastAsia"/>
                <w:sz w:val="20"/>
                <w:szCs w:val="20"/>
                <w:vertAlign w:val="baseline"/>
                <w:lang w:val="en-US" w:eastAsia="zh-CN"/>
              </w:rPr>
              <w:t xml:space="preserve">  </w:t>
            </w:r>
            <w:r>
              <w:rPr>
                <w:rFonts w:hint="eastAsia"/>
                <w:sz w:val="20"/>
                <w:szCs w:val="20"/>
                <w:vertAlign w:val="baseline"/>
                <w:lang w:eastAsia="zh-CN"/>
              </w:rPr>
              <w:t>）</w:t>
            </w:r>
            <w:r>
              <w:rPr>
                <w:rFonts w:hint="eastAsia" w:ascii="Times New Roman" w:hAnsi="Times New Roman"/>
                <w:sz w:val="20"/>
                <w:szCs w:val="20"/>
                <w:vertAlign w:val="baseline"/>
                <w:lang w:val="en-US" w:eastAsia="zh-CN"/>
              </w:rPr>
              <w:t>km</w:t>
            </w:r>
            <w:r>
              <w:rPr>
                <w:rFonts w:hint="eastAsia" w:ascii="Times New Roman" w:hAnsi="Times New Roman"/>
                <w:sz w:val="20"/>
                <w:szCs w:val="20"/>
                <w:vertAlign w:val="superscript"/>
                <w:lang w:val="en-US" w:eastAsia="zh-CN"/>
              </w:rPr>
              <w:t>2</w:t>
            </w:r>
            <w:r>
              <w:rPr>
                <w:rFonts w:hint="eastAsia"/>
                <w:sz w:val="20"/>
                <w:szCs w:val="20"/>
                <w:vertAlign w:val="baseline"/>
                <w:lang w:val="en-US" w:eastAsia="zh-CN"/>
              </w:rPr>
              <w:t>；水域面积：（        ）</w:t>
            </w:r>
            <w:r>
              <w:rPr>
                <w:rFonts w:hint="eastAsia" w:ascii="Times New Roman" w:hAnsi="Times New Roman"/>
                <w:sz w:val="20"/>
                <w:szCs w:val="20"/>
                <w:vertAlign w:val="baseline"/>
                <w:lang w:val="en-US" w:eastAsia="zh-CN"/>
              </w:rPr>
              <w:t>km</w:t>
            </w:r>
            <w:r>
              <w:rPr>
                <w:rFonts w:hint="eastAsia" w:ascii="Times New Roman" w:hAnsi="Times New Roman"/>
                <w:sz w:val="20"/>
                <w:szCs w:val="20"/>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生态现状调查与评价</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调查方法</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资料收集</w:t>
            </w:r>
            <w:r>
              <w:rPr>
                <w:rFonts w:hint="eastAsia" w:ascii="宋体" w:hAnsi="宋体" w:cs="Times New Roman"/>
                <w:sz w:val="20"/>
                <w:szCs w:val="20"/>
              </w:rPr>
              <w:sym w:font="Wingdings 2" w:char="0052"/>
            </w:r>
            <w:r>
              <w:rPr>
                <w:rFonts w:hint="eastAsia" w:cs="Times New Roman"/>
                <w:sz w:val="20"/>
                <w:szCs w:val="20"/>
                <w:lang w:eastAsia="zh-CN"/>
              </w:rPr>
              <w:t>；遥感调查</w:t>
            </w:r>
            <w:r>
              <w:rPr>
                <w:rFonts w:hint="eastAsia" w:ascii="宋体" w:hAnsi="宋体" w:cs="Times New Roman"/>
                <w:sz w:val="20"/>
                <w:szCs w:val="20"/>
              </w:rPr>
              <w:t>□</w:t>
            </w:r>
            <w:r>
              <w:rPr>
                <w:rFonts w:hint="eastAsia" w:cs="Times New Roman"/>
                <w:sz w:val="20"/>
                <w:szCs w:val="20"/>
                <w:lang w:eastAsia="zh-CN"/>
              </w:rPr>
              <w:t>；调查样方、样线</w:t>
            </w:r>
            <w:r>
              <w:rPr>
                <w:rFonts w:hint="eastAsia" w:ascii="宋体" w:hAnsi="宋体" w:cs="Times New Roman"/>
                <w:sz w:val="20"/>
                <w:szCs w:val="20"/>
              </w:rPr>
              <w:t>□</w:t>
            </w:r>
            <w:r>
              <w:rPr>
                <w:rFonts w:hint="eastAsia" w:cs="Times New Roman"/>
                <w:sz w:val="20"/>
                <w:szCs w:val="20"/>
                <w:lang w:eastAsia="zh-CN"/>
              </w:rPr>
              <w:t>；调查点位、断面</w:t>
            </w:r>
            <w:r>
              <w:rPr>
                <w:rFonts w:hint="eastAsia" w:ascii="宋体" w:hAnsi="宋体" w:cs="Times New Roman"/>
                <w:sz w:val="20"/>
                <w:szCs w:val="20"/>
              </w:rPr>
              <w:t>□</w:t>
            </w:r>
            <w:r>
              <w:rPr>
                <w:rFonts w:hint="eastAsia" w:cs="Times New Roman"/>
                <w:sz w:val="20"/>
                <w:szCs w:val="20"/>
                <w:lang w:eastAsia="zh-CN"/>
              </w:rPr>
              <w:t>；专家和公众咨询法</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调查时间</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ascii="宋体" w:hAnsi="宋体" w:cs="Times New Roman"/>
                <w:sz w:val="20"/>
                <w:szCs w:val="20"/>
              </w:rPr>
            </w:pPr>
            <w:r>
              <w:rPr>
                <w:rFonts w:hint="eastAsia"/>
                <w:sz w:val="20"/>
                <w:szCs w:val="20"/>
                <w:vertAlign w:val="baseline"/>
                <w:lang w:eastAsia="zh-CN"/>
              </w:rPr>
              <w:t>春季</w:t>
            </w:r>
            <w:r>
              <w:rPr>
                <w:rFonts w:hint="eastAsia" w:ascii="宋体" w:hAnsi="宋体" w:cs="Times New Roman"/>
                <w:sz w:val="20"/>
                <w:szCs w:val="20"/>
              </w:rPr>
              <w:t>□</w:t>
            </w:r>
            <w:r>
              <w:rPr>
                <w:rFonts w:hint="eastAsia" w:cs="Times New Roman"/>
                <w:sz w:val="20"/>
                <w:szCs w:val="20"/>
                <w:lang w:eastAsia="zh-CN"/>
              </w:rPr>
              <w:t>；夏季</w:t>
            </w:r>
            <w:r>
              <w:rPr>
                <w:rFonts w:hint="eastAsia" w:ascii="宋体" w:hAnsi="宋体" w:cs="Times New Roman"/>
                <w:sz w:val="20"/>
                <w:szCs w:val="20"/>
              </w:rPr>
              <w:sym w:font="Wingdings 2" w:char="0052"/>
            </w:r>
            <w:r>
              <w:rPr>
                <w:rFonts w:hint="eastAsia" w:cs="Times New Roman"/>
                <w:sz w:val="20"/>
                <w:szCs w:val="20"/>
                <w:lang w:eastAsia="zh-CN"/>
              </w:rPr>
              <w:t>；秋季</w:t>
            </w:r>
            <w:r>
              <w:rPr>
                <w:rFonts w:hint="eastAsia" w:ascii="宋体" w:hAnsi="宋体" w:cs="Times New Roman"/>
                <w:sz w:val="20"/>
                <w:szCs w:val="20"/>
              </w:rPr>
              <w:t>□</w:t>
            </w:r>
            <w:r>
              <w:rPr>
                <w:rFonts w:hint="eastAsia" w:cs="Times New Roman"/>
                <w:sz w:val="20"/>
                <w:szCs w:val="20"/>
                <w:lang w:eastAsia="zh-CN"/>
              </w:rPr>
              <w:t>；冬季</w:t>
            </w:r>
            <w:r>
              <w:rPr>
                <w:rFonts w:hint="eastAsia" w:ascii="宋体" w:hAnsi="宋体" w:cs="Times New Roman"/>
                <w:sz w:val="20"/>
                <w:szCs w:val="20"/>
              </w:rPr>
              <w:sym w:font="Wingdings 2" w:char="00A3"/>
            </w:r>
          </w:p>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cs="Times New Roman"/>
                <w:sz w:val="20"/>
                <w:szCs w:val="20"/>
                <w:lang w:eastAsia="zh-CN"/>
              </w:rPr>
              <w:t>丰水期</w:t>
            </w:r>
            <w:r>
              <w:rPr>
                <w:rFonts w:hint="eastAsia" w:ascii="宋体" w:hAnsi="宋体" w:cs="Times New Roman"/>
                <w:sz w:val="20"/>
                <w:szCs w:val="20"/>
              </w:rPr>
              <w:t>□</w:t>
            </w:r>
            <w:r>
              <w:rPr>
                <w:rFonts w:hint="eastAsia" w:cs="Times New Roman"/>
                <w:sz w:val="20"/>
                <w:szCs w:val="20"/>
                <w:lang w:eastAsia="zh-CN"/>
              </w:rPr>
              <w:t>；枯水期</w:t>
            </w:r>
            <w:r>
              <w:rPr>
                <w:rFonts w:hint="eastAsia" w:ascii="宋体" w:hAnsi="宋体" w:cs="Times New Roman"/>
                <w:sz w:val="20"/>
                <w:szCs w:val="20"/>
              </w:rPr>
              <w:t>□</w:t>
            </w:r>
            <w:r>
              <w:rPr>
                <w:rFonts w:hint="eastAsia" w:cs="Times New Roman"/>
                <w:sz w:val="20"/>
                <w:szCs w:val="20"/>
                <w:lang w:eastAsia="zh-CN"/>
              </w:rPr>
              <w:t>；平水期</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所在区域的生态问题</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水土流失</w:t>
            </w:r>
            <w:r>
              <w:rPr>
                <w:rFonts w:hint="eastAsia" w:ascii="宋体" w:hAnsi="宋体" w:cs="Times New Roman"/>
                <w:sz w:val="20"/>
                <w:szCs w:val="20"/>
              </w:rPr>
              <w:sym w:font="Wingdings 2" w:char="0052"/>
            </w:r>
            <w:r>
              <w:rPr>
                <w:rFonts w:hint="eastAsia" w:cs="Times New Roman"/>
                <w:sz w:val="20"/>
                <w:szCs w:val="20"/>
                <w:lang w:eastAsia="zh-CN"/>
              </w:rPr>
              <w:t>；沙漠化</w:t>
            </w:r>
            <w:r>
              <w:rPr>
                <w:rFonts w:hint="eastAsia" w:ascii="宋体" w:hAnsi="宋体" w:cs="Times New Roman"/>
                <w:sz w:val="20"/>
                <w:szCs w:val="20"/>
              </w:rPr>
              <w:t>□</w:t>
            </w:r>
            <w:r>
              <w:rPr>
                <w:rFonts w:hint="eastAsia" w:cs="Times New Roman"/>
                <w:sz w:val="20"/>
                <w:szCs w:val="20"/>
                <w:lang w:eastAsia="zh-CN"/>
              </w:rPr>
              <w:t>；石漠化</w:t>
            </w:r>
            <w:r>
              <w:rPr>
                <w:rFonts w:hint="eastAsia" w:ascii="宋体" w:hAnsi="宋体" w:cs="Times New Roman"/>
                <w:sz w:val="20"/>
                <w:szCs w:val="20"/>
              </w:rPr>
              <w:t>□</w:t>
            </w:r>
            <w:r>
              <w:rPr>
                <w:rFonts w:hint="eastAsia" w:cs="Times New Roman"/>
                <w:sz w:val="20"/>
                <w:szCs w:val="20"/>
                <w:lang w:eastAsia="zh-CN"/>
              </w:rPr>
              <w:t>；盐渍化</w:t>
            </w:r>
            <w:r>
              <w:rPr>
                <w:rFonts w:hint="eastAsia" w:ascii="宋体" w:hAnsi="宋体" w:cs="Times New Roman"/>
                <w:sz w:val="20"/>
                <w:szCs w:val="20"/>
              </w:rPr>
              <w:t>□</w:t>
            </w:r>
            <w:r>
              <w:rPr>
                <w:rFonts w:hint="eastAsia" w:cs="Times New Roman"/>
                <w:sz w:val="20"/>
                <w:szCs w:val="20"/>
                <w:lang w:eastAsia="zh-CN"/>
              </w:rPr>
              <w:t>；生物入侵</w:t>
            </w:r>
            <w:r>
              <w:rPr>
                <w:rFonts w:hint="eastAsia" w:ascii="宋体" w:hAnsi="宋体" w:cs="Times New Roman"/>
                <w:sz w:val="20"/>
                <w:szCs w:val="20"/>
              </w:rPr>
              <w:t>□</w:t>
            </w:r>
            <w:r>
              <w:rPr>
                <w:rFonts w:hint="eastAsia" w:cs="Times New Roman"/>
                <w:sz w:val="20"/>
                <w:szCs w:val="20"/>
                <w:lang w:eastAsia="zh-CN"/>
              </w:rPr>
              <w:t>；污染危害</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评价内容</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val="en-US" w:eastAsia="zh-CN"/>
              </w:rPr>
            </w:pPr>
            <w:r>
              <w:rPr>
                <w:rFonts w:hint="eastAsia"/>
                <w:sz w:val="20"/>
                <w:szCs w:val="20"/>
                <w:vertAlign w:val="baseline"/>
                <w:lang w:eastAsia="zh-CN"/>
              </w:rPr>
              <w:t>植被</w:t>
            </w:r>
            <w:r>
              <w:rPr>
                <w:rFonts w:hint="eastAsia"/>
                <w:sz w:val="20"/>
                <w:szCs w:val="20"/>
                <w:vertAlign w:val="baseline"/>
                <w:lang w:val="en-US" w:eastAsia="zh-CN"/>
              </w:rPr>
              <w:t>/植物群落</w:t>
            </w:r>
            <w:r>
              <w:rPr>
                <w:rFonts w:hint="eastAsia" w:ascii="宋体" w:hAnsi="宋体" w:cs="Times New Roman"/>
                <w:sz w:val="20"/>
                <w:szCs w:val="20"/>
              </w:rPr>
              <w:sym w:font="Wingdings 2" w:char="0052"/>
            </w:r>
            <w:r>
              <w:rPr>
                <w:rFonts w:hint="eastAsia" w:cs="Times New Roman"/>
                <w:sz w:val="20"/>
                <w:szCs w:val="20"/>
                <w:lang w:eastAsia="zh-CN"/>
              </w:rPr>
              <w:t>；土地利用</w:t>
            </w:r>
            <w:r>
              <w:rPr>
                <w:rFonts w:hint="eastAsia" w:ascii="宋体" w:hAnsi="宋体" w:cs="Times New Roman"/>
                <w:sz w:val="20"/>
                <w:szCs w:val="20"/>
              </w:rPr>
              <w:sym w:font="Wingdings 2" w:char="0052"/>
            </w:r>
            <w:r>
              <w:rPr>
                <w:rFonts w:hint="eastAsia" w:cs="Times New Roman"/>
                <w:sz w:val="20"/>
                <w:szCs w:val="20"/>
                <w:lang w:eastAsia="zh-CN"/>
              </w:rPr>
              <w:t>；生态系统</w:t>
            </w:r>
            <w:r>
              <w:rPr>
                <w:rFonts w:hint="eastAsia" w:ascii="宋体" w:hAnsi="宋体" w:cs="Times New Roman"/>
                <w:sz w:val="20"/>
                <w:szCs w:val="20"/>
              </w:rPr>
              <w:t>□</w:t>
            </w:r>
            <w:r>
              <w:rPr>
                <w:rFonts w:hint="eastAsia" w:cs="Times New Roman"/>
                <w:sz w:val="20"/>
                <w:szCs w:val="20"/>
                <w:lang w:eastAsia="zh-CN"/>
              </w:rPr>
              <w:t>；生物多样性</w:t>
            </w:r>
            <w:r>
              <w:rPr>
                <w:rFonts w:hint="eastAsia" w:ascii="宋体" w:hAnsi="宋体" w:cs="Times New Roman"/>
                <w:sz w:val="20"/>
                <w:szCs w:val="20"/>
              </w:rPr>
              <w:sym w:font="Wingdings 2" w:char="00A3"/>
            </w:r>
            <w:r>
              <w:rPr>
                <w:rFonts w:hint="eastAsia" w:cs="Times New Roman"/>
                <w:sz w:val="20"/>
                <w:szCs w:val="20"/>
                <w:lang w:eastAsia="zh-CN"/>
              </w:rPr>
              <w:t>；重要物种</w:t>
            </w:r>
            <w:r>
              <w:rPr>
                <w:rFonts w:hint="eastAsia" w:ascii="宋体" w:hAnsi="宋体" w:cs="Times New Roman"/>
                <w:sz w:val="20"/>
                <w:szCs w:val="20"/>
              </w:rPr>
              <w:t>□</w:t>
            </w:r>
            <w:r>
              <w:rPr>
                <w:rFonts w:hint="eastAsia" w:cs="Times New Roman"/>
                <w:sz w:val="20"/>
                <w:szCs w:val="20"/>
                <w:lang w:eastAsia="zh-CN"/>
              </w:rPr>
              <w:t>；生态敏感区</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生态影响预测与评价</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评价方法</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定性</w:t>
            </w:r>
            <w:r>
              <w:rPr>
                <w:rFonts w:hint="eastAsia" w:ascii="宋体" w:hAnsi="宋体" w:cs="Times New Roman"/>
                <w:sz w:val="20"/>
                <w:szCs w:val="20"/>
              </w:rPr>
              <w:t>□</w:t>
            </w:r>
            <w:r>
              <w:rPr>
                <w:rFonts w:hint="eastAsia" w:cs="Times New Roman"/>
                <w:sz w:val="20"/>
                <w:szCs w:val="20"/>
                <w:lang w:eastAsia="zh-CN"/>
              </w:rPr>
              <w:t>；定性和定量</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评价内容</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val="en-US" w:eastAsia="zh-CN"/>
              </w:rPr>
            </w:pPr>
            <w:r>
              <w:rPr>
                <w:rFonts w:hint="eastAsia"/>
                <w:sz w:val="20"/>
                <w:szCs w:val="20"/>
                <w:vertAlign w:val="baseline"/>
                <w:lang w:eastAsia="zh-CN"/>
              </w:rPr>
              <w:t>植被</w:t>
            </w:r>
            <w:r>
              <w:rPr>
                <w:rFonts w:hint="eastAsia"/>
                <w:sz w:val="20"/>
                <w:szCs w:val="20"/>
                <w:vertAlign w:val="baseline"/>
                <w:lang w:val="en-US" w:eastAsia="zh-CN"/>
              </w:rPr>
              <w:t>/植物群落</w:t>
            </w:r>
            <w:r>
              <w:rPr>
                <w:rFonts w:hint="eastAsia" w:ascii="宋体" w:hAnsi="宋体" w:cs="Times New Roman"/>
                <w:sz w:val="20"/>
                <w:szCs w:val="20"/>
              </w:rPr>
              <w:t>□</w:t>
            </w:r>
            <w:r>
              <w:rPr>
                <w:rFonts w:hint="eastAsia" w:cs="Times New Roman"/>
                <w:sz w:val="20"/>
                <w:szCs w:val="20"/>
                <w:lang w:eastAsia="zh-CN"/>
              </w:rPr>
              <w:t>；土地利用</w:t>
            </w:r>
            <w:r>
              <w:rPr>
                <w:rFonts w:hint="eastAsia" w:ascii="宋体" w:hAnsi="宋体" w:cs="Times New Roman"/>
                <w:sz w:val="20"/>
                <w:szCs w:val="20"/>
              </w:rPr>
              <w:t>□</w:t>
            </w:r>
            <w:r>
              <w:rPr>
                <w:rFonts w:hint="eastAsia" w:cs="Times New Roman"/>
                <w:sz w:val="20"/>
                <w:szCs w:val="20"/>
                <w:lang w:eastAsia="zh-CN"/>
              </w:rPr>
              <w:t>；生态系统</w:t>
            </w:r>
            <w:r>
              <w:rPr>
                <w:rFonts w:hint="eastAsia" w:ascii="宋体" w:hAnsi="宋体" w:cs="Times New Roman"/>
                <w:sz w:val="20"/>
                <w:szCs w:val="20"/>
              </w:rPr>
              <w:t>□</w:t>
            </w:r>
            <w:r>
              <w:rPr>
                <w:rFonts w:hint="eastAsia" w:cs="Times New Roman"/>
                <w:sz w:val="20"/>
                <w:szCs w:val="20"/>
                <w:lang w:eastAsia="zh-CN"/>
              </w:rPr>
              <w:t>；生物多样性</w:t>
            </w:r>
            <w:r>
              <w:rPr>
                <w:rFonts w:hint="eastAsia" w:ascii="宋体" w:hAnsi="宋体" w:cs="Times New Roman"/>
                <w:sz w:val="20"/>
                <w:szCs w:val="20"/>
              </w:rPr>
              <w:t>□</w:t>
            </w:r>
            <w:r>
              <w:rPr>
                <w:rFonts w:hint="eastAsia" w:cs="Times New Roman"/>
                <w:sz w:val="20"/>
                <w:szCs w:val="20"/>
                <w:lang w:eastAsia="zh-CN"/>
              </w:rPr>
              <w:t>；重要物种</w:t>
            </w:r>
            <w:r>
              <w:rPr>
                <w:rFonts w:hint="eastAsia" w:ascii="宋体" w:hAnsi="宋体" w:cs="Times New Roman"/>
                <w:sz w:val="20"/>
                <w:szCs w:val="20"/>
              </w:rPr>
              <w:t>□</w:t>
            </w:r>
            <w:r>
              <w:rPr>
                <w:rFonts w:hint="eastAsia" w:cs="Times New Roman"/>
                <w:sz w:val="20"/>
                <w:szCs w:val="20"/>
                <w:lang w:eastAsia="zh-CN"/>
              </w:rPr>
              <w:t>；生态敏感区</w:t>
            </w:r>
            <w:r>
              <w:rPr>
                <w:rFonts w:hint="eastAsia" w:ascii="宋体" w:hAnsi="宋体" w:cs="Times New Roman"/>
                <w:sz w:val="20"/>
                <w:szCs w:val="20"/>
              </w:rPr>
              <w:t>□</w:t>
            </w:r>
            <w:r>
              <w:rPr>
                <w:rFonts w:hint="eastAsia" w:cs="Times New Roman"/>
                <w:sz w:val="20"/>
                <w:szCs w:val="20"/>
                <w:lang w:eastAsia="zh-CN"/>
              </w:rPr>
              <w:t>；生物入侵风险</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restart"/>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生态保护对策措施</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对策措施</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避让</w:t>
            </w:r>
            <w:r>
              <w:rPr>
                <w:rFonts w:hint="eastAsia" w:ascii="宋体" w:hAnsi="宋体" w:cs="Times New Roman"/>
                <w:sz w:val="20"/>
                <w:szCs w:val="20"/>
              </w:rPr>
              <w:t>□</w:t>
            </w:r>
            <w:r>
              <w:rPr>
                <w:rFonts w:hint="eastAsia" w:cs="Times New Roman"/>
                <w:sz w:val="20"/>
                <w:szCs w:val="20"/>
                <w:lang w:eastAsia="zh-CN"/>
              </w:rPr>
              <w:t>；减缓</w:t>
            </w:r>
            <w:r>
              <w:rPr>
                <w:rFonts w:hint="eastAsia" w:ascii="宋体" w:hAnsi="宋体" w:cs="Times New Roman"/>
                <w:sz w:val="20"/>
                <w:szCs w:val="20"/>
              </w:rPr>
              <w:t>□</w:t>
            </w:r>
            <w:r>
              <w:rPr>
                <w:rFonts w:hint="eastAsia" w:cs="Times New Roman"/>
                <w:sz w:val="20"/>
                <w:szCs w:val="20"/>
                <w:lang w:eastAsia="zh-CN"/>
              </w:rPr>
              <w:t>；生态修复</w:t>
            </w:r>
            <w:r>
              <w:rPr>
                <w:rFonts w:hint="eastAsia" w:ascii="宋体" w:hAnsi="宋体" w:cs="Times New Roman"/>
                <w:sz w:val="20"/>
                <w:szCs w:val="20"/>
              </w:rPr>
              <w:t>□</w:t>
            </w:r>
            <w:r>
              <w:rPr>
                <w:rFonts w:hint="eastAsia" w:cs="Times New Roman"/>
                <w:sz w:val="20"/>
                <w:szCs w:val="20"/>
                <w:lang w:eastAsia="zh-CN"/>
              </w:rPr>
              <w:t>；生态补偿</w:t>
            </w:r>
            <w:r>
              <w:rPr>
                <w:rFonts w:hint="eastAsia" w:ascii="宋体" w:hAnsi="宋体" w:cs="Times New Roman"/>
                <w:sz w:val="20"/>
                <w:szCs w:val="20"/>
              </w:rPr>
              <w:sym w:font="Wingdings 2" w:char="0052"/>
            </w:r>
            <w:r>
              <w:rPr>
                <w:rFonts w:hint="eastAsia" w:cs="Times New Roman"/>
                <w:sz w:val="20"/>
                <w:szCs w:val="20"/>
                <w:lang w:eastAsia="zh-CN"/>
              </w:rPr>
              <w:t>；科研</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生态监测计划</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全生命周期</w:t>
            </w:r>
            <w:r>
              <w:rPr>
                <w:rFonts w:hint="eastAsia" w:ascii="宋体" w:hAnsi="宋体" w:cs="Times New Roman"/>
                <w:sz w:val="20"/>
                <w:szCs w:val="20"/>
              </w:rPr>
              <w:t>□</w:t>
            </w:r>
            <w:r>
              <w:rPr>
                <w:rFonts w:hint="eastAsia" w:cs="Times New Roman"/>
                <w:sz w:val="20"/>
                <w:szCs w:val="20"/>
                <w:lang w:eastAsia="zh-CN"/>
              </w:rPr>
              <w:t>；长期跟踪</w:t>
            </w:r>
            <w:r>
              <w:rPr>
                <w:rFonts w:hint="eastAsia" w:ascii="宋体" w:hAnsi="宋体" w:cs="Times New Roman"/>
                <w:sz w:val="20"/>
                <w:szCs w:val="20"/>
              </w:rPr>
              <w:t>□</w:t>
            </w:r>
            <w:r>
              <w:rPr>
                <w:rFonts w:hint="eastAsia" w:cs="Times New Roman"/>
                <w:sz w:val="20"/>
                <w:szCs w:val="20"/>
                <w:lang w:eastAsia="zh-CN"/>
              </w:rPr>
              <w:t>；常规</w:t>
            </w:r>
            <w:r>
              <w:rPr>
                <w:rFonts w:hint="eastAsia" w:ascii="宋体" w:hAnsi="宋体" w:cs="Times New Roman"/>
                <w:sz w:val="20"/>
                <w:szCs w:val="20"/>
              </w:rPr>
              <w:t>□</w:t>
            </w:r>
            <w:r>
              <w:rPr>
                <w:rFonts w:hint="eastAsia" w:cs="Times New Roman"/>
                <w:sz w:val="20"/>
                <w:szCs w:val="20"/>
                <w:lang w:eastAsia="zh-CN"/>
              </w:rPr>
              <w:t>；无</w:t>
            </w:r>
            <w:r>
              <w:rPr>
                <w:rFonts w:hint="eastAsia" w:ascii="宋体" w:hAnsi="宋体" w:cs="Times New Roman"/>
                <w:sz w:val="20"/>
                <w:szCs w:val="20"/>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0"/>
                <w:szCs w:val="20"/>
                <w:vertAlign w:val="baseline"/>
              </w:rPr>
            </w:pP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lang w:eastAsia="zh-CN"/>
              </w:rPr>
            </w:pPr>
            <w:r>
              <w:rPr>
                <w:rFonts w:hint="eastAsia"/>
                <w:sz w:val="20"/>
                <w:szCs w:val="20"/>
                <w:vertAlign w:val="baseline"/>
                <w:lang w:eastAsia="zh-CN"/>
              </w:rPr>
              <w:t>环境管理</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环境监理</w:t>
            </w:r>
            <w:r>
              <w:rPr>
                <w:rFonts w:hint="eastAsia" w:ascii="宋体" w:hAnsi="宋体" w:cs="Times New Roman"/>
                <w:sz w:val="20"/>
                <w:szCs w:val="20"/>
              </w:rPr>
              <w:t>□</w:t>
            </w:r>
            <w:r>
              <w:rPr>
                <w:rFonts w:hint="eastAsia" w:cs="Times New Roman"/>
                <w:sz w:val="20"/>
                <w:szCs w:val="20"/>
                <w:lang w:eastAsia="zh-CN"/>
              </w:rPr>
              <w:t>；环境影响后评价</w:t>
            </w:r>
            <w:r>
              <w:rPr>
                <w:rFonts w:hint="eastAsia" w:ascii="宋体" w:hAnsi="宋体" w:cs="Times New Roman"/>
                <w:sz w:val="20"/>
                <w:szCs w:val="20"/>
              </w:rPr>
              <w:t>□</w:t>
            </w:r>
            <w:r>
              <w:rPr>
                <w:rFonts w:hint="eastAsia" w:cs="Times New Roman"/>
                <w:sz w:val="20"/>
                <w:szCs w:val="20"/>
                <w:lang w:eastAsia="zh-CN"/>
              </w:rPr>
              <w:t>；其他</w:t>
            </w:r>
            <w:r>
              <w:rPr>
                <w:rFonts w:hint="eastAsia" w:ascii="宋体" w:hAnsi="宋体" w:cs="Times New Roman"/>
                <w:sz w:val="20"/>
                <w:szCs w:val="20"/>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Borders>
              <w:lef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0"/>
                <w:szCs w:val="20"/>
                <w:vertAlign w:val="baseline"/>
                <w:lang w:eastAsia="zh-CN"/>
              </w:rPr>
            </w:pPr>
            <w:r>
              <w:rPr>
                <w:rFonts w:hint="eastAsia"/>
                <w:sz w:val="20"/>
                <w:szCs w:val="20"/>
                <w:vertAlign w:val="baseline"/>
                <w:lang w:eastAsia="zh-CN"/>
              </w:rPr>
              <w:t>评价结论</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0"/>
                <w:szCs w:val="20"/>
                <w:vertAlign w:val="baseline"/>
                <w:lang w:eastAsia="zh-CN"/>
              </w:rPr>
            </w:pPr>
            <w:r>
              <w:rPr>
                <w:rFonts w:hint="eastAsia"/>
                <w:sz w:val="20"/>
                <w:szCs w:val="20"/>
                <w:vertAlign w:val="baseline"/>
                <w:lang w:eastAsia="zh-CN"/>
              </w:rPr>
              <w:t>生态影响</w:t>
            </w:r>
          </w:p>
        </w:tc>
        <w:tc>
          <w:tcPr>
            <w:tcW w:w="6323"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可行</w:t>
            </w:r>
            <w:r>
              <w:rPr>
                <w:rFonts w:hint="eastAsia" w:ascii="宋体" w:hAnsi="宋体" w:cs="Times New Roman"/>
                <w:sz w:val="20"/>
                <w:szCs w:val="20"/>
              </w:rPr>
              <w:sym w:font="Wingdings 2" w:char="0052"/>
            </w:r>
            <w:r>
              <w:rPr>
                <w:rFonts w:hint="eastAsia" w:cs="Times New Roman"/>
                <w:sz w:val="20"/>
                <w:szCs w:val="20"/>
                <w:lang w:eastAsia="zh-CN"/>
              </w:rPr>
              <w:t>；不可行</w:t>
            </w:r>
            <w:r>
              <w:rPr>
                <w:rFonts w:hint="eastAsia" w:ascii="宋体" w:hAnsi="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3"/>
            <w:tcBorders>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eastAsia" w:eastAsia="宋体"/>
                <w:sz w:val="20"/>
                <w:szCs w:val="20"/>
                <w:vertAlign w:val="baseline"/>
                <w:lang w:eastAsia="zh-CN"/>
              </w:rPr>
            </w:pPr>
            <w:r>
              <w:rPr>
                <w:rFonts w:hint="eastAsia"/>
                <w:sz w:val="20"/>
                <w:szCs w:val="20"/>
                <w:vertAlign w:val="baseline"/>
                <w:lang w:eastAsia="zh-CN"/>
              </w:rPr>
              <w:t>注：“</w:t>
            </w:r>
            <w:r>
              <w:rPr>
                <w:rFonts w:hint="eastAsia" w:ascii="宋体" w:hAnsi="宋体" w:cs="Times New Roman"/>
                <w:sz w:val="20"/>
                <w:szCs w:val="20"/>
              </w:rPr>
              <w:t>□</w:t>
            </w:r>
            <w:r>
              <w:rPr>
                <w:rFonts w:hint="eastAsia"/>
                <w:sz w:val="20"/>
                <w:szCs w:val="20"/>
                <w:vertAlign w:val="baseline"/>
                <w:lang w:eastAsia="zh-CN"/>
              </w:rPr>
              <w:t>”为勾选项，可√；“（</w:t>
            </w:r>
            <w:r>
              <w:rPr>
                <w:rFonts w:hint="eastAsia"/>
                <w:sz w:val="20"/>
                <w:szCs w:val="20"/>
                <w:vertAlign w:val="baseline"/>
                <w:lang w:val="en-US" w:eastAsia="zh-CN"/>
              </w:rPr>
              <w:t xml:space="preserve">     </w:t>
            </w:r>
            <w:r>
              <w:rPr>
                <w:rFonts w:hint="eastAsia"/>
                <w:sz w:val="20"/>
                <w:szCs w:val="20"/>
                <w:vertAlign w:val="baseline"/>
                <w:lang w:eastAsia="zh-CN"/>
              </w:rPr>
              <w:t>）”为内容填写项。</w:t>
            </w:r>
          </w:p>
        </w:tc>
      </w:tr>
    </w:tbl>
    <w:p>
      <w:pPr>
        <w:pStyle w:val="4"/>
        <w:spacing w:before="165" w:after="165"/>
        <w:rPr>
          <w:rFonts w:hint="eastAsia" w:ascii="Times New Roman" w:hAnsi="Times New Roman"/>
        </w:rPr>
      </w:pPr>
      <w:bookmarkStart w:id="224" w:name="_Toc2706"/>
      <w:bookmarkStart w:id="225" w:name="_Toc1818"/>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ascii="Times New Roman" w:hAnsi="Times New Roman"/>
        </w:rPr>
        <w:t>土壤环境影响分析</w:t>
      </w:r>
      <w:bookmarkEnd w:id="224"/>
      <w:bookmarkEnd w:id="225"/>
    </w:p>
    <w:p>
      <w:pPr>
        <w:pStyle w:val="5"/>
        <w:bidi w:val="0"/>
        <w:rPr>
          <w:rFonts w:hint="eastAsia"/>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1</w:t>
      </w:r>
      <w:r>
        <w:rPr>
          <w:rFonts w:hint="eastAsia"/>
        </w:rPr>
        <w:t>影响类型及途径</w:t>
      </w:r>
    </w:p>
    <w:p>
      <w:pPr>
        <w:spacing w:line="440" w:lineRule="exact"/>
        <w:rPr>
          <w:rFonts w:hint="eastAsia"/>
        </w:rPr>
      </w:pPr>
      <w:r>
        <w:rPr>
          <w:rFonts w:hint="eastAsia"/>
          <w:lang w:eastAsia="zh-CN"/>
        </w:rPr>
        <w:t>本</w:t>
      </w:r>
      <w:r>
        <w:rPr>
          <w:rFonts w:hint="eastAsia"/>
        </w:rPr>
        <w:t>项目</w:t>
      </w:r>
      <w:r>
        <w:rPr>
          <w:rFonts w:hint="eastAsia"/>
          <w:lang w:eastAsia="zh-CN"/>
        </w:rPr>
        <w:t>主要原料和产品为生物化工产品，不含重金属、持久性有机物等有毒有害污染物。装置区和罐区位于硬化地面，具备围堰、截水沟等废水收集设施，不存在垂直入渗途径。装置整体密闭不涉及大气沉降。本项目催化剂中含</w:t>
      </w:r>
      <w:r>
        <w:rPr>
          <w:rFonts w:hint="eastAsia" w:ascii="Times New Roman" w:hAnsi="Times New Roman"/>
          <w:lang w:val="en-US" w:eastAsia="zh-CN"/>
        </w:rPr>
        <w:t>Cu</w:t>
      </w:r>
      <w:r>
        <w:rPr>
          <w:rFonts w:hint="eastAsia"/>
          <w:lang w:val="en-US" w:eastAsia="zh-CN"/>
        </w:rPr>
        <w:t>、</w:t>
      </w:r>
      <w:r>
        <w:rPr>
          <w:rFonts w:hint="eastAsia" w:ascii="Times New Roman" w:hAnsi="Times New Roman"/>
          <w:lang w:val="en-US" w:eastAsia="zh-CN"/>
        </w:rPr>
        <w:t>Ni</w:t>
      </w:r>
      <w:r>
        <w:rPr>
          <w:rFonts w:hint="eastAsia"/>
          <w:lang w:val="en-US" w:eastAsia="zh-CN"/>
        </w:rPr>
        <w:t>等重金属，催化剂原料厂内不存储，而</w:t>
      </w:r>
      <w:r>
        <w:rPr>
          <w:rFonts w:hint="eastAsia"/>
        </w:rPr>
        <w:t>运营时</w:t>
      </w:r>
      <w:r>
        <w:rPr>
          <w:rFonts w:hint="eastAsia"/>
          <w:lang w:eastAsia="zh-CN"/>
        </w:rPr>
        <w:t>产生的废催化剂</w:t>
      </w:r>
      <w:r>
        <w:rPr>
          <w:rFonts w:hint="eastAsia"/>
        </w:rPr>
        <w:t>可能由于</w:t>
      </w:r>
      <w:r>
        <w:rPr>
          <w:rFonts w:hint="eastAsia"/>
          <w:lang w:eastAsia="zh-CN"/>
        </w:rPr>
        <w:t>包装老化造成泄漏并进入土壤</w:t>
      </w:r>
      <w:r>
        <w:rPr>
          <w:rFonts w:hint="eastAsia"/>
        </w:rPr>
        <w:t>。</w:t>
      </w:r>
      <w:r>
        <w:rPr>
          <w:rFonts w:hint="eastAsia"/>
          <w:lang w:eastAsia="zh-CN"/>
        </w:rPr>
        <w:t>因此</w:t>
      </w:r>
      <w:r>
        <w:rPr>
          <w:rFonts w:hint="eastAsia"/>
        </w:rPr>
        <w:t>本项目土壤环境影响类型见表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1</w:t>
      </w:r>
      <w:r>
        <w:rPr>
          <w:rFonts w:hint="eastAsia"/>
        </w:rPr>
        <w:t>。</w:t>
      </w:r>
    </w:p>
    <w:p>
      <w:pPr>
        <w:pStyle w:val="20"/>
        <w:spacing w:before="165"/>
      </w:pPr>
      <w:r>
        <w:rPr>
          <w:rFonts w:hint="eastAsia"/>
        </w:rPr>
        <w:t>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1</w:t>
      </w:r>
      <w:r>
        <w:rPr>
          <w:rFonts w:hint="eastAsia"/>
        </w:rPr>
        <w:t xml:space="preserve">  建设项目土壤环境影响类型与影响途径表</w:t>
      </w:r>
    </w:p>
    <w:tbl>
      <w:tblPr>
        <w:tblStyle w:val="80"/>
        <w:tblW w:w="91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1907"/>
        <w:gridCol w:w="1910"/>
        <w:gridCol w:w="1908"/>
        <w:gridCol w:w="11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306" w:type="dxa"/>
            <w:vMerge w:val="restart"/>
            <w:noWrap w:val="0"/>
            <w:vAlign w:val="center"/>
          </w:tcPr>
          <w:p>
            <w:pPr>
              <w:spacing w:line="280" w:lineRule="exact"/>
              <w:ind w:firstLine="0"/>
              <w:jc w:val="center"/>
              <w:rPr>
                <w:rFonts w:hint="eastAsia"/>
                <w:sz w:val="21"/>
                <w:szCs w:val="21"/>
              </w:rPr>
            </w:pPr>
            <w:r>
              <w:rPr>
                <w:rFonts w:hint="eastAsia"/>
                <w:sz w:val="21"/>
                <w:szCs w:val="21"/>
              </w:rPr>
              <w:t>不同时段</w:t>
            </w:r>
          </w:p>
        </w:tc>
        <w:tc>
          <w:tcPr>
            <w:tcW w:w="6874" w:type="dxa"/>
            <w:gridSpan w:val="4"/>
            <w:noWrap w:val="0"/>
            <w:vAlign w:val="center"/>
          </w:tcPr>
          <w:p>
            <w:pPr>
              <w:spacing w:line="280" w:lineRule="exact"/>
              <w:ind w:firstLine="0"/>
              <w:jc w:val="center"/>
              <w:rPr>
                <w:rFonts w:hint="eastAsia"/>
                <w:sz w:val="21"/>
                <w:szCs w:val="21"/>
              </w:rPr>
            </w:pPr>
            <w:r>
              <w:rPr>
                <w:rFonts w:hint="eastAsia"/>
                <w:sz w:val="21"/>
                <w:szCs w:val="21"/>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06" w:type="dxa"/>
            <w:vMerge w:val="continue"/>
            <w:noWrap w:val="0"/>
            <w:vAlign w:val="center"/>
          </w:tcPr>
          <w:p>
            <w:pPr>
              <w:spacing w:line="280" w:lineRule="exact"/>
              <w:ind w:firstLine="0"/>
              <w:jc w:val="center"/>
              <w:rPr>
                <w:rFonts w:hint="eastAsia"/>
                <w:sz w:val="21"/>
                <w:szCs w:val="21"/>
              </w:rPr>
            </w:pPr>
          </w:p>
        </w:tc>
        <w:tc>
          <w:tcPr>
            <w:tcW w:w="1907" w:type="dxa"/>
            <w:noWrap w:val="0"/>
            <w:vAlign w:val="center"/>
          </w:tcPr>
          <w:p>
            <w:pPr>
              <w:spacing w:line="280" w:lineRule="exact"/>
              <w:ind w:firstLine="0"/>
              <w:jc w:val="center"/>
              <w:rPr>
                <w:rFonts w:hint="eastAsia"/>
                <w:sz w:val="21"/>
                <w:szCs w:val="21"/>
              </w:rPr>
            </w:pPr>
            <w:r>
              <w:rPr>
                <w:rFonts w:hint="eastAsia"/>
                <w:sz w:val="21"/>
                <w:szCs w:val="21"/>
              </w:rPr>
              <w:t>大气沉降</w:t>
            </w:r>
          </w:p>
        </w:tc>
        <w:tc>
          <w:tcPr>
            <w:tcW w:w="1910" w:type="dxa"/>
            <w:noWrap w:val="0"/>
            <w:vAlign w:val="center"/>
          </w:tcPr>
          <w:p>
            <w:pPr>
              <w:spacing w:line="280" w:lineRule="exact"/>
              <w:ind w:firstLine="0"/>
              <w:jc w:val="center"/>
              <w:rPr>
                <w:rFonts w:hint="eastAsia"/>
                <w:sz w:val="21"/>
                <w:szCs w:val="21"/>
              </w:rPr>
            </w:pPr>
            <w:r>
              <w:rPr>
                <w:rFonts w:hint="eastAsia"/>
                <w:sz w:val="21"/>
                <w:szCs w:val="21"/>
              </w:rPr>
              <w:t>地面漫流</w:t>
            </w:r>
          </w:p>
        </w:tc>
        <w:tc>
          <w:tcPr>
            <w:tcW w:w="1908" w:type="dxa"/>
            <w:noWrap w:val="0"/>
            <w:vAlign w:val="center"/>
          </w:tcPr>
          <w:p>
            <w:pPr>
              <w:spacing w:line="280" w:lineRule="exact"/>
              <w:ind w:firstLine="0"/>
              <w:jc w:val="center"/>
              <w:rPr>
                <w:rFonts w:hint="eastAsia"/>
                <w:sz w:val="21"/>
                <w:szCs w:val="21"/>
              </w:rPr>
            </w:pPr>
            <w:r>
              <w:rPr>
                <w:rFonts w:hint="eastAsia"/>
                <w:sz w:val="21"/>
                <w:szCs w:val="21"/>
              </w:rPr>
              <w:t>垂直入渗</w:t>
            </w:r>
          </w:p>
        </w:tc>
        <w:tc>
          <w:tcPr>
            <w:tcW w:w="1149" w:type="dxa"/>
            <w:noWrap w:val="0"/>
            <w:vAlign w:val="center"/>
          </w:tcPr>
          <w:p>
            <w:pPr>
              <w:spacing w:line="280" w:lineRule="exact"/>
              <w:ind w:firstLine="0"/>
              <w:jc w:val="center"/>
              <w:rPr>
                <w:rFonts w:hint="eastAsia"/>
                <w:sz w:val="21"/>
                <w:szCs w:val="21"/>
              </w:rPr>
            </w:pPr>
            <w:r>
              <w:rPr>
                <w:rFonts w:hint="eastAsia"/>
                <w:sz w:val="21"/>
                <w:szCs w:val="21"/>
              </w:rPr>
              <w:t>其它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306" w:type="dxa"/>
            <w:noWrap w:val="0"/>
            <w:vAlign w:val="center"/>
          </w:tcPr>
          <w:p>
            <w:pPr>
              <w:spacing w:line="280" w:lineRule="exact"/>
              <w:ind w:firstLine="0"/>
              <w:jc w:val="center"/>
              <w:rPr>
                <w:rFonts w:hint="eastAsia"/>
                <w:sz w:val="21"/>
                <w:szCs w:val="21"/>
              </w:rPr>
            </w:pPr>
            <w:r>
              <w:rPr>
                <w:rFonts w:hint="eastAsia"/>
                <w:sz w:val="21"/>
                <w:szCs w:val="21"/>
              </w:rPr>
              <w:t>建设期</w:t>
            </w:r>
          </w:p>
        </w:tc>
        <w:tc>
          <w:tcPr>
            <w:tcW w:w="1907" w:type="dxa"/>
            <w:noWrap w:val="0"/>
            <w:vAlign w:val="center"/>
          </w:tcPr>
          <w:p>
            <w:pPr>
              <w:spacing w:line="280" w:lineRule="exact"/>
              <w:ind w:firstLine="0"/>
              <w:jc w:val="center"/>
              <w:rPr>
                <w:rFonts w:hint="eastAsia" w:eastAsia="宋体"/>
                <w:sz w:val="21"/>
                <w:szCs w:val="21"/>
                <w:lang w:val="en-US" w:eastAsia="zh-CN"/>
              </w:rPr>
            </w:pPr>
            <w:r>
              <w:rPr>
                <w:rFonts w:hint="eastAsia"/>
                <w:sz w:val="21"/>
                <w:szCs w:val="21"/>
                <w:lang w:val="en-US" w:eastAsia="zh-CN"/>
              </w:rPr>
              <w:t>/</w:t>
            </w:r>
          </w:p>
        </w:tc>
        <w:tc>
          <w:tcPr>
            <w:tcW w:w="1910" w:type="dxa"/>
            <w:noWrap w:val="0"/>
            <w:vAlign w:val="center"/>
          </w:tcPr>
          <w:p>
            <w:pPr>
              <w:spacing w:line="280" w:lineRule="exact"/>
              <w:ind w:firstLine="0"/>
              <w:jc w:val="center"/>
              <w:rPr>
                <w:rFonts w:hint="eastAsia" w:eastAsia="宋体"/>
                <w:sz w:val="21"/>
                <w:szCs w:val="21"/>
                <w:lang w:val="en-US" w:eastAsia="zh-CN"/>
              </w:rPr>
            </w:pPr>
            <w:r>
              <w:rPr>
                <w:rFonts w:hint="eastAsia"/>
                <w:sz w:val="21"/>
                <w:szCs w:val="21"/>
                <w:lang w:val="en-US" w:eastAsia="zh-CN"/>
              </w:rPr>
              <w:t>/</w:t>
            </w:r>
          </w:p>
        </w:tc>
        <w:tc>
          <w:tcPr>
            <w:tcW w:w="1908" w:type="dxa"/>
            <w:noWrap w:val="0"/>
            <w:vAlign w:val="center"/>
          </w:tcPr>
          <w:p>
            <w:pPr>
              <w:spacing w:line="280" w:lineRule="exact"/>
              <w:ind w:firstLine="0"/>
              <w:jc w:val="center"/>
              <w:rPr>
                <w:rFonts w:hint="eastAsia" w:eastAsia="宋体"/>
                <w:sz w:val="21"/>
                <w:szCs w:val="21"/>
                <w:lang w:val="en-US" w:eastAsia="zh-CN"/>
              </w:rPr>
            </w:pPr>
            <w:r>
              <w:rPr>
                <w:rFonts w:hint="eastAsia"/>
                <w:sz w:val="21"/>
                <w:szCs w:val="21"/>
                <w:lang w:val="en-US" w:eastAsia="zh-CN"/>
              </w:rPr>
              <w:t>/</w:t>
            </w:r>
          </w:p>
        </w:tc>
        <w:tc>
          <w:tcPr>
            <w:tcW w:w="1149" w:type="dxa"/>
            <w:noWrap w:val="0"/>
            <w:vAlign w:val="center"/>
          </w:tcPr>
          <w:p>
            <w:pPr>
              <w:spacing w:line="280" w:lineRule="exact"/>
              <w:ind w:firstLine="0"/>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06" w:type="dxa"/>
            <w:noWrap w:val="0"/>
            <w:vAlign w:val="center"/>
          </w:tcPr>
          <w:p>
            <w:pPr>
              <w:spacing w:line="280" w:lineRule="exact"/>
              <w:ind w:firstLine="0"/>
              <w:jc w:val="center"/>
              <w:rPr>
                <w:rFonts w:hint="eastAsia"/>
                <w:sz w:val="21"/>
                <w:szCs w:val="21"/>
              </w:rPr>
            </w:pPr>
            <w:r>
              <w:rPr>
                <w:rFonts w:hint="eastAsia"/>
                <w:sz w:val="21"/>
                <w:szCs w:val="21"/>
              </w:rPr>
              <w:t>运营期</w:t>
            </w:r>
          </w:p>
        </w:tc>
        <w:tc>
          <w:tcPr>
            <w:tcW w:w="1907" w:type="dxa"/>
            <w:noWrap w:val="0"/>
            <w:vAlign w:val="center"/>
          </w:tcPr>
          <w:p>
            <w:pPr>
              <w:spacing w:line="280" w:lineRule="exact"/>
              <w:ind w:firstLine="0"/>
              <w:jc w:val="center"/>
              <w:rPr>
                <w:rFonts w:hint="eastAsia" w:eastAsia="宋体"/>
                <w:sz w:val="21"/>
                <w:szCs w:val="21"/>
                <w:lang w:val="en-US" w:eastAsia="zh-CN"/>
              </w:rPr>
            </w:pPr>
            <w:r>
              <w:rPr>
                <w:rFonts w:hint="eastAsia"/>
                <w:sz w:val="21"/>
                <w:szCs w:val="21"/>
                <w:lang w:val="en-US" w:eastAsia="zh-CN"/>
              </w:rPr>
              <w:t>/</w:t>
            </w:r>
          </w:p>
        </w:tc>
        <w:tc>
          <w:tcPr>
            <w:tcW w:w="1910" w:type="dxa"/>
            <w:noWrap w:val="0"/>
            <w:vAlign w:val="center"/>
          </w:tcPr>
          <w:p>
            <w:pPr>
              <w:spacing w:line="280" w:lineRule="exact"/>
              <w:ind w:firstLine="0"/>
              <w:jc w:val="center"/>
              <w:rPr>
                <w:rFonts w:hint="eastAsia" w:eastAsia="宋体"/>
                <w:sz w:val="21"/>
                <w:szCs w:val="21"/>
                <w:lang w:val="en-US" w:eastAsia="zh-CN"/>
              </w:rPr>
            </w:pPr>
            <w:r>
              <w:rPr>
                <w:rFonts w:hint="eastAsia"/>
                <w:sz w:val="21"/>
                <w:szCs w:val="21"/>
                <w:lang w:val="en-US" w:eastAsia="zh-CN"/>
              </w:rPr>
              <w:t>/</w:t>
            </w:r>
          </w:p>
        </w:tc>
        <w:tc>
          <w:tcPr>
            <w:tcW w:w="1908" w:type="dxa"/>
            <w:noWrap w:val="0"/>
            <w:vAlign w:val="center"/>
          </w:tcPr>
          <w:p>
            <w:pPr>
              <w:spacing w:line="280" w:lineRule="exact"/>
              <w:ind w:firstLine="0"/>
              <w:jc w:val="center"/>
              <w:rPr>
                <w:rFonts w:hint="eastAsia" w:eastAsia="宋体"/>
                <w:sz w:val="21"/>
                <w:szCs w:val="21"/>
                <w:lang w:eastAsia="zh-CN"/>
              </w:rPr>
            </w:pPr>
            <w:r>
              <w:rPr>
                <w:rFonts w:hint="eastAsia"/>
                <w:sz w:val="21"/>
                <w:szCs w:val="21"/>
              </w:rPr>
              <w:t>√</w:t>
            </w:r>
          </w:p>
        </w:tc>
        <w:tc>
          <w:tcPr>
            <w:tcW w:w="1149" w:type="dxa"/>
            <w:noWrap w:val="0"/>
            <w:vAlign w:val="center"/>
          </w:tcPr>
          <w:p>
            <w:pPr>
              <w:spacing w:line="280" w:lineRule="exact"/>
              <w:ind w:firstLine="0"/>
              <w:jc w:val="center"/>
              <w:rPr>
                <w:rFonts w:hint="eastAsia" w:eastAsia="宋体"/>
                <w:sz w:val="21"/>
                <w:szCs w:val="21"/>
                <w:lang w:val="en-US" w:eastAsia="zh-CN"/>
              </w:rPr>
            </w:pPr>
            <w:r>
              <w:rPr>
                <w:rFonts w:hint="eastAsia"/>
                <w:sz w:val="21"/>
                <w:szCs w:val="21"/>
                <w:lang w:val="en-US" w:eastAsia="zh-CN"/>
              </w:rPr>
              <w:t>/</w:t>
            </w:r>
          </w:p>
        </w:tc>
      </w:tr>
    </w:tbl>
    <w:p>
      <w:pPr>
        <w:pStyle w:val="5"/>
        <w:bidi w:val="0"/>
        <w:rPr>
          <w:rFonts w:hint="eastAsia"/>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2</w:t>
      </w:r>
      <w:r>
        <w:rPr>
          <w:rFonts w:hint="eastAsia"/>
        </w:rPr>
        <w:t>影响源与影响因子</w:t>
      </w:r>
    </w:p>
    <w:p>
      <w:r>
        <w:rPr>
          <w:rFonts w:hint="eastAsia" w:ascii="Times New Roman" w:hAnsi="Times New Roman" w:cs="Times New Roman"/>
          <w:color w:val="auto"/>
          <w:szCs w:val="22"/>
          <w:lang w:val="en-US" w:eastAsia="zh-CN"/>
        </w:rPr>
        <w:t>根据建设单位提供的资料，本项目</w:t>
      </w:r>
      <w:r>
        <w:rPr>
          <w:rFonts w:hint="eastAsia" w:ascii="Times New Roman" w:hAnsi="Times New Roman" w:cs="Times New Roman"/>
          <w:color w:val="auto"/>
          <w:szCs w:val="22"/>
          <w:lang w:val="en-US" w:eastAsia="zh-CN"/>
        </w:rPr>
        <w:t>PD</w:t>
      </w:r>
      <w:r>
        <w:rPr>
          <w:rFonts w:hint="eastAsia" w:ascii="Times New Roman" w:hAnsi="Times New Roman" w:cs="Times New Roman"/>
          <w:color w:val="auto"/>
          <w:szCs w:val="22"/>
          <w:lang w:val="en-US" w:eastAsia="zh-CN"/>
        </w:rPr>
        <w:t>制备采用的催化剂含铜、镍重金属，</w:t>
      </w:r>
      <w:r>
        <w:rPr>
          <w:rFonts w:hint="eastAsia"/>
          <w:lang w:eastAsia="zh-CN"/>
        </w:rPr>
        <w:t>本</w:t>
      </w:r>
      <w:r>
        <w:rPr>
          <w:rFonts w:hint="eastAsia"/>
        </w:rPr>
        <w:t>项目土壤环境影响源及影响因子识别结果见表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w:t>
      </w:r>
    </w:p>
    <w:p>
      <w:pPr>
        <w:pStyle w:val="20"/>
        <w:spacing w:before="165"/>
      </w:pPr>
      <w:r>
        <w:rPr>
          <w:rFonts w:hint="eastAsia"/>
        </w:rPr>
        <w:t>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 xml:space="preserve">  土壤环境影响源及影响因子识别表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1755"/>
        <w:gridCol w:w="1208"/>
        <w:gridCol w:w="2110"/>
        <w:gridCol w:w="1155"/>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Borders>
              <w:top w:val="single" w:color="auto" w:sz="12" w:space="0"/>
              <w:lef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污染源</w:t>
            </w:r>
          </w:p>
        </w:tc>
        <w:tc>
          <w:tcPr>
            <w:tcW w:w="1755" w:type="dxa"/>
            <w:tcBorders>
              <w:top w:val="single" w:color="auto" w:sz="12" w:space="0"/>
            </w:tcBorders>
            <w:noWrap w:val="0"/>
            <w:vAlign w:val="center"/>
          </w:tcPr>
          <w:p>
            <w:pPr>
              <w:spacing w:line="240" w:lineRule="auto"/>
              <w:ind w:firstLine="0"/>
              <w:jc w:val="center"/>
              <w:rPr>
                <w:sz w:val="21"/>
                <w:szCs w:val="21"/>
              </w:rPr>
            </w:pPr>
            <w:r>
              <w:rPr>
                <w:rFonts w:hint="eastAsia"/>
                <w:sz w:val="21"/>
                <w:szCs w:val="21"/>
              </w:rPr>
              <w:t>工艺流程/节点</w:t>
            </w:r>
          </w:p>
        </w:tc>
        <w:tc>
          <w:tcPr>
            <w:tcW w:w="1208" w:type="dxa"/>
            <w:tcBorders>
              <w:top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污染途径</w:t>
            </w:r>
          </w:p>
        </w:tc>
        <w:tc>
          <w:tcPr>
            <w:tcW w:w="2110" w:type="dxa"/>
            <w:tcBorders>
              <w:top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全部污染物指标</w:t>
            </w:r>
          </w:p>
        </w:tc>
        <w:tc>
          <w:tcPr>
            <w:tcW w:w="1155" w:type="dxa"/>
            <w:tcBorders>
              <w:top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特征因子</w:t>
            </w:r>
          </w:p>
        </w:tc>
        <w:tc>
          <w:tcPr>
            <w:tcW w:w="1082" w:type="dxa"/>
            <w:tcBorders>
              <w:top w:val="single" w:color="auto" w:sz="12" w:space="0"/>
              <w:right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Borders>
              <w:left w:val="single" w:color="auto" w:sz="12" w:space="0"/>
              <w:bottom w:val="single" w:color="auto" w:sz="12" w:space="0"/>
            </w:tcBorders>
            <w:noWrap w:val="0"/>
            <w:vAlign w:val="center"/>
          </w:tcPr>
          <w:p>
            <w:pPr>
              <w:spacing w:line="240" w:lineRule="auto"/>
              <w:ind w:firstLine="0"/>
              <w:jc w:val="center"/>
              <w:rPr>
                <w:rFonts w:hint="eastAsia" w:eastAsia="宋体"/>
                <w:sz w:val="21"/>
                <w:szCs w:val="21"/>
                <w:lang w:eastAsia="zh-CN"/>
              </w:rPr>
            </w:pPr>
            <w:r>
              <w:rPr>
                <w:rFonts w:hint="eastAsia"/>
                <w:sz w:val="21"/>
                <w:szCs w:val="21"/>
                <w:lang w:eastAsia="zh-CN"/>
              </w:rPr>
              <w:t>危险废物贮存库</w:t>
            </w:r>
          </w:p>
        </w:tc>
        <w:tc>
          <w:tcPr>
            <w:tcW w:w="1755" w:type="dxa"/>
            <w:tcBorders>
              <w:bottom w:val="single" w:color="auto" w:sz="12" w:space="0"/>
            </w:tcBorders>
            <w:noWrap w:val="0"/>
            <w:vAlign w:val="center"/>
          </w:tcPr>
          <w:p>
            <w:pPr>
              <w:spacing w:line="240" w:lineRule="auto"/>
              <w:ind w:firstLine="0"/>
              <w:jc w:val="center"/>
              <w:rPr>
                <w:rFonts w:hint="eastAsia" w:eastAsia="宋体"/>
                <w:sz w:val="21"/>
                <w:szCs w:val="21"/>
                <w:lang w:eastAsia="zh-CN"/>
              </w:rPr>
            </w:pPr>
            <w:r>
              <w:rPr>
                <w:rFonts w:hint="eastAsia"/>
                <w:sz w:val="21"/>
                <w:szCs w:val="21"/>
                <w:lang w:eastAsia="zh-CN"/>
              </w:rPr>
              <w:t>废催化剂暂存</w:t>
            </w:r>
          </w:p>
        </w:tc>
        <w:tc>
          <w:tcPr>
            <w:tcW w:w="1208" w:type="dxa"/>
            <w:tcBorders>
              <w:bottom w:val="single" w:color="auto" w:sz="12" w:space="0"/>
            </w:tcBorders>
            <w:noWrap w:val="0"/>
            <w:vAlign w:val="center"/>
          </w:tcPr>
          <w:p>
            <w:pPr>
              <w:spacing w:line="240" w:lineRule="auto"/>
              <w:ind w:firstLine="0"/>
              <w:jc w:val="center"/>
              <w:rPr>
                <w:rFonts w:hint="eastAsia"/>
                <w:sz w:val="21"/>
                <w:szCs w:val="21"/>
              </w:rPr>
            </w:pPr>
            <w:r>
              <w:rPr>
                <w:rFonts w:hint="eastAsia"/>
                <w:sz w:val="21"/>
                <w:szCs w:val="21"/>
              </w:rPr>
              <w:t>垂直入渗</w:t>
            </w:r>
          </w:p>
        </w:tc>
        <w:tc>
          <w:tcPr>
            <w:tcW w:w="2110" w:type="dxa"/>
            <w:tcBorders>
              <w:bottom w:val="single" w:color="auto" w:sz="12" w:space="0"/>
            </w:tcBorders>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pH</w:t>
            </w:r>
            <w:r>
              <w:rPr>
                <w:rFonts w:hint="eastAsia"/>
                <w:sz w:val="21"/>
                <w:szCs w:val="21"/>
                <w:lang w:val="en-US" w:eastAsia="zh-CN"/>
              </w:rPr>
              <w:t>、硫酸盐、</w:t>
            </w:r>
            <w:r>
              <w:rPr>
                <w:rFonts w:hint="eastAsia" w:ascii="Times New Roman" w:hAnsi="Times New Roman"/>
                <w:sz w:val="21"/>
                <w:szCs w:val="21"/>
                <w:lang w:val="en-US" w:eastAsia="zh-CN"/>
              </w:rPr>
              <w:t>Cu</w:t>
            </w:r>
            <w:r>
              <w:rPr>
                <w:rFonts w:hint="eastAsia"/>
                <w:sz w:val="21"/>
                <w:szCs w:val="21"/>
                <w:lang w:val="en-US" w:eastAsia="zh-CN"/>
              </w:rPr>
              <w:t>、</w:t>
            </w:r>
            <w:r>
              <w:rPr>
                <w:rFonts w:hint="eastAsia" w:ascii="Times New Roman" w:hAnsi="Times New Roman"/>
                <w:sz w:val="21"/>
                <w:szCs w:val="21"/>
                <w:lang w:val="en-US" w:eastAsia="zh-CN"/>
              </w:rPr>
              <w:t>Ni</w:t>
            </w:r>
          </w:p>
        </w:tc>
        <w:tc>
          <w:tcPr>
            <w:tcW w:w="1155" w:type="dxa"/>
            <w:tcBorders>
              <w:bottom w:val="single" w:color="auto" w:sz="12" w:space="0"/>
            </w:tcBorders>
            <w:noWrap w:val="0"/>
            <w:vAlign w:val="center"/>
          </w:tcPr>
          <w:p>
            <w:pPr>
              <w:spacing w:line="240" w:lineRule="auto"/>
              <w:ind w:firstLine="0"/>
              <w:jc w:val="center"/>
              <w:rPr>
                <w:rFonts w:hint="default" w:eastAsia="宋体"/>
                <w:sz w:val="21"/>
                <w:szCs w:val="21"/>
                <w:lang w:val="en-US" w:eastAsia="zh-CN"/>
              </w:rPr>
            </w:pPr>
            <w:r>
              <w:rPr>
                <w:rFonts w:hint="eastAsia" w:ascii="Times New Roman" w:hAnsi="Times New Roman"/>
                <w:sz w:val="21"/>
                <w:szCs w:val="21"/>
                <w:lang w:val="en-US" w:eastAsia="zh-CN"/>
              </w:rPr>
              <w:t>Cu</w:t>
            </w:r>
            <w:r>
              <w:rPr>
                <w:rFonts w:hint="eastAsia" w:ascii="Times New Roman"/>
                <w:sz w:val="21"/>
                <w:szCs w:val="21"/>
                <w:lang w:val="en-US" w:eastAsia="zh-CN"/>
              </w:rPr>
              <w:t>、</w:t>
            </w:r>
            <w:r>
              <w:rPr>
                <w:rFonts w:hint="eastAsia" w:ascii="Times New Roman" w:hAnsi="Times New Roman"/>
                <w:sz w:val="21"/>
                <w:szCs w:val="21"/>
                <w:lang w:val="en-US" w:eastAsia="zh-CN"/>
              </w:rPr>
              <w:t>Ni</w:t>
            </w:r>
          </w:p>
        </w:tc>
        <w:tc>
          <w:tcPr>
            <w:tcW w:w="1082" w:type="dxa"/>
            <w:tcBorders>
              <w:bottom w:val="single" w:color="auto" w:sz="12" w:space="0"/>
              <w:right w:val="single" w:color="auto" w:sz="12" w:space="0"/>
            </w:tcBorders>
            <w:noWrap w:val="0"/>
            <w:vAlign w:val="center"/>
          </w:tcPr>
          <w:p>
            <w:pPr>
              <w:spacing w:line="240" w:lineRule="auto"/>
              <w:ind w:firstLine="0"/>
              <w:jc w:val="center"/>
              <w:rPr>
                <w:sz w:val="21"/>
                <w:szCs w:val="21"/>
              </w:rPr>
            </w:pPr>
            <w:r>
              <w:rPr>
                <w:rFonts w:hint="eastAsia"/>
                <w:sz w:val="21"/>
                <w:szCs w:val="21"/>
              </w:rPr>
              <w:t>/</w:t>
            </w:r>
          </w:p>
        </w:tc>
      </w:tr>
    </w:tbl>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3</w:t>
      </w:r>
      <w:r>
        <w:rPr>
          <w:rFonts w:hint="eastAsia"/>
          <w:lang w:val="en-US" w:eastAsia="zh-CN"/>
        </w:rPr>
        <w:t>土地利用历史情况调查</w:t>
      </w:r>
    </w:p>
    <w:p>
      <w:pPr>
        <w:rPr>
          <w:rFonts w:hint="eastAsia"/>
        </w:rPr>
      </w:pPr>
      <w:r>
        <w:rPr>
          <w:rFonts w:hint="eastAsia"/>
          <w:color w:val="auto"/>
          <w:lang w:val="en-US" w:eastAsia="zh-CN"/>
        </w:rPr>
        <w:t>根据调查，本项目占地现状为厂内预留空地，历史无其它用途。</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4</w:t>
      </w:r>
      <w:r>
        <w:rPr>
          <w:rFonts w:hint="eastAsia"/>
          <w:lang w:val="en-US" w:eastAsia="zh-CN"/>
        </w:rPr>
        <w:t>土壤环境影响预测与评价</w:t>
      </w:r>
    </w:p>
    <w:p>
      <w:r>
        <w:rPr>
          <w:rFonts w:hint="eastAsia"/>
        </w:rPr>
        <w:t>根据《环境影响评价技术导则 土壤环境（试行）》（</w:t>
      </w:r>
      <w:r>
        <w:rPr>
          <w:rFonts w:hint="eastAsia" w:ascii="Times New Roman" w:hAnsi="Times New Roman"/>
        </w:rPr>
        <w:t>HJ964</w:t>
      </w:r>
      <w:r>
        <w:rPr>
          <w:rFonts w:hint="eastAsia"/>
        </w:rPr>
        <w:t>-</w:t>
      </w:r>
      <w:r>
        <w:rPr>
          <w:rFonts w:hint="eastAsia" w:ascii="Times New Roman" w:hAnsi="Times New Roman"/>
        </w:rPr>
        <w:t>2018</w:t>
      </w:r>
      <w:r>
        <w:rPr>
          <w:rFonts w:hint="eastAsia"/>
        </w:rPr>
        <w:t>），结合项目特征，土壤现状调查范围为项目占地范围及范围外</w:t>
      </w:r>
      <w:r>
        <w:rPr>
          <w:rFonts w:hint="eastAsia" w:ascii="Times New Roman" w:hAnsi="Times New Roman"/>
        </w:rPr>
        <w:t>0</w:t>
      </w:r>
      <w:r>
        <w:rPr>
          <w:rFonts w:hint="eastAsia"/>
        </w:rPr>
        <w:t>.</w:t>
      </w:r>
      <w:r>
        <w:rPr>
          <w:rFonts w:hint="eastAsia" w:ascii="Times New Roman" w:hAnsi="Times New Roman"/>
        </w:rPr>
        <w:t>2km</w:t>
      </w:r>
      <w:r>
        <w:rPr>
          <w:rFonts w:hint="eastAsia"/>
        </w:rPr>
        <w:t>范围。可见本项目土壤环境影响目标主要位于厂区范围，无特别需要保护的目标。</w:t>
      </w:r>
    </w:p>
    <w:p>
      <w:r>
        <w:rPr>
          <w:rFonts w:hint="eastAsia"/>
        </w:rPr>
        <w:t>垂直入渗造成土壤污染主要为渗漏工况下，</w:t>
      </w:r>
      <w:r>
        <w:rPr>
          <w:rFonts w:hint="eastAsia"/>
          <w:lang w:eastAsia="zh-CN"/>
        </w:rPr>
        <w:t>含废催化剂废液</w:t>
      </w:r>
      <w:r>
        <w:rPr>
          <w:rFonts w:hint="eastAsia"/>
        </w:rPr>
        <w:t>垂直入渗进入土壤，</w:t>
      </w:r>
      <w:r>
        <w:rPr>
          <w:rFonts w:hint="eastAsia" w:ascii="Times New Roman" w:hAnsi="Times New Roman"/>
          <w:lang w:val="en-US" w:eastAsia="zh-CN"/>
        </w:rPr>
        <w:t>Cu</w:t>
      </w:r>
      <w:r>
        <w:rPr>
          <w:rFonts w:hint="eastAsia"/>
          <w:lang w:val="en-US" w:eastAsia="zh-CN"/>
        </w:rPr>
        <w:t>、</w:t>
      </w:r>
      <w:r>
        <w:rPr>
          <w:rFonts w:hint="eastAsia" w:ascii="Times New Roman" w:hAnsi="Times New Roman"/>
          <w:lang w:val="en-US" w:eastAsia="zh-CN"/>
        </w:rPr>
        <w:t>Ni</w:t>
      </w:r>
      <w:r>
        <w:rPr>
          <w:rFonts w:hint="eastAsia"/>
        </w:rPr>
        <w:t>等污染因子对土壤环境造成的影响。</w:t>
      </w:r>
    </w:p>
    <w:p>
      <w:r>
        <w:rPr>
          <w:rFonts w:hint="eastAsia"/>
        </w:rPr>
        <w:t>根据《环境影响评价技术导则 土壤环境（试行）》（</w:t>
      </w:r>
      <w:r>
        <w:rPr>
          <w:rFonts w:hint="eastAsia" w:ascii="Times New Roman" w:hAnsi="Times New Roman"/>
        </w:rPr>
        <w:t>HJ964</w:t>
      </w:r>
      <w:r>
        <w:rPr>
          <w:rFonts w:hint="eastAsia"/>
        </w:rPr>
        <w:t>-</w:t>
      </w:r>
      <w:r>
        <w:rPr>
          <w:rFonts w:hint="eastAsia" w:ascii="Times New Roman" w:hAnsi="Times New Roman"/>
        </w:rPr>
        <w:t>2018</w:t>
      </w:r>
      <w:r>
        <w:rPr>
          <w:rFonts w:hint="eastAsia"/>
        </w:rPr>
        <w:t>）附录</w:t>
      </w:r>
      <w:r>
        <w:rPr>
          <w:rFonts w:hint="eastAsia" w:ascii="Times New Roman" w:hAnsi="Times New Roman"/>
        </w:rPr>
        <w:t>E</w:t>
      </w:r>
      <w:r>
        <w:rPr>
          <w:rFonts w:hint="eastAsia"/>
        </w:rPr>
        <w:t>中预测方法对项目垂直入渗对区域土壤环境影响进行预测，预测模型如下：</w:t>
      </w:r>
    </w:p>
    <w:p>
      <w:r>
        <w:rPr>
          <w:rFonts w:hint="eastAsia"/>
          <w:position w:val="-28"/>
        </w:rPr>
        <w:pict>
          <v:shape id="_x0000_s2057" o:spid="_x0000_s2057" o:spt="75" type="#_x0000_t75" style="position:absolute;left:0pt;margin-left:166pt;margin-top:36.9pt;height:34pt;width:139.95pt;mso-wrap-distance-bottom:0pt;mso-wrap-distance-top:0pt;z-index:251668480;mso-width-relative:page;mso-height-relative:page;" o:ole="t" filled="f" o:preferrelative="t" stroked="f" coordsize="21600,21600">
            <v:path/>
            <v:fill on="f" focussize="0,0"/>
            <v:stroke on="f"/>
            <v:imagedata r:id="rId84" o:title=""/>
            <o:lock v:ext="edit" aspectratio="t"/>
            <w10:wrap type="topAndBottom"/>
          </v:shape>
          <o:OLEObject Type="Embed" ProgID="Equation.3" ShapeID="_x0000_s2057" DrawAspect="Content" ObjectID="_1468075747" r:id="rId83">
            <o:LockedField>false</o:LockedField>
          </o:OLEObject>
        </w:pict>
      </w:r>
      <w:r>
        <w:rPr>
          <w:rFonts w:hint="eastAsia"/>
        </w:rPr>
        <w:t>①一维非饱和溶质垂向运移控制方程：式中：</w:t>
      </w:r>
      <w:r>
        <w:rPr>
          <w:rFonts w:hint="eastAsia" w:ascii="Times New Roman" w:hAnsi="Times New Roman"/>
        </w:rPr>
        <w:t>c</w:t>
      </w:r>
      <w:r>
        <w:rPr>
          <w:rFonts w:hint="eastAsia"/>
        </w:rPr>
        <w:t>—污染物介质中的浓度，</w:t>
      </w:r>
      <w:r>
        <w:rPr>
          <w:rFonts w:hint="eastAsia" w:ascii="Times New Roman" w:hAnsi="Times New Roman"/>
        </w:rPr>
        <w:t>mg</w:t>
      </w:r>
      <w:r>
        <w:rPr>
          <w:rFonts w:hint="eastAsia"/>
        </w:rPr>
        <w:t>/</w:t>
      </w:r>
      <w:r>
        <w:rPr>
          <w:rFonts w:hint="eastAsia" w:ascii="Times New Roman" w:hAnsi="Times New Roman"/>
        </w:rPr>
        <w:t>L</w:t>
      </w:r>
      <w:r>
        <w:rPr>
          <w:rFonts w:hint="eastAsia"/>
        </w:rPr>
        <w:t>；</w:t>
      </w:r>
    </w:p>
    <w:p>
      <w:r>
        <w:rPr>
          <w:rFonts w:hint="eastAsia" w:ascii="Times New Roman" w:hAnsi="Times New Roman"/>
        </w:rPr>
        <w:t>D</w:t>
      </w:r>
      <w:r>
        <w:rPr>
          <w:rFonts w:hint="eastAsia"/>
        </w:rPr>
        <w:t>—弥散系数，㎡/</w:t>
      </w:r>
      <w:r>
        <w:rPr>
          <w:rFonts w:hint="eastAsia" w:ascii="Times New Roman" w:hAnsi="Times New Roman"/>
        </w:rPr>
        <w:t>d</w:t>
      </w:r>
      <w:r>
        <w:rPr>
          <w:rFonts w:hint="eastAsia"/>
        </w:rPr>
        <w:t>；</w:t>
      </w:r>
    </w:p>
    <w:p>
      <w:r>
        <w:rPr>
          <w:rFonts w:hint="eastAsia" w:ascii="Times New Roman" w:hAnsi="Times New Roman"/>
        </w:rPr>
        <w:t>q</w:t>
      </w:r>
      <w:r>
        <w:rPr>
          <w:rFonts w:hint="eastAsia"/>
        </w:rPr>
        <w:t>—渗流速度，</w:t>
      </w:r>
      <w:r>
        <w:rPr>
          <w:rFonts w:hint="eastAsia" w:ascii="Times New Roman" w:hAnsi="Times New Roman"/>
        </w:rPr>
        <w:t>m</w:t>
      </w:r>
      <w:r>
        <w:rPr>
          <w:rFonts w:hint="eastAsia"/>
        </w:rPr>
        <w:t>/</w:t>
      </w:r>
      <w:r>
        <w:rPr>
          <w:rFonts w:hint="eastAsia" w:ascii="Times New Roman" w:hAnsi="Times New Roman"/>
        </w:rPr>
        <w:t>d</w:t>
      </w:r>
      <w:r>
        <w:rPr>
          <w:rFonts w:hint="eastAsia"/>
        </w:rPr>
        <w:t>；</w:t>
      </w:r>
    </w:p>
    <w:p>
      <w:r>
        <w:rPr>
          <w:rFonts w:hint="eastAsia" w:ascii="Times New Roman" w:hAnsi="Times New Roman"/>
        </w:rPr>
        <w:t>z</w:t>
      </w:r>
      <w:r>
        <w:rPr>
          <w:rFonts w:hint="eastAsia"/>
        </w:rPr>
        <w:t>—沿</w:t>
      </w:r>
      <w:r>
        <w:rPr>
          <w:rFonts w:hint="eastAsia" w:ascii="Times New Roman" w:hAnsi="Times New Roman"/>
        </w:rPr>
        <w:t>z</w:t>
      </w:r>
      <w:r>
        <w:rPr>
          <w:rFonts w:hint="eastAsia"/>
        </w:rPr>
        <w:t>轴的距离，</w:t>
      </w:r>
      <w:r>
        <w:rPr>
          <w:rFonts w:hint="eastAsia" w:ascii="Times New Roman" w:hAnsi="Times New Roman"/>
        </w:rPr>
        <w:t>m</w:t>
      </w:r>
      <w:r>
        <w:rPr>
          <w:rFonts w:hint="eastAsia"/>
        </w:rPr>
        <w:t>；</w:t>
      </w:r>
    </w:p>
    <w:p>
      <w:r>
        <w:rPr>
          <w:rFonts w:hint="eastAsia" w:ascii="Times New Roman" w:hAnsi="Times New Roman"/>
        </w:rPr>
        <w:t>t</w:t>
      </w:r>
      <w:r>
        <w:rPr>
          <w:rFonts w:hint="eastAsia"/>
        </w:rPr>
        <w:t>—时间变量，</w:t>
      </w:r>
      <w:r>
        <w:rPr>
          <w:rFonts w:hint="eastAsia" w:ascii="Times New Roman" w:hAnsi="Times New Roman"/>
        </w:rPr>
        <w:t>d</w:t>
      </w:r>
      <w:r>
        <w:rPr>
          <w:rFonts w:hint="eastAsia"/>
        </w:rPr>
        <w:t>；</w:t>
      </w:r>
    </w:p>
    <w:p>
      <w:r>
        <w:rPr>
          <w:rFonts w:hint="eastAsia" w:ascii="Times New Roman" w:hAnsi="Times New Roman"/>
        </w:rPr>
        <w:t>θ</w:t>
      </w:r>
      <w:r>
        <w:rPr>
          <w:rFonts w:hint="eastAsia"/>
        </w:rPr>
        <w:t>—土壤含水率，%。</w:t>
      </w:r>
    </w:p>
    <w:p>
      <w:pPr>
        <w:rPr>
          <w:rFonts w:hint="eastAsia"/>
        </w:rPr>
      </w:pPr>
      <w:r>
        <w:rPr>
          <w:rFonts w:hint="eastAsia"/>
        </w:rPr>
        <w:t>②初始条件</w:t>
      </w:r>
    </w:p>
    <w:p>
      <w:pPr>
        <w:jc w:val="center"/>
      </w:pPr>
      <w:r>
        <w:rPr>
          <w:rFonts w:hint="eastAsia" w:ascii="Times New Roman" w:hAnsi="Times New Roman"/>
        </w:rPr>
        <w:t>c</w:t>
      </w:r>
      <w:r>
        <w:rPr>
          <w:rFonts w:hint="eastAsia"/>
        </w:rPr>
        <w:t>（</w:t>
      </w:r>
      <w:r>
        <w:rPr>
          <w:rFonts w:hint="eastAsia" w:ascii="Times New Roman" w:hAnsi="Times New Roman"/>
        </w:rPr>
        <w:t>z</w:t>
      </w:r>
      <w:r>
        <w:rPr>
          <w:rFonts w:hint="eastAsia"/>
        </w:rPr>
        <w:t>，</w:t>
      </w:r>
      <w:r>
        <w:rPr>
          <w:rFonts w:hint="eastAsia" w:ascii="Times New Roman" w:hAnsi="Times New Roman"/>
        </w:rPr>
        <w:t>t</w:t>
      </w:r>
      <w:r>
        <w:rPr>
          <w:rFonts w:hint="eastAsia"/>
        </w:rPr>
        <w:t>）=</w:t>
      </w:r>
      <w:r>
        <w:rPr>
          <w:rFonts w:hint="eastAsia" w:ascii="Times New Roman" w:hAnsi="Times New Roman"/>
        </w:rPr>
        <w:t>0</w:t>
      </w:r>
      <w:r>
        <w:rPr>
          <w:rFonts w:hint="eastAsia"/>
        </w:rPr>
        <w:t xml:space="preserve">       </w:t>
      </w:r>
      <w:r>
        <w:rPr>
          <w:rFonts w:hint="eastAsia" w:ascii="Times New Roman" w:hAnsi="Times New Roman"/>
        </w:rPr>
        <w:t>t</w:t>
      </w:r>
      <w:r>
        <w:rPr>
          <w:rFonts w:hint="eastAsia"/>
        </w:rPr>
        <w:t>=</w:t>
      </w:r>
      <w:r>
        <w:rPr>
          <w:rFonts w:hint="eastAsia" w:ascii="Times New Roman" w:hAnsi="Times New Roman"/>
        </w:rPr>
        <w:t>0</w:t>
      </w:r>
      <w:r>
        <w:rPr>
          <w:rFonts w:hint="eastAsia"/>
        </w:rPr>
        <w:t>，</w:t>
      </w:r>
      <w:r>
        <w:rPr>
          <w:rFonts w:hint="eastAsia" w:ascii="Times New Roman" w:hAnsi="Times New Roman"/>
        </w:rPr>
        <w:t>L</w:t>
      </w:r>
      <w:r>
        <w:rPr>
          <w:rFonts w:hint="eastAsia"/>
        </w:rPr>
        <w:t>≤</w:t>
      </w:r>
      <w:r>
        <w:rPr>
          <w:rFonts w:hint="eastAsia" w:ascii="Times New Roman" w:hAnsi="Times New Roman"/>
        </w:rPr>
        <w:t>z</w:t>
      </w:r>
      <w:r>
        <w:rPr>
          <w:rFonts w:hint="eastAsia"/>
        </w:rPr>
        <w:t>＜</w:t>
      </w:r>
      <w:r>
        <w:rPr>
          <w:rFonts w:hint="eastAsia" w:ascii="Times New Roman" w:hAnsi="Times New Roman"/>
        </w:rPr>
        <w:t>0</w:t>
      </w:r>
      <w:r>
        <w:rPr>
          <w:rFonts w:hint="eastAsia"/>
        </w:rPr>
        <w:t>；</w:t>
      </w:r>
    </w:p>
    <w:p>
      <w:pPr>
        <w:rPr>
          <w:rFonts w:hint="eastAsia"/>
        </w:rPr>
      </w:pPr>
      <w:r>
        <w:rPr>
          <w:rFonts w:hint="eastAsia"/>
        </w:rPr>
        <w:t>③边界条件</w:t>
      </w:r>
    </w:p>
    <w:p>
      <w:r>
        <w:rPr>
          <w:rFonts w:hint="eastAsia"/>
        </w:rPr>
        <w:t>第一类</w:t>
      </w:r>
      <w:r>
        <w:rPr>
          <w:rFonts w:hint="eastAsia" w:ascii="Times New Roman" w:hAnsi="Times New Roman"/>
        </w:rPr>
        <w:t>Dirichlet</w:t>
      </w:r>
      <w:r>
        <w:rPr>
          <w:rFonts w:hint="eastAsia"/>
        </w:rPr>
        <w:t>边界条件：</w:t>
      </w:r>
    </w:p>
    <w:p>
      <w:r>
        <w:rPr>
          <w:rFonts w:hint="eastAsia" w:ascii="Times New Roman" w:hAnsi="Times New Roman"/>
        </w:rPr>
        <w:t>a</w:t>
      </w:r>
      <w:r>
        <w:rPr>
          <w:rFonts w:hint="eastAsia"/>
        </w:rPr>
        <w:t>连续点源：</w:t>
      </w:r>
    </w:p>
    <w:p>
      <w:pPr>
        <w:jc w:val="center"/>
      </w:pPr>
      <w:r>
        <w:rPr>
          <w:rFonts w:hint="eastAsia" w:ascii="Times New Roman" w:hAnsi="Times New Roman"/>
        </w:rPr>
        <w:t>c</w:t>
      </w:r>
      <w:r>
        <w:rPr>
          <w:rFonts w:hint="eastAsia"/>
        </w:rPr>
        <w:t>（</w:t>
      </w:r>
      <w:r>
        <w:rPr>
          <w:rFonts w:hint="eastAsia" w:ascii="Times New Roman" w:hAnsi="Times New Roman"/>
        </w:rPr>
        <w:t>z</w:t>
      </w:r>
      <w:r>
        <w:rPr>
          <w:rFonts w:hint="eastAsia"/>
        </w:rPr>
        <w:t>，</w:t>
      </w:r>
      <w:r>
        <w:rPr>
          <w:rFonts w:hint="eastAsia" w:ascii="Times New Roman" w:hAnsi="Times New Roman"/>
        </w:rPr>
        <w:t>t</w:t>
      </w:r>
      <w:r>
        <w:rPr>
          <w:rFonts w:hint="eastAsia"/>
        </w:rPr>
        <w:t>）=</w:t>
      </w:r>
      <w:r>
        <w:rPr>
          <w:rFonts w:hint="eastAsia" w:ascii="Times New Roman" w:hAnsi="Times New Roman"/>
        </w:rPr>
        <w:t>0</w:t>
      </w:r>
      <w:r>
        <w:rPr>
          <w:rFonts w:hint="eastAsia"/>
        </w:rPr>
        <w:t xml:space="preserve">       </w:t>
      </w:r>
      <w:r>
        <w:rPr>
          <w:rFonts w:hint="eastAsia" w:ascii="Times New Roman" w:hAnsi="Times New Roman"/>
        </w:rPr>
        <w:t>t</w:t>
      </w:r>
      <w:r>
        <w:rPr>
          <w:rFonts w:hint="eastAsia"/>
        </w:rPr>
        <w:t>=</w:t>
      </w:r>
      <w:r>
        <w:rPr>
          <w:rFonts w:hint="eastAsia" w:ascii="Times New Roman" w:hAnsi="Times New Roman"/>
        </w:rPr>
        <w:t>0</w:t>
      </w:r>
      <w:r>
        <w:rPr>
          <w:rFonts w:hint="eastAsia"/>
        </w:rPr>
        <w:t>，</w:t>
      </w:r>
      <w:r>
        <w:rPr>
          <w:rFonts w:hint="eastAsia" w:ascii="Times New Roman" w:hAnsi="Times New Roman"/>
        </w:rPr>
        <w:t>z</w:t>
      </w:r>
      <w:r>
        <w:rPr>
          <w:rFonts w:hint="eastAsia"/>
        </w:rPr>
        <w:t>=</w:t>
      </w:r>
      <w:r>
        <w:rPr>
          <w:rFonts w:hint="eastAsia" w:ascii="Times New Roman" w:hAnsi="Times New Roman"/>
        </w:rPr>
        <w:t>0</w:t>
      </w:r>
      <w:r>
        <w:rPr>
          <w:rFonts w:hint="eastAsia"/>
        </w:rPr>
        <w:t>；</w:t>
      </w:r>
    </w:p>
    <w:p>
      <w:r>
        <w:rPr>
          <w:rFonts w:hint="eastAsia" w:ascii="Times New Roman" w:hAnsi="Times New Roman"/>
        </w:rPr>
        <w:t>b</w:t>
      </w:r>
      <w:r>
        <w:rPr>
          <w:rFonts w:hint="eastAsia"/>
        </w:rPr>
        <w:t>非连续点源：</w:t>
      </w:r>
    </w:p>
    <w:p>
      <w:pPr>
        <w:widowControl/>
        <w:jc w:val="left"/>
      </w:pPr>
      <w:r>
        <w:rPr>
          <w:rFonts w:hAnsi="宋体" w:cs="宋体"/>
          <w:szCs w:val="24"/>
          <w:lang w:bidi="ar"/>
        </w:rPr>
        <w:drawing>
          <wp:anchor distT="0" distB="0" distL="114300" distR="114300" simplePos="0" relativeHeight="251667456" behindDoc="0" locked="0" layoutInCell="1" allowOverlap="1">
            <wp:simplePos x="0" y="0"/>
            <wp:positionH relativeFrom="column">
              <wp:posOffset>1819275</wp:posOffset>
            </wp:positionH>
            <wp:positionV relativeFrom="paragraph">
              <wp:posOffset>50800</wp:posOffset>
            </wp:positionV>
            <wp:extent cx="1990725" cy="397510"/>
            <wp:effectExtent l="0" t="0" r="5715" b="13970"/>
            <wp:wrapTopAndBottom/>
            <wp:docPr id="28" name="图片 2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4" descr="IMG_256"/>
                    <pic:cNvPicPr>
                      <a:picLocks noChangeAspect="1"/>
                    </pic:cNvPicPr>
                  </pic:nvPicPr>
                  <pic:blipFill>
                    <a:blip r:embed="rId85"/>
                    <a:stretch>
                      <a:fillRect/>
                    </a:stretch>
                  </pic:blipFill>
                  <pic:spPr>
                    <a:xfrm>
                      <a:off x="0" y="0"/>
                      <a:ext cx="1990725" cy="397510"/>
                    </a:xfrm>
                    <a:prstGeom prst="rect">
                      <a:avLst/>
                    </a:prstGeom>
                    <a:noFill/>
                    <a:ln>
                      <a:noFill/>
                    </a:ln>
                  </pic:spPr>
                </pic:pic>
              </a:graphicData>
            </a:graphic>
          </wp:anchor>
        </w:drawing>
      </w:r>
      <w:r>
        <w:rPr>
          <w:rFonts w:hint="eastAsia"/>
        </w:rPr>
        <w:t>第二类</w:t>
      </w:r>
      <w:r>
        <w:rPr>
          <w:rFonts w:hint="eastAsia" w:ascii="Times New Roman" w:hAnsi="Times New Roman"/>
        </w:rPr>
        <w:t>Neumann</w:t>
      </w:r>
      <w:r>
        <w:rPr>
          <w:rFonts w:hint="eastAsia"/>
        </w:rPr>
        <w:t>零梯度边界条件：</w:t>
      </w:r>
    </w:p>
    <w:p>
      <w:pPr>
        <w:jc w:val="center"/>
      </w:pPr>
      <w:r>
        <w:rPr>
          <w:rFonts w:hint="eastAsia"/>
          <w:position w:val="-24"/>
        </w:rPr>
        <w:object>
          <v:shape id="_x0000_i1041" o:spt="75" type="#_x0000_t75" style="height:31pt;width:59pt;" o:ole="t" filled="f" o:preferrelative="t" stroked="f" coordsize="21600,21600">
            <v:path/>
            <v:fill on="f" focussize="0,0"/>
            <v:stroke on="f"/>
            <v:imagedata r:id="rId87" o:title=""/>
            <o:lock v:ext="edit" aspectratio="t"/>
            <w10:wrap type="none"/>
            <w10:anchorlock/>
          </v:shape>
          <o:OLEObject Type="Embed" ProgID="Equation.KSEE3" ShapeID="_x0000_i1041" DrawAspect="Content" ObjectID="_1468075748" r:id="rId86">
            <o:LockedField>false</o:LockedField>
          </o:OLEObject>
        </w:object>
      </w:r>
      <w:r>
        <w:rPr>
          <w:rFonts w:hint="eastAsia"/>
        </w:rPr>
        <w:t>，</w:t>
      </w:r>
      <w:r>
        <w:rPr>
          <w:rFonts w:hint="eastAsia" w:ascii="Times New Roman" w:hAnsi="Times New Roman"/>
        </w:rPr>
        <w:t>t</w:t>
      </w:r>
      <w:r>
        <w:rPr>
          <w:rFonts w:hint="eastAsia"/>
        </w:rPr>
        <w:t>＞</w:t>
      </w:r>
      <w:r>
        <w:rPr>
          <w:rFonts w:hint="eastAsia" w:ascii="Times New Roman" w:hAnsi="Times New Roman"/>
        </w:rPr>
        <w:t>0</w:t>
      </w:r>
      <w:r>
        <w:rPr>
          <w:rFonts w:hint="eastAsia"/>
        </w:rPr>
        <w:t>，</w:t>
      </w:r>
      <w:r>
        <w:rPr>
          <w:rFonts w:hint="eastAsia" w:ascii="Times New Roman" w:hAnsi="Times New Roman"/>
        </w:rPr>
        <w:t>z</w:t>
      </w:r>
      <w:r>
        <w:rPr>
          <w:rFonts w:hint="eastAsia"/>
        </w:rPr>
        <w:t>=</w:t>
      </w:r>
      <w:r>
        <w:rPr>
          <w:rFonts w:hint="eastAsia" w:ascii="Times New Roman" w:hAnsi="Times New Roman"/>
        </w:rPr>
        <w:t>L</w:t>
      </w:r>
      <w:r>
        <w:rPr>
          <w:rFonts w:hint="eastAsia"/>
        </w:rPr>
        <w:t>；</w:t>
      </w:r>
    </w:p>
    <w:p>
      <w:pPr>
        <w:rPr>
          <w:rFonts w:hint="eastAsia"/>
        </w:rPr>
      </w:pPr>
      <w:r>
        <w:rPr>
          <w:rFonts w:hint="eastAsia"/>
        </w:rPr>
        <w:t>④模型概化</w:t>
      </w:r>
    </w:p>
    <w:p>
      <w:pPr>
        <w:rPr>
          <w:rFonts w:hint="eastAsia"/>
        </w:rPr>
      </w:pPr>
      <w:r>
        <w:rPr>
          <w:rFonts w:hint="eastAsia"/>
        </w:rPr>
        <w:t>模型上边界概化为稳定的污染物定水头补给边界，下边界为自由排泄边界。</w:t>
      </w:r>
    </w:p>
    <w:p>
      <w:r>
        <w:rPr>
          <w:rFonts w:hint="eastAsia"/>
          <w:lang w:eastAsia="zh-CN"/>
        </w:rPr>
        <w:t>本项目选择</w:t>
      </w:r>
      <w:r>
        <w:rPr>
          <w:rFonts w:hint="eastAsia"/>
        </w:rPr>
        <w:t>土壤相关参数见表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3</w:t>
      </w:r>
      <w:r>
        <w:rPr>
          <w:rFonts w:hint="eastAsia"/>
        </w:rPr>
        <w:t>。</w:t>
      </w:r>
    </w:p>
    <w:p>
      <w:pPr>
        <w:pStyle w:val="20"/>
        <w:spacing w:before="165"/>
        <w:rPr>
          <w:rFonts w:hint="eastAsia"/>
        </w:rPr>
      </w:pPr>
      <w:r>
        <w:rPr>
          <w:rFonts w:hint="eastAsia"/>
        </w:rPr>
        <w:t>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rPr>
        <w:t>3</w:t>
      </w:r>
      <w:r>
        <w:rPr>
          <w:rFonts w:hint="eastAsia"/>
        </w:rPr>
        <w:t xml:space="preserve">  场区土壤参数表</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800"/>
        <w:gridCol w:w="1162"/>
        <w:gridCol w:w="1170"/>
        <w:gridCol w:w="1110"/>
        <w:gridCol w:w="930"/>
        <w:gridCol w:w="1131"/>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tcBorders>
              <w:top w:val="single" w:color="auto" w:sz="12" w:space="0"/>
              <w:left w:val="single" w:color="auto" w:sz="12" w:space="0"/>
              <w:right w:val="single" w:color="auto" w:sz="4" w:space="0"/>
            </w:tcBorders>
            <w:noWrap w:val="0"/>
            <w:vAlign w:val="center"/>
          </w:tcPr>
          <w:p>
            <w:pPr>
              <w:spacing w:line="240" w:lineRule="auto"/>
              <w:ind w:firstLine="0"/>
              <w:jc w:val="center"/>
              <w:rPr>
                <w:rFonts w:hint="eastAsia"/>
                <w:spacing w:val="-11"/>
                <w:sz w:val="21"/>
                <w:szCs w:val="21"/>
              </w:rPr>
            </w:pPr>
            <w:r>
              <w:rPr>
                <w:rFonts w:hint="eastAsia"/>
                <w:spacing w:val="-11"/>
                <w:sz w:val="21"/>
                <w:szCs w:val="21"/>
              </w:rPr>
              <w:t>类别</w:t>
            </w:r>
          </w:p>
        </w:tc>
        <w:tc>
          <w:tcPr>
            <w:tcW w:w="800" w:type="dxa"/>
            <w:tcBorders>
              <w:top w:val="single" w:color="auto" w:sz="12" w:space="0"/>
              <w:left w:val="single" w:color="auto" w:sz="4" w:space="0"/>
              <w:right w:val="single" w:color="auto" w:sz="4" w:space="0"/>
            </w:tcBorders>
            <w:noWrap w:val="0"/>
            <w:vAlign w:val="center"/>
          </w:tcPr>
          <w:p>
            <w:pPr>
              <w:spacing w:line="240" w:lineRule="auto"/>
              <w:ind w:firstLine="0"/>
              <w:jc w:val="center"/>
              <w:rPr>
                <w:rFonts w:hint="eastAsia"/>
                <w:spacing w:val="-11"/>
                <w:sz w:val="21"/>
                <w:szCs w:val="21"/>
              </w:rPr>
            </w:pPr>
            <w:r>
              <w:rPr>
                <w:rFonts w:hint="eastAsia"/>
                <w:spacing w:val="-11"/>
                <w:sz w:val="21"/>
                <w:szCs w:val="21"/>
              </w:rPr>
              <w:t>厚度</w:t>
            </w:r>
          </w:p>
          <w:p>
            <w:pPr>
              <w:spacing w:line="240" w:lineRule="auto"/>
              <w:ind w:firstLine="0"/>
              <w:jc w:val="center"/>
              <w:rPr>
                <w:rFonts w:hint="eastAsia"/>
                <w:spacing w:val="-11"/>
                <w:sz w:val="21"/>
                <w:szCs w:val="21"/>
              </w:rPr>
            </w:pPr>
            <w:r>
              <w:rPr>
                <w:rFonts w:hint="eastAsia"/>
                <w:spacing w:val="-11"/>
                <w:sz w:val="21"/>
                <w:szCs w:val="21"/>
              </w:rPr>
              <w:t>（</w:t>
            </w:r>
            <w:r>
              <w:rPr>
                <w:rFonts w:hint="eastAsia" w:ascii="Times New Roman" w:hAnsi="Times New Roman"/>
                <w:spacing w:val="-11"/>
                <w:sz w:val="21"/>
                <w:szCs w:val="21"/>
              </w:rPr>
              <w:t>m</w:t>
            </w:r>
            <w:r>
              <w:rPr>
                <w:rFonts w:hint="eastAsia"/>
                <w:spacing w:val="-11"/>
                <w:sz w:val="21"/>
                <w:szCs w:val="21"/>
              </w:rPr>
              <w:t>）</w:t>
            </w:r>
          </w:p>
        </w:tc>
        <w:tc>
          <w:tcPr>
            <w:tcW w:w="1162" w:type="dxa"/>
            <w:tcBorders>
              <w:top w:val="single" w:color="auto" w:sz="12" w:space="0"/>
              <w:left w:val="single" w:color="auto" w:sz="4" w:space="0"/>
              <w:right w:val="single" w:color="auto" w:sz="4" w:space="0"/>
            </w:tcBorders>
            <w:noWrap w:val="0"/>
            <w:vAlign w:val="center"/>
          </w:tcPr>
          <w:p>
            <w:pPr>
              <w:spacing w:line="240" w:lineRule="auto"/>
              <w:ind w:firstLine="0"/>
              <w:jc w:val="center"/>
              <w:rPr>
                <w:rFonts w:hint="eastAsia"/>
                <w:spacing w:val="-11"/>
                <w:sz w:val="21"/>
                <w:szCs w:val="21"/>
              </w:rPr>
            </w:pPr>
            <w:r>
              <w:rPr>
                <w:rFonts w:hint="eastAsia"/>
                <w:spacing w:val="-11"/>
                <w:sz w:val="21"/>
                <w:szCs w:val="21"/>
              </w:rPr>
              <w:t>渗透系数</w:t>
            </w:r>
          </w:p>
          <w:p>
            <w:pPr>
              <w:spacing w:line="240" w:lineRule="auto"/>
              <w:ind w:firstLine="0"/>
              <w:jc w:val="center"/>
              <w:rPr>
                <w:rFonts w:hint="eastAsia"/>
                <w:spacing w:val="-11"/>
                <w:sz w:val="21"/>
                <w:szCs w:val="21"/>
              </w:rPr>
            </w:pPr>
            <w:r>
              <w:rPr>
                <w:rFonts w:hint="eastAsia"/>
                <w:spacing w:val="-11"/>
                <w:sz w:val="21"/>
                <w:szCs w:val="21"/>
              </w:rPr>
              <w:t>（</w:t>
            </w:r>
            <w:r>
              <w:rPr>
                <w:rFonts w:hint="eastAsia" w:ascii="Times New Roman" w:hAnsi="Times New Roman"/>
                <w:spacing w:val="-11"/>
                <w:sz w:val="21"/>
                <w:szCs w:val="21"/>
              </w:rPr>
              <w:t>m</w:t>
            </w:r>
            <w:r>
              <w:rPr>
                <w:rFonts w:hint="eastAsia"/>
                <w:spacing w:val="-11"/>
                <w:sz w:val="21"/>
                <w:szCs w:val="21"/>
              </w:rPr>
              <w:t>/</w:t>
            </w:r>
            <w:r>
              <w:rPr>
                <w:rFonts w:hint="eastAsia" w:ascii="Times New Roman" w:hAnsi="Times New Roman"/>
                <w:spacing w:val="-11"/>
                <w:sz w:val="21"/>
                <w:szCs w:val="21"/>
              </w:rPr>
              <w:t>d</w:t>
            </w:r>
            <w:r>
              <w:rPr>
                <w:rFonts w:hint="eastAsia"/>
                <w:spacing w:val="-11"/>
                <w:sz w:val="21"/>
                <w:szCs w:val="21"/>
              </w:rPr>
              <w:t>）</w:t>
            </w:r>
          </w:p>
        </w:tc>
        <w:tc>
          <w:tcPr>
            <w:tcW w:w="1170" w:type="dxa"/>
            <w:tcBorders>
              <w:top w:val="single" w:color="auto" w:sz="12" w:space="0"/>
              <w:left w:val="single" w:color="auto" w:sz="4" w:space="0"/>
              <w:right w:val="single" w:color="auto" w:sz="4" w:space="0"/>
            </w:tcBorders>
            <w:noWrap w:val="0"/>
            <w:vAlign w:val="center"/>
          </w:tcPr>
          <w:p>
            <w:pPr>
              <w:spacing w:line="240" w:lineRule="auto"/>
              <w:ind w:firstLine="0"/>
              <w:jc w:val="center"/>
              <w:rPr>
                <w:rFonts w:hint="eastAsia" w:eastAsia="宋体"/>
                <w:spacing w:val="-11"/>
                <w:sz w:val="21"/>
                <w:szCs w:val="21"/>
                <w:lang w:eastAsia="zh-CN"/>
              </w:rPr>
            </w:pPr>
            <w:r>
              <w:rPr>
                <w:rFonts w:hint="eastAsia"/>
                <w:color w:val="auto"/>
                <w:spacing w:val="-11"/>
                <w:sz w:val="21"/>
                <w:szCs w:val="21"/>
                <w:lang w:eastAsia="zh-CN"/>
              </w:rPr>
              <w:t>初始浓度</w:t>
            </w:r>
            <w:r>
              <w:rPr>
                <w:rFonts w:hint="eastAsia"/>
                <w:spacing w:val="-11"/>
                <w:sz w:val="21"/>
                <w:szCs w:val="21"/>
                <w:lang w:eastAsia="zh-CN"/>
              </w:rPr>
              <w:t>（</w:t>
            </w:r>
            <w:r>
              <w:rPr>
                <w:rFonts w:hint="eastAsia" w:ascii="Times New Roman" w:hAnsi="Times New Roman"/>
                <w:spacing w:val="-11"/>
                <w:sz w:val="21"/>
                <w:szCs w:val="21"/>
                <w:lang w:val="en-US" w:eastAsia="zh-CN"/>
              </w:rPr>
              <w:t>mg</w:t>
            </w:r>
            <w:r>
              <w:rPr>
                <w:rFonts w:hint="eastAsia"/>
                <w:spacing w:val="-11"/>
                <w:sz w:val="21"/>
                <w:szCs w:val="21"/>
                <w:lang w:val="en-US" w:eastAsia="zh-CN"/>
              </w:rPr>
              <w:t>/</w:t>
            </w:r>
            <w:r>
              <w:rPr>
                <w:rFonts w:hint="eastAsia" w:ascii="Times New Roman" w:hAnsi="Times New Roman"/>
                <w:spacing w:val="-11"/>
                <w:sz w:val="21"/>
                <w:szCs w:val="21"/>
                <w:lang w:val="en-US" w:eastAsia="zh-CN"/>
              </w:rPr>
              <w:t>cm</w:t>
            </w:r>
            <w:r>
              <w:rPr>
                <w:rFonts w:hint="eastAsia"/>
                <w:spacing w:val="-11"/>
                <w:sz w:val="21"/>
                <w:szCs w:val="21"/>
                <w:lang w:val="en-US" w:eastAsia="zh-CN"/>
              </w:rPr>
              <w:t>³</w:t>
            </w:r>
            <w:r>
              <w:rPr>
                <w:rFonts w:hint="eastAsia"/>
                <w:spacing w:val="-11"/>
                <w:sz w:val="21"/>
                <w:szCs w:val="21"/>
                <w:lang w:eastAsia="zh-CN"/>
              </w:rPr>
              <w:t>）</w:t>
            </w:r>
          </w:p>
        </w:tc>
        <w:tc>
          <w:tcPr>
            <w:tcW w:w="1110" w:type="dxa"/>
            <w:tcBorders>
              <w:top w:val="single" w:color="auto" w:sz="12" w:space="0"/>
              <w:left w:val="single" w:color="auto" w:sz="4" w:space="0"/>
              <w:right w:val="single" w:color="auto" w:sz="4" w:space="0"/>
            </w:tcBorders>
            <w:noWrap w:val="0"/>
            <w:vAlign w:val="center"/>
          </w:tcPr>
          <w:p>
            <w:pPr>
              <w:spacing w:line="240" w:lineRule="auto"/>
              <w:ind w:firstLine="0"/>
              <w:jc w:val="center"/>
              <w:rPr>
                <w:rFonts w:hint="eastAsia"/>
                <w:spacing w:val="-11"/>
                <w:sz w:val="21"/>
                <w:szCs w:val="21"/>
              </w:rPr>
            </w:pPr>
            <w:r>
              <w:rPr>
                <w:rFonts w:hint="eastAsia"/>
                <w:spacing w:val="-11"/>
                <w:sz w:val="21"/>
                <w:szCs w:val="21"/>
              </w:rPr>
              <w:t>土壤含水率（%）</w:t>
            </w:r>
          </w:p>
        </w:tc>
        <w:tc>
          <w:tcPr>
            <w:tcW w:w="930" w:type="dxa"/>
            <w:tcBorders>
              <w:top w:val="single" w:color="auto" w:sz="12" w:space="0"/>
              <w:left w:val="single" w:color="auto" w:sz="4" w:space="0"/>
              <w:right w:val="single" w:color="auto" w:sz="4" w:space="0"/>
            </w:tcBorders>
            <w:noWrap w:val="0"/>
            <w:vAlign w:val="center"/>
          </w:tcPr>
          <w:p>
            <w:pPr>
              <w:spacing w:line="240" w:lineRule="auto"/>
              <w:ind w:firstLine="0"/>
              <w:jc w:val="center"/>
              <w:rPr>
                <w:rFonts w:hint="eastAsia"/>
                <w:spacing w:val="-11"/>
                <w:sz w:val="21"/>
                <w:szCs w:val="21"/>
              </w:rPr>
            </w:pPr>
            <w:r>
              <w:rPr>
                <w:rFonts w:hint="eastAsia"/>
                <w:spacing w:val="-11"/>
                <w:sz w:val="21"/>
                <w:szCs w:val="21"/>
              </w:rPr>
              <w:t>弥散度</w:t>
            </w:r>
          </w:p>
          <w:p>
            <w:pPr>
              <w:spacing w:line="240" w:lineRule="auto"/>
              <w:ind w:firstLine="0"/>
              <w:jc w:val="center"/>
              <w:rPr>
                <w:rFonts w:hint="eastAsia"/>
                <w:spacing w:val="-11"/>
                <w:sz w:val="21"/>
                <w:szCs w:val="21"/>
              </w:rPr>
            </w:pPr>
            <w:r>
              <w:rPr>
                <w:rFonts w:hint="eastAsia"/>
                <w:spacing w:val="-11"/>
                <w:sz w:val="21"/>
                <w:szCs w:val="21"/>
              </w:rPr>
              <w:t>（</w:t>
            </w:r>
            <w:r>
              <w:rPr>
                <w:rFonts w:hint="eastAsia" w:ascii="Times New Roman" w:hAnsi="Times New Roman"/>
                <w:spacing w:val="-11"/>
                <w:sz w:val="21"/>
                <w:szCs w:val="21"/>
              </w:rPr>
              <w:t>m</w:t>
            </w:r>
            <w:r>
              <w:rPr>
                <w:rFonts w:hint="eastAsia"/>
                <w:spacing w:val="-11"/>
                <w:sz w:val="21"/>
                <w:szCs w:val="21"/>
              </w:rPr>
              <w:t>）</w:t>
            </w:r>
          </w:p>
        </w:tc>
        <w:tc>
          <w:tcPr>
            <w:tcW w:w="1131" w:type="dxa"/>
            <w:tcBorders>
              <w:top w:val="single" w:color="auto" w:sz="12" w:space="0"/>
              <w:left w:val="single" w:color="auto" w:sz="4" w:space="0"/>
              <w:right w:val="single" w:color="auto" w:sz="4" w:space="0"/>
            </w:tcBorders>
            <w:noWrap w:val="0"/>
            <w:vAlign w:val="center"/>
          </w:tcPr>
          <w:p>
            <w:pPr>
              <w:spacing w:line="240" w:lineRule="auto"/>
              <w:ind w:firstLine="0"/>
              <w:jc w:val="center"/>
              <w:rPr>
                <w:rFonts w:hint="eastAsia"/>
                <w:spacing w:val="-11"/>
                <w:sz w:val="21"/>
                <w:szCs w:val="21"/>
              </w:rPr>
            </w:pPr>
            <w:r>
              <w:rPr>
                <w:rFonts w:hint="eastAsia"/>
                <w:spacing w:val="-11"/>
                <w:sz w:val="21"/>
                <w:szCs w:val="21"/>
              </w:rPr>
              <w:t>土壤容重</w:t>
            </w:r>
          </w:p>
          <w:p>
            <w:pPr>
              <w:spacing w:line="240" w:lineRule="auto"/>
              <w:ind w:firstLine="0"/>
              <w:jc w:val="center"/>
              <w:rPr>
                <w:rFonts w:hint="eastAsia"/>
                <w:spacing w:val="-11"/>
                <w:sz w:val="21"/>
                <w:szCs w:val="21"/>
              </w:rPr>
            </w:pPr>
            <w:r>
              <w:rPr>
                <w:rFonts w:hint="eastAsia"/>
                <w:spacing w:val="-11"/>
                <w:sz w:val="21"/>
                <w:szCs w:val="21"/>
              </w:rPr>
              <w:t>（</w:t>
            </w:r>
            <w:r>
              <w:rPr>
                <w:rFonts w:hint="eastAsia" w:ascii="Times New Roman" w:hAnsi="Times New Roman"/>
                <w:spacing w:val="-11"/>
                <w:sz w:val="21"/>
                <w:szCs w:val="21"/>
              </w:rPr>
              <w:t>kg</w:t>
            </w:r>
            <w:r>
              <w:rPr>
                <w:rFonts w:hint="eastAsia"/>
                <w:spacing w:val="-11"/>
                <w:sz w:val="21"/>
                <w:szCs w:val="21"/>
              </w:rPr>
              <w:t>/</w:t>
            </w:r>
            <w:r>
              <w:rPr>
                <w:rFonts w:hint="eastAsia" w:ascii="Times New Roman" w:hAnsi="Times New Roman"/>
                <w:spacing w:val="-11"/>
                <w:sz w:val="21"/>
                <w:szCs w:val="21"/>
              </w:rPr>
              <w:t>m</w:t>
            </w:r>
            <w:r>
              <w:rPr>
                <w:rFonts w:hint="eastAsia"/>
                <w:spacing w:val="-11"/>
                <w:sz w:val="21"/>
                <w:szCs w:val="21"/>
              </w:rPr>
              <w:t>³）</w:t>
            </w:r>
          </w:p>
        </w:tc>
        <w:tc>
          <w:tcPr>
            <w:tcW w:w="2074" w:type="dxa"/>
            <w:tcBorders>
              <w:top w:val="single" w:color="auto" w:sz="12" w:space="0"/>
              <w:left w:val="single" w:color="auto" w:sz="4" w:space="0"/>
              <w:right w:val="single" w:color="auto" w:sz="12" w:space="0"/>
            </w:tcBorders>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入渗时间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tcBorders>
              <w:left w:val="single" w:color="auto" w:sz="12" w:space="0"/>
              <w:bottom w:val="single" w:color="auto" w:sz="12" w:space="0"/>
              <w:right w:val="single" w:color="auto" w:sz="4" w:space="0"/>
            </w:tcBorders>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粉砂</w:t>
            </w:r>
          </w:p>
        </w:tc>
        <w:tc>
          <w:tcPr>
            <w:tcW w:w="800" w:type="dxa"/>
            <w:tcBorders>
              <w:left w:val="single" w:color="auto" w:sz="4" w:space="0"/>
              <w:bottom w:val="single" w:color="auto" w:sz="12" w:space="0"/>
              <w:right w:val="single" w:color="auto" w:sz="4" w:space="0"/>
            </w:tcBorders>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lang w:val="en-US" w:eastAsia="zh-CN"/>
              </w:rPr>
              <w:t>10</w:t>
            </w:r>
          </w:p>
        </w:tc>
        <w:tc>
          <w:tcPr>
            <w:tcW w:w="1162" w:type="dxa"/>
            <w:tcBorders>
              <w:left w:val="single" w:color="auto" w:sz="4" w:space="0"/>
              <w:bottom w:val="single" w:color="auto" w:sz="12" w:space="0"/>
              <w:right w:val="single" w:color="auto" w:sz="4" w:space="0"/>
            </w:tcBorders>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1</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47</w:t>
            </w:r>
          </w:p>
        </w:tc>
        <w:tc>
          <w:tcPr>
            <w:tcW w:w="1170" w:type="dxa"/>
            <w:tcBorders>
              <w:left w:val="single" w:color="auto" w:sz="4" w:space="0"/>
              <w:bottom w:val="single" w:color="auto" w:sz="12" w:space="0"/>
              <w:right w:val="single" w:color="auto" w:sz="4" w:space="0"/>
            </w:tcBorders>
            <w:noWrap w:val="0"/>
            <w:vAlign w:val="center"/>
          </w:tcPr>
          <w:p>
            <w:pPr>
              <w:spacing w:line="240" w:lineRule="auto"/>
              <w:ind w:firstLine="0"/>
              <w:jc w:val="center"/>
              <w:rPr>
                <w:rFonts w:hint="default" w:ascii="Times New Roman"/>
                <w:spacing w:val="-11"/>
                <w:sz w:val="21"/>
                <w:szCs w:val="21"/>
                <w:lang w:val="en-US" w:eastAsia="zh-CN"/>
              </w:rPr>
            </w:pPr>
            <w:r>
              <w:rPr>
                <w:rFonts w:hint="eastAsia" w:ascii="Times New Roman" w:hAnsi="Times New Roman"/>
                <w:spacing w:val="-11"/>
                <w:sz w:val="21"/>
                <w:szCs w:val="21"/>
                <w:lang w:val="en-US" w:eastAsia="zh-CN"/>
              </w:rPr>
              <w:t>4000</w:t>
            </w:r>
          </w:p>
        </w:tc>
        <w:tc>
          <w:tcPr>
            <w:tcW w:w="1110" w:type="dxa"/>
            <w:tcBorders>
              <w:left w:val="single" w:color="auto" w:sz="4" w:space="0"/>
              <w:bottom w:val="single" w:color="auto" w:sz="12" w:space="0"/>
              <w:right w:val="single" w:color="auto" w:sz="4" w:space="0"/>
            </w:tcBorders>
            <w:noWrap w:val="0"/>
            <w:vAlign w:val="center"/>
          </w:tcPr>
          <w:p>
            <w:pPr>
              <w:spacing w:line="240" w:lineRule="auto"/>
              <w:ind w:firstLine="0"/>
              <w:jc w:val="center"/>
              <w:rPr>
                <w:spacing w:val="-11"/>
                <w:sz w:val="21"/>
                <w:szCs w:val="21"/>
              </w:rPr>
            </w:pPr>
            <w:r>
              <w:rPr>
                <w:rFonts w:hint="eastAsia" w:ascii="Times New Roman" w:hAnsi="Times New Roman"/>
                <w:spacing w:val="-11"/>
                <w:sz w:val="21"/>
                <w:szCs w:val="21"/>
              </w:rPr>
              <w:t>22</w:t>
            </w:r>
          </w:p>
        </w:tc>
        <w:tc>
          <w:tcPr>
            <w:tcW w:w="930" w:type="dxa"/>
            <w:tcBorders>
              <w:left w:val="single" w:color="auto" w:sz="4" w:space="0"/>
              <w:bottom w:val="single" w:color="auto" w:sz="12" w:space="0"/>
              <w:right w:val="single" w:color="auto" w:sz="4" w:space="0"/>
            </w:tcBorders>
            <w:noWrap w:val="0"/>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0</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6</w:t>
            </w:r>
          </w:p>
        </w:tc>
        <w:tc>
          <w:tcPr>
            <w:tcW w:w="1131" w:type="dxa"/>
            <w:tcBorders>
              <w:left w:val="single" w:color="auto" w:sz="4" w:space="0"/>
              <w:bottom w:val="single" w:color="auto" w:sz="12" w:space="0"/>
              <w:right w:val="single" w:color="auto" w:sz="4" w:space="0"/>
            </w:tcBorders>
            <w:noWrap w:val="0"/>
            <w:vAlign w:val="center"/>
          </w:tcPr>
          <w:p>
            <w:pPr>
              <w:spacing w:line="240" w:lineRule="auto"/>
              <w:ind w:firstLine="0"/>
              <w:jc w:val="center"/>
              <w:rPr>
                <w:spacing w:val="-11"/>
                <w:sz w:val="21"/>
                <w:szCs w:val="21"/>
              </w:rPr>
            </w:pPr>
            <w:r>
              <w:rPr>
                <w:rFonts w:hint="eastAsia" w:ascii="Times New Roman" w:hAnsi="Times New Roman"/>
                <w:spacing w:val="-11"/>
                <w:sz w:val="21"/>
                <w:szCs w:val="21"/>
              </w:rPr>
              <w:t>1</w:t>
            </w:r>
            <w:r>
              <w:rPr>
                <w:rFonts w:hint="eastAsia"/>
                <w:spacing w:val="-11"/>
                <w:sz w:val="21"/>
                <w:szCs w:val="21"/>
              </w:rPr>
              <w:t>.</w:t>
            </w:r>
            <w:r>
              <w:rPr>
                <w:rFonts w:hint="eastAsia" w:ascii="Times New Roman" w:hAnsi="Times New Roman"/>
                <w:spacing w:val="-11"/>
                <w:sz w:val="21"/>
                <w:szCs w:val="21"/>
              </w:rPr>
              <w:t>7</w:t>
            </w:r>
          </w:p>
        </w:tc>
        <w:tc>
          <w:tcPr>
            <w:tcW w:w="2074" w:type="dxa"/>
            <w:tcBorders>
              <w:left w:val="single" w:color="auto" w:sz="4" w:space="0"/>
              <w:bottom w:val="single" w:color="auto" w:sz="12" w:space="0"/>
              <w:right w:val="single" w:color="auto" w:sz="12" w:space="0"/>
            </w:tcBorders>
            <w:noWrap w:val="0"/>
            <w:vAlign w:val="center"/>
          </w:tcPr>
          <w:p>
            <w:pPr>
              <w:spacing w:line="240" w:lineRule="auto"/>
              <w:ind w:firstLine="0"/>
              <w:jc w:val="center"/>
              <w:rPr>
                <w:rFonts w:hint="eastAsia" w:ascii="Times New Roman" w:hAnsi="Times New Roman"/>
                <w:spacing w:val="-11"/>
                <w:sz w:val="21"/>
                <w:szCs w:val="21"/>
                <w:lang w:val="en-US" w:eastAsia="zh-CN"/>
              </w:rPr>
            </w:pPr>
            <w:r>
              <w:rPr>
                <w:rFonts w:hint="eastAsia" w:ascii="Times New Roman" w:hAnsi="Times New Roman"/>
                <w:spacing w:val="-11"/>
                <w:sz w:val="21"/>
                <w:szCs w:val="21"/>
                <w:lang w:val="en-US" w:eastAsia="zh-CN"/>
              </w:rPr>
              <w:t>N1</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100d</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N2</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200d</w:t>
            </w:r>
            <w:r>
              <w:rPr>
                <w:rFonts w:hint="eastAsia" w:ascii="Times New Roman" w:hAnsi="Times New Roman"/>
                <w:spacing w:val="-11"/>
                <w:sz w:val="21"/>
                <w:szCs w:val="21"/>
                <w:lang w:val="en-US" w:eastAsia="zh-CN"/>
              </w:rPr>
              <w:t>；</w:t>
            </w:r>
          </w:p>
          <w:p>
            <w:pPr>
              <w:spacing w:line="240" w:lineRule="auto"/>
              <w:ind w:firstLine="0"/>
              <w:jc w:val="center"/>
              <w:rPr>
                <w:rFonts w:hint="eastAsia" w:ascii="Times New Roman" w:hAnsi="Times New Roman"/>
                <w:spacing w:val="-11"/>
                <w:sz w:val="21"/>
                <w:szCs w:val="21"/>
                <w:lang w:val="en-US" w:eastAsia="zh-CN"/>
              </w:rPr>
            </w:pPr>
            <w:r>
              <w:rPr>
                <w:rFonts w:hint="eastAsia" w:ascii="Times New Roman" w:hAnsi="Times New Roman"/>
                <w:spacing w:val="-11"/>
                <w:sz w:val="21"/>
                <w:szCs w:val="21"/>
                <w:lang w:val="en-US" w:eastAsia="zh-CN"/>
              </w:rPr>
              <w:t>N3</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300d</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N4</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400d</w:t>
            </w:r>
            <w:r>
              <w:rPr>
                <w:rFonts w:hint="eastAsia" w:ascii="Times New Roman" w:hAnsi="Times New Roman"/>
                <w:spacing w:val="-11"/>
                <w:sz w:val="21"/>
                <w:szCs w:val="21"/>
                <w:lang w:val="en-US" w:eastAsia="zh-CN"/>
              </w:rPr>
              <w:t>；</w:t>
            </w:r>
          </w:p>
          <w:p>
            <w:pPr>
              <w:spacing w:line="240" w:lineRule="auto"/>
              <w:ind w:firstLine="0"/>
              <w:jc w:val="center"/>
              <w:rPr>
                <w:rFonts w:hint="default" w:ascii="Times New Roman" w:eastAsia="宋体"/>
                <w:spacing w:val="-11"/>
                <w:sz w:val="21"/>
                <w:szCs w:val="21"/>
                <w:lang w:val="en-US" w:eastAsia="zh-CN"/>
              </w:rPr>
            </w:pPr>
            <w:r>
              <w:rPr>
                <w:rFonts w:hint="eastAsia" w:ascii="Times New Roman" w:hAnsi="Times New Roman"/>
                <w:spacing w:val="-11"/>
                <w:sz w:val="21"/>
                <w:szCs w:val="21"/>
                <w:lang w:val="en-US" w:eastAsia="zh-CN"/>
              </w:rPr>
              <w:t>N5</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500d</w:t>
            </w:r>
          </w:p>
        </w:tc>
      </w:tr>
    </w:tbl>
    <w:p>
      <w:pPr>
        <w:rPr>
          <w:rFonts w:hint="eastAsia"/>
        </w:rPr>
      </w:pPr>
      <w:r>
        <w:rPr>
          <w:rFonts w:hint="eastAsia"/>
        </w:rPr>
        <w:t>⑤土壤污染预测结果</w:t>
      </w:r>
    </w:p>
    <w:p>
      <w:r>
        <w:rPr>
          <w:rFonts w:hint="eastAsia"/>
          <w:lang w:eastAsia="zh-CN"/>
        </w:rPr>
        <w:t>废液渗漏并</w:t>
      </w:r>
      <w:r>
        <w:rPr>
          <w:rFonts w:hint="eastAsia"/>
        </w:rPr>
        <w:t>持续</w:t>
      </w:r>
      <w:r>
        <w:rPr>
          <w:rFonts w:hint="eastAsia"/>
          <w:lang w:eastAsia="zh-CN"/>
        </w:rPr>
        <w:t>渗入</w:t>
      </w:r>
      <w:r>
        <w:rPr>
          <w:rFonts w:hint="eastAsia"/>
        </w:rPr>
        <w:t>土壤，在不同</w:t>
      </w:r>
      <w:r>
        <w:rPr>
          <w:rFonts w:hint="eastAsia"/>
          <w:lang w:eastAsia="zh-CN"/>
        </w:rPr>
        <w:t>时间段（</w:t>
      </w:r>
      <w:r>
        <w:rPr>
          <w:rFonts w:hint="eastAsia" w:ascii="Times New Roman" w:hAnsi="Times New Roman"/>
          <w:lang w:val="en-US" w:eastAsia="zh-CN"/>
        </w:rPr>
        <w:t>N1</w:t>
      </w:r>
      <w:r>
        <w:rPr>
          <w:rFonts w:hint="eastAsia"/>
          <w:lang w:val="en-US" w:eastAsia="zh-CN"/>
        </w:rPr>
        <w:t>：</w:t>
      </w:r>
      <w:r>
        <w:rPr>
          <w:rFonts w:hint="eastAsia" w:ascii="Times New Roman" w:hAnsi="Times New Roman"/>
          <w:lang w:val="en-US" w:eastAsia="zh-CN"/>
        </w:rPr>
        <w:t>100d</w:t>
      </w:r>
      <w:r>
        <w:rPr>
          <w:rFonts w:hint="eastAsia"/>
          <w:lang w:val="en-US" w:eastAsia="zh-CN"/>
        </w:rPr>
        <w:t>，</w:t>
      </w:r>
      <w:r>
        <w:rPr>
          <w:rFonts w:hint="eastAsia" w:ascii="Times New Roman" w:hAnsi="Times New Roman"/>
          <w:lang w:val="en-US" w:eastAsia="zh-CN"/>
        </w:rPr>
        <w:t>N2</w:t>
      </w:r>
      <w:r>
        <w:rPr>
          <w:rFonts w:hint="eastAsia"/>
          <w:lang w:val="en-US" w:eastAsia="zh-CN"/>
        </w:rPr>
        <w:t>:</w:t>
      </w:r>
      <w:r>
        <w:rPr>
          <w:rFonts w:hint="eastAsia" w:ascii="Times New Roman" w:hAnsi="Times New Roman"/>
          <w:lang w:val="en-US" w:eastAsia="zh-CN"/>
        </w:rPr>
        <w:t>200d</w:t>
      </w:r>
      <w:r>
        <w:rPr>
          <w:rFonts w:hint="eastAsia"/>
          <w:lang w:val="en-US" w:eastAsia="zh-CN"/>
        </w:rPr>
        <w:t>，</w:t>
      </w:r>
      <w:r>
        <w:rPr>
          <w:rFonts w:hint="eastAsia" w:ascii="Times New Roman" w:hAnsi="Times New Roman"/>
          <w:lang w:val="en-US" w:eastAsia="zh-CN"/>
        </w:rPr>
        <w:t>N3</w:t>
      </w:r>
      <w:r>
        <w:rPr>
          <w:rFonts w:hint="eastAsia"/>
          <w:lang w:val="en-US" w:eastAsia="zh-CN"/>
        </w:rPr>
        <w:t>:</w:t>
      </w:r>
      <w:r>
        <w:rPr>
          <w:rFonts w:hint="eastAsia" w:ascii="Times New Roman" w:hAnsi="Times New Roman"/>
          <w:lang w:val="en-US" w:eastAsia="zh-CN"/>
        </w:rPr>
        <w:t>300d</w:t>
      </w:r>
      <w:r>
        <w:rPr>
          <w:rFonts w:hint="eastAsia"/>
          <w:lang w:val="en-US" w:eastAsia="zh-CN"/>
        </w:rPr>
        <w:t>，</w:t>
      </w:r>
      <w:r>
        <w:rPr>
          <w:rFonts w:hint="eastAsia" w:ascii="Times New Roman" w:hAnsi="Times New Roman"/>
          <w:lang w:val="en-US" w:eastAsia="zh-CN"/>
        </w:rPr>
        <w:t>N4</w:t>
      </w:r>
      <w:r>
        <w:rPr>
          <w:rFonts w:hint="eastAsia"/>
          <w:lang w:val="en-US" w:eastAsia="zh-CN"/>
        </w:rPr>
        <w:t>:</w:t>
      </w:r>
      <w:r>
        <w:rPr>
          <w:rFonts w:hint="eastAsia" w:ascii="Times New Roman" w:hAnsi="Times New Roman"/>
          <w:lang w:val="en-US" w:eastAsia="zh-CN"/>
        </w:rPr>
        <w:t>400d</w:t>
      </w:r>
      <w:r>
        <w:rPr>
          <w:rFonts w:hint="eastAsia"/>
          <w:lang w:val="en-US" w:eastAsia="zh-CN"/>
        </w:rPr>
        <w:t>，</w:t>
      </w:r>
      <w:r>
        <w:rPr>
          <w:rFonts w:hint="eastAsia" w:ascii="Times New Roman" w:hAnsi="Times New Roman"/>
          <w:lang w:val="en-US" w:eastAsia="zh-CN"/>
        </w:rPr>
        <w:t>N5</w:t>
      </w:r>
      <w:r>
        <w:rPr>
          <w:rFonts w:hint="eastAsia"/>
          <w:lang w:val="en-US" w:eastAsia="zh-CN"/>
        </w:rPr>
        <w:t>:</w:t>
      </w:r>
      <w:r>
        <w:rPr>
          <w:rFonts w:hint="eastAsia" w:ascii="Times New Roman" w:hAnsi="Times New Roman"/>
          <w:lang w:val="en-US" w:eastAsia="zh-CN"/>
        </w:rPr>
        <w:t>500d</w:t>
      </w:r>
      <w:r>
        <w:rPr>
          <w:rFonts w:hint="eastAsia"/>
          <w:lang w:eastAsia="zh-CN"/>
        </w:rPr>
        <w:t>）污染物</w:t>
      </w:r>
      <w:r>
        <w:rPr>
          <w:rFonts w:hint="eastAsia"/>
        </w:rPr>
        <w:t>土壤迁移模拟结果见</w:t>
      </w:r>
      <w:r>
        <w:rPr>
          <w:rFonts w:hint="eastAsia"/>
          <w:lang w:eastAsia="zh-CN"/>
        </w:rPr>
        <w:t>图</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lang w:val="en-US" w:eastAsia="zh-CN"/>
        </w:rPr>
        <w:t>1</w:t>
      </w:r>
      <w:r>
        <w:rPr>
          <w:rFonts w:hint="eastAsia"/>
          <w:lang w:val="en-US" w:eastAsia="zh-CN"/>
        </w:rPr>
        <w:t>，图</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2</w:t>
      </w:r>
      <w:r>
        <w:rPr>
          <w:rFonts w:hint="eastAsia"/>
        </w:rPr>
        <w:t>。</w:t>
      </w:r>
    </w:p>
    <w:p>
      <w:pPr>
        <w:pStyle w:val="20"/>
        <w:bidi w:val="0"/>
        <w:rPr>
          <w:rFonts w:hint="default"/>
          <w:lang w:val="en-US"/>
        </w:rPr>
      </w:pPr>
      <w:r>
        <w:rPr>
          <w:rFonts w:ascii="宋体" w:hAnsi="宋体" w:eastAsia="宋体" w:cs="宋体"/>
          <w:kern w:val="0"/>
          <w:sz w:val="24"/>
          <w:szCs w:val="24"/>
          <w:lang w:val="en-US" w:eastAsia="zh-CN" w:bidi="ar"/>
        </w:rPr>
        <w:drawing>
          <wp:anchor distT="0" distB="0" distL="114300" distR="114300" simplePos="0" relativeHeight="251682816" behindDoc="0" locked="0" layoutInCell="1" allowOverlap="1">
            <wp:simplePos x="0" y="0"/>
            <wp:positionH relativeFrom="column">
              <wp:posOffset>1102995</wp:posOffset>
            </wp:positionH>
            <wp:positionV relativeFrom="paragraph">
              <wp:posOffset>172720</wp:posOffset>
            </wp:positionV>
            <wp:extent cx="3911600" cy="2712720"/>
            <wp:effectExtent l="9525" t="9525" r="22225" b="20955"/>
            <wp:wrapTopAndBottom/>
            <wp:docPr id="1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IMG_256"/>
                    <pic:cNvPicPr>
                      <a:picLocks noChangeAspect="1"/>
                    </pic:cNvPicPr>
                  </pic:nvPicPr>
                  <pic:blipFill>
                    <a:blip r:embed="rId88"/>
                    <a:srcRect l="3142" b="5172"/>
                    <a:stretch>
                      <a:fillRect/>
                    </a:stretch>
                  </pic:blipFill>
                  <pic:spPr>
                    <a:xfrm>
                      <a:off x="0" y="0"/>
                      <a:ext cx="3911600" cy="2712720"/>
                    </a:xfrm>
                    <a:prstGeom prst="rect">
                      <a:avLst/>
                    </a:prstGeom>
                    <a:noFill/>
                    <a:ln w="9525">
                      <a:solidFill>
                        <a:schemeClr val="tx1"/>
                      </a:solidFill>
                    </a:ln>
                  </pic:spPr>
                </pic:pic>
              </a:graphicData>
            </a:graphic>
          </wp:anchor>
        </w:drawing>
      </w:r>
      <w:r>
        <w:rPr>
          <w:rFonts w:hint="eastAsia"/>
          <w:lang w:eastAsia="zh-CN"/>
        </w:rPr>
        <w:t>图</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1</w:t>
      </w:r>
      <w:r>
        <w:rPr>
          <w:rFonts w:hint="eastAsia"/>
          <w:lang w:val="en-US" w:eastAsia="zh-CN"/>
        </w:rPr>
        <w:t xml:space="preserve">  </w:t>
      </w:r>
      <w:r>
        <w:rPr>
          <w:rFonts w:hint="eastAsia"/>
          <w:lang w:eastAsia="zh-CN"/>
        </w:rPr>
        <w:t>土壤</w:t>
      </w:r>
      <w:r>
        <w:rPr>
          <w:rFonts w:hint="eastAsia"/>
          <w:lang w:val="en-US" w:eastAsia="zh-CN"/>
        </w:rPr>
        <w:t>污染物运移时间—浓度曲线图</w:t>
      </w:r>
    </w:p>
    <w:p>
      <w:pPr>
        <w:pStyle w:val="20"/>
        <w:bidi w:val="0"/>
        <w:rPr>
          <w:rFonts w:hint="default"/>
          <w:lang w:val="en-US"/>
        </w:rPr>
      </w:pPr>
      <w:r>
        <w:rPr>
          <w:rFonts w:ascii="宋体" w:hAnsi="宋体" w:eastAsia="宋体" w:cs="宋体"/>
          <w:kern w:val="0"/>
          <w:sz w:val="24"/>
          <w:szCs w:val="24"/>
          <w:lang w:val="en-US" w:eastAsia="zh-CN" w:bidi="ar"/>
        </w:rPr>
        <w:drawing>
          <wp:anchor distT="0" distB="0" distL="114300" distR="114300" simplePos="0" relativeHeight="251683840" behindDoc="0" locked="0" layoutInCell="1" allowOverlap="1">
            <wp:simplePos x="0" y="0"/>
            <wp:positionH relativeFrom="column">
              <wp:posOffset>1151255</wp:posOffset>
            </wp:positionH>
            <wp:positionV relativeFrom="paragraph">
              <wp:posOffset>181610</wp:posOffset>
            </wp:positionV>
            <wp:extent cx="3752850" cy="2762250"/>
            <wp:effectExtent l="0" t="0" r="0" b="0"/>
            <wp:wrapTopAndBottom/>
            <wp:docPr id="1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56"/>
                    <pic:cNvPicPr>
                      <a:picLocks noChangeAspect="1"/>
                    </pic:cNvPicPr>
                  </pic:nvPicPr>
                  <pic:blipFill>
                    <a:blip r:embed="rId89"/>
                    <a:stretch>
                      <a:fillRect/>
                    </a:stretch>
                  </pic:blipFill>
                  <pic:spPr>
                    <a:xfrm>
                      <a:off x="0" y="0"/>
                      <a:ext cx="3752850" cy="2762250"/>
                    </a:xfrm>
                    <a:prstGeom prst="rect">
                      <a:avLst/>
                    </a:prstGeom>
                    <a:noFill/>
                    <a:ln w="9525">
                      <a:noFill/>
                    </a:ln>
                  </pic:spPr>
                </pic:pic>
              </a:graphicData>
            </a:graphic>
          </wp:anchor>
        </w:drawing>
      </w:r>
      <w:r>
        <w:rPr>
          <w:rFonts w:hint="eastAsia"/>
          <w:lang w:eastAsia="zh-CN"/>
        </w:rPr>
        <w:t>图</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2</w:t>
      </w:r>
      <w:r>
        <w:rPr>
          <w:rFonts w:hint="eastAsia"/>
          <w:lang w:val="en-US" w:eastAsia="zh-CN"/>
        </w:rPr>
        <w:t xml:space="preserve">  </w:t>
      </w:r>
      <w:r>
        <w:rPr>
          <w:rFonts w:hint="eastAsia"/>
          <w:lang w:eastAsia="zh-CN"/>
        </w:rPr>
        <w:t>土壤</w:t>
      </w:r>
      <w:r>
        <w:rPr>
          <w:rFonts w:hint="eastAsia"/>
          <w:lang w:val="en-US" w:eastAsia="zh-CN"/>
        </w:rPr>
        <w:t>污染物运营浓度-深度曲线图</w:t>
      </w:r>
    </w:p>
    <w:p>
      <w:pPr>
        <w:rPr>
          <w:rFonts w:hint="eastAsia"/>
        </w:rPr>
      </w:pPr>
      <w:r>
        <w:rPr>
          <w:rFonts w:hint="eastAsia"/>
        </w:rPr>
        <w:t>（</w:t>
      </w:r>
      <w:r>
        <w:rPr>
          <w:rFonts w:hint="eastAsia" w:ascii="Times New Roman" w:hAnsi="Times New Roman"/>
        </w:rPr>
        <w:t>5</w:t>
      </w:r>
      <w:r>
        <w:rPr>
          <w:rFonts w:hint="eastAsia"/>
        </w:rPr>
        <w:t>）土壤污染跟踪监测</w:t>
      </w:r>
    </w:p>
    <w:p>
      <w:r>
        <w:rPr>
          <w:rFonts w:hint="eastAsia"/>
        </w:rPr>
        <w:t>根据《环境影响评价技术导则 土壤环境（试行）》（</w:t>
      </w:r>
      <w:r>
        <w:rPr>
          <w:rFonts w:hint="eastAsia" w:ascii="Times New Roman" w:hAnsi="Times New Roman"/>
        </w:rPr>
        <w:t>HJ964</w:t>
      </w:r>
      <w:r>
        <w:rPr>
          <w:rFonts w:hint="eastAsia"/>
        </w:rPr>
        <w:t>-</w:t>
      </w:r>
      <w:r>
        <w:rPr>
          <w:rFonts w:hint="eastAsia" w:ascii="Times New Roman" w:hAnsi="Times New Roman"/>
        </w:rPr>
        <w:t>2018</w:t>
      </w:r>
      <w:r>
        <w:rPr>
          <w:rFonts w:hint="eastAsia"/>
        </w:rPr>
        <w:t>），土壤环境跟踪监测措施包括制定跟踪计划，建立跟踪监测制度。结合导则</w:t>
      </w:r>
      <w:r>
        <w:rPr>
          <w:rFonts w:hint="eastAsia" w:ascii="Times New Roman" w:hAnsi="Times New Roman"/>
        </w:rPr>
        <w:t>9</w:t>
      </w:r>
      <w:r>
        <w:rPr>
          <w:rFonts w:hint="eastAsia"/>
        </w:rPr>
        <w:t>.</w:t>
      </w:r>
      <w:r>
        <w:rPr>
          <w:rFonts w:hint="eastAsia" w:ascii="Times New Roman" w:hAnsi="Times New Roman"/>
        </w:rPr>
        <w:t>3</w:t>
      </w:r>
      <w:r>
        <w:rPr>
          <w:rFonts w:hint="eastAsia"/>
        </w:rPr>
        <w:t>的布点原则。本项目土壤环境评价等级为二级</w:t>
      </w:r>
      <w:r>
        <w:rPr>
          <w:rFonts w:hint="eastAsia"/>
          <w:lang w:eastAsia="zh-CN"/>
        </w:rPr>
        <w:t>且周边无土壤环境敏感目标，因此监测点应布设在重点影响区附近设置一处采样点，</w:t>
      </w:r>
      <w:r>
        <w:rPr>
          <w:rFonts w:hint="eastAsia"/>
        </w:rPr>
        <w:t>每</w:t>
      </w:r>
      <w:r>
        <w:rPr>
          <w:rFonts w:hint="eastAsia" w:ascii="Times New Roman" w:hAnsi="Times New Roman"/>
        </w:rPr>
        <w:t>5</w:t>
      </w:r>
      <w:r>
        <w:rPr>
          <w:rFonts w:hint="eastAsia"/>
        </w:rPr>
        <w:t>年进行一次监测，土壤污染跟踪监测计划见表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8</w:t>
      </w:r>
      <w:r>
        <w:rPr>
          <w:rFonts w:hint="eastAsia" w:ascii="Times New Roman"/>
          <w:lang w:val="en-US" w:eastAsia="zh-CN"/>
        </w:rPr>
        <w:t>-</w:t>
      </w:r>
      <w:r>
        <w:rPr>
          <w:rFonts w:hint="eastAsia" w:ascii="Times New Roman" w:hAnsi="Times New Roman"/>
          <w:lang w:val="en-US" w:eastAsia="zh-CN"/>
        </w:rPr>
        <w:t>4</w:t>
      </w:r>
      <w:r>
        <w:rPr>
          <w:rFonts w:hint="eastAsia"/>
        </w:rPr>
        <w:t>。</w:t>
      </w:r>
    </w:p>
    <w:p>
      <w:pPr>
        <w:pStyle w:val="20"/>
        <w:spacing w:before="165"/>
      </w:pPr>
      <w:r>
        <w:rPr>
          <w:rFonts w:hint="eastAsia"/>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8</w:t>
      </w:r>
      <w:r>
        <w:rPr>
          <w:rFonts w:hint="eastAsia" w:ascii="Times New Roman" w:hAnsi="Times New Roman"/>
          <w:lang w:val="en-US" w:eastAsia="zh-CN"/>
        </w:rPr>
        <w:t>-</w:t>
      </w:r>
      <w:r>
        <w:rPr>
          <w:rFonts w:hint="eastAsia" w:ascii="Times New Roman" w:hAnsi="Times New Roman"/>
          <w:lang w:val="en-US" w:eastAsia="zh-CN"/>
        </w:rPr>
        <w:t>4</w:t>
      </w:r>
      <w:r>
        <w:rPr>
          <w:rFonts w:hint="eastAsia"/>
        </w:rPr>
        <w:t xml:space="preserve">  土壤污染跟踪监测计划</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2793"/>
        <w:gridCol w:w="2926"/>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78" w:type="dxa"/>
            <w:noWrap w:val="0"/>
            <w:vAlign w:val="center"/>
          </w:tcPr>
          <w:p>
            <w:pPr>
              <w:spacing w:line="240" w:lineRule="auto"/>
              <w:ind w:firstLine="0"/>
              <w:jc w:val="center"/>
              <w:rPr>
                <w:rFonts w:hint="eastAsia"/>
                <w:sz w:val="21"/>
                <w:szCs w:val="21"/>
              </w:rPr>
            </w:pPr>
            <w:r>
              <w:rPr>
                <w:rFonts w:hint="eastAsia"/>
                <w:sz w:val="21"/>
                <w:szCs w:val="21"/>
              </w:rPr>
              <w:t>监测类别</w:t>
            </w:r>
          </w:p>
        </w:tc>
        <w:tc>
          <w:tcPr>
            <w:tcW w:w="2793" w:type="dxa"/>
            <w:noWrap w:val="0"/>
            <w:vAlign w:val="center"/>
          </w:tcPr>
          <w:p>
            <w:pPr>
              <w:spacing w:line="240" w:lineRule="auto"/>
              <w:ind w:firstLine="0"/>
              <w:jc w:val="center"/>
              <w:rPr>
                <w:rFonts w:hint="eastAsia"/>
                <w:sz w:val="21"/>
                <w:szCs w:val="21"/>
              </w:rPr>
            </w:pPr>
            <w:r>
              <w:rPr>
                <w:rFonts w:hint="eastAsia"/>
                <w:sz w:val="21"/>
                <w:szCs w:val="21"/>
              </w:rPr>
              <w:t>监测位置</w:t>
            </w:r>
          </w:p>
        </w:tc>
        <w:tc>
          <w:tcPr>
            <w:tcW w:w="2926" w:type="dxa"/>
            <w:noWrap w:val="0"/>
            <w:vAlign w:val="center"/>
          </w:tcPr>
          <w:p>
            <w:pPr>
              <w:spacing w:line="240" w:lineRule="auto"/>
              <w:ind w:firstLine="0"/>
              <w:jc w:val="center"/>
              <w:rPr>
                <w:rFonts w:hint="eastAsia" w:ascii="Times New Roman"/>
                <w:sz w:val="21"/>
                <w:szCs w:val="21"/>
              </w:rPr>
            </w:pPr>
            <w:r>
              <w:rPr>
                <w:rFonts w:hint="eastAsia" w:ascii="Times New Roman"/>
                <w:sz w:val="21"/>
                <w:szCs w:val="21"/>
              </w:rPr>
              <w:t>监测项目</w:t>
            </w:r>
          </w:p>
        </w:tc>
        <w:tc>
          <w:tcPr>
            <w:tcW w:w="1770" w:type="dxa"/>
            <w:noWrap w:val="0"/>
            <w:vAlign w:val="center"/>
          </w:tcPr>
          <w:p>
            <w:pPr>
              <w:spacing w:line="240" w:lineRule="auto"/>
              <w:ind w:firstLine="0"/>
              <w:jc w:val="center"/>
              <w:rPr>
                <w:rFonts w:hint="eastAsia"/>
                <w:sz w:val="21"/>
                <w:szCs w:val="21"/>
              </w:rPr>
            </w:pPr>
            <w:r>
              <w:rPr>
                <w:rFonts w:hint="eastAsia"/>
                <w:sz w:val="21"/>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78" w:type="dxa"/>
            <w:noWrap w:val="0"/>
            <w:vAlign w:val="center"/>
          </w:tcPr>
          <w:p>
            <w:pPr>
              <w:spacing w:line="240" w:lineRule="auto"/>
              <w:ind w:firstLine="0"/>
              <w:jc w:val="center"/>
              <w:rPr>
                <w:rFonts w:hint="eastAsia"/>
                <w:sz w:val="21"/>
                <w:szCs w:val="21"/>
              </w:rPr>
            </w:pPr>
            <w:r>
              <w:rPr>
                <w:rFonts w:hint="eastAsia"/>
                <w:sz w:val="21"/>
                <w:szCs w:val="21"/>
              </w:rPr>
              <w:t>土壤</w:t>
            </w:r>
          </w:p>
        </w:tc>
        <w:tc>
          <w:tcPr>
            <w:tcW w:w="2793" w:type="dxa"/>
            <w:noWrap w:val="0"/>
            <w:vAlign w:val="center"/>
          </w:tcPr>
          <w:p>
            <w:pPr>
              <w:spacing w:line="240" w:lineRule="auto"/>
              <w:ind w:firstLine="0"/>
              <w:jc w:val="center"/>
              <w:rPr>
                <w:rFonts w:hint="eastAsia"/>
                <w:sz w:val="21"/>
                <w:szCs w:val="21"/>
              </w:rPr>
            </w:pPr>
            <w:r>
              <w:rPr>
                <w:rFonts w:hint="eastAsia"/>
                <w:sz w:val="21"/>
                <w:szCs w:val="21"/>
                <w:lang w:eastAsia="zh-CN"/>
              </w:rPr>
              <w:t>危险废物贮存库</w:t>
            </w:r>
            <w:r>
              <w:rPr>
                <w:rFonts w:hint="eastAsia"/>
                <w:sz w:val="21"/>
                <w:szCs w:val="21"/>
              </w:rPr>
              <w:t>附近</w:t>
            </w:r>
          </w:p>
        </w:tc>
        <w:tc>
          <w:tcPr>
            <w:tcW w:w="2926"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Cu</w:t>
            </w:r>
            <w:r>
              <w:rPr>
                <w:rFonts w:hint="eastAsia" w:ascii="Times New Roman"/>
                <w:sz w:val="21"/>
                <w:szCs w:val="21"/>
                <w:lang w:val="en-US" w:eastAsia="zh-CN"/>
              </w:rPr>
              <w:t>、</w:t>
            </w:r>
            <w:r>
              <w:rPr>
                <w:rFonts w:hint="eastAsia" w:ascii="Times New Roman" w:hAnsi="Times New Roman"/>
                <w:sz w:val="21"/>
                <w:szCs w:val="21"/>
                <w:lang w:val="en-US" w:eastAsia="zh-CN"/>
              </w:rPr>
              <w:t>Ni</w:t>
            </w:r>
          </w:p>
        </w:tc>
        <w:tc>
          <w:tcPr>
            <w:tcW w:w="1770" w:type="dxa"/>
            <w:noWrap w:val="0"/>
            <w:vAlign w:val="center"/>
          </w:tcPr>
          <w:p>
            <w:pPr>
              <w:spacing w:line="240" w:lineRule="auto"/>
              <w:ind w:firstLine="0"/>
              <w:jc w:val="center"/>
              <w:rPr>
                <w:sz w:val="21"/>
                <w:szCs w:val="21"/>
              </w:rPr>
            </w:pPr>
            <w:r>
              <w:rPr>
                <w:rFonts w:hint="eastAsia"/>
                <w:sz w:val="21"/>
                <w:szCs w:val="21"/>
              </w:rPr>
              <w:t>一次/</w:t>
            </w:r>
            <w:r>
              <w:rPr>
                <w:rFonts w:hint="eastAsia" w:ascii="Times New Roman" w:hAnsi="Times New Roman"/>
                <w:sz w:val="21"/>
                <w:szCs w:val="21"/>
              </w:rPr>
              <w:t>5</w:t>
            </w:r>
            <w:r>
              <w:rPr>
                <w:rFonts w:hint="eastAsia"/>
                <w:sz w:val="21"/>
                <w:szCs w:val="21"/>
              </w:rPr>
              <w:t>年</w:t>
            </w:r>
          </w:p>
        </w:tc>
      </w:tr>
    </w:tbl>
    <w:p>
      <w:pPr>
        <w:rPr>
          <w:rFonts w:hint="eastAsia"/>
        </w:rPr>
      </w:pPr>
      <w:r>
        <w:rPr>
          <w:rFonts w:hint="eastAsia"/>
          <w:lang w:eastAsia="zh-CN"/>
        </w:rPr>
        <w:t>（</w:t>
      </w:r>
      <w:r>
        <w:rPr>
          <w:rFonts w:hint="eastAsia" w:ascii="Times New Roman" w:hAnsi="Times New Roman"/>
          <w:lang w:val="en-US" w:eastAsia="zh-CN"/>
        </w:rPr>
        <w:t>6</w:t>
      </w:r>
      <w:r>
        <w:rPr>
          <w:rFonts w:hint="eastAsia"/>
          <w:lang w:eastAsia="zh-CN"/>
        </w:rPr>
        <w:t>）</w:t>
      </w:r>
      <w:r>
        <w:rPr>
          <w:rFonts w:hint="eastAsia"/>
        </w:rPr>
        <w:t>小结</w:t>
      </w:r>
    </w:p>
    <w:p>
      <w:pPr>
        <w:rPr>
          <w:rFonts w:hint="eastAsia"/>
        </w:rPr>
      </w:pPr>
      <w:r>
        <w:rPr>
          <w:rFonts w:hint="eastAsia"/>
        </w:rPr>
        <w:t>本项目对土壤的环境影响主要表现为在非正常状况下，如果</w:t>
      </w:r>
      <w:r>
        <w:rPr>
          <w:rFonts w:hint="eastAsia"/>
          <w:lang w:eastAsia="zh-CN"/>
        </w:rPr>
        <w:t>危险废物收集不规范，导致废催化剂桶发生泄漏</w:t>
      </w:r>
      <w:r>
        <w:rPr>
          <w:rFonts w:hint="eastAsia"/>
        </w:rPr>
        <w:t>，</w:t>
      </w:r>
      <w:r>
        <w:rPr>
          <w:rFonts w:hint="eastAsia"/>
          <w:lang w:eastAsia="zh-CN"/>
        </w:rPr>
        <w:t>可能</w:t>
      </w:r>
      <w:r>
        <w:rPr>
          <w:rFonts w:hint="eastAsia"/>
        </w:rPr>
        <w:t>污染</w:t>
      </w:r>
      <w:r>
        <w:rPr>
          <w:rFonts w:hint="eastAsia"/>
          <w:lang w:eastAsia="zh-CN"/>
        </w:rPr>
        <w:t>周边</w:t>
      </w:r>
      <w:r>
        <w:rPr>
          <w:rFonts w:hint="eastAsia"/>
        </w:rPr>
        <w:t>土壤。</w:t>
      </w:r>
    </w:p>
    <w:p>
      <w:pPr>
        <w:rPr>
          <w:rFonts w:hint="eastAsia"/>
        </w:rPr>
      </w:pPr>
      <w:r>
        <w:rPr>
          <w:rFonts w:hint="eastAsia"/>
        </w:rPr>
        <w:t>项目排放的大气污染物主要为</w:t>
      </w:r>
      <w:r>
        <w:rPr>
          <w:rFonts w:hint="eastAsia" w:ascii="Times New Roman" w:hAnsi="Times New Roman"/>
          <w:lang w:val="en-US" w:eastAsia="zh-CN"/>
        </w:rPr>
        <w:t>NMHC</w:t>
      </w:r>
      <w:r>
        <w:rPr>
          <w:rFonts w:hint="eastAsia"/>
          <w:lang w:val="en-US" w:eastAsia="zh-CN"/>
        </w:rPr>
        <w:t>和</w:t>
      </w:r>
      <w:r>
        <w:rPr>
          <w:rFonts w:hint="eastAsia"/>
          <w:lang w:eastAsia="zh-CN"/>
        </w:rPr>
        <w:t>恶臭气体（</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eastAsia="zh-CN"/>
        </w:rPr>
        <w:t>）</w:t>
      </w:r>
      <w:r>
        <w:rPr>
          <w:rFonts w:hint="eastAsia"/>
        </w:rPr>
        <w:t>，排放量小，</w:t>
      </w:r>
      <w:r>
        <w:rPr>
          <w:rFonts w:hint="eastAsia"/>
          <w:lang w:eastAsia="zh-CN"/>
        </w:rPr>
        <w:t>且</w:t>
      </w:r>
      <w:r>
        <w:rPr>
          <w:rFonts w:hint="eastAsia"/>
        </w:rPr>
        <w:t>项目区周边平坦开阔，</w:t>
      </w:r>
      <w:r>
        <w:rPr>
          <w:rFonts w:hint="eastAsia"/>
          <w:lang w:eastAsia="zh-CN"/>
        </w:rPr>
        <w:t>污染物大气沉降作用</w:t>
      </w:r>
      <w:r>
        <w:rPr>
          <w:rFonts w:hint="eastAsia"/>
        </w:rPr>
        <w:t>不会对土壤环境产生明显不利影响。</w:t>
      </w:r>
      <w:r>
        <w:rPr>
          <w:rFonts w:hint="eastAsia"/>
          <w:lang w:eastAsia="zh-CN"/>
        </w:rPr>
        <w:t>本项目应按照规范收集危险废物，确保包装完好，</w:t>
      </w:r>
      <w:r>
        <w:rPr>
          <w:rFonts w:hint="eastAsia"/>
        </w:rPr>
        <w:t>不会对土壤造成影响。</w:t>
      </w:r>
    </w:p>
    <w:p>
      <w:pPr>
        <w:pStyle w:val="5"/>
        <w:bidi w:val="0"/>
        <w:rPr>
          <w:rFonts w:hint="eastAsia"/>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5</w:t>
      </w:r>
      <w:r>
        <w:rPr>
          <w:rFonts w:hint="eastAsia"/>
          <w:lang w:val="en-US" w:eastAsia="zh-CN"/>
        </w:rPr>
        <w:t>土壤环境影响评价自查表</w:t>
      </w:r>
    </w:p>
    <w:p>
      <w:r>
        <w:rPr>
          <w:rFonts w:hint="eastAsia"/>
        </w:rPr>
        <w:t>本项目土壤环境影响评价自查表见表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lang w:val="en-US" w:eastAsia="zh-CN"/>
        </w:rPr>
        <w:t>5</w:t>
      </w:r>
      <w:r>
        <w:rPr>
          <w:rFonts w:hint="eastAsia"/>
        </w:rPr>
        <w:t>。</w:t>
      </w:r>
    </w:p>
    <w:p>
      <w:pPr>
        <w:pStyle w:val="20"/>
        <w:spacing w:before="165"/>
      </w:pPr>
      <w:r>
        <w:rPr>
          <w:rFonts w:hint="eastAsia"/>
        </w:rPr>
        <w:t>表</w:t>
      </w:r>
      <w:r>
        <w:rPr>
          <w:rFonts w:hint="eastAsia" w:ascii="Times New Roman" w:hAnsi="Times New Roman"/>
          <w:lang w:val="en-US" w:eastAsia="zh-CN"/>
        </w:rPr>
        <w:t>6</w:t>
      </w:r>
      <w:r>
        <w:rPr>
          <w:rFonts w:hint="eastAsia"/>
        </w:rPr>
        <w:t>.</w:t>
      </w:r>
      <w:r>
        <w:rPr>
          <w:rFonts w:hint="eastAsia" w:ascii="Times New Roman" w:hAnsi="Times New Roman"/>
          <w:lang w:val="en-US" w:eastAsia="zh-CN"/>
        </w:rPr>
        <w:t>8</w:t>
      </w:r>
      <w:r>
        <w:rPr>
          <w:rFonts w:hint="eastAsia"/>
        </w:rPr>
        <w:t>-</w:t>
      </w:r>
      <w:r>
        <w:rPr>
          <w:rFonts w:hint="eastAsia" w:ascii="Times New Roman" w:hAnsi="Times New Roman"/>
          <w:lang w:val="en-US" w:eastAsia="zh-CN"/>
        </w:rPr>
        <w:t>5</w:t>
      </w:r>
      <w:r>
        <w:rPr>
          <w:rFonts w:hint="eastAsia"/>
        </w:rPr>
        <w:t xml:space="preserve">  土壤环境影响评价自查表</w:t>
      </w:r>
    </w:p>
    <w:tbl>
      <w:tblPr>
        <w:tblStyle w:val="80"/>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684"/>
        <w:gridCol w:w="1351"/>
        <w:gridCol w:w="93"/>
        <w:gridCol w:w="1258"/>
        <w:gridCol w:w="902"/>
        <w:gridCol w:w="449"/>
        <w:gridCol w:w="1357"/>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1" w:type="dxa"/>
            <w:gridSpan w:val="2"/>
            <w:tcBorders>
              <w:top w:val="single" w:color="auto" w:sz="12" w:space="0"/>
              <w:lef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工作内容</w:t>
            </w:r>
          </w:p>
        </w:tc>
        <w:tc>
          <w:tcPr>
            <w:tcW w:w="5410" w:type="dxa"/>
            <w:gridSpan w:val="6"/>
            <w:tcBorders>
              <w:top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完成情况</w:t>
            </w:r>
          </w:p>
        </w:tc>
        <w:tc>
          <w:tcPr>
            <w:tcW w:w="1493" w:type="dxa"/>
            <w:tcBorders>
              <w:top w:val="single" w:color="auto" w:sz="12" w:space="0"/>
              <w:righ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restart"/>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影</w:t>
            </w:r>
          </w:p>
          <w:p>
            <w:pPr>
              <w:spacing w:line="240" w:lineRule="auto"/>
              <w:ind w:firstLine="0"/>
              <w:jc w:val="center"/>
              <w:rPr>
                <w:spacing w:val="-11"/>
                <w:sz w:val="21"/>
                <w:szCs w:val="21"/>
              </w:rPr>
            </w:pPr>
            <w:r>
              <w:rPr>
                <w:rFonts w:hint="eastAsia"/>
                <w:spacing w:val="-11"/>
                <w:sz w:val="21"/>
                <w:szCs w:val="21"/>
              </w:rPr>
              <w:t>响</w:t>
            </w:r>
          </w:p>
          <w:p>
            <w:pPr>
              <w:spacing w:line="240" w:lineRule="auto"/>
              <w:ind w:firstLine="0"/>
              <w:jc w:val="center"/>
              <w:rPr>
                <w:spacing w:val="-11"/>
                <w:sz w:val="21"/>
                <w:szCs w:val="21"/>
              </w:rPr>
            </w:pPr>
            <w:r>
              <w:rPr>
                <w:rFonts w:hint="eastAsia"/>
                <w:spacing w:val="-11"/>
                <w:sz w:val="21"/>
                <w:szCs w:val="21"/>
              </w:rPr>
              <w:t>识</w:t>
            </w:r>
          </w:p>
          <w:p>
            <w:pPr>
              <w:spacing w:line="240" w:lineRule="auto"/>
              <w:ind w:firstLine="0"/>
              <w:jc w:val="center"/>
              <w:rPr>
                <w:spacing w:val="-11"/>
                <w:sz w:val="21"/>
                <w:szCs w:val="21"/>
              </w:rPr>
            </w:pPr>
            <w:r>
              <w:rPr>
                <w:rFonts w:hint="eastAsia"/>
                <w:spacing w:val="-11"/>
                <w:sz w:val="21"/>
                <w:szCs w:val="21"/>
              </w:rPr>
              <w:t>别</w:t>
            </w: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影响类型</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污染影响型√；生态影响型□；两种兼有□</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土地利用类型</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建设用地√；农用地□；未利用地□</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占地规模</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lang w:val="en-US" w:eastAsia="zh-CN"/>
              </w:rPr>
              <w:t>3400</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1</w:t>
            </w:r>
            <w:r>
              <w:rPr>
                <w:rFonts w:hint="eastAsia"/>
                <w:spacing w:val="-11"/>
                <w:sz w:val="21"/>
                <w:szCs w:val="21"/>
              </w:rPr>
              <w:t>㎡</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敏感目标信息</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敏感目标（无）、方位（      ）、距离（      ）</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影响途径</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大气沉降□；地面漫流□垂直入渗√；地下水位□；其他（）</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全部污染物</w:t>
            </w:r>
          </w:p>
        </w:tc>
        <w:tc>
          <w:tcPr>
            <w:tcW w:w="5410" w:type="dxa"/>
            <w:gridSpan w:val="6"/>
            <w:noWrap w:val="0"/>
            <w:tcMar>
              <w:left w:w="0" w:type="dxa"/>
              <w:right w:w="0" w:type="dxa"/>
            </w:tcMar>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Cu</w:t>
            </w:r>
            <w:r>
              <w:rPr>
                <w:rFonts w:hint="eastAsia"/>
                <w:spacing w:val="-11"/>
                <w:sz w:val="21"/>
                <w:szCs w:val="21"/>
                <w:lang w:val="en-US" w:eastAsia="zh-CN"/>
              </w:rPr>
              <w:t>、</w:t>
            </w:r>
            <w:r>
              <w:rPr>
                <w:rFonts w:hint="eastAsia" w:ascii="Times New Roman" w:hAnsi="Times New Roman"/>
                <w:spacing w:val="-11"/>
                <w:sz w:val="21"/>
                <w:szCs w:val="21"/>
                <w:lang w:val="en-US" w:eastAsia="zh-CN"/>
              </w:rPr>
              <w:t>Ni</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特征因子</w:t>
            </w:r>
          </w:p>
        </w:tc>
        <w:tc>
          <w:tcPr>
            <w:tcW w:w="5410" w:type="dxa"/>
            <w:gridSpan w:val="6"/>
            <w:noWrap w:val="0"/>
            <w:tcMar>
              <w:left w:w="0" w:type="dxa"/>
              <w:right w:w="0" w:type="dxa"/>
            </w:tcMar>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Cu</w:t>
            </w:r>
            <w:r>
              <w:rPr>
                <w:rFonts w:hint="eastAsia"/>
                <w:spacing w:val="-11"/>
                <w:sz w:val="21"/>
                <w:szCs w:val="21"/>
                <w:lang w:val="en-US" w:eastAsia="zh-CN"/>
              </w:rPr>
              <w:t>、</w:t>
            </w:r>
            <w:r>
              <w:rPr>
                <w:rFonts w:hint="eastAsia" w:ascii="Times New Roman" w:hAnsi="Times New Roman"/>
                <w:spacing w:val="-11"/>
                <w:sz w:val="21"/>
                <w:szCs w:val="21"/>
                <w:lang w:val="en-US" w:eastAsia="zh-CN"/>
              </w:rPr>
              <w:t>Ni</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所属土壤环境影响评价项目类别</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Ⅰ类√；Ⅱ类□；Ⅲ类□；Ⅳ类□</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敏感程度</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敏感□；较敏感□；不敏感√</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081" w:type="dxa"/>
            <w:gridSpan w:val="2"/>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评价工作等级</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一级□；二级√；三级□</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97" w:type="dxa"/>
            <w:vMerge w:val="restart"/>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现状调查内容</w:t>
            </w: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资料收集</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a</w:t>
            </w:r>
            <w:r>
              <w:rPr>
                <w:rFonts w:hint="eastAsia"/>
                <w:spacing w:val="-11"/>
                <w:sz w:val="21"/>
                <w:szCs w:val="21"/>
              </w:rPr>
              <w:t>）√；</w:t>
            </w:r>
            <w:r>
              <w:rPr>
                <w:rFonts w:hint="eastAsia" w:ascii="Times New Roman" w:hAnsi="Times New Roman"/>
                <w:spacing w:val="-11"/>
                <w:sz w:val="21"/>
                <w:szCs w:val="21"/>
              </w:rPr>
              <w:t>b</w:t>
            </w:r>
            <w:r>
              <w:rPr>
                <w:rFonts w:hint="eastAsia"/>
                <w:spacing w:val="-11"/>
                <w:sz w:val="21"/>
                <w:szCs w:val="21"/>
              </w:rPr>
              <w:t>）√；</w:t>
            </w:r>
            <w:r>
              <w:rPr>
                <w:rFonts w:hint="eastAsia" w:ascii="Times New Roman" w:hAnsi="Times New Roman"/>
                <w:spacing w:val="-11"/>
                <w:sz w:val="21"/>
                <w:szCs w:val="21"/>
              </w:rPr>
              <w:t>c</w:t>
            </w:r>
            <w:r>
              <w:rPr>
                <w:rFonts w:hint="eastAsia"/>
                <w:spacing w:val="-11"/>
                <w:sz w:val="21"/>
                <w:szCs w:val="21"/>
              </w:rPr>
              <w:t>）√；</w:t>
            </w:r>
            <w:r>
              <w:rPr>
                <w:rFonts w:hint="eastAsia" w:ascii="Times New Roman" w:hAnsi="Times New Roman"/>
                <w:spacing w:val="-11"/>
                <w:sz w:val="21"/>
                <w:szCs w:val="21"/>
              </w:rPr>
              <w:t>d</w:t>
            </w:r>
            <w:r>
              <w:rPr>
                <w:rFonts w:hint="eastAsia"/>
                <w:spacing w:val="-11"/>
                <w:sz w:val="21"/>
                <w:szCs w:val="21"/>
              </w:rPr>
              <w:t>）□</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理化特性</w:t>
            </w:r>
          </w:p>
        </w:tc>
        <w:tc>
          <w:tcPr>
            <w:tcW w:w="5410" w:type="dxa"/>
            <w:gridSpan w:val="6"/>
            <w:noWrap w:val="0"/>
            <w:tcMar>
              <w:left w:w="0" w:type="dxa"/>
              <w:right w:w="0" w:type="dxa"/>
            </w:tcMar>
            <w:vAlign w:val="center"/>
          </w:tcPr>
          <w:p>
            <w:pPr>
              <w:spacing w:line="240" w:lineRule="auto"/>
              <w:ind w:firstLine="0"/>
              <w:jc w:val="center"/>
              <w:rPr>
                <w:rFonts w:hint="default" w:eastAsia="宋体"/>
                <w:spacing w:val="-11"/>
                <w:sz w:val="21"/>
                <w:szCs w:val="21"/>
                <w:lang w:val="en-US" w:eastAsia="zh-CN"/>
              </w:rPr>
            </w:pPr>
            <w:r>
              <w:rPr>
                <w:rFonts w:hint="eastAsia"/>
                <w:spacing w:val="-11"/>
                <w:sz w:val="21"/>
                <w:szCs w:val="21"/>
              </w:rPr>
              <w:t>颜色、结构</w:t>
            </w:r>
            <w:r>
              <w:rPr>
                <w:rFonts w:hint="eastAsia"/>
                <w:spacing w:val="-11"/>
                <w:sz w:val="21"/>
                <w:szCs w:val="21"/>
                <w:lang w:eastAsia="zh-CN"/>
              </w:rPr>
              <w:t>、湿度</w:t>
            </w:r>
            <w:r>
              <w:rPr>
                <w:rFonts w:hint="eastAsia"/>
                <w:spacing w:val="-11"/>
                <w:sz w:val="21"/>
                <w:szCs w:val="21"/>
                <w:lang w:val="en-US" w:eastAsia="zh-CN"/>
              </w:rPr>
              <w:t xml:space="preserve"> </w:t>
            </w:r>
          </w:p>
        </w:tc>
        <w:tc>
          <w:tcPr>
            <w:tcW w:w="1493" w:type="dxa"/>
            <w:tcBorders>
              <w:right w:val="single" w:color="auto" w:sz="12" w:space="0"/>
            </w:tcBorders>
            <w:noWrap w:val="0"/>
            <w:tcMar>
              <w:left w:w="0" w:type="dxa"/>
              <w:right w:w="0" w:type="dxa"/>
            </w:tcMar>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见监测报告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vMerge w:val="restart"/>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现状监测点位</w:t>
            </w:r>
          </w:p>
        </w:tc>
        <w:tc>
          <w:tcPr>
            <w:tcW w:w="1351" w:type="dxa"/>
            <w:noWrap w:val="0"/>
            <w:tcMar>
              <w:left w:w="0" w:type="dxa"/>
              <w:right w:w="0" w:type="dxa"/>
            </w:tcMar>
            <w:vAlign w:val="center"/>
          </w:tcPr>
          <w:p>
            <w:pPr>
              <w:spacing w:line="240" w:lineRule="auto"/>
              <w:ind w:firstLine="0"/>
              <w:jc w:val="center"/>
              <w:rPr>
                <w:spacing w:val="-11"/>
                <w:sz w:val="21"/>
                <w:szCs w:val="21"/>
              </w:rPr>
            </w:pPr>
          </w:p>
        </w:tc>
        <w:tc>
          <w:tcPr>
            <w:tcW w:w="1351" w:type="dxa"/>
            <w:gridSpan w:val="2"/>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占地范围内</w:t>
            </w:r>
          </w:p>
        </w:tc>
        <w:tc>
          <w:tcPr>
            <w:tcW w:w="1351" w:type="dxa"/>
            <w:gridSpan w:val="2"/>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占地范围外</w:t>
            </w:r>
          </w:p>
        </w:tc>
        <w:tc>
          <w:tcPr>
            <w:tcW w:w="1357"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深度</w:t>
            </w:r>
          </w:p>
        </w:tc>
        <w:tc>
          <w:tcPr>
            <w:tcW w:w="1493" w:type="dxa"/>
            <w:vMerge w:val="restart"/>
            <w:tcBorders>
              <w:right w:val="single" w:color="auto" w:sz="12" w:space="0"/>
            </w:tcBorders>
            <w:noWrap w:val="0"/>
            <w:tcMar>
              <w:left w:w="0" w:type="dxa"/>
              <w:right w:w="0" w:type="dxa"/>
            </w:tcMar>
            <w:vAlign w:val="center"/>
          </w:tcPr>
          <w:p>
            <w:pPr>
              <w:spacing w:line="240" w:lineRule="auto"/>
              <w:ind w:firstLine="0"/>
              <w:jc w:val="center"/>
              <w:rPr>
                <w:rFonts w:hint="eastAsia"/>
                <w:spacing w:val="-11"/>
                <w:sz w:val="21"/>
                <w:szCs w:val="21"/>
              </w:rPr>
            </w:pPr>
            <w:r>
              <w:rPr>
                <w:rFonts w:hint="eastAsia"/>
                <w:spacing w:val="-11"/>
                <w:sz w:val="21"/>
                <w:szCs w:val="21"/>
              </w:rPr>
              <w:t>有监测点</w:t>
            </w:r>
          </w:p>
          <w:p>
            <w:pPr>
              <w:spacing w:line="240" w:lineRule="auto"/>
              <w:ind w:firstLine="0"/>
              <w:jc w:val="center"/>
              <w:rPr>
                <w:spacing w:val="-11"/>
                <w:sz w:val="21"/>
                <w:szCs w:val="21"/>
              </w:rPr>
            </w:pPr>
            <w:r>
              <w:rPr>
                <w:rFonts w:hint="eastAsia"/>
                <w:spacing w:val="-11"/>
                <w:sz w:val="21"/>
                <w:szCs w:val="21"/>
              </w:rPr>
              <w:t>位分布图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vMerge w:val="continue"/>
            <w:noWrap w:val="0"/>
            <w:tcMar>
              <w:left w:w="0" w:type="dxa"/>
              <w:right w:w="0" w:type="dxa"/>
            </w:tcMar>
            <w:vAlign w:val="center"/>
          </w:tcPr>
          <w:p>
            <w:pPr>
              <w:spacing w:line="240" w:lineRule="auto"/>
              <w:ind w:firstLine="0"/>
              <w:jc w:val="center"/>
              <w:rPr>
                <w:spacing w:val="-11"/>
                <w:sz w:val="21"/>
                <w:szCs w:val="21"/>
              </w:rPr>
            </w:pPr>
          </w:p>
        </w:tc>
        <w:tc>
          <w:tcPr>
            <w:tcW w:w="1351"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表层样点数</w:t>
            </w:r>
          </w:p>
        </w:tc>
        <w:tc>
          <w:tcPr>
            <w:tcW w:w="1351" w:type="dxa"/>
            <w:gridSpan w:val="2"/>
            <w:noWrap w:val="0"/>
            <w:tcMar>
              <w:left w:w="0" w:type="dxa"/>
              <w:right w:w="0" w:type="dxa"/>
            </w:tcMar>
            <w:vAlign w:val="center"/>
          </w:tcPr>
          <w:p>
            <w:pPr>
              <w:spacing w:line="240" w:lineRule="auto"/>
              <w:ind w:firstLine="0"/>
              <w:jc w:val="center"/>
              <w:rPr>
                <w:rFonts w:hint="eastAsia" w:eastAsia="宋体"/>
                <w:spacing w:val="-11"/>
                <w:sz w:val="21"/>
                <w:szCs w:val="21"/>
                <w:lang w:eastAsia="zh-CN"/>
              </w:rPr>
            </w:pPr>
            <w:r>
              <w:rPr>
                <w:rFonts w:hint="eastAsia" w:ascii="Times New Roman" w:hAnsi="Times New Roman"/>
                <w:spacing w:val="-11"/>
                <w:sz w:val="21"/>
                <w:szCs w:val="21"/>
                <w:lang w:val="en-US" w:eastAsia="zh-CN"/>
              </w:rPr>
              <w:t>1</w:t>
            </w:r>
          </w:p>
        </w:tc>
        <w:tc>
          <w:tcPr>
            <w:tcW w:w="1351" w:type="dxa"/>
            <w:gridSpan w:val="2"/>
            <w:noWrap w:val="0"/>
            <w:tcMar>
              <w:left w:w="0" w:type="dxa"/>
              <w:right w:w="0" w:type="dxa"/>
            </w:tcMar>
            <w:vAlign w:val="center"/>
          </w:tcPr>
          <w:p>
            <w:pPr>
              <w:spacing w:line="240" w:lineRule="auto"/>
              <w:ind w:firstLine="0"/>
              <w:jc w:val="center"/>
              <w:rPr>
                <w:rFonts w:hint="eastAsia" w:eastAsia="宋体"/>
                <w:spacing w:val="-11"/>
                <w:sz w:val="21"/>
                <w:szCs w:val="21"/>
                <w:lang w:eastAsia="zh-CN"/>
              </w:rPr>
            </w:pPr>
            <w:r>
              <w:rPr>
                <w:rFonts w:hint="eastAsia" w:ascii="Times New Roman" w:hAnsi="Times New Roman"/>
                <w:spacing w:val="-11"/>
                <w:sz w:val="21"/>
                <w:szCs w:val="21"/>
                <w:lang w:val="en-US" w:eastAsia="zh-CN"/>
              </w:rPr>
              <w:t>2</w:t>
            </w:r>
          </w:p>
        </w:tc>
        <w:tc>
          <w:tcPr>
            <w:tcW w:w="1357" w:type="dxa"/>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2m</w:t>
            </w:r>
          </w:p>
        </w:tc>
        <w:tc>
          <w:tcPr>
            <w:tcW w:w="1493" w:type="dxa"/>
            <w:vMerge w:val="continue"/>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vMerge w:val="continue"/>
            <w:noWrap w:val="0"/>
            <w:tcMar>
              <w:left w:w="0" w:type="dxa"/>
              <w:right w:w="0" w:type="dxa"/>
            </w:tcMar>
            <w:vAlign w:val="center"/>
          </w:tcPr>
          <w:p>
            <w:pPr>
              <w:spacing w:line="240" w:lineRule="auto"/>
              <w:ind w:firstLine="0"/>
              <w:jc w:val="center"/>
              <w:rPr>
                <w:spacing w:val="-11"/>
                <w:sz w:val="21"/>
                <w:szCs w:val="21"/>
              </w:rPr>
            </w:pPr>
          </w:p>
        </w:tc>
        <w:tc>
          <w:tcPr>
            <w:tcW w:w="1351"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柱状样点数</w:t>
            </w:r>
          </w:p>
        </w:tc>
        <w:tc>
          <w:tcPr>
            <w:tcW w:w="1351" w:type="dxa"/>
            <w:gridSpan w:val="2"/>
            <w:noWrap w:val="0"/>
            <w:tcMar>
              <w:left w:w="0" w:type="dxa"/>
              <w:right w:w="0" w:type="dxa"/>
            </w:tcMar>
            <w:vAlign w:val="center"/>
          </w:tcPr>
          <w:p>
            <w:pPr>
              <w:spacing w:line="240" w:lineRule="auto"/>
              <w:ind w:firstLine="0"/>
              <w:jc w:val="center"/>
              <w:rPr>
                <w:rFonts w:hint="eastAsia" w:eastAsia="宋体"/>
                <w:spacing w:val="-11"/>
                <w:sz w:val="21"/>
                <w:szCs w:val="21"/>
                <w:lang w:eastAsia="zh-CN"/>
              </w:rPr>
            </w:pPr>
            <w:r>
              <w:rPr>
                <w:rFonts w:hint="eastAsia" w:ascii="Times New Roman" w:hAnsi="Times New Roman"/>
                <w:spacing w:val="-11"/>
                <w:sz w:val="21"/>
                <w:szCs w:val="21"/>
                <w:lang w:val="en-US" w:eastAsia="zh-CN"/>
              </w:rPr>
              <w:t>3</w:t>
            </w:r>
          </w:p>
        </w:tc>
        <w:tc>
          <w:tcPr>
            <w:tcW w:w="1351" w:type="dxa"/>
            <w:gridSpan w:val="2"/>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0</w:t>
            </w:r>
          </w:p>
        </w:tc>
        <w:tc>
          <w:tcPr>
            <w:tcW w:w="1357" w:type="dxa"/>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0</w:t>
            </w:r>
            <w:r>
              <w:rPr>
                <w:rFonts w:hint="eastAsia"/>
                <w:spacing w:val="-11"/>
                <w:sz w:val="21"/>
                <w:szCs w:val="21"/>
              </w:rPr>
              <w:t>-</w:t>
            </w:r>
            <w:r>
              <w:rPr>
                <w:rFonts w:hint="eastAsia" w:ascii="Times New Roman" w:hAnsi="Times New Roman"/>
                <w:spacing w:val="-11"/>
                <w:sz w:val="21"/>
                <w:szCs w:val="21"/>
              </w:rPr>
              <w:t>3m</w:t>
            </w:r>
          </w:p>
        </w:tc>
        <w:tc>
          <w:tcPr>
            <w:tcW w:w="1493" w:type="dxa"/>
            <w:vMerge w:val="continue"/>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现状监测因子</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GB36600</w:t>
            </w:r>
            <w:r>
              <w:rPr>
                <w:rFonts w:hint="eastAsia"/>
                <w:spacing w:val="-11"/>
                <w:sz w:val="21"/>
                <w:szCs w:val="21"/>
              </w:rPr>
              <w:t>中表</w:t>
            </w:r>
            <w:r>
              <w:rPr>
                <w:rFonts w:hint="eastAsia" w:ascii="Times New Roman" w:hAnsi="Times New Roman"/>
                <w:spacing w:val="-11"/>
                <w:sz w:val="21"/>
                <w:szCs w:val="21"/>
              </w:rPr>
              <w:t>1</w:t>
            </w:r>
            <w:r>
              <w:rPr>
                <w:rFonts w:hint="eastAsia"/>
                <w:spacing w:val="-11"/>
                <w:sz w:val="21"/>
                <w:szCs w:val="21"/>
              </w:rPr>
              <w:t>基本</w:t>
            </w:r>
            <w:r>
              <w:rPr>
                <w:rFonts w:hint="eastAsia" w:ascii="Times New Roman" w:hAnsi="Times New Roman"/>
                <w:spacing w:val="-11"/>
                <w:sz w:val="21"/>
                <w:szCs w:val="21"/>
              </w:rPr>
              <w:t>45</w:t>
            </w:r>
            <w:r>
              <w:rPr>
                <w:rFonts w:hint="eastAsia"/>
                <w:spacing w:val="-11"/>
                <w:sz w:val="21"/>
                <w:szCs w:val="21"/>
              </w:rPr>
              <w:t>项</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restart"/>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现状评价</w:t>
            </w: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评价因子</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GB36600</w:t>
            </w:r>
            <w:r>
              <w:rPr>
                <w:rFonts w:hint="eastAsia"/>
                <w:spacing w:val="-11"/>
                <w:sz w:val="21"/>
                <w:szCs w:val="21"/>
              </w:rPr>
              <w:t>中表</w:t>
            </w:r>
            <w:r>
              <w:rPr>
                <w:rFonts w:hint="eastAsia" w:ascii="Times New Roman" w:hAnsi="Times New Roman"/>
                <w:spacing w:val="-11"/>
                <w:sz w:val="21"/>
                <w:szCs w:val="21"/>
              </w:rPr>
              <w:t>1</w:t>
            </w:r>
            <w:r>
              <w:rPr>
                <w:rFonts w:hint="eastAsia"/>
                <w:spacing w:val="-11"/>
                <w:sz w:val="21"/>
                <w:szCs w:val="21"/>
              </w:rPr>
              <w:t>基本</w:t>
            </w:r>
            <w:r>
              <w:rPr>
                <w:rFonts w:hint="eastAsia" w:ascii="Times New Roman" w:hAnsi="Times New Roman"/>
                <w:spacing w:val="-11"/>
                <w:sz w:val="21"/>
                <w:szCs w:val="21"/>
              </w:rPr>
              <w:t>45</w:t>
            </w:r>
            <w:r>
              <w:rPr>
                <w:rFonts w:hint="eastAsia"/>
                <w:spacing w:val="-11"/>
                <w:sz w:val="21"/>
                <w:szCs w:val="21"/>
              </w:rPr>
              <w:t>项</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评价标准</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GB15618</w:t>
            </w:r>
            <w:r>
              <w:rPr>
                <w:rFonts w:hint="eastAsia"/>
                <w:spacing w:val="-11"/>
                <w:sz w:val="21"/>
                <w:szCs w:val="21"/>
              </w:rPr>
              <w:t>□；</w:t>
            </w:r>
            <w:r>
              <w:rPr>
                <w:rFonts w:hint="eastAsia" w:ascii="Times New Roman" w:hAnsi="Times New Roman"/>
                <w:spacing w:val="-11"/>
                <w:sz w:val="21"/>
                <w:szCs w:val="21"/>
              </w:rPr>
              <w:t>GB36600</w:t>
            </w:r>
            <w:r>
              <w:rPr>
                <w:rFonts w:hint="eastAsia"/>
                <w:spacing w:val="-11"/>
                <w:sz w:val="21"/>
                <w:szCs w:val="21"/>
              </w:rPr>
              <w:t>√；表</w:t>
            </w:r>
            <w:r>
              <w:rPr>
                <w:rFonts w:hint="eastAsia" w:ascii="Times New Roman" w:hAnsi="Times New Roman"/>
                <w:spacing w:val="-11"/>
                <w:sz w:val="21"/>
                <w:szCs w:val="21"/>
              </w:rPr>
              <w:t>D</w:t>
            </w:r>
            <w:r>
              <w:rPr>
                <w:rFonts w:hint="eastAsia"/>
                <w:spacing w:val="-11"/>
                <w:sz w:val="21"/>
                <w:szCs w:val="21"/>
              </w:rPr>
              <w:t>.</w:t>
            </w:r>
            <w:r>
              <w:rPr>
                <w:rFonts w:hint="eastAsia" w:ascii="Times New Roman" w:hAnsi="Times New Roman"/>
                <w:spacing w:val="-11"/>
                <w:sz w:val="21"/>
                <w:szCs w:val="21"/>
              </w:rPr>
              <w:t>1</w:t>
            </w:r>
            <w:r>
              <w:rPr>
                <w:rFonts w:hint="eastAsia"/>
                <w:spacing w:val="-11"/>
                <w:sz w:val="21"/>
                <w:szCs w:val="21"/>
              </w:rPr>
              <w:t>□；表</w:t>
            </w:r>
            <w:r>
              <w:rPr>
                <w:rFonts w:hint="eastAsia" w:ascii="Times New Roman" w:hAnsi="Times New Roman"/>
                <w:spacing w:val="-11"/>
                <w:sz w:val="21"/>
                <w:szCs w:val="21"/>
              </w:rPr>
              <w:t>D</w:t>
            </w:r>
            <w:r>
              <w:rPr>
                <w:rFonts w:hint="eastAsia"/>
                <w:spacing w:val="-11"/>
                <w:sz w:val="21"/>
                <w:szCs w:val="21"/>
              </w:rPr>
              <w:t>.</w:t>
            </w:r>
            <w:r>
              <w:rPr>
                <w:rFonts w:hint="eastAsia" w:ascii="Times New Roman" w:hAnsi="Times New Roman"/>
                <w:spacing w:val="-11"/>
                <w:sz w:val="21"/>
                <w:szCs w:val="21"/>
              </w:rPr>
              <w:t>2</w:t>
            </w:r>
            <w:r>
              <w:rPr>
                <w:rFonts w:hint="eastAsia"/>
                <w:spacing w:val="-11"/>
                <w:sz w:val="21"/>
                <w:szCs w:val="21"/>
              </w:rPr>
              <w:t>□；其他（  ）</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现状评价结论</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项目区土壤满足《土壤环境质量 建设用地土壤污染风险管控标准（试行）》（</w:t>
            </w:r>
            <w:r>
              <w:rPr>
                <w:rFonts w:hint="eastAsia" w:ascii="Times New Roman" w:hAnsi="Times New Roman"/>
                <w:spacing w:val="-11"/>
                <w:sz w:val="21"/>
                <w:szCs w:val="21"/>
              </w:rPr>
              <w:t>GB36600</w:t>
            </w:r>
            <w:r>
              <w:rPr>
                <w:rFonts w:hint="eastAsia"/>
                <w:spacing w:val="-11"/>
                <w:sz w:val="21"/>
                <w:szCs w:val="21"/>
              </w:rPr>
              <w:t>-</w:t>
            </w:r>
            <w:r>
              <w:rPr>
                <w:rFonts w:hint="eastAsia" w:ascii="Times New Roman" w:hAnsi="Times New Roman"/>
                <w:spacing w:val="-11"/>
                <w:sz w:val="21"/>
                <w:szCs w:val="21"/>
              </w:rPr>
              <w:t>2018</w:t>
            </w:r>
            <w:r>
              <w:rPr>
                <w:rFonts w:hint="eastAsia"/>
                <w:spacing w:val="-11"/>
                <w:sz w:val="21"/>
                <w:szCs w:val="21"/>
              </w:rPr>
              <w:t>）中筛选值第二类标准限值。</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restart"/>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影响预测</w:t>
            </w: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预测因子</w:t>
            </w:r>
          </w:p>
        </w:tc>
        <w:tc>
          <w:tcPr>
            <w:tcW w:w="5410" w:type="dxa"/>
            <w:gridSpan w:val="6"/>
            <w:noWrap w:val="0"/>
            <w:tcMar>
              <w:left w:w="0" w:type="dxa"/>
              <w:right w:w="0" w:type="dxa"/>
            </w:tcMar>
            <w:vAlign w:val="center"/>
          </w:tcPr>
          <w:p>
            <w:pPr>
              <w:spacing w:line="240" w:lineRule="auto"/>
              <w:ind w:firstLine="0"/>
              <w:jc w:val="center"/>
              <w:rPr>
                <w:rFonts w:hint="default" w:eastAsia="宋体"/>
                <w:spacing w:val="-11"/>
                <w:sz w:val="21"/>
                <w:szCs w:val="21"/>
                <w:lang w:val="en-US" w:eastAsia="zh-CN"/>
              </w:rPr>
            </w:pPr>
            <w:r>
              <w:rPr>
                <w:rFonts w:hint="eastAsia" w:ascii="Times New Roman" w:hAnsi="Times New Roman"/>
                <w:spacing w:val="-11"/>
                <w:sz w:val="21"/>
                <w:szCs w:val="21"/>
                <w:lang w:val="en-US" w:eastAsia="zh-CN"/>
              </w:rPr>
              <w:t>Cu</w:t>
            </w:r>
            <w:r>
              <w:rPr>
                <w:rFonts w:hint="eastAsia" w:ascii="Times New Roman"/>
                <w:spacing w:val="-11"/>
                <w:sz w:val="21"/>
                <w:szCs w:val="21"/>
                <w:lang w:val="en-US" w:eastAsia="zh-CN"/>
              </w:rPr>
              <w:t>、</w:t>
            </w:r>
            <w:r>
              <w:rPr>
                <w:rFonts w:hint="eastAsia" w:ascii="Times New Roman" w:hAnsi="Times New Roman"/>
                <w:spacing w:val="-11"/>
                <w:sz w:val="21"/>
                <w:szCs w:val="21"/>
                <w:lang w:val="en-US" w:eastAsia="zh-CN"/>
              </w:rPr>
              <w:t>Ni</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预测方法</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附录</w:t>
            </w:r>
            <w:r>
              <w:rPr>
                <w:rFonts w:hint="eastAsia" w:ascii="Times New Roman" w:hAnsi="Times New Roman"/>
                <w:spacing w:val="-11"/>
                <w:sz w:val="21"/>
                <w:szCs w:val="21"/>
              </w:rPr>
              <w:t>E</w:t>
            </w:r>
            <w:r>
              <w:rPr>
                <w:rFonts w:hint="eastAsia"/>
                <w:spacing w:val="-11"/>
                <w:sz w:val="21"/>
                <w:szCs w:val="21"/>
              </w:rPr>
              <w:t>√；附录</w:t>
            </w:r>
            <w:r>
              <w:rPr>
                <w:rFonts w:hint="eastAsia" w:ascii="Times New Roman" w:hAnsi="Times New Roman"/>
                <w:spacing w:val="-11"/>
                <w:sz w:val="21"/>
                <w:szCs w:val="21"/>
              </w:rPr>
              <w:t>F</w:t>
            </w:r>
            <w:r>
              <w:rPr>
                <w:rFonts w:hint="eastAsia"/>
                <w:spacing w:val="-11"/>
                <w:sz w:val="21"/>
                <w:szCs w:val="21"/>
              </w:rPr>
              <w:t>□；其他□</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预测分析内容</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影响范围（ 厂界内 ）  影响程度（较小）</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预测结论</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达标结论：</w:t>
            </w:r>
            <w:r>
              <w:rPr>
                <w:rFonts w:hint="eastAsia" w:ascii="Times New Roman" w:hAnsi="Times New Roman"/>
                <w:spacing w:val="-11"/>
                <w:sz w:val="21"/>
                <w:szCs w:val="21"/>
              </w:rPr>
              <w:t>a</w:t>
            </w:r>
            <w:r>
              <w:rPr>
                <w:rFonts w:hint="eastAsia"/>
                <w:spacing w:val="-11"/>
                <w:sz w:val="21"/>
                <w:szCs w:val="21"/>
              </w:rPr>
              <w:t>）☑；</w:t>
            </w:r>
            <w:r>
              <w:rPr>
                <w:rFonts w:hint="eastAsia" w:ascii="Times New Roman" w:hAnsi="Times New Roman"/>
                <w:spacing w:val="-11"/>
                <w:sz w:val="21"/>
                <w:szCs w:val="21"/>
              </w:rPr>
              <w:t>b</w:t>
            </w:r>
            <w:r>
              <w:rPr>
                <w:rFonts w:hint="eastAsia"/>
                <w:spacing w:val="-11"/>
                <w:sz w:val="21"/>
                <w:szCs w:val="21"/>
              </w:rPr>
              <w:t>）□；</w:t>
            </w:r>
            <w:r>
              <w:rPr>
                <w:rFonts w:hint="eastAsia" w:ascii="Times New Roman" w:hAnsi="Times New Roman"/>
                <w:spacing w:val="-11"/>
                <w:sz w:val="21"/>
                <w:szCs w:val="21"/>
              </w:rPr>
              <w:t>c</w:t>
            </w:r>
            <w:r>
              <w:rPr>
                <w:rFonts w:hint="eastAsia"/>
                <w:spacing w:val="-11"/>
                <w:sz w:val="21"/>
                <w:szCs w:val="21"/>
              </w:rPr>
              <w:t>）□</w:t>
            </w:r>
          </w:p>
          <w:p>
            <w:pPr>
              <w:spacing w:line="240" w:lineRule="auto"/>
              <w:ind w:firstLine="0"/>
              <w:jc w:val="center"/>
              <w:rPr>
                <w:spacing w:val="-11"/>
                <w:sz w:val="21"/>
                <w:szCs w:val="21"/>
              </w:rPr>
            </w:pPr>
            <w:r>
              <w:rPr>
                <w:rFonts w:hint="eastAsia"/>
                <w:spacing w:val="-11"/>
                <w:sz w:val="21"/>
                <w:szCs w:val="21"/>
              </w:rPr>
              <w:t>不达标结论：</w:t>
            </w:r>
            <w:r>
              <w:rPr>
                <w:rFonts w:hint="eastAsia" w:ascii="Times New Roman" w:hAnsi="Times New Roman"/>
                <w:spacing w:val="-11"/>
                <w:sz w:val="21"/>
                <w:szCs w:val="21"/>
              </w:rPr>
              <w:t>a</w:t>
            </w:r>
            <w:r>
              <w:rPr>
                <w:rFonts w:hint="eastAsia"/>
                <w:spacing w:val="-11"/>
                <w:sz w:val="21"/>
                <w:szCs w:val="21"/>
              </w:rPr>
              <w:t>）□；</w:t>
            </w:r>
            <w:r>
              <w:rPr>
                <w:rFonts w:hint="eastAsia" w:ascii="Times New Roman" w:hAnsi="Times New Roman"/>
                <w:spacing w:val="-11"/>
                <w:sz w:val="21"/>
                <w:szCs w:val="21"/>
              </w:rPr>
              <w:t>b</w:t>
            </w:r>
            <w:r>
              <w:rPr>
                <w:rFonts w:hint="eastAsia"/>
                <w:spacing w:val="-11"/>
                <w:sz w:val="21"/>
                <w:szCs w:val="21"/>
              </w:rPr>
              <w:t>）□</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restart"/>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防治措施</w:t>
            </w: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防控措施</w:t>
            </w:r>
          </w:p>
        </w:tc>
        <w:tc>
          <w:tcPr>
            <w:tcW w:w="5410" w:type="dxa"/>
            <w:gridSpan w:val="6"/>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土壤环境质量现状保障□；源头控制√；过程防控√；其他（）</w:t>
            </w:r>
          </w:p>
        </w:tc>
        <w:tc>
          <w:tcPr>
            <w:tcW w:w="1493" w:type="dxa"/>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vMerge w:val="restart"/>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跟踪监测</w:t>
            </w:r>
          </w:p>
        </w:tc>
        <w:tc>
          <w:tcPr>
            <w:tcW w:w="1444" w:type="dxa"/>
            <w:gridSpan w:val="2"/>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监测点数</w:t>
            </w:r>
          </w:p>
        </w:tc>
        <w:tc>
          <w:tcPr>
            <w:tcW w:w="2160" w:type="dxa"/>
            <w:gridSpan w:val="2"/>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监测指标</w:t>
            </w:r>
          </w:p>
        </w:tc>
        <w:tc>
          <w:tcPr>
            <w:tcW w:w="1806" w:type="dxa"/>
            <w:gridSpan w:val="2"/>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监测频次</w:t>
            </w:r>
          </w:p>
        </w:tc>
        <w:tc>
          <w:tcPr>
            <w:tcW w:w="1493" w:type="dxa"/>
            <w:vMerge w:val="restart"/>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vMerge w:val="continue"/>
            <w:noWrap w:val="0"/>
            <w:tcMar>
              <w:left w:w="0" w:type="dxa"/>
              <w:right w:w="0" w:type="dxa"/>
            </w:tcMar>
            <w:vAlign w:val="center"/>
          </w:tcPr>
          <w:p>
            <w:pPr>
              <w:spacing w:line="240" w:lineRule="auto"/>
              <w:ind w:firstLine="0"/>
              <w:jc w:val="center"/>
              <w:rPr>
                <w:spacing w:val="-11"/>
                <w:sz w:val="21"/>
                <w:szCs w:val="21"/>
              </w:rPr>
            </w:pPr>
          </w:p>
        </w:tc>
        <w:tc>
          <w:tcPr>
            <w:tcW w:w="1444" w:type="dxa"/>
            <w:gridSpan w:val="2"/>
            <w:noWrap w:val="0"/>
            <w:tcMar>
              <w:left w:w="0" w:type="dxa"/>
              <w:right w:w="0" w:type="dxa"/>
            </w:tcMar>
            <w:vAlign w:val="center"/>
          </w:tcPr>
          <w:p>
            <w:pPr>
              <w:spacing w:line="240" w:lineRule="auto"/>
              <w:ind w:firstLine="0"/>
              <w:jc w:val="center"/>
              <w:rPr>
                <w:rFonts w:hint="eastAsia" w:eastAsia="宋体"/>
                <w:spacing w:val="-11"/>
                <w:sz w:val="21"/>
                <w:szCs w:val="21"/>
                <w:lang w:eastAsia="zh-CN"/>
              </w:rPr>
            </w:pPr>
            <w:r>
              <w:rPr>
                <w:rFonts w:hint="eastAsia" w:ascii="Times New Roman" w:hAnsi="Times New Roman"/>
                <w:spacing w:val="-11"/>
                <w:sz w:val="21"/>
                <w:szCs w:val="21"/>
                <w:lang w:val="en-US" w:eastAsia="zh-CN"/>
              </w:rPr>
              <w:t>1</w:t>
            </w:r>
          </w:p>
        </w:tc>
        <w:tc>
          <w:tcPr>
            <w:tcW w:w="2160" w:type="dxa"/>
            <w:gridSpan w:val="2"/>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GB36600</w:t>
            </w:r>
            <w:r>
              <w:rPr>
                <w:rFonts w:hint="eastAsia"/>
                <w:spacing w:val="-11"/>
                <w:sz w:val="21"/>
                <w:szCs w:val="21"/>
              </w:rPr>
              <w:t>中表</w:t>
            </w:r>
            <w:r>
              <w:rPr>
                <w:rFonts w:hint="eastAsia" w:ascii="Times New Roman" w:hAnsi="Times New Roman"/>
                <w:spacing w:val="-11"/>
                <w:sz w:val="21"/>
                <w:szCs w:val="21"/>
              </w:rPr>
              <w:t>1</w:t>
            </w:r>
            <w:r>
              <w:rPr>
                <w:rFonts w:hint="eastAsia"/>
                <w:spacing w:val="-11"/>
                <w:sz w:val="21"/>
                <w:szCs w:val="21"/>
              </w:rPr>
              <w:t>基本</w:t>
            </w:r>
            <w:r>
              <w:rPr>
                <w:rFonts w:hint="eastAsia" w:ascii="Times New Roman" w:hAnsi="Times New Roman"/>
                <w:spacing w:val="-11"/>
                <w:sz w:val="21"/>
                <w:szCs w:val="21"/>
              </w:rPr>
              <w:t>45</w:t>
            </w:r>
            <w:r>
              <w:rPr>
                <w:rFonts w:hint="eastAsia"/>
                <w:spacing w:val="-11"/>
                <w:sz w:val="21"/>
                <w:szCs w:val="21"/>
              </w:rPr>
              <w:t>项</w:t>
            </w:r>
          </w:p>
        </w:tc>
        <w:tc>
          <w:tcPr>
            <w:tcW w:w="1806" w:type="dxa"/>
            <w:gridSpan w:val="2"/>
            <w:noWrap w:val="0"/>
            <w:tcMar>
              <w:left w:w="0" w:type="dxa"/>
              <w:right w:w="0" w:type="dxa"/>
            </w:tcMar>
            <w:vAlign w:val="center"/>
          </w:tcPr>
          <w:p>
            <w:pPr>
              <w:spacing w:line="240" w:lineRule="auto"/>
              <w:ind w:firstLine="0"/>
              <w:jc w:val="center"/>
              <w:rPr>
                <w:spacing w:val="-11"/>
                <w:sz w:val="21"/>
                <w:szCs w:val="21"/>
              </w:rPr>
            </w:pPr>
            <w:r>
              <w:rPr>
                <w:rFonts w:hint="eastAsia" w:ascii="Times New Roman" w:hAnsi="Times New Roman"/>
                <w:spacing w:val="-11"/>
                <w:sz w:val="21"/>
                <w:szCs w:val="21"/>
              </w:rPr>
              <w:t>1</w:t>
            </w:r>
            <w:r>
              <w:rPr>
                <w:rFonts w:hint="eastAsia"/>
                <w:spacing w:val="-11"/>
                <w:sz w:val="21"/>
                <w:szCs w:val="21"/>
              </w:rPr>
              <w:t>次/</w:t>
            </w:r>
            <w:r>
              <w:rPr>
                <w:rFonts w:hint="eastAsia" w:ascii="Times New Roman" w:hAnsi="Times New Roman"/>
                <w:spacing w:val="-11"/>
                <w:sz w:val="21"/>
                <w:szCs w:val="21"/>
              </w:rPr>
              <w:t>5</w:t>
            </w:r>
            <w:r>
              <w:rPr>
                <w:rFonts w:hint="eastAsia"/>
                <w:spacing w:val="-11"/>
                <w:sz w:val="21"/>
                <w:szCs w:val="21"/>
              </w:rPr>
              <w:t>年</w:t>
            </w:r>
          </w:p>
        </w:tc>
        <w:tc>
          <w:tcPr>
            <w:tcW w:w="1493" w:type="dxa"/>
            <w:vMerge w:val="continue"/>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397" w:type="dxa"/>
            <w:vMerge w:val="continue"/>
            <w:tcBorders>
              <w:left w:val="single" w:color="auto" w:sz="12" w:space="0"/>
            </w:tcBorders>
            <w:noWrap w:val="0"/>
            <w:tcMar>
              <w:left w:w="0" w:type="dxa"/>
              <w:right w:w="0" w:type="dxa"/>
            </w:tcMar>
            <w:vAlign w:val="center"/>
          </w:tcPr>
          <w:p>
            <w:pPr>
              <w:spacing w:line="240" w:lineRule="auto"/>
              <w:ind w:firstLine="0"/>
              <w:jc w:val="center"/>
              <w:rPr>
                <w:spacing w:val="-11"/>
                <w:sz w:val="21"/>
                <w:szCs w:val="21"/>
              </w:rPr>
            </w:pPr>
          </w:p>
        </w:tc>
        <w:tc>
          <w:tcPr>
            <w:tcW w:w="1684" w:type="dxa"/>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信息公开指标</w:t>
            </w:r>
          </w:p>
        </w:tc>
        <w:tc>
          <w:tcPr>
            <w:tcW w:w="5410" w:type="dxa"/>
            <w:gridSpan w:val="6"/>
            <w:noWrap w:val="0"/>
            <w:tcMar>
              <w:left w:w="0" w:type="dxa"/>
              <w:right w:w="0" w:type="dxa"/>
            </w:tcMar>
            <w:vAlign w:val="center"/>
          </w:tcPr>
          <w:p>
            <w:pPr>
              <w:spacing w:line="240" w:lineRule="auto"/>
              <w:ind w:firstLine="0"/>
              <w:jc w:val="center"/>
              <w:rPr>
                <w:rFonts w:hint="eastAsia"/>
                <w:spacing w:val="-11"/>
                <w:sz w:val="21"/>
                <w:szCs w:val="21"/>
              </w:rPr>
            </w:pPr>
            <w:r>
              <w:rPr>
                <w:rFonts w:hint="eastAsia"/>
                <w:spacing w:val="-11"/>
                <w:sz w:val="21"/>
                <w:szCs w:val="21"/>
              </w:rPr>
              <w:t>项目特征因子（</w:t>
            </w:r>
            <w:r>
              <w:rPr>
                <w:rFonts w:hint="eastAsia" w:ascii="Times New Roman" w:hAnsi="Times New Roman"/>
                <w:spacing w:val="-11"/>
                <w:sz w:val="21"/>
                <w:szCs w:val="21"/>
                <w:lang w:val="en-US" w:eastAsia="zh-CN"/>
              </w:rPr>
              <w:t>Cu</w:t>
            </w:r>
            <w:r>
              <w:rPr>
                <w:rFonts w:hint="eastAsia"/>
                <w:spacing w:val="-11"/>
                <w:sz w:val="21"/>
                <w:szCs w:val="21"/>
                <w:lang w:val="en-US" w:eastAsia="zh-CN"/>
              </w:rPr>
              <w:t>、</w:t>
            </w:r>
            <w:r>
              <w:rPr>
                <w:rFonts w:hint="eastAsia" w:ascii="Times New Roman" w:hAnsi="Times New Roman"/>
                <w:spacing w:val="-11"/>
                <w:sz w:val="21"/>
                <w:szCs w:val="21"/>
                <w:lang w:val="en-US" w:eastAsia="zh-CN"/>
              </w:rPr>
              <w:t>Ni</w:t>
            </w:r>
            <w:r>
              <w:rPr>
                <w:rFonts w:hint="eastAsia"/>
                <w:spacing w:val="-11"/>
                <w:sz w:val="21"/>
                <w:szCs w:val="21"/>
              </w:rPr>
              <w:t>）</w:t>
            </w:r>
          </w:p>
        </w:tc>
        <w:tc>
          <w:tcPr>
            <w:tcW w:w="1493" w:type="dxa"/>
            <w:vMerge w:val="continue"/>
            <w:tcBorders>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81" w:type="dxa"/>
            <w:gridSpan w:val="2"/>
            <w:tcBorders>
              <w:left w:val="single" w:color="auto" w:sz="12" w:space="0"/>
              <w:bottom w:val="single" w:color="auto" w:sz="12" w:space="0"/>
            </w:tcBorders>
            <w:noWrap w:val="0"/>
            <w:tcMar>
              <w:left w:w="0" w:type="dxa"/>
              <w:right w:w="0" w:type="dxa"/>
            </w:tcMar>
            <w:vAlign w:val="center"/>
          </w:tcPr>
          <w:p>
            <w:pPr>
              <w:spacing w:line="240" w:lineRule="auto"/>
              <w:ind w:firstLine="0"/>
              <w:jc w:val="center"/>
              <w:rPr>
                <w:spacing w:val="-11"/>
                <w:sz w:val="21"/>
                <w:szCs w:val="21"/>
              </w:rPr>
            </w:pPr>
            <w:r>
              <w:rPr>
                <w:rFonts w:hint="eastAsia"/>
                <w:spacing w:val="-11"/>
                <w:sz w:val="21"/>
                <w:szCs w:val="21"/>
              </w:rPr>
              <w:t>评价结论</w:t>
            </w:r>
          </w:p>
        </w:tc>
        <w:tc>
          <w:tcPr>
            <w:tcW w:w="5410" w:type="dxa"/>
            <w:gridSpan w:val="6"/>
            <w:tcBorders>
              <w:bottom w:val="single" w:color="auto" w:sz="12" w:space="0"/>
            </w:tcBorders>
            <w:noWrap w:val="0"/>
            <w:tcMar>
              <w:left w:w="0" w:type="dxa"/>
              <w:right w:w="0" w:type="dxa"/>
            </w:tcMar>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rPr>
              <w:t>土壤环境影响可以接受，区域土壤环境质量不因本项目的建设</w:t>
            </w:r>
            <w:r>
              <w:rPr>
                <w:rFonts w:hint="eastAsia"/>
                <w:spacing w:val="-11"/>
                <w:sz w:val="21"/>
                <w:szCs w:val="21"/>
                <w:lang w:eastAsia="zh-CN"/>
              </w:rPr>
              <w:t>阀室变化</w:t>
            </w:r>
          </w:p>
        </w:tc>
        <w:tc>
          <w:tcPr>
            <w:tcW w:w="1493" w:type="dxa"/>
            <w:tcBorders>
              <w:bottom w:val="single" w:color="auto" w:sz="12" w:space="0"/>
              <w:right w:val="single" w:color="auto" w:sz="12" w:space="0"/>
            </w:tcBorders>
            <w:noWrap w:val="0"/>
            <w:tcMar>
              <w:left w:w="0" w:type="dxa"/>
              <w:right w:w="0" w:type="dxa"/>
            </w:tcMar>
            <w:vAlign w:val="center"/>
          </w:tcPr>
          <w:p>
            <w:pPr>
              <w:spacing w:line="240" w:lineRule="auto"/>
              <w:ind w:firstLine="0"/>
              <w:jc w:val="center"/>
              <w:rPr>
                <w:spacing w:val="-11"/>
                <w:sz w:val="21"/>
                <w:szCs w:val="21"/>
              </w:rPr>
            </w:pPr>
          </w:p>
        </w:tc>
      </w:tr>
    </w:tbl>
    <w:p>
      <w:pPr>
        <w:pStyle w:val="4"/>
        <w:bidi w:val="0"/>
        <w:rPr>
          <w:rFonts w:hint="eastAsia"/>
          <w:lang w:val="en-US" w:eastAsia="zh-CN"/>
        </w:rPr>
      </w:pPr>
      <w:bookmarkStart w:id="226" w:name="_Toc856"/>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环境风险</w:t>
      </w:r>
      <w:bookmarkEnd w:id="226"/>
    </w:p>
    <w:p>
      <w:pPr>
        <w:bidi w:val="0"/>
        <w:rPr>
          <w:rFonts w:hint="default"/>
          <w:lang w:val="en-US" w:eastAsia="zh-CN"/>
        </w:rPr>
      </w:pPr>
      <w:r>
        <w:rPr>
          <w:rFonts w:hint="eastAsia"/>
          <w:lang w:val="en-US" w:eastAsia="zh-CN"/>
        </w:rPr>
        <w:t>评价</w:t>
      </w:r>
      <w:r>
        <w:rPr>
          <w:rFonts w:hint="eastAsia"/>
          <w:color w:val="auto"/>
        </w:rPr>
        <w:t>根据《建设项目环境风险评价技术导则》（</w:t>
      </w:r>
      <w:r>
        <w:rPr>
          <w:rFonts w:hint="eastAsia" w:ascii="Times New Roman" w:hAnsi="Times New Roman"/>
          <w:color w:val="auto"/>
        </w:rPr>
        <w:t>HJ169</w:t>
      </w:r>
      <w:r>
        <w:rPr>
          <w:rFonts w:hint="eastAsia"/>
          <w:color w:val="auto"/>
        </w:rPr>
        <w:t>-</w:t>
      </w:r>
      <w:r>
        <w:rPr>
          <w:rFonts w:hint="eastAsia" w:ascii="Times New Roman" w:hAnsi="Times New Roman"/>
          <w:color w:val="auto"/>
        </w:rPr>
        <w:t>2018</w:t>
      </w:r>
      <w:r>
        <w:rPr>
          <w:rFonts w:hint="eastAsia"/>
          <w:color w:val="auto"/>
        </w:rPr>
        <w:t>）与《关于进一步加强环境影响评价管理防范环境风险的通知》</w:t>
      </w:r>
      <w:r>
        <w:rPr>
          <w:rFonts w:hint="eastAsia"/>
          <w:color w:val="auto"/>
          <w:lang w:eastAsia="zh-CN"/>
        </w:rPr>
        <w:t>（环发</w:t>
      </w:r>
      <w:r>
        <w:rPr>
          <w:rFonts w:hint="eastAsia"/>
          <w:color w:val="auto"/>
          <w:lang w:val="en-US" w:eastAsia="zh-CN"/>
        </w:rPr>
        <w:t>[</w:t>
      </w:r>
      <w:r>
        <w:rPr>
          <w:rFonts w:hint="eastAsia" w:ascii="Times New Roman" w:hAnsi="Times New Roman"/>
          <w:color w:val="auto"/>
          <w:lang w:val="en-US" w:eastAsia="zh-CN"/>
        </w:rPr>
        <w:t>2012</w:t>
      </w:r>
      <w:r>
        <w:rPr>
          <w:rFonts w:hint="eastAsia"/>
          <w:color w:val="auto"/>
          <w:lang w:val="en-US" w:eastAsia="zh-CN"/>
        </w:rPr>
        <w:t>]</w:t>
      </w:r>
      <w:r>
        <w:rPr>
          <w:rFonts w:hint="eastAsia" w:ascii="Times New Roman" w:hAnsi="Times New Roman"/>
          <w:color w:val="auto"/>
          <w:lang w:val="en-US" w:eastAsia="zh-CN"/>
        </w:rPr>
        <w:t>77</w:t>
      </w:r>
      <w:r>
        <w:rPr>
          <w:rFonts w:hint="eastAsia"/>
          <w:color w:val="auto"/>
          <w:lang w:val="en-US" w:eastAsia="zh-CN"/>
        </w:rPr>
        <w:t>号</w:t>
      </w:r>
      <w:r>
        <w:rPr>
          <w:rFonts w:hint="eastAsia"/>
          <w:color w:val="auto"/>
          <w:lang w:eastAsia="zh-CN"/>
        </w:rPr>
        <w:t>）</w:t>
      </w:r>
      <w:r>
        <w:rPr>
          <w:rFonts w:hint="eastAsia"/>
          <w:color w:val="auto"/>
        </w:rPr>
        <w:t>，风险评价需识别项目建设、运营过程中存在的环境风险隐患，提出改进措施和建议，防止重大环境污染事故及次生事故的发生。</w:t>
      </w:r>
    </w:p>
    <w:p>
      <w:pPr>
        <w:pStyle w:val="5"/>
        <w:spacing w:before="165"/>
        <w:rPr>
          <w:rFonts w:hint="eastAsia"/>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w:t>
      </w:r>
      <w:r>
        <w:rPr>
          <w:rFonts w:hint="eastAsia"/>
        </w:rPr>
        <w:t>环境风险调查</w:t>
      </w:r>
    </w:p>
    <w:p>
      <w:pPr>
        <w:widowControl w:val="0"/>
        <w:wordWrap/>
        <w:adjustRightInd/>
        <w:snapToGrid/>
        <w:spacing w:line="520" w:lineRule="exact"/>
        <w:ind w:left="0" w:leftChars="0" w:right="0" w:firstLine="480" w:firstLineChars="200"/>
        <w:jc w:val="left"/>
        <w:textAlignment w:val="auto"/>
        <w:outlineLvl w:val="9"/>
        <w:rPr>
          <w:rFonts w:hint="eastAsia" w:ascii="Times New Roman" w:eastAsia="宋体" w:cs="Times New Roman"/>
          <w:color w:val="auto"/>
          <w:kern w:val="2"/>
          <w:szCs w:val="22"/>
          <w:lang w:val="en-US" w:eastAsia="zh-CN"/>
        </w:rPr>
      </w:pPr>
      <w:r>
        <w:rPr>
          <w:rFonts w:ascii="Times New Roman" w:hAnsi="Times New Roman" w:eastAsia="宋体" w:cs="Times New Roman"/>
          <w:color w:val="auto"/>
          <w:kern w:val="2"/>
          <w:szCs w:val="22"/>
        </w:rPr>
        <w:t>根据《建设项目环境风险评价技术导则》（</w:t>
      </w:r>
      <w:r>
        <w:rPr>
          <w:rFonts w:ascii="Times New Roman" w:hAnsi="Times New Roman" w:eastAsia="宋体" w:cs="Times New Roman"/>
          <w:color w:val="auto"/>
          <w:kern w:val="2"/>
          <w:szCs w:val="22"/>
        </w:rPr>
        <w:t>HJ169</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20</w:t>
      </w:r>
      <w:r>
        <w:rPr>
          <w:rFonts w:hint="eastAsia" w:ascii="Times New Roman" w:hAnsi="Times New Roman" w:eastAsia="宋体" w:cs="Times New Roman"/>
          <w:color w:val="auto"/>
          <w:kern w:val="2"/>
          <w:szCs w:val="22"/>
        </w:rPr>
        <w:t>18</w:t>
      </w:r>
      <w:r>
        <w:rPr>
          <w:rFonts w:ascii="Times New Roman" w:hAnsi="Times New Roman" w:eastAsia="宋体" w:cs="Times New Roman"/>
          <w:color w:val="auto"/>
          <w:kern w:val="2"/>
          <w:szCs w:val="22"/>
        </w:rPr>
        <w:t>）</w:t>
      </w:r>
      <w:r>
        <w:rPr>
          <w:rFonts w:hint="eastAsia" w:ascii="Times New Roman" w:eastAsia="宋体" w:cs="Times New Roman"/>
          <w:color w:val="auto"/>
          <w:kern w:val="2"/>
          <w:szCs w:val="22"/>
          <w:lang w:eastAsia="zh-CN"/>
        </w:rPr>
        <w:t>附录</w:t>
      </w:r>
      <w:r>
        <w:rPr>
          <w:rFonts w:hint="eastAsia" w:ascii="Times New Roman" w:hAnsi="Times New Roman" w:eastAsia="宋体" w:cs="Times New Roman"/>
          <w:color w:val="auto"/>
          <w:kern w:val="2"/>
          <w:szCs w:val="22"/>
          <w:lang w:val="en-US" w:eastAsia="zh-CN"/>
        </w:rPr>
        <w:t>B</w:t>
      </w:r>
      <w:r>
        <w:rPr>
          <w:rFonts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lang w:eastAsia="zh-CN"/>
        </w:rPr>
        <w:t>本项目主要关注的危险物质为</w:t>
      </w:r>
      <w:r>
        <w:rPr>
          <w:rFonts w:hint="eastAsia" w:ascii="Times New Roman" w:hAnsi="Times New Roman" w:cs="Times New Roman"/>
          <w:color w:val="auto"/>
          <w:kern w:val="2"/>
          <w:szCs w:val="22"/>
          <w:lang w:val="en-US" w:eastAsia="zh-CN"/>
        </w:rPr>
        <w:t>PD</w:t>
      </w:r>
      <w:r>
        <w:rPr>
          <w:rFonts w:hint="eastAsia" w:ascii="Times New Roman" w:hAnsi="Times New Roman" w:cs="Times New Roman"/>
          <w:color w:val="auto"/>
          <w:kern w:val="2"/>
          <w:szCs w:val="22"/>
          <w:lang w:val="en-US" w:eastAsia="zh-CN"/>
        </w:rPr>
        <w:t>、氨水（浓度≥</w:t>
      </w:r>
      <w:r>
        <w:rPr>
          <w:rFonts w:hint="eastAsia" w:ascii="Times New Roman" w:hAnsi="Times New Roman" w:cs="Times New Roman"/>
          <w:color w:val="auto"/>
          <w:kern w:val="2"/>
          <w:szCs w:val="22"/>
          <w:lang w:val="en-US" w:eastAsia="zh-CN"/>
        </w:rPr>
        <w:t>20</w:t>
      </w:r>
      <w:r>
        <w:rPr>
          <w:rFonts w:hint="eastAsia" w:ascii="Times New Roman" w:hAnsi="Times New Roman" w:cs="Times New Roman"/>
          <w:color w:val="auto"/>
          <w:kern w:val="2"/>
          <w:szCs w:val="22"/>
          <w:lang w:val="en-US" w:eastAsia="zh-CN"/>
        </w:rPr>
        <w:t>%）、硫酸铵</w:t>
      </w:r>
      <w:r>
        <w:rPr>
          <w:rFonts w:hint="eastAsia" w:ascii="Times New Roman" w:hAnsi="Times New Roman" w:eastAsia="宋体" w:cs="Times New Roman"/>
          <w:color w:val="auto"/>
          <w:kern w:val="2"/>
          <w:szCs w:val="22"/>
          <w:lang w:val="en-US" w:eastAsia="zh-CN"/>
        </w:rPr>
        <w:t>。</w:t>
      </w:r>
      <w:r>
        <w:rPr>
          <w:rFonts w:hint="eastAsia" w:ascii="Times New Roman" w:eastAsia="宋体" w:cs="Times New Roman"/>
          <w:color w:val="auto"/>
          <w:kern w:val="2"/>
          <w:szCs w:val="22"/>
          <w:lang w:eastAsia="zh-CN"/>
        </w:rPr>
        <w:t>项目的危险物质数量和分布情况见表</w:t>
      </w:r>
      <w:r>
        <w:rPr>
          <w:rFonts w:hint="eastAsia" w:ascii="Times New Roman" w:hAnsi="Times New Roman" w:cs="Times New Roman"/>
          <w:color w:val="auto"/>
          <w:kern w:val="2"/>
          <w:szCs w:val="22"/>
          <w:lang w:val="en-US" w:eastAsia="zh-CN"/>
        </w:rPr>
        <w:t>6</w:t>
      </w:r>
      <w:r>
        <w:rPr>
          <w:rFonts w:hint="eastAsia" w:ascii="Times New Roman" w:eastAsia="宋体" w:cs="Times New Roman"/>
          <w:color w:val="auto"/>
          <w:kern w:val="2"/>
          <w:szCs w:val="22"/>
          <w:lang w:val="en-US" w:eastAsia="zh-CN"/>
        </w:rPr>
        <w:t>.</w:t>
      </w:r>
      <w:r>
        <w:rPr>
          <w:rFonts w:hint="eastAsia" w:ascii="Times New Roman" w:hAnsi="Times New Roman" w:cs="Times New Roman"/>
          <w:color w:val="auto"/>
          <w:kern w:val="2"/>
          <w:szCs w:val="22"/>
          <w:lang w:val="en-US" w:eastAsia="zh-CN"/>
        </w:rPr>
        <w:t>9</w:t>
      </w:r>
      <w:r>
        <w:rPr>
          <w:rFonts w:hint="eastAsia" w:ascii="Times New Roman" w:eastAsia="宋体" w:cs="Times New Roman"/>
          <w:color w:val="auto"/>
          <w:kern w:val="2"/>
          <w:szCs w:val="22"/>
          <w:lang w:val="en-US" w:eastAsia="zh-CN"/>
        </w:rPr>
        <w:t>-</w:t>
      </w:r>
      <w:r>
        <w:rPr>
          <w:rFonts w:hint="eastAsia" w:ascii="Times New Roman" w:hAnsi="Times New Roman" w:eastAsia="宋体" w:cs="Times New Roman"/>
          <w:color w:val="auto"/>
          <w:kern w:val="2"/>
          <w:szCs w:val="22"/>
          <w:lang w:val="en-US" w:eastAsia="zh-CN"/>
        </w:rPr>
        <w:t>1</w:t>
      </w:r>
      <w:r>
        <w:rPr>
          <w:rFonts w:hint="eastAsia" w:ascii="Times New Roman" w:eastAsia="宋体" w:cs="Times New Roman"/>
          <w:color w:val="auto"/>
          <w:kern w:val="2"/>
          <w:szCs w:val="22"/>
          <w:lang w:val="en-US" w:eastAsia="zh-CN"/>
        </w:rPr>
        <w:t>。</w:t>
      </w:r>
    </w:p>
    <w:p>
      <w:pPr>
        <w:pStyle w:val="20"/>
        <w:rPr>
          <w:rFonts w:hint="default"/>
          <w:color w:val="auto"/>
          <w:lang w:val="en-US" w:eastAsia="zh-CN"/>
        </w:rPr>
      </w:pPr>
      <w:r>
        <w:rPr>
          <w:rFonts w:hint="eastAsia"/>
          <w:color w:val="auto"/>
          <w:lang w:val="en-US" w:eastAsia="zh-CN"/>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厂区危险物质数量和分布情况表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2106"/>
        <w:gridCol w:w="1877"/>
        <w:gridCol w:w="2760"/>
        <w:gridCol w:w="16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0" w:type="auto"/>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1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危险物质名称</w:t>
            </w:r>
          </w:p>
        </w:tc>
        <w:tc>
          <w:tcPr>
            <w:tcW w:w="187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w:t>
            </w:r>
            <w:r>
              <w:rPr>
                <w:rFonts w:hint="eastAsia" w:ascii="Times New Roman" w:hAnsi="Times New Roman" w:cs="Times New Roman"/>
                <w:color w:val="auto"/>
                <w:sz w:val="21"/>
                <w:szCs w:val="21"/>
                <w:lang w:eastAsia="zh-CN"/>
              </w:rPr>
              <w:t>在</w:t>
            </w:r>
            <w:r>
              <w:rPr>
                <w:rFonts w:hint="default" w:ascii="Times New Roman" w:hAnsi="Times New Roman" w:cs="Times New Roman"/>
                <w:color w:val="auto"/>
                <w:sz w:val="21"/>
                <w:szCs w:val="21"/>
              </w:rPr>
              <w:t>位置</w:t>
            </w:r>
          </w:p>
        </w:tc>
        <w:tc>
          <w:tcPr>
            <w:tcW w:w="276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存储方式</w:t>
            </w:r>
          </w:p>
        </w:tc>
        <w:tc>
          <w:tcPr>
            <w:tcW w:w="1688"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最大储存量（</w:t>
            </w: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636" w:type="dxa"/>
            <w:vMerge w:val="restart"/>
            <w:tcBorders>
              <w:top w:val="single" w:color="auto" w:sz="4" w:space="0"/>
              <w:left w:val="single" w:color="auto" w:sz="12"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106" w:type="dxa"/>
            <w:vMerge w:val="restart"/>
            <w:tcBorders>
              <w:top w:val="single" w:color="auto" w:sz="4" w:space="0"/>
              <w:left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PD</w:t>
            </w:r>
          </w:p>
        </w:tc>
        <w:tc>
          <w:tcPr>
            <w:tcW w:w="18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PD</w:t>
            </w:r>
            <w:r>
              <w:rPr>
                <w:rFonts w:hint="eastAsia" w:ascii="Times New Roman" w:hAnsi="Times New Roman" w:cs="Times New Roman"/>
                <w:color w:val="auto"/>
                <w:sz w:val="21"/>
                <w:szCs w:val="21"/>
                <w:lang w:val="en-US" w:eastAsia="zh-CN"/>
              </w:rPr>
              <w:t>成品储罐</w:t>
            </w:r>
          </w:p>
        </w:tc>
        <w:tc>
          <w:tcPr>
            <w:tcW w:w="2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831</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val="en-US" w:eastAsia="zh-CN"/>
              </w:rPr>
              <w:t>³</w:t>
            </w:r>
            <w:r>
              <w:rPr>
                <w:rFonts w:hint="eastAsia" w:ascii="Times New Roman" w:hAnsi="Times New Roman" w:eastAsia="宋体" w:cs="Times New Roman"/>
                <w:color w:val="auto"/>
                <w:sz w:val="21"/>
                <w:szCs w:val="21"/>
                <w:lang w:eastAsia="zh-CN"/>
              </w:rPr>
              <w:t>储罐</w:t>
            </w:r>
          </w:p>
        </w:tc>
        <w:tc>
          <w:tcPr>
            <w:tcW w:w="168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716</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636" w:type="dxa"/>
            <w:vMerge w:val="continue"/>
            <w:tcBorders>
              <w:left w:val="single" w:color="auto" w:sz="12"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p>
        </w:tc>
        <w:tc>
          <w:tcPr>
            <w:tcW w:w="2106" w:type="dxa"/>
            <w:vMerge w:val="continue"/>
            <w:tcBorders>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p>
        </w:tc>
        <w:tc>
          <w:tcPr>
            <w:tcW w:w="18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粗</w:t>
            </w:r>
            <w:r>
              <w:rPr>
                <w:rFonts w:hint="eastAsia" w:ascii="Times New Roman" w:hAnsi="Times New Roman" w:cs="Times New Roman"/>
                <w:color w:val="auto"/>
                <w:sz w:val="21"/>
                <w:szCs w:val="21"/>
                <w:lang w:val="en-US" w:eastAsia="zh-CN"/>
              </w:rPr>
              <w:t>PD</w:t>
            </w:r>
            <w:r>
              <w:rPr>
                <w:rFonts w:hint="eastAsia" w:ascii="Times New Roman" w:hAnsi="Times New Roman" w:cs="Times New Roman"/>
                <w:color w:val="auto"/>
                <w:sz w:val="21"/>
                <w:szCs w:val="21"/>
                <w:lang w:val="en-US" w:eastAsia="zh-CN"/>
              </w:rPr>
              <w:t>储罐</w:t>
            </w:r>
          </w:p>
        </w:tc>
        <w:tc>
          <w:tcPr>
            <w:tcW w:w="2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15m</w:t>
            </w:r>
            <w:r>
              <w:rPr>
                <w:rFonts w:hint="eastAsia" w:ascii="Times New Roman" w:hAnsi="Times New Roman" w:cs="Times New Roman"/>
                <w:color w:val="auto"/>
                <w:sz w:val="21"/>
                <w:szCs w:val="21"/>
                <w:lang w:val="en-US" w:eastAsia="zh-CN"/>
              </w:rPr>
              <w:t>³储罐</w:t>
            </w:r>
          </w:p>
        </w:tc>
        <w:tc>
          <w:tcPr>
            <w:tcW w:w="168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0" w:type="auto"/>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21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氨水（浓度≥</w:t>
            </w: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w:t>
            </w:r>
          </w:p>
        </w:tc>
        <w:tc>
          <w:tcPr>
            <w:tcW w:w="18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尾气吸收塔</w:t>
            </w:r>
          </w:p>
        </w:tc>
        <w:tc>
          <w:tcPr>
            <w:tcW w:w="2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装置系统内</w:t>
            </w:r>
          </w:p>
        </w:tc>
        <w:tc>
          <w:tcPr>
            <w:tcW w:w="168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0" w:type="auto"/>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21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硫酸铵</w:t>
            </w:r>
          </w:p>
        </w:tc>
        <w:tc>
          <w:tcPr>
            <w:tcW w:w="18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尾气吸收塔</w:t>
            </w:r>
          </w:p>
        </w:tc>
        <w:tc>
          <w:tcPr>
            <w:tcW w:w="2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装置系统内</w:t>
            </w:r>
          </w:p>
        </w:tc>
        <w:tc>
          <w:tcPr>
            <w:tcW w:w="168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eastAsia" w:ascii="Times New Roman" w:hAnsi="Times New Roman" w:cs="Times New Roman"/>
                <w:color w:val="auto"/>
                <w:sz w:val="21"/>
                <w:szCs w:val="21"/>
                <w:lang w:val="en-US" w:eastAsia="zh-CN"/>
              </w:rPr>
              <w:t>（折纯）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0" w:type="auto"/>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1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氨气</w:t>
            </w:r>
          </w:p>
        </w:tc>
        <w:tc>
          <w:tcPr>
            <w:tcW w:w="187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反应器、闪蒸器</w:t>
            </w:r>
          </w:p>
        </w:tc>
        <w:tc>
          <w:tcPr>
            <w:tcW w:w="27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装置系统内</w:t>
            </w:r>
          </w:p>
        </w:tc>
        <w:tc>
          <w:tcPr>
            <w:tcW w:w="168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9067" w:type="dxa"/>
            <w:gridSpan w:val="5"/>
            <w:tcBorders>
              <w:top w:val="single" w:color="auto" w:sz="4" w:space="0"/>
              <w:left w:val="single" w:color="auto" w:sz="12" w:space="0"/>
              <w:bottom w:val="single" w:color="auto" w:sz="12" w:space="0"/>
              <w:right w:val="single" w:color="auto" w:sz="12" w:space="0"/>
            </w:tcBorders>
            <w:vAlign w:val="center"/>
          </w:tcPr>
          <w:p>
            <w:pPr>
              <w:autoSpaceDE w:val="0"/>
              <w:autoSpaceDN w:val="0"/>
              <w:adjustRightInd w:val="0"/>
              <w:spacing w:line="240" w:lineRule="auto"/>
              <w:ind w:firstLine="0" w:firstLineChars="0"/>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注：</w:t>
            </w:r>
            <w:r>
              <w:rPr>
                <w:rFonts w:hint="eastAsia" w:ascii="Times New Roman" w:hAnsi="Times New Roman" w:cs="Times New Roman"/>
                <w:color w:val="auto"/>
                <w:sz w:val="21"/>
                <w:szCs w:val="21"/>
                <w:lang w:val="en-US" w:eastAsia="zh-CN"/>
              </w:rPr>
              <w:t>PD</w:t>
            </w:r>
            <w:r>
              <w:rPr>
                <w:rFonts w:hint="eastAsia" w:ascii="Times New Roman" w:hAnsi="Times New Roman" w:cs="Times New Roman"/>
                <w:color w:val="auto"/>
                <w:sz w:val="21"/>
                <w:szCs w:val="21"/>
                <w:lang w:val="en-US" w:eastAsia="zh-CN"/>
              </w:rPr>
              <w:t>密度：</w:t>
            </w:r>
            <w:r>
              <w:rPr>
                <w:rFonts w:hint="eastAsia"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862g</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cm</w:t>
            </w:r>
            <w:r>
              <w:rPr>
                <w:rFonts w:hint="eastAsia" w:ascii="Times New Roman" w:hAnsi="Times New Roman" w:cs="Times New Roman"/>
                <w:color w:val="auto"/>
                <w:sz w:val="21"/>
                <w:szCs w:val="21"/>
                <w:lang w:val="en-US" w:eastAsia="zh-CN"/>
              </w:rPr>
              <w:t>³</w:t>
            </w:r>
          </w:p>
        </w:tc>
      </w:tr>
    </w:tbl>
    <w:p>
      <w:pPr>
        <w:pStyle w:val="5"/>
        <w:spacing w:before="165"/>
        <w:rPr>
          <w:rFonts w:hint="eastAsia"/>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9</w:t>
      </w:r>
      <w:r>
        <w:rPr>
          <w:rFonts w:hint="eastAsia"/>
        </w:rPr>
        <w:t>.</w:t>
      </w:r>
      <w:r>
        <w:rPr>
          <w:rFonts w:hint="eastAsia" w:ascii="Times New Roman" w:hAnsi="Times New Roman"/>
        </w:rPr>
        <w:t>2</w:t>
      </w:r>
      <w:r>
        <w:rPr>
          <w:rFonts w:hint="eastAsia"/>
        </w:rPr>
        <w:t>环境敏感目标调查</w:t>
      </w:r>
    </w:p>
    <w:p>
      <w:pPr>
        <w:bidi w:val="0"/>
        <w:rPr>
          <w:rFonts w:hint="eastAsia"/>
          <w:lang w:eastAsia="zh-CN"/>
        </w:rPr>
      </w:pPr>
      <w:r>
        <w:rPr>
          <w:rFonts w:hint="eastAsia"/>
        </w:rPr>
        <w:t>本项目位于规划的</w:t>
      </w:r>
      <w:r>
        <w:rPr>
          <w:rFonts w:hint="eastAsia"/>
          <w:lang w:eastAsia="zh-CN"/>
        </w:rPr>
        <w:t>工业园区</w:t>
      </w:r>
      <w:r>
        <w:rPr>
          <w:rFonts w:hint="eastAsia"/>
        </w:rPr>
        <w:t>，</w:t>
      </w:r>
      <w:bookmarkStart w:id="227" w:name="_Toc21091"/>
      <w:r>
        <w:rPr>
          <w:rFonts w:hint="eastAsia"/>
          <w:lang w:eastAsia="zh-CN"/>
        </w:rPr>
        <w:t>环境风险评价范围内无环境敏感目标</w:t>
      </w:r>
    </w:p>
    <w:p>
      <w:pPr>
        <w:pStyle w:val="5"/>
        <w:bidi w:val="0"/>
        <w:rPr>
          <w:rFonts w:hint="eastAsia"/>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3</w:t>
      </w:r>
      <w:r>
        <w:rPr>
          <w:rFonts w:hint="eastAsia"/>
        </w:rPr>
        <w:t>环境风险潜势初判</w:t>
      </w:r>
      <w:bookmarkEnd w:id="227"/>
    </w:p>
    <w:p>
      <w:pPr>
        <w:pStyle w:val="6"/>
        <w:bidi w:val="0"/>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3</w:t>
      </w:r>
      <w:r>
        <w:rPr>
          <w:rFonts w:hint="eastAsia"/>
        </w:rPr>
        <w:t>.</w:t>
      </w:r>
      <w:r>
        <w:rPr>
          <w:rFonts w:hint="eastAsia" w:ascii="Times New Roman" w:hAnsi="Times New Roman"/>
        </w:rPr>
        <w:t>1</w:t>
      </w:r>
      <w:r>
        <w:rPr>
          <w:rFonts w:hint="eastAsia"/>
        </w:rPr>
        <w:t>危险物质及工艺系数危险性</w:t>
      </w:r>
    </w:p>
    <w:p>
      <w:pPr>
        <w:rPr>
          <w:rFonts w:hint="eastAsia"/>
        </w:rPr>
      </w:pPr>
      <w:r>
        <w:rPr>
          <w:rFonts w:hint="eastAsia"/>
        </w:rPr>
        <w:t>（</w:t>
      </w:r>
      <w:r>
        <w:rPr>
          <w:rFonts w:hint="eastAsia" w:ascii="Times New Roman" w:hAnsi="Times New Roman"/>
        </w:rPr>
        <w:t>1</w:t>
      </w:r>
      <w:r>
        <w:rPr>
          <w:rFonts w:hint="eastAsia"/>
        </w:rPr>
        <w:t>）危险物质数量与临界量比值（</w:t>
      </w:r>
      <w:r>
        <w:rPr>
          <w:rFonts w:hint="eastAsia" w:ascii="Times New Roman" w:hAnsi="Times New Roman"/>
        </w:rPr>
        <w:t>Q</w:t>
      </w:r>
      <w:r>
        <w:rPr>
          <w:rFonts w:hint="eastAsia"/>
        </w:rPr>
        <w:t>）</w:t>
      </w:r>
    </w:p>
    <w:p>
      <w:pPr>
        <w:widowControl w:val="0"/>
        <w:wordWrap/>
        <w:adjustRightInd/>
        <w:snapToGrid/>
        <w:spacing w:before="0" w:after="0"/>
        <w:ind w:firstLine="480" w:firstLineChars="200"/>
        <w:jc w:val="left"/>
        <w:textAlignment w:val="auto"/>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《建设项目环境风险评价技术导则》(</w:t>
      </w:r>
      <w:r>
        <w:rPr>
          <w:rFonts w:ascii="Times New Roman" w:hAnsi="Times New Roman" w:eastAsia="宋体" w:cs="Times New Roman"/>
          <w:color w:val="auto"/>
          <w:kern w:val="2"/>
          <w:szCs w:val="22"/>
        </w:rPr>
        <w:t>H</w:t>
      </w:r>
      <w:r>
        <w:rPr>
          <w:rFonts w:hint="eastAsia" w:ascii="Times New Roman" w:hAnsi="Times New Roman" w:cs="Times New Roman"/>
          <w:color w:val="auto"/>
          <w:kern w:val="2"/>
          <w:szCs w:val="22"/>
          <w:lang w:val="en-US" w:eastAsia="zh-CN"/>
        </w:rPr>
        <w:t>J</w:t>
      </w:r>
      <w:r>
        <w:rPr>
          <w:rFonts w:ascii="Times New Roman" w:hAnsi="Times New Roman" w:eastAsia="宋体" w:cs="Times New Roman"/>
          <w:color w:val="auto"/>
          <w:kern w:val="2"/>
          <w:szCs w:val="22"/>
        </w:rPr>
        <w:t>169</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20</w:t>
      </w:r>
      <w:r>
        <w:rPr>
          <w:rFonts w:hint="eastAsia" w:ascii="Times New Roman" w:hAnsi="Times New Roman" w:eastAsia="宋体" w:cs="Times New Roman"/>
          <w:color w:val="auto"/>
          <w:kern w:val="2"/>
          <w:szCs w:val="22"/>
        </w:rPr>
        <w:t>18</w:t>
      </w:r>
      <w:r>
        <w:rPr>
          <w:rFonts w:ascii="Times New Roman" w:hAnsi="Times New Roman" w:eastAsia="宋体" w:cs="Times New Roman"/>
          <w:color w:val="auto"/>
          <w:kern w:val="2"/>
          <w:szCs w:val="22"/>
        </w:rPr>
        <w:t>)中</w:t>
      </w:r>
      <w:r>
        <w:rPr>
          <w:rFonts w:hint="eastAsia" w:ascii="Times New Roman" w:hAnsi="Times New Roman" w:eastAsia="宋体" w:cs="Times New Roman"/>
          <w:color w:val="auto"/>
          <w:kern w:val="2"/>
          <w:szCs w:val="22"/>
        </w:rPr>
        <w:t>计算所涉及的每种危险物质在厂界内的最大存在总量与其对应临界量的比值</w:t>
      </w:r>
      <w:r>
        <w:rPr>
          <w:rFonts w:hint="eastAsia" w:ascii="Times New Roman" w:hAnsi="Times New Roman" w:eastAsia="宋体" w:cs="Times New Roman"/>
          <w:color w:val="auto"/>
          <w:kern w:val="2"/>
          <w:szCs w:val="22"/>
        </w:rPr>
        <w:t>Q</w:t>
      </w:r>
      <w:r>
        <w:rPr>
          <w:rFonts w:ascii="Times New Roman" w:hAnsi="Times New Roman" w:eastAsia="宋体" w:cs="Times New Roman"/>
          <w:color w:val="auto"/>
          <w:kern w:val="2"/>
          <w:szCs w:val="22"/>
        </w:rPr>
        <w:t>。当</w:t>
      </w:r>
      <w:r>
        <w:rPr>
          <w:rFonts w:hint="eastAsia" w:ascii="Times New Roman" w:hAnsi="Times New Roman" w:eastAsia="宋体" w:cs="Times New Roman"/>
          <w:color w:val="auto"/>
          <w:kern w:val="2"/>
          <w:szCs w:val="22"/>
        </w:rPr>
        <w:t>只涉及一种危险物质时，计算该物质的总量与其临界值比值，即为</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ascii="Times New Roman" w:hAnsi="Times New Roman" w:eastAsia="宋体" w:cs="Times New Roman"/>
          <w:color w:val="auto"/>
          <w:kern w:val="2"/>
          <w:szCs w:val="22"/>
        </w:rPr>
        <w:t>当存在</w:t>
      </w:r>
      <w:r>
        <w:rPr>
          <w:rFonts w:hint="eastAsia" w:ascii="Times New Roman" w:hAnsi="Times New Roman" w:eastAsia="宋体" w:cs="Times New Roman"/>
          <w:color w:val="auto"/>
          <w:kern w:val="2"/>
          <w:szCs w:val="22"/>
        </w:rPr>
        <w:t>多种</w:t>
      </w:r>
      <w:r>
        <w:rPr>
          <w:rFonts w:ascii="Times New Roman" w:hAnsi="Times New Roman" w:eastAsia="宋体" w:cs="Times New Roman"/>
          <w:color w:val="auto"/>
          <w:kern w:val="2"/>
          <w:szCs w:val="22"/>
        </w:rPr>
        <w:t>危险物质时，则按下式</w:t>
      </w:r>
      <w:r>
        <w:rPr>
          <w:rFonts w:hint="eastAsia" w:ascii="Times New Roman" w:hAnsi="Times New Roman" w:eastAsia="宋体" w:cs="Times New Roman"/>
          <w:color w:val="auto"/>
          <w:kern w:val="2"/>
          <w:szCs w:val="22"/>
        </w:rPr>
        <w:t>计算物质总量与其临界量比值（</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ascii="Times New Roman" w:hAnsi="Times New Roman" w:eastAsia="宋体" w:cs="Times New Roman"/>
          <w:color w:val="auto"/>
          <w:kern w:val="2"/>
          <w:szCs w:val="22"/>
        </w:rPr>
        <w:t>。</w:t>
      </w:r>
    </w:p>
    <w:p>
      <w:pPr>
        <w:spacing w:before="0" w:after="0"/>
        <w:ind w:firstLineChars="0"/>
        <w:jc w:val="center"/>
        <w:rPr>
          <w:rFonts w:ascii="Times New Roman" w:hAnsi="Times New Roman" w:eastAsia="宋体" w:cs="Times New Roman"/>
          <w:color w:val="auto"/>
          <w:kern w:val="24"/>
          <w:szCs w:val="22"/>
        </w:rPr>
      </w:pPr>
      <w:r>
        <w:rPr>
          <w:rFonts w:ascii="Times New Roman" w:hAnsi="Times New Roman" w:eastAsia="宋体" w:cs="Times New Roman"/>
          <w:color w:val="auto"/>
          <w:kern w:val="2"/>
          <w:sz w:val="24"/>
          <w:szCs w:val="22"/>
          <w:lang w:val="en-US" w:eastAsia="zh-CN" w:bidi="ar-SA"/>
        </w:rPr>
        <w:drawing>
          <wp:inline distT="0" distB="0" distL="114300" distR="114300">
            <wp:extent cx="1752600" cy="466725"/>
            <wp:effectExtent l="0" t="0" r="0" b="571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90">
                      <a:lum/>
                    </a:blip>
                    <a:stretch>
                      <a:fillRect/>
                    </a:stretch>
                  </pic:blipFill>
                  <pic:spPr>
                    <a:xfrm>
                      <a:off x="0" y="0"/>
                      <a:ext cx="1752600" cy="466725"/>
                    </a:xfrm>
                    <a:prstGeom prst="rect">
                      <a:avLst/>
                    </a:prstGeom>
                    <a:noFill/>
                    <a:ln>
                      <a:noFill/>
                    </a:ln>
                  </pic:spPr>
                </pic:pic>
              </a:graphicData>
            </a:graphic>
          </wp:inline>
        </w:drawing>
      </w:r>
    </w:p>
    <w:p>
      <w:pPr>
        <w:widowControl w:val="0"/>
        <w:wordWrap/>
        <w:adjustRightInd/>
        <w:snapToGrid/>
        <w:spacing w:line="520" w:lineRule="exact"/>
        <w:ind w:left="0" w:leftChars="0" w:right="0" w:firstLine="539" w:firstLineChars="0"/>
        <w:jc w:val="both"/>
        <w:textAlignment w:val="auto"/>
        <w:outlineLvl w:val="9"/>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式中：</w:t>
      </w:r>
      <w:r>
        <w:rPr>
          <w:rFonts w:ascii="Times New Roman" w:hAnsi="Times New Roman" w:eastAsia="宋体" w:cs="Times New Roman"/>
          <w:color w:val="auto"/>
          <w:kern w:val="2"/>
          <w:szCs w:val="22"/>
        </w:rPr>
        <w:t>q</w:t>
      </w:r>
      <w:r>
        <w:rPr>
          <w:rFonts w:ascii="Times New Roman" w:hAnsi="Times New Roman" w:eastAsia="宋体" w:cs="Times New Roman"/>
          <w:color w:val="auto"/>
          <w:kern w:val="2"/>
          <w:szCs w:val="22"/>
          <w:vertAlign w:val="subscript"/>
        </w:rPr>
        <w:t>1</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q</w:t>
      </w:r>
      <w:r>
        <w:rPr>
          <w:rFonts w:ascii="Times New Roman" w:hAnsi="Times New Roman" w:eastAsia="宋体" w:cs="Times New Roman"/>
          <w:color w:val="auto"/>
          <w:kern w:val="2"/>
          <w:szCs w:val="22"/>
          <w:vertAlign w:val="subscript"/>
        </w:rPr>
        <w:t>2</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q</w:t>
      </w:r>
      <w:r>
        <w:rPr>
          <w:rFonts w:ascii="Times New Roman" w:hAnsi="Times New Roman" w:eastAsia="宋体" w:cs="Times New Roman"/>
          <w:color w:val="auto"/>
          <w:kern w:val="2"/>
          <w:szCs w:val="22"/>
          <w:vertAlign w:val="subscript"/>
        </w:rPr>
        <w:t>n</w:t>
      </w:r>
      <w:r>
        <w:rPr>
          <w:rFonts w:ascii="Times New Roman" w:hAnsi="Times New Roman" w:eastAsia="宋体" w:cs="Times New Roman"/>
          <w:color w:val="auto"/>
          <w:kern w:val="2"/>
          <w:szCs w:val="22"/>
        </w:rPr>
        <w:t>——每种危险物质</w:t>
      </w:r>
      <w:r>
        <w:rPr>
          <w:rFonts w:hint="eastAsia" w:ascii="Times New Roman" w:hAnsi="Times New Roman" w:eastAsia="宋体" w:cs="Times New Roman"/>
          <w:color w:val="auto"/>
          <w:kern w:val="2"/>
          <w:szCs w:val="22"/>
        </w:rPr>
        <w:t>的最大存在总量</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t</w:t>
      </w:r>
      <w:r>
        <w:rPr>
          <w:rFonts w:ascii="Times New Roman" w:hAnsi="Times New Roman" w:eastAsia="宋体" w:cs="Times New Roman"/>
          <w:color w:val="auto"/>
          <w:kern w:val="2"/>
          <w:szCs w:val="22"/>
        </w:rPr>
        <w:t>。</w:t>
      </w:r>
    </w:p>
    <w:p>
      <w:pPr>
        <w:widowControl w:val="0"/>
        <w:wordWrap/>
        <w:adjustRightInd/>
        <w:snapToGrid/>
        <w:spacing w:line="520" w:lineRule="exact"/>
        <w:ind w:left="0" w:leftChars="0" w:right="0" w:firstLine="539" w:firstLineChars="0"/>
        <w:jc w:val="both"/>
        <w:textAlignment w:val="auto"/>
        <w:outlineLvl w:val="9"/>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Q</w:t>
      </w:r>
      <w:r>
        <w:rPr>
          <w:rFonts w:ascii="Times New Roman" w:hAnsi="Times New Roman" w:eastAsia="宋体" w:cs="Times New Roman"/>
          <w:color w:val="auto"/>
          <w:kern w:val="2"/>
          <w:szCs w:val="22"/>
          <w:vertAlign w:val="subscript"/>
        </w:rPr>
        <w:t>1</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Q</w:t>
      </w:r>
      <w:r>
        <w:rPr>
          <w:rFonts w:ascii="Times New Roman" w:hAnsi="Times New Roman" w:eastAsia="宋体" w:cs="Times New Roman"/>
          <w:color w:val="auto"/>
          <w:kern w:val="2"/>
          <w:szCs w:val="22"/>
          <w:vertAlign w:val="subscript"/>
        </w:rPr>
        <w:t>2</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Q</w:t>
      </w:r>
      <w:r>
        <w:rPr>
          <w:rFonts w:ascii="Times New Roman" w:hAnsi="Times New Roman" w:eastAsia="宋体" w:cs="Times New Roman"/>
          <w:color w:val="auto"/>
          <w:kern w:val="2"/>
          <w:szCs w:val="22"/>
          <w:vertAlign w:val="subscript"/>
        </w:rPr>
        <w:t>n</w:t>
      </w:r>
      <w:r>
        <w:rPr>
          <w:rFonts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每种</w:t>
      </w:r>
      <w:r>
        <w:rPr>
          <w:rFonts w:ascii="Times New Roman" w:hAnsi="Times New Roman" w:eastAsia="宋体" w:cs="Times New Roman"/>
          <w:color w:val="auto"/>
          <w:kern w:val="2"/>
          <w:szCs w:val="22"/>
        </w:rPr>
        <w:t>危险物质的临界量，</w:t>
      </w:r>
      <w:r>
        <w:rPr>
          <w:rFonts w:ascii="Times New Roman" w:hAnsi="Times New Roman" w:eastAsia="宋体" w:cs="Times New Roman"/>
          <w:color w:val="auto"/>
          <w:kern w:val="2"/>
          <w:szCs w:val="22"/>
        </w:rPr>
        <w:t>t</w:t>
      </w:r>
      <w:r>
        <w:rPr>
          <w:rFonts w:ascii="Times New Roman" w:hAnsi="Times New Roman" w:eastAsia="宋体" w:cs="Times New Roman"/>
          <w:color w:val="auto"/>
          <w:kern w:val="2"/>
          <w:szCs w:val="22"/>
        </w:rPr>
        <w:t>。</w:t>
      </w:r>
    </w:p>
    <w:p>
      <w:pPr>
        <w:widowControl w:val="0"/>
        <w:wordWrap/>
        <w:adjustRightInd/>
        <w:snapToGrid/>
        <w:spacing w:line="520" w:lineRule="exact"/>
        <w:ind w:left="0" w:leftChars="0" w:right="0" w:firstLine="539" w:firstLineChars="0"/>
        <w:jc w:val="both"/>
        <w:textAlignment w:val="auto"/>
        <w:outlineLvl w:val="9"/>
        <w:rPr>
          <w:rFonts w:hint="eastAsia" w:ascii="Times New Roman" w:hAnsi="Times New Roman" w:eastAsia="宋体" w:cs="Times New Roman"/>
          <w:color w:val="auto"/>
          <w:kern w:val="2"/>
          <w:szCs w:val="22"/>
        </w:rPr>
      </w:pPr>
      <w:r>
        <w:rPr>
          <w:rFonts w:hint="eastAsia" w:ascii="Times New Roman" w:hAnsi="Times New Roman" w:eastAsia="宋体" w:cs="Times New Roman"/>
          <w:color w:val="auto"/>
          <w:kern w:val="2"/>
          <w:szCs w:val="22"/>
        </w:rPr>
        <w:t>当</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1</w:t>
      </w:r>
      <w:r>
        <w:rPr>
          <w:rFonts w:hint="eastAsia" w:ascii="Times New Roman" w:hAnsi="Times New Roman" w:eastAsia="宋体" w:cs="Times New Roman"/>
          <w:color w:val="auto"/>
          <w:kern w:val="2"/>
          <w:szCs w:val="22"/>
        </w:rPr>
        <w:t>时，该项目环境风险潜势为</w:t>
      </w:r>
      <w:r>
        <w:rPr>
          <w:rFonts w:hint="eastAsia" w:ascii="宋体" w:hAnsi="宋体" w:eastAsia="宋体" w:cs="宋体"/>
          <w:color w:val="auto"/>
          <w:kern w:val="2"/>
          <w:szCs w:val="22"/>
        </w:rPr>
        <w:t>Ⅰ</w:t>
      </w:r>
      <w:r>
        <w:rPr>
          <w:rFonts w:hint="eastAsia" w:ascii="Times New Roman" w:hAnsi="Times New Roman" w:eastAsia="宋体" w:cs="Times New Roman"/>
          <w:color w:val="auto"/>
          <w:kern w:val="2"/>
          <w:szCs w:val="22"/>
        </w:rPr>
        <w:t>。</w:t>
      </w:r>
    </w:p>
    <w:p>
      <w:pPr>
        <w:widowControl w:val="0"/>
        <w:wordWrap/>
        <w:adjustRightInd/>
        <w:snapToGrid/>
        <w:spacing w:line="520" w:lineRule="exact"/>
        <w:ind w:left="0" w:leftChars="0" w:right="0" w:firstLine="539" w:firstLineChars="0"/>
        <w:jc w:val="both"/>
        <w:textAlignment w:val="auto"/>
        <w:outlineLvl w:val="9"/>
        <w:rPr>
          <w:rFonts w:hint="eastAsia" w:ascii="Times New Roman" w:hAnsi="Times New Roman" w:eastAsia="宋体" w:cs="Times New Roman"/>
          <w:color w:val="auto"/>
          <w:kern w:val="2"/>
          <w:szCs w:val="22"/>
          <w:lang w:eastAsia="zh-CN"/>
        </w:rPr>
      </w:pPr>
      <w:r>
        <w:rPr>
          <w:rFonts w:hint="eastAsia" w:ascii="Times New Roman" w:hAnsi="Times New Roman" w:eastAsia="宋体" w:cs="Times New Roman"/>
          <w:color w:val="auto"/>
          <w:kern w:val="2"/>
          <w:szCs w:val="22"/>
        </w:rPr>
        <w:t>当</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1</w:t>
      </w:r>
      <w:r>
        <w:rPr>
          <w:rFonts w:hint="eastAsia" w:ascii="Times New Roman" w:hAnsi="Times New Roman" w:eastAsia="宋体" w:cs="Times New Roman"/>
          <w:color w:val="auto"/>
          <w:kern w:val="2"/>
          <w:szCs w:val="22"/>
        </w:rPr>
        <w:t>时，将</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值划分为（</w:t>
      </w:r>
      <w:r>
        <w:rPr>
          <w:rFonts w:hint="eastAsia" w:ascii="Times New Roman" w:hAnsi="Times New Roman" w:eastAsia="宋体" w:cs="Times New Roman"/>
          <w:color w:val="auto"/>
          <w:kern w:val="2"/>
          <w:szCs w:val="22"/>
        </w:rPr>
        <w:t>1</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1</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10</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2</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10</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100</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3</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hint="eastAsia" w:ascii="Times New Roman" w:hAnsi="Times New Roman" w:eastAsia="宋体" w:cs="Times New Roman"/>
          <w:color w:val="auto"/>
          <w:kern w:val="2"/>
          <w:szCs w:val="22"/>
        </w:rPr>
        <w:t>100</w:t>
      </w:r>
      <w:r>
        <w:rPr>
          <w:rFonts w:hint="eastAsia" w:ascii="Times New Roman" w:hAnsi="Times New Roman" w:cs="Times New Roman"/>
          <w:color w:val="auto"/>
          <w:kern w:val="2"/>
          <w:szCs w:val="22"/>
          <w:lang w:val="en-US" w:eastAsia="zh-CN"/>
        </w:rPr>
        <w:t>。</w:t>
      </w:r>
    </w:p>
    <w:p>
      <w:pPr>
        <w:widowControl w:val="0"/>
        <w:wordWrap/>
        <w:adjustRightInd/>
        <w:snapToGrid/>
        <w:spacing w:line="520" w:lineRule="exact"/>
        <w:ind w:left="0" w:leftChars="0" w:right="0" w:firstLine="539" w:firstLineChars="0"/>
        <w:jc w:val="both"/>
        <w:textAlignment w:val="auto"/>
        <w:outlineLvl w:val="9"/>
        <w:rPr>
          <w:rFonts w:ascii="Times New Roman" w:hAnsi="Times New Roman" w:eastAsia="宋体" w:cs="Times New Roman"/>
          <w:color w:val="auto"/>
          <w:kern w:val="2"/>
          <w:szCs w:val="22"/>
        </w:rPr>
      </w:pPr>
      <w:r>
        <w:rPr>
          <w:rFonts w:hint="eastAsia" w:ascii="Times New Roman" w:cs="Times New Roman"/>
          <w:color w:val="auto"/>
          <w:kern w:val="2"/>
          <w:szCs w:val="22"/>
          <w:lang w:eastAsia="zh-CN"/>
        </w:rPr>
        <w:t>本项目</w:t>
      </w:r>
      <w:r>
        <w:rPr>
          <w:rFonts w:hint="eastAsia" w:ascii="Times New Roman" w:eastAsia="宋体" w:cs="Times New Roman"/>
          <w:color w:val="auto"/>
          <w:kern w:val="2"/>
          <w:szCs w:val="22"/>
          <w:lang w:eastAsia="zh-CN"/>
        </w:rPr>
        <w:t>主要</w:t>
      </w:r>
      <w:r>
        <w:rPr>
          <w:rFonts w:hint="eastAsia" w:ascii="Times New Roman" w:hAnsi="Times New Roman" w:eastAsia="宋体" w:cs="Times New Roman"/>
          <w:color w:val="auto"/>
          <w:kern w:val="2"/>
          <w:szCs w:val="22"/>
        </w:rPr>
        <w:t>危险物质</w:t>
      </w:r>
      <w:r>
        <w:rPr>
          <w:rFonts w:hint="eastAsia" w:ascii="Times New Roman" w:eastAsia="宋体" w:cs="Times New Roman"/>
          <w:color w:val="auto"/>
          <w:kern w:val="2"/>
          <w:szCs w:val="22"/>
          <w:lang w:eastAsia="zh-CN"/>
        </w:rPr>
        <w:t>厂内存在</w:t>
      </w:r>
      <w:r>
        <w:rPr>
          <w:rFonts w:hint="eastAsia" w:ascii="Times New Roman" w:hAnsi="Times New Roman" w:eastAsia="宋体" w:cs="Times New Roman"/>
          <w:color w:val="auto"/>
          <w:kern w:val="2"/>
          <w:szCs w:val="22"/>
        </w:rPr>
        <w:t>量与临界量比值（</w:t>
      </w:r>
      <w:r>
        <w:rPr>
          <w:rFonts w:hint="eastAsia" w:ascii="Times New Roman" w:hAnsi="Times New Roman" w:eastAsia="宋体" w:cs="Times New Roman"/>
          <w:color w:val="auto"/>
          <w:kern w:val="2"/>
          <w:szCs w:val="22"/>
        </w:rPr>
        <w:t>Q</w:t>
      </w:r>
      <w:r>
        <w:rPr>
          <w:rFonts w:hint="eastAsia" w:ascii="Times New Roman" w:hAnsi="Times New Roman" w:eastAsia="宋体" w:cs="Times New Roman"/>
          <w:color w:val="auto"/>
          <w:kern w:val="2"/>
          <w:szCs w:val="22"/>
        </w:rPr>
        <w:t>）</w:t>
      </w:r>
      <w:r>
        <w:rPr>
          <w:rFonts w:ascii="Times New Roman" w:hAnsi="Times New Roman" w:eastAsia="宋体" w:cs="Times New Roman"/>
          <w:color w:val="auto"/>
          <w:kern w:val="2"/>
          <w:szCs w:val="22"/>
        </w:rPr>
        <w:t>结果见表</w:t>
      </w:r>
      <w:r>
        <w:rPr>
          <w:rFonts w:hint="eastAsia" w:ascii="Times New Roman" w:hAnsi="Times New Roman" w:cs="Times New Roman"/>
          <w:color w:val="auto"/>
          <w:kern w:val="2"/>
          <w:szCs w:val="22"/>
          <w:lang w:val="en-US" w:eastAsia="zh-CN"/>
        </w:rPr>
        <w:t>6</w:t>
      </w:r>
      <w:r>
        <w:rPr>
          <w:rFonts w:hint="eastAsia" w:ascii="Times New Roman" w:hAnsi="Times New Roman" w:eastAsia="宋体" w:cs="Times New Roman"/>
          <w:color w:val="auto"/>
          <w:kern w:val="2"/>
          <w:szCs w:val="22"/>
          <w:lang w:val="en-US" w:eastAsia="zh-CN"/>
        </w:rPr>
        <w:t>.</w:t>
      </w:r>
      <w:r>
        <w:rPr>
          <w:rFonts w:hint="eastAsia" w:ascii="Times New Roman" w:hAnsi="Times New Roman" w:cs="Times New Roman"/>
          <w:color w:val="auto"/>
          <w:kern w:val="2"/>
          <w:szCs w:val="22"/>
          <w:lang w:val="en-US" w:eastAsia="zh-CN"/>
        </w:rPr>
        <w:t>9</w:t>
      </w:r>
      <w:r>
        <w:rPr>
          <w:rFonts w:hint="eastAsia" w:ascii="Times New Roman" w:eastAsia="宋体" w:cs="Times New Roman"/>
          <w:color w:val="auto"/>
          <w:kern w:val="2"/>
          <w:szCs w:val="22"/>
          <w:lang w:val="en-US" w:eastAsia="zh-CN"/>
        </w:rPr>
        <w:t>-</w:t>
      </w:r>
      <w:r>
        <w:rPr>
          <w:rFonts w:hint="eastAsia" w:ascii="Times New Roman" w:hAnsi="Times New Roman" w:cs="Times New Roman"/>
          <w:color w:val="auto"/>
          <w:kern w:val="2"/>
          <w:szCs w:val="22"/>
          <w:lang w:val="en-US" w:eastAsia="zh-CN"/>
        </w:rPr>
        <w:t>2</w:t>
      </w:r>
      <w:r>
        <w:rPr>
          <w:rFonts w:ascii="Times New Roman" w:hAnsi="Times New Roman" w:eastAsia="宋体" w:cs="Times New Roman"/>
          <w:color w:val="auto"/>
          <w:kern w:val="2"/>
          <w:szCs w:val="22"/>
        </w:rPr>
        <w:t>。</w:t>
      </w:r>
    </w:p>
    <w:p>
      <w:pPr>
        <w:widowControl w:val="0"/>
        <w:snapToGrid w:val="0"/>
        <w:spacing w:before="120" w:beforeLines="50" w:after="0" w:afterLines="0" w:line="360" w:lineRule="auto"/>
        <w:ind w:firstLine="0" w:firstLineChars="0"/>
        <w:jc w:val="center"/>
        <w:rPr>
          <w:rFonts w:ascii="Times New Roman" w:hAnsi="Times New Roman" w:eastAsia="宋体" w:cs="Times New Roman"/>
          <w:b/>
          <w:color w:val="auto"/>
          <w:kern w:val="0"/>
          <w:sz w:val="21"/>
          <w:szCs w:val="20"/>
          <w:lang w:val="en-US" w:eastAsia="zh-CN" w:bidi="ar-SA"/>
        </w:rPr>
      </w:pPr>
      <w:r>
        <w:rPr>
          <w:rFonts w:ascii="Times New Roman" w:hAnsi="Times New Roman" w:eastAsia="宋体" w:cs="Times New Roman"/>
          <w:b/>
          <w:color w:val="auto"/>
          <w:kern w:val="0"/>
          <w:sz w:val="21"/>
          <w:szCs w:val="20"/>
          <w:lang w:val="en-US" w:eastAsia="zh-CN" w:bidi="ar-SA"/>
        </w:rPr>
        <w:t>表</w:t>
      </w:r>
      <w:r>
        <w:rPr>
          <w:rFonts w:hint="eastAsia" w:ascii="Times New Roman" w:hAnsi="Times New Roman" w:cs="Times New Roman"/>
          <w:b/>
          <w:color w:val="auto"/>
          <w:kern w:val="0"/>
          <w:sz w:val="21"/>
          <w:szCs w:val="20"/>
          <w:lang w:val="en-US" w:eastAsia="zh-CN" w:bidi="ar-SA"/>
        </w:rPr>
        <w:t>6</w:t>
      </w:r>
      <w:r>
        <w:rPr>
          <w:rFonts w:hint="eastAsia" w:ascii="Times New Roman" w:hAnsi="Times New Roman" w:eastAsia="宋体" w:cs="Times New Roman"/>
          <w:b/>
          <w:color w:val="auto"/>
          <w:kern w:val="0"/>
          <w:sz w:val="21"/>
          <w:szCs w:val="20"/>
          <w:lang w:val="en-US" w:eastAsia="zh-CN" w:bidi="ar-SA"/>
        </w:rPr>
        <w:t>.</w:t>
      </w:r>
      <w:r>
        <w:rPr>
          <w:rFonts w:hint="eastAsia" w:ascii="Times New Roman" w:hAnsi="Times New Roman" w:cs="Times New Roman"/>
          <w:b/>
          <w:color w:val="auto"/>
          <w:kern w:val="0"/>
          <w:sz w:val="21"/>
          <w:szCs w:val="20"/>
          <w:lang w:val="en-US" w:eastAsia="zh-CN" w:bidi="ar-SA"/>
        </w:rPr>
        <w:t>9</w:t>
      </w:r>
      <w:r>
        <w:rPr>
          <w:rFonts w:hint="eastAsia" w:ascii="Times New Roman" w:hAnsi="Times New Roman" w:eastAsia="宋体" w:cs="Times New Roman"/>
          <w:b/>
          <w:color w:val="auto"/>
          <w:kern w:val="0"/>
          <w:sz w:val="21"/>
          <w:szCs w:val="20"/>
          <w:lang w:val="en-US" w:eastAsia="zh-CN" w:bidi="ar-SA"/>
        </w:rPr>
        <w:t>-</w:t>
      </w:r>
      <w:r>
        <w:rPr>
          <w:rFonts w:hint="eastAsia" w:ascii="Times New Roman" w:hAnsi="Times New Roman" w:cs="Times New Roman"/>
          <w:b/>
          <w:color w:val="auto"/>
          <w:kern w:val="0"/>
          <w:sz w:val="21"/>
          <w:szCs w:val="20"/>
          <w:lang w:val="en-US" w:eastAsia="zh-CN" w:bidi="ar-SA"/>
        </w:rPr>
        <w:t>2</w:t>
      </w:r>
      <w:r>
        <w:rPr>
          <w:rFonts w:ascii="Times New Roman" w:hAnsi="Times New Roman" w:eastAsia="宋体" w:cs="Times New Roman"/>
          <w:b/>
          <w:color w:val="auto"/>
          <w:kern w:val="0"/>
          <w:sz w:val="21"/>
          <w:szCs w:val="20"/>
          <w:lang w:val="en-US" w:eastAsia="zh-CN" w:bidi="ar-SA"/>
        </w:rPr>
        <w:t xml:space="preserve">    </w:t>
      </w:r>
      <w:r>
        <w:rPr>
          <w:rFonts w:hint="eastAsia" w:ascii="Times New Roman" w:hAnsi="Times New Roman" w:eastAsia="宋体" w:cs="Times New Roman"/>
          <w:b/>
          <w:color w:val="auto"/>
          <w:kern w:val="0"/>
          <w:sz w:val="21"/>
          <w:szCs w:val="20"/>
          <w:lang w:val="en-US" w:eastAsia="zh-CN" w:bidi="ar-SA"/>
        </w:rPr>
        <w:t>危险物质数量与临界量比值（</w:t>
      </w:r>
      <w:r>
        <w:rPr>
          <w:rFonts w:hint="eastAsia" w:ascii="Times New Roman" w:hAnsi="Times New Roman" w:eastAsia="宋体" w:cs="Times New Roman"/>
          <w:b/>
          <w:color w:val="auto"/>
          <w:kern w:val="0"/>
          <w:sz w:val="21"/>
          <w:szCs w:val="20"/>
          <w:lang w:val="en-US" w:eastAsia="zh-CN" w:bidi="ar-SA"/>
        </w:rPr>
        <w:t>Q</w:t>
      </w:r>
      <w:r>
        <w:rPr>
          <w:rFonts w:hint="eastAsia" w:ascii="Times New Roman" w:hAnsi="Times New Roman" w:eastAsia="宋体" w:cs="Times New Roman"/>
          <w:b/>
          <w:color w:val="auto"/>
          <w:kern w:val="0"/>
          <w:sz w:val="21"/>
          <w:szCs w:val="20"/>
          <w:lang w:val="en-US" w:eastAsia="zh-CN" w:bidi="ar-SA"/>
        </w:rPr>
        <w:t>）</w:t>
      </w:r>
    </w:p>
    <w:tbl>
      <w:tblPr>
        <w:tblStyle w:val="80"/>
        <w:tblW w:w="92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7"/>
        <w:gridCol w:w="2736"/>
        <w:gridCol w:w="1749"/>
        <w:gridCol w:w="2092"/>
        <w:gridCol w:w="18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857" w:type="dxa"/>
            <w:tcBorders>
              <w:bottom w:val="single" w:color="auto" w:sz="4" w:space="0"/>
              <w:right w:val="single" w:color="auto" w:sz="4" w:space="0"/>
            </w:tcBorders>
            <w:vAlign w:val="center"/>
          </w:tcPr>
          <w:p>
            <w:pPr>
              <w:widowControl w:val="0"/>
              <w:spacing w:before="0" w:after="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序号</w:t>
            </w:r>
          </w:p>
        </w:tc>
        <w:tc>
          <w:tcPr>
            <w:tcW w:w="2736" w:type="dxa"/>
            <w:tcBorders>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危险</w:t>
            </w:r>
            <w:r>
              <w:rPr>
                <w:rFonts w:ascii="Times New Roman" w:hAnsi="Times New Roman" w:eastAsia="宋体" w:cs="Times New Roman"/>
                <w:color w:val="auto"/>
                <w:kern w:val="0"/>
                <w:sz w:val="21"/>
                <w:szCs w:val="21"/>
                <w:lang w:val="en-US" w:eastAsia="zh-CN" w:bidi="ar-SA"/>
              </w:rPr>
              <w:t>物质名称</w:t>
            </w:r>
          </w:p>
        </w:tc>
        <w:tc>
          <w:tcPr>
            <w:tcW w:w="1749" w:type="dxa"/>
            <w:tcBorders>
              <w:left w:val="single" w:color="auto" w:sz="4" w:space="0"/>
              <w:bottom w:val="single" w:color="auto" w:sz="4" w:space="0"/>
              <w:right w:val="single" w:color="auto" w:sz="4" w:space="0"/>
            </w:tcBorders>
            <w:vAlign w:val="center"/>
          </w:tcPr>
          <w:p>
            <w:pPr>
              <w:widowControl w:val="0"/>
              <w:spacing w:before="0" w:after="0" w:line="240" w:lineRule="auto"/>
              <w:ind w:firstLine="0"/>
              <w:jc w:val="center"/>
              <w:rPr>
                <w:rFonts w:ascii="Times New Roman" w:hAnsi="Times New Roman" w:eastAsia="宋体" w:cs="Times New Roman"/>
                <w:color w:val="auto"/>
                <w:kern w:val="0"/>
                <w:sz w:val="21"/>
                <w:szCs w:val="21"/>
                <w:lang w:val="en-US" w:eastAsia="zh-CN"/>
              </w:rPr>
            </w:pPr>
            <w:r>
              <w:rPr>
                <w:rFonts w:ascii="Times New Roman" w:hAnsi="Times New Roman" w:eastAsia="宋体" w:cs="Times New Roman"/>
                <w:color w:val="auto"/>
                <w:kern w:val="0"/>
                <w:sz w:val="21"/>
                <w:szCs w:val="21"/>
                <w:lang w:val="en-US" w:eastAsia="zh-CN"/>
              </w:rPr>
              <w:t>临界量(</w:t>
            </w:r>
            <w:r>
              <w:rPr>
                <w:rFonts w:ascii="Times New Roman" w:hAnsi="Times New Roman" w:eastAsia="宋体" w:cs="Times New Roman"/>
                <w:color w:val="auto"/>
                <w:kern w:val="0"/>
                <w:sz w:val="21"/>
                <w:szCs w:val="21"/>
                <w:lang w:val="en-US" w:eastAsia="zh-CN"/>
              </w:rPr>
              <w:t>t</w:t>
            </w:r>
            <w:r>
              <w:rPr>
                <w:rFonts w:ascii="Times New Roman" w:hAnsi="Times New Roman" w:eastAsia="宋体" w:cs="Times New Roman"/>
                <w:color w:val="auto"/>
                <w:kern w:val="0"/>
                <w:sz w:val="21"/>
                <w:szCs w:val="21"/>
                <w:lang w:val="en-US" w:eastAsia="zh-CN"/>
              </w:rPr>
              <w:t>)</w:t>
            </w:r>
          </w:p>
        </w:tc>
        <w:tc>
          <w:tcPr>
            <w:tcW w:w="2092" w:type="dxa"/>
            <w:tcBorders>
              <w:left w:val="single" w:color="auto" w:sz="4" w:space="0"/>
              <w:bottom w:val="single" w:color="auto" w:sz="4" w:space="0"/>
              <w:right w:val="single" w:color="auto" w:sz="4" w:space="0"/>
            </w:tcBorders>
            <w:vAlign w:val="center"/>
          </w:tcPr>
          <w:p>
            <w:pPr>
              <w:widowControl w:val="0"/>
              <w:spacing w:before="0" w:after="0" w:line="240" w:lineRule="auto"/>
              <w:ind w:firstLine="0"/>
              <w:jc w:val="center"/>
              <w:rPr>
                <w:rFonts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最大</w:t>
            </w:r>
            <w:r>
              <w:rPr>
                <w:rFonts w:hint="eastAsia" w:ascii="Times New Roman" w:eastAsia="宋体" w:cs="Times New Roman"/>
                <w:color w:val="auto"/>
                <w:kern w:val="0"/>
                <w:sz w:val="21"/>
                <w:szCs w:val="21"/>
                <w:lang w:val="en-US" w:eastAsia="zh-CN"/>
              </w:rPr>
              <w:t>存储</w:t>
            </w:r>
            <w:r>
              <w:rPr>
                <w:rFonts w:ascii="Times New Roman" w:hAnsi="Times New Roman" w:eastAsia="宋体" w:cs="Times New Roman"/>
                <w:color w:val="auto"/>
                <w:kern w:val="0"/>
                <w:sz w:val="21"/>
                <w:szCs w:val="21"/>
                <w:lang w:val="en-US" w:eastAsia="zh-CN"/>
              </w:rPr>
              <w:t>量(</w:t>
            </w:r>
            <w:r>
              <w:rPr>
                <w:rFonts w:ascii="Times New Roman" w:hAnsi="Times New Roman" w:eastAsia="宋体" w:cs="Times New Roman"/>
                <w:color w:val="auto"/>
                <w:kern w:val="0"/>
                <w:sz w:val="21"/>
                <w:szCs w:val="21"/>
                <w:lang w:val="en-US" w:eastAsia="zh-CN"/>
              </w:rPr>
              <w:t>t</w:t>
            </w:r>
            <w:r>
              <w:rPr>
                <w:rFonts w:ascii="Times New Roman" w:hAnsi="Times New Roman" w:eastAsia="宋体" w:cs="Times New Roman"/>
                <w:color w:val="auto"/>
                <w:kern w:val="0"/>
                <w:sz w:val="21"/>
                <w:szCs w:val="21"/>
                <w:lang w:val="en-US" w:eastAsia="zh-CN"/>
              </w:rPr>
              <w:t>)</w:t>
            </w:r>
          </w:p>
        </w:tc>
        <w:tc>
          <w:tcPr>
            <w:tcW w:w="1823" w:type="dxa"/>
            <w:tcBorders>
              <w:left w:val="single" w:color="auto" w:sz="4" w:space="0"/>
              <w:bottom w:val="single" w:color="auto" w:sz="4" w:space="0"/>
            </w:tcBorders>
            <w:vAlign w:val="center"/>
          </w:tcPr>
          <w:p>
            <w:pPr>
              <w:widowControl w:val="0"/>
              <w:spacing w:before="0" w:after="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q</w:t>
            </w:r>
            <w:r>
              <w:rPr>
                <w:rFonts w:hint="eastAsia" w:ascii="Times New Roman" w:hAnsi="Times New Roman" w:eastAsia="宋体" w:cs="Times New Roman"/>
                <w:color w:val="auto"/>
                <w:kern w:val="0"/>
                <w:sz w:val="21"/>
                <w:szCs w:val="21"/>
                <w:lang w:val="en-US" w:eastAsia="zh-CN" w:bidi="ar-SA"/>
              </w:rPr>
              <w:t>n</w:t>
            </w:r>
            <w:r>
              <w:rPr>
                <w:rFonts w:ascii="Times New Roman" w:hAnsi="Times New Roman" w:eastAsia="宋体" w:cs="Times New Roman"/>
                <w:color w:val="auto"/>
                <w:kern w:val="0"/>
                <w:sz w:val="21"/>
                <w:szCs w:val="21"/>
                <w:lang w:val="en-US" w:eastAsia="zh-CN" w:bidi="ar-SA"/>
              </w:rPr>
              <w:t>/</w:t>
            </w:r>
            <w:r>
              <w:rPr>
                <w:rFonts w:ascii="Times New Roman" w:hAnsi="Times New Roman" w:eastAsia="宋体" w:cs="Times New Roman"/>
                <w:color w:val="auto"/>
                <w:kern w:val="0"/>
                <w:sz w:val="21"/>
                <w:szCs w:val="21"/>
                <w:lang w:val="en-US" w:eastAsia="zh-CN" w:bidi="ar-SA"/>
              </w:rPr>
              <w:t>Q</w:t>
            </w:r>
            <w:r>
              <w:rPr>
                <w:rFonts w:hint="eastAsia" w:ascii="Times New Roman" w:hAnsi="Times New Roman" w:eastAsia="宋体" w:cs="Times New Roman"/>
                <w:color w:val="auto"/>
                <w:kern w:val="0"/>
                <w:sz w:val="21"/>
                <w:szCs w:val="21"/>
                <w:lang w:val="en-US" w:eastAsia="zh-CN" w:bidi="ar-SA"/>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57" w:type="dxa"/>
            <w:tcBorders>
              <w:top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w:t>
            </w:r>
          </w:p>
        </w:tc>
        <w:tc>
          <w:tcPr>
            <w:tcW w:w="2736"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PD</w:t>
            </w:r>
          </w:p>
        </w:tc>
        <w:tc>
          <w:tcPr>
            <w:tcW w:w="1749"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7</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5</w:t>
            </w:r>
          </w:p>
        </w:tc>
        <w:tc>
          <w:tcPr>
            <w:tcW w:w="2092"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729</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2</w:t>
            </w:r>
          </w:p>
        </w:tc>
        <w:tc>
          <w:tcPr>
            <w:tcW w:w="1823" w:type="dxa"/>
            <w:tcBorders>
              <w:top w:val="single" w:color="auto" w:sz="4" w:space="0"/>
              <w:left w:val="single" w:color="auto" w:sz="4" w:space="0"/>
              <w:bottom w:val="single" w:color="auto" w:sz="4" w:space="0"/>
            </w:tcBorders>
            <w:vAlign w:val="center"/>
          </w:tcPr>
          <w:p>
            <w:pPr>
              <w:widowControl w:val="0"/>
              <w:spacing w:before="0"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97</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57" w:type="dxa"/>
            <w:tcBorders>
              <w:top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p>
        </w:tc>
        <w:tc>
          <w:tcPr>
            <w:tcW w:w="2736"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eastAsia"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氨水（浓度≥</w:t>
            </w:r>
            <w:r>
              <w:rPr>
                <w:rFonts w:hint="eastAsia" w:ascii="Times New Roman" w:hAnsi="Times New Roman" w:cs="Times New Roman"/>
                <w:color w:val="auto"/>
                <w:kern w:val="0"/>
                <w:sz w:val="21"/>
                <w:szCs w:val="21"/>
                <w:lang w:val="en-US" w:eastAsia="zh-CN" w:bidi="ar-SA"/>
              </w:rPr>
              <w:t>20</w:t>
            </w:r>
            <w:r>
              <w:rPr>
                <w:rFonts w:hint="eastAsia" w:ascii="Times New Roman" w:cs="Times New Roman"/>
                <w:color w:val="auto"/>
                <w:kern w:val="0"/>
                <w:sz w:val="21"/>
                <w:szCs w:val="21"/>
                <w:lang w:val="en-US" w:eastAsia="zh-CN" w:bidi="ar-SA"/>
              </w:rPr>
              <w:t>%）</w:t>
            </w:r>
          </w:p>
        </w:tc>
        <w:tc>
          <w:tcPr>
            <w:tcW w:w="1749"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w:t>
            </w:r>
          </w:p>
        </w:tc>
        <w:tc>
          <w:tcPr>
            <w:tcW w:w="2092"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293</w:t>
            </w:r>
          </w:p>
        </w:tc>
        <w:tc>
          <w:tcPr>
            <w:tcW w:w="1823" w:type="dxa"/>
            <w:tcBorders>
              <w:top w:val="single" w:color="auto" w:sz="4" w:space="0"/>
              <w:left w:val="single" w:color="auto" w:sz="4" w:space="0"/>
              <w:bottom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29</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57" w:type="dxa"/>
            <w:tcBorders>
              <w:top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3</w:t>
            </w:r>
          </w:p>
        </w:tc>
        <w:tc>
          <w:tcPr>
            <w:tcW w:w="2736"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eastAsia"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硫酸铵</w:t>
            </w:r>
          </w:p>
        </w:tc>
        <w:tc>
          <w:tcPr>
            <w:tcW w:w="1749"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10</w:t>
            </w:r>
          </w:p>
        </w:tc>
        <w:tc>
          <w:tcPr>
            <w:tcW w:w="2092"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15</w:t>
            </w:r>
          </w:p>
        </w:tc>
        <w:tc>
          <w:tcPr>
            <w:tcW w:w="1823" w:type="dxa"/>
            <w:tcBorders>
              <w:top w:val="single" w:color="auto" w:sz="4" w:space="0"/>
              <w:left w:val="single" w:color="auto" w:sz="4" w:space="0"/>
              <w:bottom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857" w:type="dxa"/>
            <w:tcBorders>
              <w:top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w:t>
            </w:r>
          </w:p>
        </w:tc>
        <w:tc>
          <w:tcPr>
            <w:tcW w:w="2736"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eastAsia" w:ascii="Times New Roman"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氨气</w:t>
            </w:r>
          </w:p>
        </w:tc>
        <w:tc>
          <w:tcPr>
            <w:tcW w:w="1749"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w:t>
            </w:r>
          </w:p>
        </w:tc>
        <w:tc>
          <w:tcPr>
            <w:tcW w:w="2092" w:type="dxa"/>
            <w:tcBorders>
              <w:top w:val="single" w:color="auto" w:sz="4" w:space="0"/>
              <w:left w:val="single" w:color="auto" w:sz="4" w:space="0"/>
              <w:bottom w:val="single" w:color="auto" w:sz="4" w:space="0"/>
              <w:right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823" w:type="dxa"/>
            <w:tcBorders>
              <w:top w:val="single" w:color="auto" w:sz="4" w:space="0"/>
              <w:left w:val="single" w:color="auto" w:sz="4" w:space="0"/>
              <w:bottom w:val="single" w:color="auto" w:sz="4" w:space="0"/>
            </w:tcBorders>
            <w:vAlign w:val="center"/>
          </w:tcPr>
          <w:p>
            <w:pPr>
              <w:widowControl w:val="0"/>
              <w:spacing w:before="0" w:after="0" w:line="240" w:lineRule="auto"/>
              <w:ind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7434" w:type="dxa"/>
            <w:gridSpan w:val="4"/>
            <w:tcBorders>
              <w:top w:val="single" w:color="auto" w:sz="4" w:space="0"/>
              <w:right w:val="single" w:color="auto" w:sz="4" w:space="0"/>
            </w:tcBorders>
            <w:vAlign w:val="center"/>
          </w:tcPr>
          <w:p>
            <w:pPr>
              <w:widowControl w:val="0"/>
              <w:spacing w:before="0" w:after="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合计</w:t>
            </w:r>
          </w:p>
        </w:tc>
        <w:tc>
          <w:tcPr>
            <w:tcW w:w="1823" w:type="dxa"/>
            <w:tcBorders>
              <w:top w:val="single" w:color="auto" w:sz="4" w:space="0"/>
              <w:left w:val="single" w:color="auto" w:sz="4" w:space="0"/>
            </w:tcBorders>
            <w:vAlign w:val="center"/>
          </w:tcPr>
          <w:p>
            <w:pPr>
              <w:widowControl w:val="0"/>
              <w:spacing w:before="0" w:after="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128</w:t>
            </w:r>
            <w:r>
              <w:rPr>
                <w:rFonts w:hint="eastAsia"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2</w:t>
            </w:r>
          </w:p>
        </w:tc>
      </w:tr>
    </w:tbl>
    <w:p>
      <w:pPr>
        <w:rPr>
          <w:rFonts w:hint="eastAsia"/>
        </w:rPr>
      </w:pPr>
      <w:r>
        <w:rPr>
          <w:rFonts w:hint="eastAsia"/>
        </w:rPr>
        <w:t>（</w:t>
      </w:r>
      <w:r>
        <w:rPr>
          <w:rFonts w:hint="eastAsia" w:ascii="Times New Roman" w:hAnsi="Times New Roman"/>
        </w:rPr>
        <w:t>2</w:t>
      </w:r>
      <w:r>
        <w:rPr>
          <w:rFonts w:hint="eastAsia"/>
        </w:rPr>
        <w:t>）行业及生产工艺（</w:t>
      </w:r>
      <w:r>
        <w:rPr>
          <w:rFonts w:hint="eastAsia" w:ascii="Times New Roman" w:hAnsi="Times New Roman"/>
        </w:rPr>
        <w:t>M</w:t>
      </w:r>
      <w:r>
        <w:rPr>
          <w:rFonts w:hint="eastAsia"/>
        </w:rPr>
        <w:t>）</w:t>
      </w:r>
    </w:p>
    <w:p>
      <w:pPr>
        <w:ind w:firstLine="480" w:firstLineChars="200"/>
        <w:rPr>
          <w:rFonts w:hint="default" w:ascii="Times New Roman" w:eastAsia="宋体"/>
          <w:lang w:val="en-US" w:eastAsia="zh-CN"/>
        </w:rPr>
      </w:pPr>
      <w:r>
        <w:rPr>
          <w:rFonts w:hint="eastAsia" w:ascii="Times New Roman"/>
        </w:rPr>
        <w:t>具有多套工艺单元的项目，对每套生产工艺分别评分并求和。将</w:t>
      </w:r>
      <w:r>
        <w:rPr>
          <w:rFonts w:hint="eastAsia" w:ascii="Times New Roman" w:hAnsi="Times New Roman"/>
        </w:rPr>
        <w:t>M</w:t>
      </w:r>
      <w:r>
        <w:rPr>
          <w:rFonts w:hint="eastAsia" w:ascii="Times New Roman"/>
        </w:rPr>
        <w:t>划分为（</w:t>
      </w:r>
      <w:r>
        <w:rPr>
          <w:rFonts w:hint="eastAsia" w:ascii="Times New Roman" w:hAnsi="Times New Roman"/>
        </w:rPr>
        <w:t>1</w:t>
      </w:r>
      <w:r>
        <w:rPr>
          <w:rFonts w:hint="eastAsia" w:ascii="Times New Roman"/>
        </w:rPr>
        <w:t>）</w:t>
      </w:r>
      <w:r>
        <w:rPr>
          <w:rFonts w:hint="eastAsia" w:ascii="Times New Roman" w:hAnsi="Times New Roman"/>
        </w:rPr>
        <w:t>M</w:t>
      </w:r>
      <w:r>
        <w:rPr>
          <w:rFonts w:hint="eastAsia" w:ascii="Times New Roman"/>
        </w:rPr>
        <w:t>＞</w:t>
      </w:r>
      <w:r>
        <w:rPr>
          <w:rFonts w:hint="eastAsia" w:ascii="Times New Roman" w:hAnsi="Times New Roman"/>
        </w:rPr>
        <w:t>20</w:t>
      </w:r>
      <w:r>
        <w:rPr>
          <w:rFonts w:hint="eastAsia" w:ascii="Times New Roman"/>
        </w:rPr>
        <w:t>；（</w:t>
      </w:r>
      <w:r>
        <w:rPr>
          <w:rFonts w:hint="eastAsia" w:ascii="Times New Roman" w:hAnsi="Times New Roman"/>
        </w:rPr>
        <w:t>2</w:t>
      </w:r>
      <w:r>
        <w:rPr>
          <w:rFonts w:hint="eastAsia" w:ascii="Times New Roman"/>
        </w:rPr>
        <w:t>）</w:t>
      </w:r>
      <w:r>
        <w:rPr>
          <w:rFonts w:hint="eastAsia" w:ascii="Times New Roman" w:hAnsi="Times New Roman"/>
        </w:rPr>
        <w:t>10</w:t>
      </w:r>
      <w:r>
        <w:rPr>
          <w:rFonts w:hint="eastAsia" w:ascii="Times New Roman"/>
        </w:rPr>
        <w:t>＜</w:t>
      </w:r>
      <w:r>
        <w:rPr>
          <w:rFonts w:hint="eastAsia" w:ascii="Times New Roman" w:hAnsi="Times New Roman"/>
        </w:rPr>
        <w:t>M</w:t>
      </w:r>
      <w:r>
        <w:rPr>
          <w:rFonts w:hint="eastAsia" w:ascii="Times New Roman"/>
        </w:rPr>
        <w:t>≤</w:t>
      </w:r>
      <w:r>
        <w:rPr>
          <w:rFonts w:hint="eastAsia" w:ascii="Times New Roman" w:hAnsi="Times New Roman"/>
        </w:rPr>
        <w:t>20</w:t>
      </w:r>
      <w:r>
        <w:rPr>
          <w:rFonts w:hint="eastAsia" w:ascii="Times New Roman"/>
        </w:rPr>
        <w:t>；（</w:t>
      </w:r>
      <w:r>
        <w:rPr>
          <w:rFonts w:hint="eastAsia" w:ascii="Times New Roman" w:hAnsi="Times New Roman"/>
        </w:rPr>
        <w:t>3</w:t>
      </w:r>
      <w:r>
        <w:rPr>
          <w:rFonts w:hint="eastAsia" w:ascii="Times New Roman"/>
        </w:rPr>
        <w:t>）</w:t>
      </w:r>
      <w:r>
        <w:rPr>
          <w:rFonts w:hint="eastAsia" w:ascii="Times New Roman" w:hAnsi="Times New Roman"/>
        </w:rPr>
        <w:t>5</w:t>
      </w:r>
      <w:r>
        <w:rPr>
          <w:rFonts w:hint="eastAsia" w:ascii="Times New Roman"/>
        </w:rPr>
        <w:t>＜</w:t>
      </w:r>
      <w:r>
        <w:rPr>
          <w:rFonts w:hint="eastAsia" w:ascii="Times New Roman" w:hAnsi="Times New Roman"/>
        </w:rPr>
        <w:t>M</w:t>
      </w:r>
      <w:r>
        <w:rPr>
          <w:rFonts w:hint="eastAsia" w:ascii="Times New Roman"/>
        </w:rPr>
        <w:t>≤</w:t>
      </w:r>
      <w:r>
        <w:rPr>
          <w:rFonts w:hint="eastAsia" w:ascii="Times New Roman" w:hAnsi="Times New Roman"/>
        </w:rPr>
        <w:t>10</w:t>
      </w:r>
      <w:r>
        <w:rPr>
          <w:rFonts w:hint="eastAsia" w:ascii="Times New Roman"/>
        </w:rPr>
        <w:t>；（</w:t>
      </w:r>
      <w:r>
        <w:rPr>
          <w:rFonts w:hint="eastAsia" w:ascii="Times New Roman" w:hAnsi="Times New Roman"/>
        </w:rPr>
        <w:t>4</w:t>
      </w:r>
      <w:r>
        <w:rPr>
          <w:rFonts w:hint="eastAsia" w:ascii="Times New Roman"/>
        </w:rPr>
        <w:t>）</w:t>
      </w:r>
      <w:r>
        <w:rPr>
          <w:rFonts w:hint="eastAsia" w:ascii="Times New Roman" w:hAnsi="Times New Roman"/>
        </w:rPr>
        <w:t>M</w:t>
      </w:r>
      <w:r>
        <w:rPr>
          <w:rFonts w:hint="eastAsia" w:ascii="Times New Roman"/>
        </w:rPr>
        <w:t>=</w:t>
      </w:r>
      <w:r>
        <w:rPr>
          <w:rFonts w:hint="eastAsia" w:ascii="Times New Roman" w:hAnsi="Times New Roman"/>
        </w:rPr>
        <w:t>5</w:t>
      </w:r>
      <w:r>
        <w:rPr>
          <w:rFonts w:hint="eastAsia" w:ascii="Times New Roman"/>
        </w:rPr>
        <w:t>，分别以</w:t>
      </w:r>
      <w:r>
        <w:rPr>
          <w:rFonts w:hint="eastAsia" w:ascii="Times New Roman" w:hAnsi="Times New Roman"/>
        </w:rPr>
        <w:t>M1</w:t>
      </w:r>
      <w:r>
        <w:rPr>
          <w:rFonts w:hint="eastAsia" w:ascii="Times New Roman"/>
        </w:rPr>
        <w:t>、</w:t>
      </w:r>
      <w:r>
        <w:rPr>
          <w:rFonts w:hint="eastAsia" w:ascii="Times New Roman" w:hAnsi="Times New Roman"/>
        </w:rPr>
        <w:t>M2</w:t>
      </w:r>
      <w:r>
        <w:rPr>
          <w:rFonts w:hint="eastAsia" w:ascii="Times New Roman"/>
        </w:rPr>
        <w:t>、</w:t>
      </w:r>
      <w:r>
        <w:rPr>
          <w:rFonts w:hint="eastAsia" w:ascii="Times New Roman" w:hAnsi="Times New Roman"/>
        </w:rPr>
        <w:t>M3</w:t>
      </w:r>
      <w:r>
        <w:rPr>
          <w:rFonts w:hint="eastAsia" w:ascii="Times New Roman"/>
        </w:rPr>
        <w:t>和</w:t>
      </w:r>
      <w:r>
        <w:rPr>
          <w:rFonts w:hint="eastAsia" w:ascii="Times New Roman" w:hAnsi="Times New Roman"/>
        </w:rPr>
        <w:t>M4</w:t>
      </w:r>
      <w:r>
        <w:rPr>
          <w:rFonts w:hint="eastAsia" w:ascii="Times New Roman"/>
        </w:rPr>
        <w:t>表示。</w:t>
      </w:r>
      <w:r>
        <w:rPr>
          <w:rFonts w:hint="eastAsia" w:ascii="Times New Roman"/>
          <w:lang w:eastAsia="zh-CN"/>
        </w:rPr>
        <w:t>具体见表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9</w:t>
      </w:r>
      <w:r>
        <w:rPr>
          <w:rFonts w:hint="eastAsia" w:ascii="Times New Roman"/>
          <w:lang w:val="en-US" w:eastAsia="zh-CN"/>
        </w:rPr>
        <w:t>-</w:t>
      </w:r>
      <w:r>
        <w:rPr>
          <w:rFonts w:hint="eastAsia" w:ascii="Times New Roman" w:hAnsi="Times New Roman"/>
          <w:lang w:val="en-US" w:eastAsia="zh-CN"/>
        </w:rPr>
        <w:t>3</w:t>
      </w:r>
      <w:r>
        <w:rPr>
          <w:rFonts w:hint="eastAsia" w:ascii="Times New Roman"/>
          <w:lang w:val="en-US" w:eastAsia="zh-CN"/>
        </w:rPr>
        <w:t>。</w:t>
      </w:r>
    </w:p>
    <w:p>
      <w:pPr>
        <w:pStyle w:val="20"/>
        <w:snapToGrid w:val="0"/>
        <w:spacing w:before="165"/>
        <w:rPr>
          <w:rFonts w:hint="eastAsia" w:ascii="Times New Roman" w:hAnsi="Times New Roman"/>
        </w:rPr>
      </w:pPr>
      <w:r>
        <w:rPr>
          <w:rFonts w:ascii="Times New Roman" w:hAnsi="Times New Roman"/>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3</w:t>
      </w:r>
      <w:r>
        <w:rPr>
          <w:rFonts w:ascii="Times New Roman" w:hAnsi="Times New Roman"/>
        </w:rPr>
        <w:t xml:space="preserve">  </w:t>
      </w:r>
      <w:r>
        <w:rPr>
          <w:rFonts w:hint="eastAsia" w:ascii="Times New Roman" w:hAnsi="Times New Roman"/>
        </w:rPr>
        <w:t>行业及生产工艺（</w:t>
      </w:r>
      <w:r>
        <w:rPr>
          <w:rFonts w:hint="eastAsia" w:ascii="Times New Roman" w:hAnsi="Times New Roman"/>
        </w:rPr>
        <w:t>M</w:t>
      </w:r>
      <w:r>
        <w:rPr>
          <w:rFonts w:hint="eastAsia" w:ascii="Times New Roman" w:hAnsi="Times New Roman"/>
        </w:rPr>
        <w:t>）</w:t>
      </w:r>
    </w:p>
    <w:tbl>
      <w:tblPr>
        <w:tblStyle w:val="81"/>
        <w:tblW w:w="92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6102"/>
        <w:gridCol w:w="1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52" w:type="dxa"/>
            <w:noWrap w:val="0"/>
            <w:vAlign w:val="center"/>
          </w:tcPr>
          <w:p>
            <w:pPr>
              <w:spacing w:line="280" w:lineRule="exact"/>
              <w:ind w:firstLine="0"/>
              <w:jc w:val="center"/>
              <w:rPr>
                <w:rFonts w:ascii="Times New Roman"/>
                <w:sz w:val="21"/>
                <w:szCs w:val="21"/>
              </w:rPr>
            </w:pPr>
            <w:r>
              <w:rPr>
                <w:rFonts w:ascii="Times New Roman"/>
                <w:sz w:val="21"/>
                <w:szCs w:val="21"/>
              </w:rPr>
              <w:t>行业</w:t>
            </w:r>
          </w:p>
        </w:tc>
        <w:tc>
          <w:tcPr>
            <w:tcW w:w="6102" w:type="dxa"/>
            <w:noWrap w:val="0"/>
            <w:vAlign w:val="center"/>
          </w:tcPr>
          <w:p>
            <w:pPr>
              <w:spacing w:line="280" w:lineRule="exact"/>
              <w:ind w:firstLine="0"/>
              <w:jc w:val="center"/>
              <w:rPr>
                <w:rFonts w:ascii="Times New Roman"/>
                <w:sz w:val="21"/>
                <w:szCs w:val="21"/>
              </w:rPr>
            </w:pPr>
            <w:r>
              <w:rPr>
                <w:rFonts w:ascii="Times New Roman"/>
                <w:sz w:val="21"/>
                <w:szCs w:val="21"/>
              </w:rPr>
              <w:t>评估依据</w:t>
            </w:r>
          </w:p>
        </w:tc>
        <w:tc>
          <w:tcPr>
            <w:tcW w:w="1224" w:type="dxa"/>
            <w:noWrap w:val="0"/>
            <w:vAlign w:val="center"/>
          </w:tcPr>
          <w:p>
            <w:pPr>
              <w:spacing w:line="280" w:lineRule="exact"/>
              <w:ind w:firstLine="0"/>
              <w:jc w:val="center"/>
              <w:rPr>
                <w:rFonts w:ascii="Times New Roman"/>
                <w:sz w:val="21"/>
                <w:szCs w:val="21"/>
              </w:rPr>
            </w:pPr>
            <w:r>
              <w:rPr>
                <w:rFonts w:ascii="Times New Roman"/>
                <w:sz w:val="21"/>
                <w:szCs w:val="21"/>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2" w:type="dxa"/>
            <w:vMerge w:val="restart"/>
            <w:noWrap w:val="0"/>
            <w:vAlign w:val="center"/>
          </w:tcPr>
          <w:p>
            <w:pPr>
              <w:spacing w:line="280" w:lineRule="exact"/>
              <w:ind w:firstLine="0"/>
              <w:jc w:val="left"/>
              <w:rPr>
                <w:rFonts w:ascii="Times New Roman"/>
                <w:sz w:val="21"/>
                <w:szCs w:val="21"/>
              </w:rPr>
            </w:pPr>
            <w:r>
              <w:rPr>
                <w:rFonts w:ascii="Times New Roman"/>
                <w:sz w:val="21"/>
                <w:szCs w:val="21"/>
              </w:rPr>
              <w:t>石化、化工、医药、轻工、化纤、有色冶炼等</w:t>
            </w:r>
          </w:p>
        </w:tc>
        <w:tc>
          <w:tcPr>
            <w:tcW w:w="6102" w:type="dxa"/>
            <w:noWrap w:val="0"/>
            <w:vAlign w:val="center"/>
          </w:tcPr>
          <w:p>
            <w:pPr>
              <w:spacing w:line="280" w:lineRule="exact"/>
              <w:ind w:firstLine="0"/>
              <w:jc w:val="left"/>
              <w:rPr>
                <w:rFonts w:ascii="Times New Roman"/>
                <w:sz w:val="21"/>
                <w:szCs w:val="21"/>
              </w:rPr>
            </w:pPr>
            <w:r>
              <w:rPr>
                <w:rFonts w:ascii="Times New Roman"/>
                <w:sz w:val="21"/>
                <w:szCs w:val="21"/>
              </w:rPr>
              <w:t>涉及光气及光气化工艺、电解工艺(氯碱)、氯化工艺、硝化工艺、合成氨工艺、裂解（裂化）工艺、氟化工艺、加氢工艺、重氮化工艺、</w:t>
            </w:r>
            <w:r>
              <w:rPr>
                <w:rFonts w:ascii="Times New Roman"/>
                <w:b w:val="0"/>
                <w:bCs w:val="0"/>
                <w:color w:val="auto"/>
                <w:sz w:val="21"/>
                <w:szCs w:val="21"/>
              </w:rPr>
              <w:t>氧化工艺、</w:t>
            </w:r>
            <w:r>
              <w:rPr>
                <w:rFonts w:ascii="Times New Roman"/>
                <w:sz w:val="21"/>
                <w:szCs w:val="21"/>
              </w:rPr>
              <w:t>过氧化工艺、胺基化工艺、磺化工艺</w:t>
            </w:r>
            <w:r>
              <w:rPr>
                <w:rFonts w:ascii="Times New Roman"/>
                <w:b w:val="0"/>
                <w:bCs w:val="0"/>
                <w:sz w:val="21"/>
                <w:szCs w:val="21"/>
              </w:rPr>
              <w:t>、聚合工艺、</w:t>
            </w:r>
            <w:r>
              <w:rPr>
                <w:rFonts w:ascii="Times New Roman"/>
                <w:sz w:val="21"/>
                <w:szCs w:val="21"/>
              </w:rPr>
              <w:t>烷基化工艺、新型煤化工工艺、电石生产工艺、偶氮化工艺</w:t>
            </w:r>
          </w:p>
        </w:tc>
        <w:tc>
          <w:tcPr>
            <w:tcW w:w="1224" w:type="dxa"/>
            <w:noWrap w:val="0"/>
            <w:vAlign w:val="center"/>
          </w:tcPr>
          <w:p>
            <w:pPr>
              <w:spacing w:line="280" w:lineRule="exact"/>
              <w:ind w:firstLine="0"/>
              <w:jc w:val="center"/>
              <w:rPr>
                <w:rFonts w:ascii="Times New Roman"/>
                <w:sz w:val="21"/>
                <w:szCs w:val="21"/>
              </w:rPr>
            </w:pPr>
            <w:r>
              <w:rPr>
                <w:rFonts w:ascii="Times New Roman" w:hAnsi="Times New Roman"/>
                <w:sz w:val="21"/>
                <w:szCs w:val="21"/>
              </w:rPr>
              <w:t>10</w:t>
            </w:r>
            <w:r>
              <w:rPr>
                <w:rFonts w:ascii="Times New Roman"/>
                <w:sz w:val="21"/>
                <w:szCs w:val="2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952" w:type="dxa"/>
            <w:vMerge w:val="continue"/>
            <w:noWrap w:val="0"/>
            <w:vAlign w:val="center"/>
          </w:tcPr>
          <w:p>
            <w:pPr>
              <w:spacing w:line="280" w:lineRule="exact"/>
              <w:ind w:firstLine="0"/>
              <w:jc w:val="left"/>
              <w:rPr>
                <w:rFonts w:ascii="Times New Roman"/>
                <w:sz w:val="21"/>
                <w:szCs w:val="21"/>
              </w:rPr>
            </w:pPr>
          </w:p>
        </w:tc>
        <w:tc>
          <w:tcPr>
            <w:tcW w:w="6102" w:type="dxa"/>
            <w:noWrap w:val="0"/>
            <w:vAlign w:val="center"/>
          </w:tcPr>
          <w:p>
            <w:pPr>
              <w:spacing w:line="280" w:lineRule="exact"/>
              <w:ind w:firstLine="0"/>
              <w:jc w:val="left"/>
              <w:rPr>
                <w:rFonts w:ascii="Times New Roman"/>
                <w:sz w:val="21"/>
                <w:szCs w:val="21"/>
              </w:rPr>
            </w:pPr>
            <w:r>
              <w:rPr>
                <w:rFonts w:ascii="Times New Roman"/>
                <w:sz w:val="21"/>
                <w:szCs w:val="21"/>
              </w:rPr>
              <w:t>无机酸制酸工艺、焦化工艺</w:t>
            </w:r>
          </w:p>
        </w:tc>
        <w:tc>
          <w:tcPr>
            <w:tcW w:w="1224" w:type="dxa"/>
            <w:noWrap w:val="0"/>
            <w:vAlign w:val="center"/>
          </w:tcPr>
          <w:p>
            <w:pPr>
              <w:spacing w:line="280" w:lineRule="exact"/>
              <w:ind w:firstLine="0"/>
              <w:jc w:val="center"/>
              <w:rPr>
                <w:rFonts w:ascii="Times New Roman"/>
                <w:sz w:val="21"/>
                <w:szCs w:val="21"/>
              </w:rPr>
            </w:pPr>
            <w:r>
              <w:rPr>
                <w:rFonts w:ascii="Times New Roman" w:hAnsi="Times New Roman"/>
                <w:sz w:val="21"/>
                <w:szCs w:val="21"/>
              </w:rPr>
              <w:t>5</w:t>
            </w:r>
            <w:r>
              <w:rPr>
                <w:rFonts w:ascii="Times New Roman"/>
                <w:sz w:val="21"/>
                <w:szCs w:val="21"/>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952" w:type="dxa"/>
            <w:vMerge w:val="continue"/>
            <w:noWrap w:val="0"/>
            <w:vAlign w:val="center"/>
          </w:tcPr>
          <w:p>
            <w:pPr>
              <w:spacing w:line="280" w:lineRule="exact"/>
              <w:ind w:firstLine="0"/>
              <w:jc w:val="left"/>
              <w:rPr>
                <w:rFonts w:ascii="Times New Roman"/>
                <w:sz w:val="21"/>
                <w:szCs w:val="21"/>
              </w:rPr>
            </w:pPr>
          </w:p>
        </w:tc>
        <w:tc>
          <w:tcPr>
            <w:tcW w:w="6102" w:type="dxa"/>
            <w:noWrap w:val="0"/>
            <w:vAlign w:val="center"/>
          </w:tcPr>
          <w:p>
            <w:pPr>
              <w:spacing w:line="280" w:lineRule="exact"/>
              <w:ind w:firstLine="0"/>
              <w:jc w:val="left"/>
              <w:rPr>
                <w:rFonts w:ascii="Times New Roman"/>
                <w:sz w:val="21"/>
                <w:szCs w:val="21"/>
              </w:rPr>
            </w:pPr>
            <w:r>
              <w:rPr>
                <w:rFonts w:ascii="Times New Roman"/>
                <w:sz w:val="21"/>
                <w:szCs w:val="21"/>
              </w:rPr>
              <w:t>其他高温或高压，且涉及危险物质的工艺过程</w:t>
            </w:r>
            <w:r>
              <w:rPr>
                <w:rFonts w:ascii="Times New Roman" w:hAnsi="Times New Roman"/>
                <w:sz w:val="21"/>
                <w:szCs w:val="21"/>
                <w:vertAlign w:val="superscript"/>
              </w:rPr>
              <w:t>a</w:t>
            </w:r>
            <w:r>
              <w:rPr>
                <w:rFonts w:ascii="Times New Roman"/>
                <w:sz w:val="21"/>
                <w:szCs w:val="21"/>
              </w:rPr>
              <w:t>、</w:t>
            </w:r>
            <w:r>
              <w:rPr>
                <w:rFonts w:ascii="Times New Roman"/>
                <w:b/>
                <w:bCs/>
                <w:sz w:val="21"/>
                <w:szCs w:val="21"/>
              </w:rPr>
              <w:t>危险物质贮存罐区</w:t>
            </w:r>
          </w:p>
        </w:tc>
        <w:tc>
          <w:tcPr>
            <w:tcW w:w="1224" w:type="dxa"/>
            <w:noWrap w:val="0"/>
            <w:vAlign w:val="center"/>
          </w:tcPr>
          <w:p>
            <w:pPr>
              <w:spacing w:line="280" w:lineRule="exact"/>
              <w:ind w:firstLine="0"/>
              <w:jc w:val="center"/>
              <w:rPr>
                <w:rFonts w:ascii="Times New Roman"/>
                <w:sz w:val="21"/>
                <w:szCs w:val="21"/>
              </w:rPr>
            </w:pPr>
            <w:r>
              <w:rPr>
                <w:rFonts w:ascii="Times New Roman" w:hAnsi="Times New Roman"/>
                <w:sz w:val="21"/>
                <w:szCs w:val="21"/>
              </w:rPr>
              <w:t>5</w:t>
            </w:r>
            <w:r>
              <w:rPr>
                <w:rFonts w:ascii="Times New Roman"/>
                <w:sz w:val="21"/>
                <w:szCs w:val="21"/>
              </w:rPr>
              <w:t>/套（罐区）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952" w:type="dxa"/>
            <w:noWrap w:val="0"/>
            <w:vAlign w:val="center"/>
          </w:tcPr>
          <w:p>
            <w:pPr>
              <w:spacing w:line="280" w:lineRule="exact"/>
              <w:ind w:firstLine="0"/>
              <w:jc w:val="left"/>
              <w:rPr>
                <w:rFonts w:ascii="Times New Roman"/>
                <w:sz w:val="21"/>
                <w:szCs w:val="21"/>
              </w:rPr>
            </w:pPr>
            <w:r>
              <w:rPr>
                <w:rFonts w:ascii="Times New Roman"/>
                <w:sz w:val="21"/>
                <w:szCs w:val="21"/>
              </w:rPr>
              <w:t>管道、港口/码头等</w:t>
            </w:r>
          </w:p>
        </w:tc>
        <w:tc>
          <w:tcPr>
            <w:tcW w:w="6102" w:type="dxa"/>
            <w:noWrap w:val="0"/>
            <w:vAlign w:val="center"/>
          </w:tcPr>
          <w:p>
            <w:pPr>
              <w:spacing w:line="280" w:lineRule="exact"/>
              <w:ind w:firstLine="0"/>
              <w:jc w:val="left"/>
              <w:rPr>
                <w:rFonts w:ascii="Times New Roman"/>
                <w:sz w:val="21"/>
                <w:szCs w:val="21"/>
              </w:rPr>
            </w:pPr>
            <w:r>
              <w:rPr>
                <w:rFonts w:ascii="Times New Roman"/>
                <w:sz w:val="21"/>
                <w:szCs w:val="21"/>
              </w:rPr>
              <w:t>涉及危险物质管道运输项目、港口/码头等</w:t>
            </w:r>
          </w:p>
        </w:tc>
        <w:tc>
          <w:tcPr>
            <w:tcW w:w="1224" w:type="dxa"/>
            <w:noWrap w:val="0"/>
            <w:vAlign w:val="center"/>
          </w:tcPr>
          <w:p>
            <w:pPr>
              <w:spacing w:line="280" w:lineRule="exact"/>
              <w:ind w:firstLine="0"/>
              <w:jc w:val="center"/>
              <w:rPr>
                <w:rFonts w:ascii="Times New Roman"/>
                <w:sz w:val="21"/>
                <w:szCs w:val="21"/>
              </w:rPr>
            </w:pPr>
            <w:r>
              <w:rPr>
                <w:rFonts w:ascii="Times New Roman" w:hAnsi="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952" w:type="dxa"/>
            <w:noWrap w:val="0"/>
            <w:vAlign w:val="center"/>
          </w:tcPr>
          <w:p>
            <w:pPr>
              <w:spacing w:line="280" w:lineRule="exact"/>
              <w:ind w:firstLine="0"/>
              <w:jc w:val="left"/>
              <w:rPr>
                <w:rFonts w:ascii="Times New Roman"/>
                <w:sz w:val="21"/>
                <w:szCs w:val="21"/>
              </w:rPr>
            </w:pPr>
            <w:r>
              <w:rPr>
                <w:rFonts w:ascii="Times New Roman"/>
                <w:sz w:val="21"/>
                <w:szCs w:val="21"/>
              </w:rPr>
              <w:t>石油天然气</w:t>
            </w:r>
          </w:p>
        </w:tc>
        <w:tc>
          <w:tcPr>
            <w:tcW w:w="6102" w:type="dxa"/>
            <w:noWrap w:val="0"/>
            <w:vAlign w:val="center"/>
          </w:tcPr>
          <w:p>
            <w:pPr>
              <w:spacing w:line="280" w:lineRule="exact"/>
              <w:ind w:firstLine="0"/>
              <w:jc w:val="left"/>
              <w:rPr>
                <w:rFonts w:ascii="Times New Roman"/>
                <w:sz w:val="21"/>
                <w:szCs w:val="21"/>
              </w:rPr>
            </w:pPr>
            <w:r>
              <w:rPr>
                <w:rFonts w:ascii="Times New Roman"/>
                <w:sz w:val="21"/>
                <w:szCs w:val="21"/>
              </w:rPr>
              <w:t>石油、天然气、页岩气开采（含净化），气库（不含加气站的气库），油库（不含加气站的油库）、油气管线</w:t>
            </w:r>
            <w:r>
              <w:rPr>
                <w:rFonts w:ascii="Times New Roman" w:hAnsi="Times New Roman"/>
                <w:sz w:val="21"/>
                <w:szCs w:val="21"/>
                <w:vertAlign w:val="superscript"/>
              </w:rPr>
              <w:t>b</w:t>
            </w:r>
            <w:r>
              <w:rPr>
                <w:rFonts w:ascii="Times New Roman"/>
                <w:sz w:val="21"/>
                <w:szCs w:val="21"/>
              </w:rPr>
              <w:t>（不含城镇燃气管线）</w:t>
            </w:r>
          </w:p>
        </w:tc>
        <w:tc>
          <w:tcPr>
            <w:tcW w:w="1224" w:type="dxa"/>
            <w:noWrap w:val="0"/>
            <w:vAlign w:val="center"/>
          </w:tcPr>
          <w:p>
            <w:pPr>
              <w:spacing w:line="280" w:lineRule="exact"/>
              <w:ind w:firstLine="0"/>
              <w:jc w:val="center"/>
              <w:rPr>
                <w:rFonts w:ascii="Times New Roman"/>
                <w:sz w:val="21"/>
                <w:szCs w:val="21"/>
              </w:rPr>
            </w:pPr>
            <w:r>
              <w:rPr>
                <w:rFonts w:ascii="Times New Roman" w:hAnsi="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52" w:type="dxa"/>
            <w:noWrap w:val="0"/>
            <w:vAlign w:val="center"/>
          </w:tcPr>
          <w:p>
            <w:pPr>
              <w:spacing w:line="280" w:lineRule="exact"/>
              <w:ind w:firstLine="0"/>
              <w:jc w:val="left"/>
              <w:rPr>
                <w:rFonts w:ascii="Times New Roman"/>
                <w:sz w:val="21"/>
                <w:szCs w:val="21"/>
              </w:rPr>
            </w:pPr>
            <w:r>
              <w:rPr>
                <w:rFonts w:ascii="Times New Roman"/>
                <w:sz w:val="21"/>
                <w:szCs w:val="21"/>
              </w:rPr>
              <w:t>其他</w:t>
            </w:r>
          </w:p>
        </w:tc>
        <w:tc>
          <w:tcPr>
            <w:tcW w:w="6102" w:type="dxa"/>
            <w:noWrap w:val="0"/>
            <w:vAlign w:val="center"/>
          </w:tcPr>
          <w:p>
            <w:pPr>
              <w:spacing w:line="280" w:lineRule="exact"/>
              <w:ind w:firstLine="0"/>
              <w:jc w:val="left"/>
              <w:rPr>
                <w:rFonts w:ascii="Times New Roman"/>
                <w:sz w:val="21"/>
                <w:szCs w:val="21"/>
              </w:rPr>
            </w:pPr>
            <w:r>
              <w:rPr>
                <w:rFonts w:ascii="Times New Roman"/>
                <w:b w:val="0"/>
                <w:bCs w:val="0"/>
                <w:sz w:val="21"/>
                <w:szCs w:val="21"/>
              </w:rPr>
              <w:t>涉及危险物质使用、贮存的项目</w:t>
            </w:r>
          </w:p>
        </w:tc>
        <w:tc>
          <w:tcPr>
            <w:tcW w:w="1224" w:type="dxa"/>
            <w:noWrap w:val="0"/>
            <w:vAlign w:val="center"/>
          </w:tcPr>
          <w:p>
            <w:pPr>
              <w:spacing w:line="280" w:lineRule="exact"/>
              <w:ind w:firstLine="0"/>
              <w:jc w:val="center"/>
              <w:rPr>
                <w:rFonts w:ascii="Times New Roman"/>
                <w:sz w:val="21"/>
                <w:szCs w:val="21"/>
              </w:rPr>
            </w:pPr>
            <w:r>
              <w:rPr>
                <w:rFonts w:ascii="Times New Roman" w:hAnsi="Times New Roman"/>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278" w:type="dxa"/>
            <w:gridSpan w:val="3"/>
            <w:noWrap w:val="0"/>
            <w:vAlign w:val="center"/>
          </w:tcPr>
          <w:p>
            <w:pPr>
              <w:spacing w:line="280" w:lineRule="exact"/>
              <w:ind w:firstLine="0"/>
              <w:jc w:val="left"/>
              <w:rPr>
                <w:rFonts w:ascii="Times New Roman"/>
                <w:sz w:val="21"/>
                <w:szCs w:val="21"/>
              </w:rPr>
            </w:pPr>
            <w:r>
              <w:rPr>
                <w:rFonts w:ascii="Times New Roman" w:hAnsi="Times New Roman"/>
                <w:sz w:val="21"/>
                <w:szCs w:val="21"/>
                <w:vertAlign w:val="superscript"/>
              </w:rPr>
              <w:t>a</w:t>
            </w:r>
            <w:r>
              <w:rPr>
                <w:rFonts w:ascii="Times New Roman"/>
                <w:sz w:val="21"/>
                <w:szCs w:val="21"/>
              </w:rPr>
              <w:t>温度</w:t>
            </w:r>
            <w:r>
              <w:rPr>
                <w:rFonts w:hint="eastAsia" w:hAnsi="宋体" w:cs="宋体"/>
                <w:sz w:val="21"/>
                <w:szCs w:val="21"/>
              </w:rPr>
              <w:t>≥</w:t>
            </w:r>
            <w:r>
              <w:rPr>
                <w:rFonts w:ascii="Times New Roman" w:hAnsi="Times New Roman"/>
                <w:sz w:val="21"/>
                <w:szCs w:val="21"/>
              </w:rPr>
              <w:t>300</w:t>
            </w:r>
            <w:r>
              <w:rPr>
                <w:rFonts w:ascii="Times New Roman"/>
                <w:sz w:val="21"/>
                <w:szCs w:val="21"/>
              </w:rPr>
              <w:t>℃</w:t>
            </w:r>
            <w:r>
              <w:rPr>
                <w:rFonts w:hint="eastAsia" w:ascii="Times New Roman"/>
                <w:sz w:val="21"/>
                <w:szCs w:val="21"/>
              </w:rPr>
              <w:t>，</w:t>
            </w:r>
            <w:r>
              <w:rPr>
                <w:rFonts w:ascii="Times New Roman"/>
                <w:sz w:val="21"/>
                <w:szCs w:val="21"/>
              </w:rPr>
              <w:t>高压指压力容器的设计压力(</w:t>
            </w:r>
            <w:r>
              <w:rPr>
                <w:rFonts w:ascii="Times New Roman" w:hAnsi="Times New Roman"/>
                <w:sz w:val="21"/>
                <w:szCs w:val="21"/>
              </w:rPr>
              <w:t>P</w:t>
            </w:r>
            <w:r>
              <w:rPr>
                <w:rFonts w:ascii="Times New Roman"/>
                <w:sz w:val="21"/>
                <w:szCs w:val="21"/>
              </w:rPr>
              <w:t>)</w:t>
            </w:r>
            <w:r>
              <w:rPr>
                <w:rFonts w:hint="eastAsia" w:hAnsi="宋体" w:cs="宋体"/>
                <w:sz w:val="21"/>
                <w:szCs w:val="21"/>
              </w:rPr>
              <w:t>≥</w:t>
            </w:r>
            <w:r>
              <w:rPr>
                <w:rFonts w:ascii="Times New Roman" w:hAnsi="Times New Roman"/>
                <w:sz w:val="21"/>
                <w:szCs w:val="21"/>
              </w:rPr>
              <w:t>10</w:t>
            </w:r>
            <w:r>
              <w:rPr>
                <w:rFonts w:ascii="Times New Roman"/>
                <w:sz w:val="21"/>
                <w:szCs w:val="21"/>
              </w:rPr>
              <w:t>.</w:t>
            </w:r>
            <w:r>
              <w:rPr>
                <w:rFonts w:ascii="Times New Roman" w:hAnsi="Times New Roman"/>
                <w:sz w:val="21"/>
                <w:szCs w:val="21"/>
              </w:rPr>
              <w:t>0</w:t>
            </w:r>
            <w:r>
              <w:rPr>
                <w:rFonts w:ascii="Times New Roman"/>
                <w:sz w:val="21"/>
                <w:szCs w:val="21"/>
              </w:rPr>
              <w:t xml:space="preserve"> </w:t>
            </w:r>
            <w:r>
              <w:rPr>
                <w:rFonts w:ascii="Times New Roman" w:hAnsi="Times New Roman"/>
                <w:sz w:val="21"/>
                <w:szCs w:val="21"/>
              </w:rPr>
              <w:t>MPa</w:t>
            </w:r>
            <w:r>
              <w:rPr>
                <w:rFonts w:ascii="Times New Roman"/>
                <w:sz w:val="21"/>
                <w:szCs w:val="21"/>
              </w:rPr>
              <w:t>；</w:t>
            </w:r>
          </w:p>
          <w:p>
            <w:pPr>
              <w:spacing w:line="280" w:lineRule="exact"/>
              <w:ind w:firstLine="0"/>
              <w:jc w:val="left"/>
              <w:rPr>
                <w:rFonts w:ascii="Times New Roman"/>
                <w:sz w:val="21"/>
                <w:szCs w:val="21"/>
              </w:rPr>
            </w:pPr>
            <w:r>
              <w:rPr>
                <w:rFonts w:ascii="Times New Roman" w:hAnsi="Times New Roman"/>
                <w:sz w:val="21"/>
                <w:szCs w:val="21"/>
                <w:vertAlign w:val="superscript"/>
              </w:rPr>
              <w:t>b</w:t>
            </w:r>
            <w:r>
              <w:rPr>
                <w:rFonts w:ascii="Times New Roman"/>
                <w:sz w:val="21"/>
                <w:szCs w:val="21"/>
              </w:rPr>
              <w:t>长输管道运输项目应按站场、管线分段进行评价。</w:t>
            </w:r>
          </w:p>
        </w:tc>
      </w:tr>
    </w:tbl>
    <w:p>
      <w:pPr>
        <w:ind w:firstLine="480"/>
        <w:rPr>
          <w:rFonts w:hint="eastAsia"/>
        </w:rPr>
      </w:pPr>
      <w:r>
        <w:rPr>
          <w:rFonts w:ascii="Times New Roman"/>
        </w:rPr>
        <w:t>本项目</w:t>
      </w:r>
      <w:r>
        <w:rPr>
          <w:rFonts w:hint="eastAsia" w:ascii="Times New Roman"/>
          <w:lang w:eastAsia="zh-CN"/>
        </w:rPr>
        <w:t>为化工行业</w:t>
      </w:r>
      <w:r>
        <w:rPr>
          <w:rFonts w:ascii="Times New Roman"/>
        </w:rPr>
        <w:t>，</w:t>
      </w:r>
      <w:r>
        <w:rPr>
          <w:rFonts w:hint="eastAsia" w:ascii="Times New Roman"/>
          <w:lang w:eastAsia="zh-CN"/>
        </w:rPr>
        <w:t>涉及危险物质贮存罐区，</w:t>
      </w:r>
      <w:r>
        <w:rPr>
          <w:rFonts w:ascii="Times New Roman"/>
        </w:rPr>
        <w:t>因此</w:t>
      </w:r>
      <w:r>
        <w:rPr>
          <w:rFonts w:ascii="Times New Roman" w:hAnsi="Times New Roman"/>
        </w:rPr>
        <w:t>M</w:t>
      </w:r>
      <w:r>
        <w:rPr>
          <w:rFonts w:hint="eastAsia"/>
        </w:rPr>
        <w:t>为</w:t>
      </w:r>
      <w:r>
        <w:rPr>
          <w:rFonts w:hint="eastAsia" w:ascii="Times New Roman" w:hAnsi="Times New Roman"/>
          <w:lang w:val="en-US" w:eastAsia="zh-CN"/>
        </w:rPr>
        <w:t>5</w:t>
      </w:r>
      <w:r>
        <w:rPr>
          <w:rFonts w:ascii="Times New Roman"/>
        </w:rPr>
        <w:t>，对应为</w:t>
      </w:r>
      <w:r>
        <w:rPr>
          <w:rFonts w:ascii="Times New Roman" w:hAnsi="Times New Roman"/>
        </w:rPr>
        <w:t>M</w:t>
      </w:r>
      <w:r>
        <w:rPr>
          <w:rFonts w:hint="eastAsia" w:ascii="Times New Roman" w:hAnsi="Times New Roman"/>
          <w:lang w:val="en-US" w:eastAsia="zh-CN"/>
        </w:rPr>
        <w:t>4</w:t>
      </w:r>
      <w:r>
        <w:rPr>
          <w:rFonts w:ascii="Times New Roman"/>
        </w:rPr>
        <w:t>。</w:t>
      </w:r>
    </w:p>
    <w:p>
      <w:pPr>
        <w:rPr>
          <w:rFonts w:hint="eastAsia"/>
        </w:rPr>
      </w:pPr>
      <w:r>
        <w:rPr>
          <w:rFonts w:hint="eastAsia"/>
        </w:rPr>
        <w:t>（</w:t>
      </w:r>
      <w:r>
        <w:rPr>
          <w:rFonts w:hint="eastAsia" w:ascii="Times New Roman" w:hAnsi="Times New Roman"/>
        </w:rPr>
        <w:t>3</w:t>
      </w:r>
      <w:r>
        <w:rPr>
          <w:rFonts w:hint="eastAsia"/>
        </w:rPr>
        <w:t>）危险物质及工艺系数危险性（</w:t>
      </w:r>
      <w:r>
        <w:rPr>
          <w:rFonts w:hint="eastAsia" w:ascii="Times New Roman" w:hAnsi="Times New Roman"/>
        </w:rPr>
        <w:t>P</w:t>
      </w:r>
      <w:r>
        <w:rPr>
          <w:rFonts w:hint="eastAsia"/>
        </w:rPr>
        <w:t>）分级</w:t>
      </w:r>
    </w:p>
    <w:p>
      <w:pPr>
        <w:rPr>
          <w:rFonts w:hint="eastAsia"/>
        </w:rPr>
      </w:pPr>
      <w:r>
        <w:rPr>
          <w:rFonts w:hint="eastAsia"/>
        </w:rPr>
        <w:t>根据危险物质数量与临界量比值（</w:t>
      </w:r>
      <w:r>
        <w:rPr>
          <w:rFonts w:hint="eastAsia" w:ascii="Times New Roman" w:hAnsi="Times New Roman"/>
        </w:rPr>
        <w:t>Q</w:t>
      </w:r>
      <w:r>
        <w:rPr>
          <w:rFonts w:hint="eastAsia"/>
        </w:rPr>
        <w:t>）和行业及生产工艺（</w:t>
      </w:r>
      <w:r>
        <w:rPr>
          <w:rFonts w:hint="eastAsia" w:ascii="Times New Roman" w:hAnsi="Times New Roman"/>
        </w:rPr>
        <w:t>M</w:t>
      </w:r>
      <w:r>
        <w:rPr>
          <w:rFonts w:hint="eastAsia"/>
        </w:rPr>
        <w:t>），按照表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4</w:t>
      </w:r>
      <w:r>
        <w:rPr>
          <w:rFonts w:hint="eastAsia"/>
        </w:rPr>
        <w:t>确定危险物质及工艺系数危险性等级（</w:t>
      </w:r>
      <w:r>
        <w:rPr>
          <w:rFonts w:hint="eastAsia" w:ascii="Times New Roman" w:hAnsi="Times New Roman"/>
        </w:rPr>
        <w:t>P</w:t>
      </w:r>
      <w:r>
        <w:rPr>
          <w:rFonts w:hint="eastAsia"/>
        </w:rPr>
        <w:t>），分别以</w:t>
      </w:r>
      <w:r>
        <w:rPr>
          <w:rFonts w:hint="eastAsia" w:ascii="Times New Roman" w:hAnsi="Times New Roman"/>
        </w:rPr>
        <w:t>P1</w:t>
      </w:r>
      <w:r>
        <w:rPr>
          <w:rFonts w:hint="eastAsia"/>
        </w:rPr>
        <w:t>、</w:t>
      </w:r>
      <w:r>
        <w:rPr>
          <w:rFonts w:hint="eastAsia" w:ascii="Times New Roman" w:hAnsi="Times New Roman"/>
        </w:rPr>
        <w:t>P2</w:t>
      </w:r>
      <w:r>
        <w:rPr>
          <w:rFonts w:hint="eastAsia"/>
        </w:rPr>
        <w:t>、</w:t>
      </w:r>
      <w:r>
        <w:rPr>
          <w:rFonts w:hint="eastAsia" w:ascii="Times New Roman" w:hAnsi="Times New Roman"/>
        </w:rPr>
        <w:t>P3</w:t>
      </w:r>
      <w:r>
        <w:rPr>
          <w:rFonts w:hint="eastAsia"/>
        </w:rPr>
        <w:t>、</w:t>
      </w:r>
      <w:r>
        <w:rPr>
          <w:rFonts w:hint="eastAsia" w:ascii="Times New Roman" w:hAnsi="Times New Roman"/>
        </w:rPr>
        <w:t>P4</w:t>
      </w:r>
      <w:r>
        <w:rPr>
          <w:rFonts w:hint="eastAsia"/>
        </w:rPr>
        <w:t>表示。</w:t>
      </w:r>
    </w:p>
    <w:p>
      <w:pPr>
        <w:pStyle w:val="20"/>
        <w:snapToGrid w:val="0"/>
        <w:spacing w:before="165"/>
        <w:rPr>
          <w:rFonts w:hint="eastAsia" w:ascii="Times New Roman" w:hAnsi="Times New Roman"/>
        </w:rPr>
      </w:pPr>
      <w:r>
        <w:rPr>
          <w:rFonts w:ascii="Times New Roman" w:hAnsi="Times New Roman"/>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4</w:t>
      </w:r>
      <w:r>
        <w:rPr>
          <w:rFonts w:ascii="Times New Roman" w:hAnsi="Times New Roman"/>
        </w:rPr>
        <w:t xml:space="preserve">    </w:t>
      </w:r>
      <w:r>
        <w:rPr>
          <w:rFonts w:hint="eastAsia" w:ascii="Times New Roman" w:hAnsi="Times New Roman"/>
        </w:rPr>
        <w:t>危险物质及工艺系数危险性等级判断（</w:t>
      </w:r>
      <w:r>
        <w:rPr>
          <w:rFonts w:hint="eastAsia" w:ascii="Times New Roman" w:hAnsi="Times New Roman"/>
        </w:rPr>
        <w:t>P</w:t>
      </w:r>
      <w:r>
        <w:rPr>
          <w:rFonts w:hint="eastAsia" w:ascii="Times New Roman" w:hAnsi="Times New Roman"/>
        </w:rPr>
        <w:t>）</w:t>
      </w:r>
    </w:p>
    <w:tbl>
      <w:tblPr>
        <w:tblStyle w:val="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1835"/>
        <w:gridCol w:w="1835"/>
        <w:gridCol w:w="1835"/>
        <w:gridCol w:w="1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34" w:type="dxa"/>
            <w:vMerge w:val="restart"/>
            <w:noWrap w:val="0"/>
            <w:vAlign w:val="center"/>
          </w:tcPr>
          <w:p>
            <w:pPr>
              <w:keepNext/>
              <w:keepLines/>
              <w:spacing w:line="240" w:lineRule="auto"/>
              <w:ind w:firstLine="0"/>
              <w:rPr>
                <w:rFonts w:ascii="Times New Roman"/>
                <w:kern w:val="2"/>
                <w:sz w:val="21"/>
                <w:szCs w:val="21"/>
              </w:rPr>
            </w:pPr>
            <w:r>
              <w:rPr>
                <w:rFonts w:ascii="Times New Roman"/>
                <w:kern w:val="2"/>
                <w:sz w:val="21"/>
                <w:szCs w:val="21"/>
              </w:rPr>
              <w:t>危险物质数量与临界比值（</w:t>
            </w:r>
            <w:r>
              <w:rPr>
                <w:rFonts w:ascii="Times New Roman" w:hAnsi="Times New Roman"/>
                <w:kern w:val="2"/>
                <w:sz w:val="21"/>
                <w:szCs w:val="21"/>
              </w:rPr>
              <w:t>Q</w:t>
            </w:r>
            <w:r>
              <w:rPr>
                <w:rFonts w:ascii="Times New Roman"/>
                <w:kern w:val="2"/>
                <w:sz w:val="21"/>
                <w:szCs w:val="21"/>
              </w:rPr>
              <w:t>）</w:t>
            </w:r>
          </w:p>
        </w:tc>
        <w:tc>
          <w:tcPr>
            <w:tcW w:w="7340" w:type="dxa"/>
            <w:gridSpan w:val="4"/>
            <w:noWrap w:val="0"/>
            <w:vAlign w:val="center"/>
          </w:tcPr>
          <w:p>
            <w:pPr>
              <w:keepNext/>
              <w:keepLines/>
              <w:spacing w:line="240" w:lineRule="auto"/>
              <w:ind w:firstLine="0"/>
              <w:jc w:val="center"/>
              <w:rPr>
                <w:rFonts w:ascii="Times New Roman"/>
                <w:kern w:val="2"/>
                <w:sz w:val="21"/>
                <w:szCs w:val="21"/>
              </w:rPr>
            </w:pPr>
            <w:r>
              <w:rPr>
                <w:rFonts w:ascii="Times New Roman"/>
                <w:kern w:val="2"/>
                <w:sz w:val="21"/>
                <w:szCs w:val="21"/>
              </w:rPr>
              <w:t>行业及生产工艺（</w:t>
            </w:r>
            <w:r>
              <w:rPr>
                <w:rFonts w:ascii="Times New Roman" w:hAnsi="Times New Roman"/>
                <w:kern w:val="2"/>
                <w:sz w:val="21"/>
                <w:szCs w:val="21"/>
              </w:rPr>
              <w:t>M</w:t>
            </w:r>
            <w:r>
              <w:rPr>
                <w:rFonts w:ascii="Times New Roman"/>
                <w:ker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34" w:type="dxa"/>
            <w:vMerge w:val="continue"/>
            <w:noWrap w:val="0"/>
            <w:vAlign w:val="center"/>
          </w:tcPr>
          <w:p>
            <w:pPr>
              <w:pStyle w:val="4"/>
              <w:tabs>
                <w:tab w:val="left" w:pos="0"/>
                <w:tab w:val="left" w:pos="575"/>
              </w:tabs>
              <w:spacing w:before="0" w:beforeLines="0" w:after="0" w:afterLines="0" w:line="240" w:lineRule="auto"/>
              <w:ind w:left="0" w:firstLine="0"/>
              <w:jc w:val="center"/>
              <w:outlineLvl w:val="1"/>
              <w:rPr>
                <w:rFonts w:ascii="Times New Roman" w:hAnsi="Times New Roman" w:eastAsia="宋体"/>
                <w:b w:val="0"/>
                <w:bCs w:val="0"/>
                <w:kern w:val="2"/>
                <w:sz w:val="21"/>
                <w:szCs w:val="21"/>
              </w:rPr>
            </w:pP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M1</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M2</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M3</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34" w:type="dxa"/>
            <w:noWrap w:val="0"/>
            <w:vAlign w:val="center"/>
          </w:tcPr>
          <w:p>
            <w:pPr>
              <w:keepNext/>
              <w:keepLines/>
              <w:spacing w:line="240" w:lineRule="auto"/>
              <w:ind w:firstLine="0"/>
              <w:jc w:val="center"/>
              <w:rPr>
                <w:rFonts w:ascii="Times New Roman"/>
                <w:kern w:val="2"/>
                <w:sz w:val="21"/>
                <w:szCs w:val="21"/>
              </w:rPr>
            </w:pPr>
            <w:r>
              <w:rPr>
                <w:rFonts w:ascii="Times New Roman" w:hAnsi="Times New Roman"/>
                <w:kern w:val="2"/>
                <w:sz w:val="21"/>
                <w:szCs w:val="21"/>
              </w:rPr>
              <w:t>Q</w:t>
            </w:r>
            <w:r>
              <w:rPr>
                <w:rFonts w:ascii="Times New Roman"/>
                <w:kern w:val="2"/>
                <w:sz w:val="21"/>
                <w:szCs w:val="21"/>
              </w:rPr>
              <w:t>≥</w:t>
            </w:r>
            <w:r>
              <w:rPr>
                <w:rFonts w:ascii="Times New Roman" w:hAnsi="Times New Roman"/>
                <w:kern w:val="2"/>
                <w:sz w:val="21"/>
                <w:szCs w:val="21"/>
              </w:rPr>
              <w:t>100</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P1</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P1</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b w:val="0"/>
                <w:bCs w:val="0"/>
                <w:kern w:val="2"/>
                <w:sz w:val="21"/>
                <w:szCs w:val="21"/>
              </w:rPr>
              <w:t>P2</w:t>
            </w:r>
          </w:p>
        </w:tc>
        <w:tc>
          <w:tcPr>
            <w:tcW w:w="1835" w:type="dxa"/>
            <w:shd w:val="clear" w:color="auto" w:fill="D7D7D7" w:themeFill="background1" w:themeFillShade="D8"/>
            <w:noWrap w:val="0"/>
            <w:vAlign w:val="center"/>
          </w:tcPr>
          <w:p>
            <w:pPr>
              <w:spacing w:line="240" w:lineRule="auto"/>
              <w:ind w:firstLine="0"/>
              <w:jc w:val="center"/>
              <w:rPr>
                <w:rFonts w:ascii="Times New Roman"/>
                <w:kern w:val="2"/>
                <w:sz w:val="21"/>
                <w:szCs w:val="21"/>
              </w:rPr>
            </w:pPr>
            <w:r>
              <w:rPr>
                <w:rFonts w:ascii="Times New Roman" w:hAnsi="Times New Roman"/>
                <w:b w:val="0"/>
                <w:bCs w:val="0"/>
                <w:kern w:val="2"/>
                <w:sz w:val="21"/>
                <w:szCs w:val="21"/>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34" w:type="dxa"/>
            <w:noWrap w:val="0"/>
            <w:vAlign w:val="center"/>
          </w:tcPr>
          <w:p>
            <w:pPr>
              <w:keepNext/>
              <w:keepLines/>
              <w:spacing w:line="240" w:lineRule="auto"/>
              <w:ind w:firstLine="0"/>
              <w:jc w:val="center"/>
              <w:rPr>
                <w:rFonts w:ascii="Times New Roman"/>
                <w:kern w:val="2"/>
                <w:sz w:val="21"/>
                <w:szCs w:val="21"/>
              </w:rPr>
            </w:pPr>
            <w:r>
              <w:rPr>
                <w:rFonts w:ascii="Times New Roman" w:hAnsi="Times New Roman"/>
                <w:kern w:val="2"/>
                <w:sz w:val="21"/>
                <w:szCs w:val="21"/>
              </w:rPr>
              <w:t>10</w:t>
            </w:r>
            <w:r>
              <w:rPr>
                <w:rFonts w:ascii="Times New Roman"/>
                <w:kern w:val="2"/>
                <w:sz w:val="21"/>
                <w:szCs w:val="21"/>
              </w:rPr>
              <w:t>≤</w:t>
            </w:r>
            <w:r>
              <w:rPr>
                <w:rFonts w:ascii="Times New Roman" w:hAnsi="Times New Roman"/>
                <w:kern w:val="2"/>
                <w:sz w:val="21"/>
                <w:szCs w:val="21"/>
              </w:rPr>
              <w:t>Q</w:t>
            </w:r>
            <w:r>
              <w:rPr>
                <w:rFonts w:ascii="Times New Roman"/>
                <w:kern w:val="2"/>
                <w:sz w:val="21"/>
                <w:szCs w:val="21"/>
              </w:rPr>
              <w:t>＜</w:t>
            </w:r>
            <w:r>
              <w:rPr>
                <w:rFonts w:ascii="Times New Roman" w:hAnsi="Times New Roman"/>
                <w:kern w:val="2"/>
                <w:sz w:val="21"/>
                <w:szCs w:val="21"/>
              </w:rPr>
              <w:t>100</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P1</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P2</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P3</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34" w:type="dxa"/>
            <w:noWrap w:val="0"/>
            <w:vAlign w:val="center"/>
          </w:tcPr>
          <w:p>
            <w:pPr>
              <w:keepNext/>
              <w:keepLines/>
              <w:spacing w:line="240" w:lineRule="auto"/>
              <w:ind w:firstLine="0"/>
              <w:jc w:val="center"/>
              <w:rPr>
                <w:rFonts w:ascii="Times New Roman"/>
                <w:kern w:val="2"/>
                <w:sz w:val="21"/>
                <w:szCs w:val="21"/>
              </w:rPr>
            </w:pPr>
            <w:r>
              <w:rPr>
                <w:rFonts w:ascii="Times New Roman" w:hAnsi="Times New Roman"/>
                <w:kern w:val="2"/>
                <w:sz w:val="21"/>
                <w:szCs w:val="21"/>
              </w:rPr>
              <w:t>1</w:t>
            </w:r>
            <w:r>
              <w:rPr>
                <w:rFonts w:ascii="Times New Roman"/>
                <w:kern w:val="2"/>
                <w:sz w:val="21"/>
                <w:szCs w:val="21"/>
              </w:rPr>
              <w:t>≤</w:t>
            </w:r>
            <w:r>
              <w:rPr>
                <w:rFonts w:ascii="Times New Roman" w:hAnsi="Times New Roman"/>
                <w:kern w:val="2"/>
                <w:sz w:val="21"/>
                <w:szCs w:val="21"/>
              </w:rPr>
              <w:t>Q</w:t>
            </w:r>
            <w:r>
              <w:rPr>
                <w:rFonts w:ascii="Times New Roman"/>
                <w:kern w:val="2"/>
                <w:sz w:val="21"/>
                <w:szCs w:val="21"/>
              </w:rPr>
              <w:t>＜</w:t>
            </w:r>
            <w:r>
              <w:rPr>
                <w:rFonts w:ascii="Times New Roman" w:hAnsi="Times New Roman"/>
                <w:kern w:val="2"/>
                <w:sz w:val="21"/>
                <w:szCs w:val="21"/>
              </w:rPr>
              <w:t>10</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P2</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P3</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P4</w:t>
            </w:r>
          </w:p>
        </w:tc>
        <w:tc>
          <w:tcPr>
            <w:tcW w:w="1835" w:type="dxa"/>
            <w:noWrap w:val="0"/>
            <w:vAlign w:val="center"/>
          </w:tcPr>
          <w:p>
            <w:pPr>
              <w:spacing w:line="240" w:lineRule="auto"/>
              <w:ind w:firstLine="0"/>
              <w:jc w:val="center"/>
              <w:rPr>
                <w:rFonts w:ascii="Times New Roman"/>
                <w:kern w:val="2"/>
                <w:sz w:val="21"/>
                <w:szCs w:val="21"/>
              </w:rPr>
            </w:pPr>
            <w:r>
              <w:rPr>
                <w:rFonts w:ascii="Times New Roman" w:hAnsi="Times New Roman"/>
                <w:kern w:val="2"/>
                <w:sz w:val="21"/>
                <w:szCs w:val="21"/>
              </w:rPr>
              <w:t>P4</w:t>
            </w:r>
          </w:p>
        </w:tc>
      </w:tr>
    </w:tbl>
    <w:p>
      <w:pPr>
        <w:rPr>
          <w:rFonts w:hint="eastAsia"/>
          <w:color w:val="auto"/>
        </w:rPr>
      </w:pPr>
      <w:r>
        <w:rPr>
          <w:rFonts w:hint="eastAsia"/>
        </w:rPr>
        <w:t>本项目危险物质数量与临界量比值</w:t>
      </w:r>
      <w:r>
        <w:rPr>
          <w:rFonts w:hint="eastAsia" w:ascii="Times New Roman" w:hAnsi="Times New Roman"/>
        </w:rPr>
        <w:t>Q</w:t>
      </w:r>
      <w:r>
        <w:rPr>
          <w:rFonts w:hint="eastAsia" w:ascii="Times New Roman" w:hAnsi="Times New Roman" w:eastAsia="宋体" w:cs="Times New Roman"/>
          <w:color w:val="auto"/>
          <w:kern w:val="2"/>
          <w:szCs w:val="22"/>
        </w:rPr>
        <w:t>≥</w:t>
      </w:r>
      <w:r>
        <w:rPr>
          <w:rFonts w:hint="eastAsia" w:ascii="Times New Roman" w:hAnsi="Times New Roman"/>
        </w:rPr>
        <w:t>10</w:t>
      </w:r>
      <w:r>
        <w:rPr>
          <w:rFonts w:hint="eastAsia" w:ascii="Times New Roman" w:hAnsi="Times New Roman"/>
          <w:lang w:val="en-US" w:eastAsia="zh-CN"/>
        </w:rPr>
        <w:t>0</w:t>
      </w:r>
      <w:r>
        <w:rPr>
          <w:rFonts w:hint="eastAsia"/>
        </w:rPr>
        <w:t>，行业及生产工艺（</w:t>
      </w:r>
      <w:r>
        <w:rPr>
          <w:rFonts w:hint="eastAsia" w:ascii="Times New Roman" w:hAnsi="Times New Roman"/>
        </w:rPr>
        <w:t>M</w:t>
      </w:r>
      <w:r>
        <w:rPr>
          <w:rFonts w:hint="eastAsia"/>
        </w:rPr>
        <w:t>）为</w:t>
      </w:r>
      <w:r>
        <w:rPr>
          <w:rFonts w:hint="eastAsia" w:ascii="Times New Roman" w:hAnsi="Times New Roman"/>
        </w:rPr>
        <w:t>M</w:t>
      </w:r>
      <w:r>
        <w:rPr>
          <w:rFonts w:hint="eastAsia" w:ascii="Times New Roman" w:hAnsi="Times New Roman"/>
          <w:lang w:val="en-US" w:eastAsia="zh-CN"/>
        </w:rPr>
        <w:t>4</w:t>
      </w:r>
      <w:r>
        <w:rPr>
          <w:rFonts w:hint="eastAsia"/>
        </w:rPr>
        <w:t>，因此对照表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9</w:t>
      </w:r>
      <w:r>
        <w:rPr>
          <w:rFonts w:hint="eastAsia" w:ascii="Times New Roman"/>
          <w:lang w:val="en-US" w:eastAsia="zh-CN"/>
        </w:rPr>
        <w:t>-</w:t>
      </w:r>
      <w:r>
        <w:rPr>
          <w:rFonts w:hint="eastAsia" w:ascii="Times New Roman" w:hAnsi="Times New Roman"/>
          <w:color w:val="auto"/>
          <w:lang w:val="en-US" w:eastAsia="zh-CN"/>
        </w:rPr>
        <w:t>5</w:t>
      </w:r>
      <w:r>
        <w:rPr>
          <w:rFonts w:hint="eastAsia"/>
          <w:color w:val="auto"/>
        </w:rPr>
        <w:t>可知，危险物质及工艺系数危险性（</w:t>
      </w:r>
      <w:r>
        <w:rPr>
          <w:rFonts w:hint="eastAsia" w:ascii="Times New Roman" w:hAnsi="Times New Roman"/>
          <w:color w:val="auto"/>
        </w:rPr>
        <w:t>P</w:t>
      </w:r>
      <w:r>
        <w:rPr>
          <w:rFonts w:hint="eastAsia"/>
          <w:color w:val="auto"/>
        </w:rPr>
        <w:t>）等级为</w:t>
      </w:r>
      <w:r>
        <w:rPr>
          <w:rFonts w:hint="eastAsia" w:ascii="Times New Roman" w:hAnsi="Times New Roman"/>
          <w:color w:val="auto"/>
        </w:rPr>
        <w:t>P</w:t>
      </w:r>
      <w:r>
        <w:rPr>
          <w:rFonts w:hint="eastAsia" w:ascii="Times New Roman" w:hAnsi="Times New Roman"/>
          <w:color w:val="auto"/>
          <w:lang w:val="en-US" w:eastAsia="zh-CN"/>
        </w:rPr>
        <w:t>3</w:t>
      </w:r>
      <w:r>
        <w:rPr>
          <w:rFonts w:hint="eastAsia"/>
          <w:color w:val="auto"/>
        </w:rPr>
        <w:t>。</w:t>
      </w:r>
    </w:p>
    <w:p>
      <w:pPr>
        <w:pStyle w:val="6"/>
        <w:bidi w:val="0"/>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环境敏感程度判别</w:t>
      </w:r>
    </w:p>
    <w:p>
      <w:pPr>
        <w:rPr>
          <w:rFonts w:hint="eastAsia"/>
        </w:rPr>
      </w:pPr>
      <w:r>
        <w:rPr>
          <w:rFonts w:hint="eastAsia"/>
          <w:color w:val="auto"/>
        </w:rPr>
        <w:t>根据《建设项目环境风险评价技术导则》</w:t>
      </w:r>
      <w:r>
        <w:rPr>
          <w:rFonts w:hint="eastAsia"/>
        </w:rPr>
        <w:t>（</w:t>
      </w:r>
      <w:r>
        <w:rPr>
          <w:rFonts w:hint="eastAsia" w:ascii="Times New Roman" w:hAnsi="Times New Roman"/>
        </w:rPr>
        <w:t>HJ</w:t>
      </w:r>
      <w:r>
        <w:rPr>
          <w:rFonts w:hint="eastAsia"/>
        </w:rPr>
        <w:t xml:space="preserve"> </w:t>
      </w:r>
      <w:r>
        <w:rPr>
          <w:rFonts w:hint="eastAsia" w:ascii="Times New Roman" w:hAnsi="Times New Roman"/>
        </w:rPr>
        <w:t>169</w:t>
      </w:r>
      <w:r>
        <w:rPr>
          <w:rFonts w:hint="eastAsia"/>
        </w:rPr>
        <w:t>-</w:t>
      </w:r>
      <w:r>
        <w:rPr>
          <w:rFonts w:hint="eastAsia" w:ascii="Times New Roman" w:hAnsi="Times New Roman"/>
        </w:rPr>
        <w:t>2018</w:t>
      </w:r>
      <w:r>
        <w:rPr>
          <w:rFonts w:hint="eastAsia"/>
        </w:rPr>
        <w:t>），建设项目环境风险潜势划分为</w:t>
      </w:r>
      <w:r>
        <w:rPr>
          <w:rFonts w:hint="eastAsia" w:ascii="Times New Roman" w:hAnsi="Times New Roman"/>
        </w:rPr>
        <w:t>I</w:t>
      </w:r>
      <w:r>
        <w:rPr>
          <w:rFonts w:hint="eastAsia"/>
        </w:rPr>
        <w:t>、</w:t>
      </w:r>
      <w:r>
        <w:rPr>
          <w:rFonts w:hint="eastAsia" w:ascii="Times New Roman" w:hAnsi="Times New Roman"/>
        </w:rPr>
        <w:t>II</w:t>
      </w:r>
      <w:r>
        <w:rPr>
          <w:rFonts w:hint="eastAsia"/>
        </w:rPr>
        <w:t>、</w:t>
      </w:r>
      <w:r>
        <w:rPr>
          <w:rFonts w:hint="eastAsia" w:ascii="Times New Roman" w:hAnsi="Times New Roman"/>
        </w:rPr>
        <w:t>II</w:t>
      </w:r>
      <w:r>
        <w:rPr>
          <w:rFonts w:hint="eastAsia"/>
        </w:rPr>
        <w:t>、</w:t>
      </w:r>
      <w:r>
        <w:rPr>
          <w:rFonts w:hint="eastAsia" w:ascii="Times New Roman" w:hAnsi="Times New Roman"/>
        </w:rPr>
        <w:t>IV</w:t>
      </w:r>
      <w:r>
        <w:rPr>
          <w:rFonts w:hint="eastAsia"/>
        </w:rPr>
        <w:t>/</w:t>
      </w:r>
      <w:r>
        <w:rPr>
          <w:rFonts w:hint="eastAsia" w:ascii="Times New Roman" w:hAnsi="Times New Roman"/>
        </w:rPr>
        <w:t>IV</w:t>
      </w:r>
      <w:r>
        <w:rPr>
          <w:rFonts w:hint="eastAsia"/>
        </w:rPr>
        <w:t>+级。</w:t>
      </w:r>
    </w:p>
    <w:p>
      <w:pPr>
        <w:rPr>
          <w:rFonts w:hint="eastAsia"/>
        </w:rPr>
      </w:pPr>
      <w:r>
        <w:rPr>
          <w:rFonts w:hint="eastAsia"/>
        </w:rPr>
        <w:t>根据建设项目涉及的物质和工艺系统的危险性及其所在地的环境敏感程度，结合事故情形下环境影响途径，对建设项目潜在环境危害程度进行概化分析，按照表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9</w:t>
      </w:r>
      <w:r>
        <w:rPr>
          <w:rFonts w:hint="eastAsia" w:ascii="Times New Roman"/>
          <w:lang w:val="en-US" w:eastAsia="zh-CN"/>
        </w:rPr>
        <w:t>-</w:t>
      </w:r>
      <w:r>
        <w:rPr>
          <w:rFonts w:hint="eastAsia" w:ascii="Times New Roman" w:hAnsi="Times New Roman"/>
          <w:lang w:val="en-US" w:eastAsia="zh-CN"/>
        </w:rPr>
        <w:t>5</w:t>
      </w:r>
      <w:r>
        <w:rPr>
          <w:rFonts w:hint="eastAsia"/>
        </w:rPr>
        <w:t>确定环境风险潜势。</w:t>
      </w:r>
    </w:p>
    <w:p>
      <w:pPr>
        <w:pStyle w:val="20"/>
        <w:spacing w:before="165"/>
        <w:rPr>
          <w:rFonts w:hint="eastAsia"/>
        </w:rPr>
      </w:pPr>
      <w: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5</w:t>
      </w:r>
      <w:r>
        <w:t xml:space="preserve">    </w:t>
      </w:r>
      <w:r>
        <w:rPr>
          <w:rFonts w:hint="eastAsia"/>
        </w:rPr>
        <w:t>建设项目环境风险潜势划分</w:t>
      </w:r>
    </w:p>
    <w:tbl>
      <w:tblPr>
        <w:tblStyle w:val="8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87"/>
        <w:gridCol w:w="1668"/>
        <w:gridCol w:w="1879"/>
        <w:gridCol w:w="1668"/>
        <w:gridCol w:w="1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47" w:type="pct"/>
            <w:vMerge w:val="restart"/>
            <w:noWrap w:val="0"/>
            <w:vAlign w:val="center"/>
          </w:tcPr>
          <w:p>
            <w:pPr>
              <w:spacing w:line="240" w:lineRule="auto"/>
              <w:ind w:firstLine="0"/>
              <w:jc w:val="center"/>
              <w:rPr>
                <w:rFonts w:ascii="Times New Roman"/>
                <w:sz w:val="21"/>
                <w:szCs w:val="21"/>
              </w:rPr>
            </w:pPr>
            <w:r>
              <w:rPr>
                <w:rFonts w:ascii="Times New Roman"/>
                <w:sz w:val="21"/>
                <w:szCs w:val="21"/>
              </w:rPr>
              <w:t>环境敏感程度（</w:t>
            </w:r>
            <w:r>
              <w:rPr>
                <w:rFonts w:ascii="Times New Roman" w:hAnsi="Times New Roman"/>
                <w:sz w:val="21"/>
                <w:szCs w:val="21"/>
              </w:rPr>
              <w:t>E</w:t>
            </w:r>
            <w:r>
              <w:rPr>
                <w:rFonts w:ascii="Times New Roman"/>
                <w:sz w:val="21"/>
                <w:szCs w:val="21"/>
              </w:rPr>
              <w:t>）</w:t>
            </w:r>
          </w:p>
        </w:tc>
        <w:tc>
          <w:tcPr>
            <w:tcW w:w="3752" w:type="pct"/>
            <w:gridSpan w:val="4"/>
            <w:noWrap w:val="0"/>
            <w:vAlign w:val="center"/>
          </w:tcPr>
          <w:p>
            <w:pPr>
              <w:spacing w:line="240" w:lineRule="auto"/>
              <w:ind w:firstLine="0"/>
              <w:jc w:val="center"/>
              <w:rPr>
                <w:rFonts w:ascii="Times New Roman"/>
                <w:sz w:val="21"/>
                <w:szCs w:val="21"/>
              </w:rPr>
            </w:pPr>
            <w:r>
              <w:rPr>
                <w:rFonts w:ascii="Times New Roman"/>
                <w:sz w:val="21"/>
                <w:szCs w:val="21"/>
              </w:rPr>
              <w:t>危险物质及工艺系统危险性（</w:t>
            </w:r>
            <w:r>
              <w:rPr>
                <w:rFonts w:ascii="Times New Roman" w:hAnsi="Times New Roman"/>
                <w:sz w:val="21"/>
                <w:szCs w:val="21"/>
              </w:rPr>
              <w:t>P</w:t>
            </w:r>
            <w:r>
              <w:rPr>
                <w:rFonts w:ascii="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47" w:type="pct"/>
            <w:vMerge w:val="continue"/>
            <w:noWrap w:val="0"/>
            <w:vAlign w:val="center"/>
          </w:tcPr>
          <w:p>
            <w:pPr>
              <w:spacing w:line="240" w:lineRule="auto"/>
              <w:ind w:firstLine="0"/>
              <w:jc w:val="center"/>
              <w:rPr>
                <w:rFonts w:ascii="Times New Roman"/>
                <w:sz w:val="21"/>
                <w:szCs w:val="21"/>
              </w:rPr>
            </w:pP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极高危害（</w:t>
            </w:r>
            <w:r>
              <w:rPr>
                <w:rFonts w:ascii="Times New Roman" w:hAnsi="Times New Roman"/>
                <w:sz w:val="21"/>
                <w:szCs w:val="21"/>
              </w:rPr>
              <w:t>P1</w:t>
            </w:r>
            <w:r>
              <w:rPr>
                <w:rFonts w:ascii="Times New Roman"/>
                <w:sz w:val="21"/>
                <w:szCs w:val="21"/>
              </w:rPr>
              <w:t xml:space="preserve">） </w:t>
            </w:r>
          </w:p>
        </w:tc>
        <w:tc>
          <w:tcPr>
            <w:tcW w:w="1024" w:type="pct"/>
            <w:noWrap w:val="0"/>
            <w:vAlign w:val="center"/>
          </w:tcPr>
          <w:p>
            <w:pPr>
              <w:spacing w:line="240" w:lineRule="auto"/>
              <w:ind w:firstLine="0"/>
              <w:jc w:val="center"/>
              <w:rPr>
                <w:rFonts w:ascii="Times New Roman"/>
                <w:sz w:val="21"/>
                <w:szCs w:val="21"/>
              </w:rPr>
            </w:pPr>
            <w:r>
              <w:rPr>
                <w:rFonts w:ascii="Times New Roman"/>
                <w:sz w:val="21"/>
                <w:szCs w:val="21"/>
              </w:rPr>
              <w:t>高度危害（</w:t>
            </w:r>
            <w:r>
              <w:rPr>
                <w:rFonts w:ascii="Times New Roman" w:hAnsi="Times New Roman"/>
                <w:sz w:val="21"/>
                <w:szCs w:val="21"/>
              </w:rPr>
              <w:t>P2</w:t>
            </w:r>
            <w:r>
              <w:rPr>
                <w:rFonts w:ascii="Times New Roman"/>
                <w:sz w:val="21"/>
                <w:szCs w:val="21"/>
              </w:rPr>
              <w:t>））</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中度危害（</w:t>
            </w:r>
            <w:r>
              <w:rPr>
                <w:rFonts w:ascii="Times New Roman" w:hAnsi="Times New Roman"/>
                <w:sz w:val="21"/>
                <w:szCs w:val="21"/>
              </w:rPr>
              <w:t>P3</w:t>
            </w:r>
            <w:r>
              <w:rPr>
                <w:rFonts w:ascii="Times New Roman"/>
                <w:sz w:val="21"/>
                <w:szCs w:val="21"/>
              </w:rPr>
              <w:t>）</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轻度危害（</w:t>
            </w:r>
            <w:r>
              <w:rPr>
                <w:rFonts w:ascii="Times New Roman" w:hAnsi="Times New Roman"/>
                <w:sz w:val="21"/>
                <w:szCs w:val="21"/>
              </w:rPr>
              <w:t>P4</w:t>
            </w:r>
            <w:r>
              <w:rPr>
                <w:rFonts w:ascii="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47" w:type="pct"/>
            <w:noWrap w:val="0"/>
            <w:vAlign w:val="center"/>
          </w:tcPr>
          <w:p>
            <w:pPr>
              <w:spacing w:line="240" w:lineRule="auto"/>
              <w:ind w:firstLine="0"/>
              <w:jc w:val="center"/>
              <w:rPr>
                <w:rFonts w:ascii="Times New Roman"/>
                <w:sz w:val="21"/>
                <w:szCs w:val="21"/>
              </w:rPr>
            </w:pPr>
            <w:r>
              <w:rPr>
                <w:rFonts w:ascii="Times New Roman"/>
                <w:sz w:val="21"/>
                <w:szCs w:val="21"/>
              </w:rPr>
              <w:t>环境高度敏感区（</w:t>
            </w:r>
            <w:r>
              <w:rPr>
                <w:rFonts w:ascii="Times New Roman" w:hAnsi="Times New Roman"/>
                <w:sz w:val="21"/>
                <w:szCs w:val="21"/>
              </w:rPr>
              <w:t>E1</w:t>
            </w:r>
            <w:r>
              <w:rPr>
                <w:rFonts w:ascii="Times New Roman"/>
                <w:sz w:val="21"/>
                <w:szCs w:val="21"/>
              </w:rPr>
              <w:t>）</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Ⅳ+</w:t>
            </w:r>
          </w:p>
        </w:tc>
        <w:tc>
          <w:tcPr>
            <w:tcW w:w="1024" w:type="pct"/>
            <w:noWrap w:val="0"/>
            <w:vAlign w:val="center"/>
          </w:tcPr>
          <w:p>
            <w:pPr>
              <w:spacing w:line="240" w:lineRule="auto"/>
              <w:ind w:firstLine="0"/>
              <w:jc w:val="center"/>
              <w:rPr>
                <w:rFonts w:ascii="Times New Roman"/>
                <w:sz w:val="21"/>
                <w:szCs w:val="21"/>
              </w:rPr>
            </w:pPr>
            <w:r>
              <w:rPr>
                <w:rFonts w:ascii="Times New Roman"/>
                <w:sz w:val="21"/>
                <w:szCs w:val="21"/>
              </w:rPr>
              <w:t>Ⅳ</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Ⅲ</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47" w:type="pct"/>
            <w:noWrap w:val="0"/>
            <w:vAlign w:val="center"/>
          </w:tcPr>
          <w:p>
            <w:pPr>
              <w:spacing w:line="240" w:lineRule="auto"/>
              <w:ind w:firstLine="0"/>
              <w:jc w:val="center"/>
              <w:rPr>
                <w:rFonts w:ascii="Times New Roman"/>
                <w:sz w:val="21"/>
                <w:szCs w:val="21"/>
              </w:rPr>
            </w:pPr>
            <w:r>
              <w:rPr>
                <w:rFonts w:ascii="Times New Roman"/>
                <w:sz w:val="21"/>
                <w:szCs w:val="21"/>
              </w:rPr>
              <w:t>环境中度敏感区（</w:t>
            </w:r>
            <w:r>
              <w:rPr>
                <w:rFonts w:ascii="Times New Roman" w:hAnsi="Times New Roman"/>
                <w:sz w:val="21"/>
                <w:szCs w:val="21"/>
              </w:rPr>
              <w:t>E2</w:t>
            </w:r>
            <w:r>
              <w:rPr>
                <w:rFonts w:ascii="Times New Roman"/>
                <w:sz w:val="21"/>
                <w:szCs w:val="21"/>
              </w:rPr>
              <w:t>）</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Ⅳ</w:t>
            </w:r>
          </w:p>
        </w:tc>
        <w:tc>
          <w:tcPr>
            <w:tcW w:w="1024" w:type="pct"/>
            <w:noWrap w:val="0"/>
            <w:vAlign w:val="center"/>
          </w:tcPr>
          <w:p>
            <w:pPr>
              <w:spacing w:line="240" w:lineRule="auto"/>
              <w:ind w:firstLine="0"/>
              <w:jc w:val="center"/>
              <w:rPr>
                <w:rFonts w:ascii="Times New Roman"/>
                <w:sz w:val="21"/>
                <w:szCs w:val="21"/>
              </w:rPr>
            </w:pPr>
            <w:r>
              <w:rPr>
                <w:rFonts w:ascii="Times New Roman"/>
                <w:sz w:val="21"/>
                <w:szCs w:val="21"/>
              </w:rPr>
              <w:t>Ⅲ</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Ⅲ</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47" w:type="pct"/>
            <w:noWrap w:val="0"/>
            <w:vAlign w:val="center"/>
          </w:tcPr>
          <w:p>
            <w:pPr>
              <w:spacing w:line="240" w:lineRule="auto"/>
              <w:ind w:firstLine="0"/>
              <w:jc w:val="center"/>
              <w:rPr>
                <w:rFonts w:ascii="Times New Roman"/>
                <w:sz w:val="21"/>
                <w:szCs w:val="21"/>
              </w:rPr>
            </w:pPr>
            <w:r>
              <w:rPr>
                <w:rFonts w:ascii="Times New Roman"/>
                <w:sz w:val="21"/>
                <w:szCs w:val="21"/>
              </w:rPr>
              <w:t>环境低度敏感区（</w:t>
            </w:r>
            <w:r>
              <w:rPr>
                <w:rFonts w:ascii="Times New Roman" w:hAnsi="Times New Roman"/>
                <w:sz w:val="21"/>
                <w:szCs w:val="21"/>
              </w:rPr>
              <w:t>E3</w:t>
            </w:r>
            <w:r>
              <w:rPr>
                <w:rFonts w:ascii="Times New Roman"/>
                <w:sz w:val="21"/>
                <w:szCs w:val="21"/>
              </w:rPr>
              <w:t>）</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Ⅲ</w:t>
            </w:r>
          </w:p>
        </w:tc>
        <w:tc>
          <w:tcPr>
            <w:tcW w:w="1024" w:type="pct"/>
            <w:noWrap w:val="0"/>
            <w:vAlign w:val="center"/>
          </w:tcPr>
          <w:p>
            <w:pPr>
              <w:spacing w:line="240" w:lineRule="auto"/>
              <w:ind w:firstLine="0"/>
              <w:jc w:val="center"/>
              <w:rPr>
                <w:rFonts w:ascii="Times New Roman"/>
                <w:sz w:val="21"/>
                <w:szCs w:val="21"/>
              </w:rPr>
            </w:pPr>
            <w:r>
              <w:rPr>
                <w:rFonts w:ascii="Times New Roman"/>
                <w:sz w:val="21"/>
                <w:szCs w:val="21"/>
              </w:rPr>
              <w:t>Ⅲ</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Ⅱ</w:t>
            </w:r>
          </w:p>
        </w:tc>
        <w:tc>
          <w:tcPr>
            <w:tcW w:w="909" w:type="pct"/>
            <w:noWrap w:val="0"/>
            <w:vAlign w:val="center"/>
          </w:tcPr>
          <w:p>
            <w:pPr>
              <w:spacing w:line="240" w:lineRule="auto"/>
              <w:ind w:firstLine="0"/>
              <w:jc w:val="center"/>
              <w:rPr>
                <w:rFonts w:ascii="Times New Roman"/>
                <w:sz w:val="21"/>
                <w:szCs w:val="21"/>
              </w:rPr>
            </w:pPr>
            <w:r>
              <w:rPr>
                <w:rFonts w:ascii="Times New Roman"/>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000" w:type="pct"/>
            <w:gridSpan w:val="5"/>
            <w:noWrap w:val="0"/>
            <w:vAlign w:val="center"/>
          </w:tcPr>
          <w:p>
            <w:pPr>
              <w:spacing w:line="240" w:lineRule="auto"/>
              <w:ind w:firstLine="0"/>
              <w:jc w:val="left"/>
              <w:rPr>
                <w:rFonts w:ascii="Times New Roman"/>
                <w:sz w:val="21"/>
                <w:szCs w:val="21"/>
              </w:rPr>
            </w:pPr>
            <w:r>
              <w:rPr>
                <w:rFonts w:ascii="Times New Roman"/>
                <w:sz w:val="21"/>
                <w:szCs w:val="21"/>
              </w:rPr>
              <w:t>注：Ⅳ+为极高环境风险。</w:t>
            </w:r>
          </w:p>
        </w:tc>
      </w:tr>
    </w:tbl>
    <w:p>
      <w:pPr>
        <w:rPr>
          <w:rFonts w:hint="eastAsia"/>
          <w:color w:val="auto"/>
        </w:rPr>
      </w:pPr>
      <w:r>
        <w:rPr>
          <w:rFonts w:hint="eastAsia"/>
          <w:color w:val="auto"/>
        </w:rPr>
        <w:t>（</w:t>
      </w:r>
      <w:r>
        <w:rPr>
          <w:rFonts w:hint="eastAsia" w:ascii="Times New Roman" w:hAnsi="Times New Roman"/>
          <w:color w:val="auto"/>
        </w:rPr>
        <w:t>1</w:t>
      </w:r>
      <w:r>
        <w:rPr>
          <w:rFonts w:hint="eastAsia"/>
          <w:color w:val="auto"/>
        </w:rPr>
        <w:t>）大气环境敏感程度</w:t>
      </w:r>
    </w:p>
    <w:p>
      <w:pPr>
        <w:rPr>
          <w:rFonts w:hint="eastAsia"/>
          <w:color w:val="auto"/>
        </w:rPr>
      </w:pPr>
      <w:r>
        <w:rPr>
          <w:rFonts w:hint="eastAsia"/>
          <w:color w:val="auto"/>
          <w:lang w:eastAsia="zh-CN"/>
        </w:rPr>
        <w:t>根据</w:t>
      </w:r>
      <w:r>
        <w:rPr>
          <w:rFonts w:hint="eastAsia"/>
          <w:color w:val="auto"/>
        </w:rPr>
        <w:t>现场调查，</w:t>
      </w:r>
      <w:r>
        <w:rPr>
          <w:rFonts w:hint="eastAsia"/>
          <w:color w:val="auto"/>
          <w:lang w:eastAsia="zh-CN"/>
        </w:rPr>
        <w:t>项目</w:t>
      </w:r>
      <w:r>
        <w:rPr>
          <w:rFonts w:hint="eastAsia" w:ascii="Times New Roman" w:hAnsi="Times New Roman"/>
          <w:color w:val="auto"/>
          <w:lang w:val="en-US" w:eastAsia="zh-CN"/>
        </w:rPr>
        <w:t>500m</w:t>
      </w:r>
      <w:r>
        <w:rPr>
          <w:rFonts w:hint="eastAsia"/>
          <w:color w:val="auto"/>
          <w:lang w:val="en-US" w:eastAsia="zh-CN"/>
        </w:rPr>
        <w:t>范围人数达不到</w:t>
      </w:r>
      <w:r>
        <w:rPr>
          <w:rFonts w:hint="eastAsia" w:ascii="Times New Roman" w:hAnsi="Times New Roman"/>
          <w:color w:val="auto"/>
          <w:lang w:val="en-US" w:eastAsia="zh-CN"/>
        </w:rPr>
        <w:t>500</w:t>
      </w:r>
      <w:r>
        <w:rPr>
          <w:rFonts w:hint="eastAsia"/>
          <w:color w:val="auto"/>
          <w:lang w:val="en-US" w:eastAsia="zh-CN"/>
        </w:rPr>
        <w:t>人，</w:t>
      </w:r>
      <w:r>
        <w:rPr>
          <w:rFonts w:hint="eastAsia"/>
          <w:color w:val="auto"/>
        </w:rPr>
        <w:t>根据表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6</w:t>
      </w:r>
      <w:r>
        <w:rPr>
          <w:rFonts w:hint="eastAsia" w:ascii="Times New Roman"/>
          <w:color w:val="auto"/>
          <w:lang w:val="en-US" w:eastAsia="zh-CN"/>
        </w:rPr>
        <w:t>进行</w:t>
      </w:r>
      <w:r>
        <w:rPr>
          <w:rFonts w:hint="eastAsia"/>
          <w:color w:val="auto"/>
        </w:rPr>
        <w:t>判定，项目所在区域大气环境敏感程度属于</w:t>
      </w:r>
      <w:r>
        <w:rPr>
          <w:rFonts w:hint="eastAsia"/>
          <w:color w:val="auto"/>
          <w:lang w:val="en-US" w:eastAsia="zh-CN"/>
        </w:rPr>
        <w:t>不</w:t>
      </w:r>
      <w:r>
        <w:rPr>
          <w:rFonts w:hint="eastAsia"/>
          <w:color w:val="auto"/>
        </w:rPr>
        <w:t>敏感区（</w:t>
      </w:r>
      <w:r>
        <w:rPr>
          <w:rFonts w:hint="eastAsia" w:ascii="Times New Roman" w:hAnsi="Times New Roman"/>
          <w:color w:val="auto"/>
        </w:rPr>
        <w:t>E</w:t>
      </w:r>
      <w:r>
        <w:rPr>
          <w:rFonts w:hint="eastAsia" w:ascii="Times New Roman" w:hAnsi="Times New Roman"/>
          <w:color w:val="auto"/>
          <w:lang w:val="en-US" w:eastAsia="zh-CN"/>
        </w:rPr>
        <w:t>3</w:t>
      </w:r>
      <w:r>
        <w:rPr>
          <w:rFonts w:hint="eastAsia"/>
          <w:color w:val="auto"/>
        </w:rPr>
        <w:t>）</w:t>
      </w:r>
      <w:r>
        <w:rPr>
          <w:color w:val="auto"/>
        </w:rPr>
        <w:t>。</w:t>
      </w:r>
    </w:p>
    <w:p>
      <w:pPr>
        <w:pStyle w:val="20"/>
        <w:spacing w:before="156"/>
        <w:rPr>
          <w:color w:val="auto"/>
          <w:lang w:val="zh-CN"/>
        </w:rPr>
      </w:pPr>
      <w:r>
        <w:rPr>
          <w:rFonts w:hint="eastAsia"/>
          <w:color w:val="auto"/>
          <w:lang w:val="zh-CN"/>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6</w:t>
      </w:r>
      <w:r>
        <w:rPr>
          <w:rFonts w:hint="eastAsia"/>
          <w:color w:val="auto"/>
          <w:lang w:val="zh-CN"/>
        </w:rPr>
        <w:t xml:space="preserve"> </w:t>
      </w:r>
      <w:r>
        <w:rPr>
          <w:rFonts w:hint="eastAsia"/>
          <w:color w:val="auto"/>
        </w:rPr>
        <w:t xml:space="preserve"> </w:t>
      </w:r>
      <w:r>
        <w:rPr>
          <w:rFonts w:hint="eastAsia"/>
          <w:color w:val="auto"/>
          <w:lang w:val="zh-CN"/>
        </w:rPr>
        <w:t>大气环境敏感程度分级原则一览表</w:t>
      </w:r>
    </w:p>
    <w:tbl>
      <w:tblPr>
        <w:tblStyle w:val="80"/>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0"/>
        <w:gridCol w:w="8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490" w:type="dxa"/>
            <w:tcBorders>
              <w:top w:val="single" w:color="000000" w:sz="12" w:space="0"/>
              <w:left w:val="single" w:color="000000" w:sz="12" w:space="0"/>
            </w:tcBorders>
            <w:tcMar>
              <w:left w:w="0" w:type="dxa"/>
              <w:right w:w="0" w:type="dxa"/>
            </w:tcMar>
            <w:vAlign w:val="center"/>
          </w:tcPr>
          <w:p>
            <w:pPr>
              <w:pStyle w:val="1101"/>
              <w:spacing w:line="240" w:lineRule="auto"/>
              <w:rPr>
                <w:color w:val="auto"/>
              </w:rPr>
            </w:pPr>
            <w:r>
              <w:rPr>
                <w:color w:val="auto"/>
              </w:rPr>
              <w:t>分级</w:t>
            </w:r>
          </w:p>
        </w:tc>
        <w:tc>
          <w:tcPr>
            <w:tcW w:w="8549" w:type="dxa"/>
            <w:tcBorders>
              <w:top w:val="single" w:color="000000" w:sz="12" w:space="0"/>
              <w:right w:val="single" w:color="000000" w:sz="12" w:space="0"/>
            </w:tcBorders>
            <w:tcMar>
              <w:left w:w="0" w:type="dxa"/>
              <w:right w:w="0" w:type="dxa"/>
            </w:tcMar>
            <w:vAlign w:val="center"/>
          </w:tcPr>
          <w:p>
            <w:pPr>
              <w:pStyle w:val="1101"/>
              <w:spacing w:line="240" w:lineRule="auto"/>
              <w:rPr>
                <w:color w:val="auto"/>
              </w:rPr>
            </w:pPr>
            <w:r>
              <w:rPr>
                <w:color w:val="auto"/>
              </w:rPr>
              <w:t>大气环境敏感性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490" w:type="dxa"/>
            <w:tcBorders>
              <w:left w:val="single" w:color="000000" w:sz="12" w:space="0"/>
            </w:tcBorders>
            <w:tcMar>
              <w:left w:w="0" w:type="dxa"/>
              <w:right w:w="0" w:type="dxa"/>
            </w:tcMar>
            <w:vAlign w:val="center"/>
          </w:tcPr>
          <w:p>
            <w:pPr>
              <w:pStyle w:val="1101"/>
              <w:spacing w:line="240" w:lineRule="auto"/>
              <w:rPr>
                <w:color w:val="auto"/>
              </w:rPr>
            </w:pPr>
            <w:r>
              <w:rPr>
                <w:rFonts w:ascii="Times New Roman" w:hAnsi="Times New Roman"/>
                <w:color w:val="auto"/>
              </w:rPr>
              <w:t>E1</w:t>
            </w:r>
          </w:p>
        </w:tc>
        <w:tc>
          <w:tcPr>
            <w:tcW w:w="8549" w:type="dxa"/>
            <w:tcBorders>
              <w:right w:val="single" w:color="000000" w:sz="12" w:space="0"/>
            </w:tcBorders>
            <w:tcMar>
              <w:left w:w="0" w:type="dxa"/>
              <w:right w:w="0" w:type="dxa"/>
            </w:tcMar>
            <w:vAlign w:val="center"/>
          </w:tcPr>
          <w:p>
            <w:pPr>
              <w:pStyle w:val="1101"/>
              <w:spacing w:line="240" w:lineRule="auto"/>
              <w:rPr>
                <w:color w:val="auto"/>
              </w:rPr>
            </w:pPr>
            <w:r>
              <w:rPr>
                <w:color w:val="auto"/>
              </w:rPr>
              <w:t>周边</w:t>
            </w:r>
            <w:r>
              <w:rPr>
                <w:rFonts w:ascii="Times New Roman" w:hAnsi="Times New Roman"/>
                <w:color w:val="auto"/>
              </w:rPr>
              <w:t>5</w:t>
            </w:r>
            <w:r>
              <w:rPr>
                <w:color w:val="auto"/>
              </w:rPr>
              <w:t xml:space="preserve"> </w:t>
            </w:r>
            <w:r>
              <w:rPr>
                <w:rFonts w:ascii="Times New Roman" w:hAnsi="Times New Roman"/>
                <w:color w:val="auto"/>
              </w:rPr>
              <w:t>km</w:t>
            </w:r>
            <w:r>
              <w:rPr>
                <w:color w:val="auto"/>
              </w:rPr>
              <w:t xml:space="preserve">范围内居住区、医疗卫生、文化教育、科研、行政办公等机构人口总数大于 </w:t>
            </w:r>
            <w:r>
              <w:rPr>
                <w:rFonts w:ascii="Times New Roman" w:hAnsi="Times New Roman"/>
                <w:color w:val="auto"/>
              </w:rPr>
              <w:t>5</w:t>
            </w:r>
            <w:r>
              <w:rPr>
                <w:color w:val="auto"/>
              </w:rPr>
              <w:t>万人，或其他需要特殊保护区域；或周边</w:t>
            </w:r>
            <w:r>
              <w:rPr>
                <w:rFonts w:ascii="Times New Roman" w:hAnsi="Times New Roman"/>
                <w:color w:val="auto"/>
              </w:rPr>
              <w:t>500m</w:t>
            </w:r>
            <w:r>
              <w:rPr>
                <w:color w:val="auto"/>
              </w:rPr>
              <w:t>范围内人口总数大于</w:t>
            </w:r>
            <w:r>
              <w:rPr>
                <w:rFonts w:ascii="Times New Roman" w:hAnsi="Times New Roman"/>
                <w:color w:val="auto"/>
              </w:rPr>
              <w:t>1000</w:t>
            </w:r>
            <w:r>
              <w:rPr>
                <w:color w:val="auto"/>
              </w:rPr>
              <w:t>人；油气、化学品输送管线管段周边</w:t>
            </w:r>
            <w:r>
              <w:rPr>
                <w:rFonts w:ascii="Times New Roman" w:hAnsi="Times New Roman"/>
                <w:color w:val="auto"/>
              </w:rPr>
              <w:t>200</w:t>
            </w:r>
            <w:r>
              <w:rPr>
                <w:color w:val="auto"/>
              </w:rPr>
              <w:t xml:space="preserve"> </w:t>
            </w:r>
            <w:r>
              <w:rPr>
                <w:rFonts w:ascii="Times New Roman" w:hAnsi="Times New Roman"/>
                <w:color w:val="auto"/>
              </w:rPr>
              <w:t>m</w:t>
            </w:r>
            <w:r>
              <w:rPr>
                <w:color w:val="auto"/>
              </w:rPr>
              <w:t>范围内，每千米管段人口数大于</w:t>
            </w:r>
            <w:r>
              <w:rPr>
                <w:rFonts w:ascii="Times New Roman" w:hAnsi="Times New Roman"/>
                <w:color w:val="auto"/>
              </w:rPr>
              <w:t>200</w:t>
            </w:r>
            <w:r>
              <w:rPr>
                <w:color w:val="auto"/>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490" w:type="dxa"/>
            <w:tcBorders>
              <w:left w:val="single" w:color="000000" w:sz="12" w:space="0"/>
            </w:tcBorders>
            <w:tcMar>
              <w:left w:w="0" w:type="dxa"/>
              <w:right w:w="0" w:type="dxa"/>
            </w:tcMar>
            <w:vAlign w:val="center"/>
          </w:tcPr>
          <w:p>
            <w:pPr>
              <w:pStyle w:val="1101"/>
              <w:spacing w:line="240" w:lineRule="auto"/>
              <w:rPr>
                <w:color w:val="auto"/>
              </w:rPr>
            </w:pPr>
            <w:r>
              <w:rPr>
                <w:rFonts w:ascii="Times New Roman" w:hAnsi="Times New Roman"/>
                <w:color w:val="auto"/>
              </w:rPr>
              <w:t>E2</w:t>
            </w:r>
          </w:p>
        </w:tc>
        <w:tc>
          <w:tcPr>
            <w:tcW w:w="8549" w:type="dxa"/>
            <w:tcBorders>
              <w:right w:val="single" w:color="000000" w:sz="12" w:space="0"/>
            </w:tcBorders>
            <w:tcMar>
              <w:left w:w="0" w:type="dxa"/>
              <w:right w:w="0" w:type="dxa"/>
            </w:tcMar>
            <w:vAlign w:val="center"/>
          </w:tcPr>
          <w:p>
            <w:pPr>
              <w:pStyle w:val="1101"/>
              <w:spacing w:line="240" w:lineRule="auto"/>
              <w:rPr>
                <w:color w:val="auto"/>
              </w:rPr>
            </w:pPr>
            <w:r>
              <w:rPr>
                <w:color w:val="auto"/>
              </w:rPr>
              <w:t>周边</w:t>
            </w:r>
            <w:r>
              <w:rPr>
                <w:rFonts w:ascii="Times New Roman" w:hAnsi="Times New Roman"/>
                <w:color w:val="auto"/>
              </w:rPr>
              <w:t>5</w:t>
            </w:r>
            <w:r>
              <w:rPr>
                <w:color w:val="auto"/>
              </w:rPr>
              <w:t xml:space="preserve"> </w:t>
            </w:r>
            <w:r>
              <w:rPr>
                <w:rFonts w:ascii="Times New Roman" w:hAnsi="Times New Roman"/>
                <w:color w:val="auto"/>
              </w:rPr>
              <w:t>km</w:t>
            </w:r>
            <w:r>
              <w:rPr>
                <w:color w:val="auto"/>
              </w:rPr>
              <w:t>范围内居住区、医疗卫生、文化教育、科研、行政办公等机构人口总数大于</w:t>
            </w:r>
            <w:r>
              <w:rPr>
                <w:rFonts w:ascii="Times New Roman" w:hAnsi="Times New Roman"/>
                <w:color w:val="auto"/>
              </w:rPr>
              <w:t>1</w:t>
            </w:r>
            <w:r>
              <w:rPr>
                <w:color w:val="auto"/>
              </w:rPr>
              <w:t>万人，小于</w:t>
            </w:r>
            <w:r>
              <w:rPr>
                <w:rFonts w:ascii="Times New Roman" w:hAnsi="Times New Roman"/>
                <w:color w:val="auto"/>
              </w:rPr>
              <w:t>5</w:t>
            </w:r>
            <w:r>
              <w:rPr>
                <w:color w:val="auto"/>
              </w:rPr>
              <w:t xml:space="preserve"> 万人；或周边</w:t>
            </w:r>
            <w:r>
              <w:rPr>
                <w:rFonts w:ascii="Times New Roman" w:hAnsi="Times New Roman"/>
                <w:color w:val="auto"/>
              </w:rPr>
              <w:t>500m</w:t>
            </w:r>
            <w:r>
              <w:rPr>
                <w:color w:val="auto"/>
              </w:rPr>
              <w:t>范围内人口总数大于</w:t>
            </w:r>
            <w:r>
              <w:rPr>
                <w:rFonts w:ascii="Times New Roman" w:hAnsi="Times New Roman"/>
                <w:color w:val="auto"/>
              </w:rPr>
              <w:t>500</w:t>
            </w:r>
            <w:r>
              <w:rPr>
                <w:color w:val="auto"/>
              </w:rPr>
              <w:t>人，小于</w:t>
            </w:r>
            <w:r>
              <w:rPr>
                <w:rFonts w:ascii="Times New Roman" w:hAnsi="Times New Roman"/>
                <w:color w:val="auto"/>
              </w:rPr>
              <w:t>1000</w:t>
            </w:r>
            <w:r>
              <w:rPr>
                <w:color w:val="auto"/>
              </w:rPr>
              <w:t>人；油气、化学品输送管线管段周边</w:t>
            </w:r>
            <w:r>
              <w:rPr>
                <w:rFonts w:ascii="Times New Roman" w:hAnsi="Times New Roman"/>
                <w:color w:val="auto"/>
              </w:rPr>
              <w:t>200</w:t>
            </w:r>
            <w:r>
              <w:rPr>
                <w:color w:val="auto"/>
              </w:rPr>
              <w:t xml:space="preserve"> </w:t>
            </w:r>
            <w:r>
              <w:rPr>
                <w:rFonts w:ascii="Times New Roman" w:hAnsi="Times New Roman"/>
                <w:color w:val="auto"/>
              </w:rPr>
              <w:t>m</w:t>
            </w:r>
            <w:r>
              <w:rPr>
                <w:color w:val="auto"/>
              </w:rPr>
              <w:t>范围内，每千米管段人口数大于</w:t>
            </w:r>
            <w:r>
              <w:rPr>
                <w:rFonts w:ascii="Times New Roman" w:hAnsi="Times New Roman"/>
                <w:color w:val="auto"/>
              </w:rPr>
              <w:t>100</w:t>
            </w:r>
            <w:r>
              <w:rPr>
                <w:color w:val="auto"/>
              </w:rPr>
              <w:t>人，小于</w:t>
            </w:r>
            <w:r>
              <w:rPr>
                <w:rFonts w:ascii="Times New Roman" w:hAnsi="Times New Roman"/>
                <w:color w:val="auto"/>
              </w:rPr>
              <w:t>200</w:t>
            </w:r>
            <w:r>
              <w:rPr>
                <w:color w:val="auto"/>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trPr>
        <w:tc>
          <w:tcPr>
            <w:tcW w:w="490" w:type="dxa"/>
            <w:tcBorders>
              <w:left w:val="single" w:color="000000" w:sz="12" w:space="0"/>
              <w:bottom w:val="single" w:color="000000" w:sz="12" w:space="0"/>
            </w:tcBorders>
            <w:tcMar>
              <w:left w:w="0" w:type="dxa"/>
              <w:right w:w="0" w:type="dxa"/>
            </w:tcMar>
            <w:vAlign w:val="center"/>
          </w:tcPr>
          <w:p>
            <w:pPr>
              <w:pStyle w:val="1101"/>
              <w:spacing w:line="240" w:lineRule="auto"/>
              <w:rPr>
                <w:color w:val="auto"/>
              </w:rPr>
            </w:pPr>
            <w:r>
              <w:rPr>
                <w:rFonts w:ascii="Times New Roman" w:hAnsi="Times New Roman"/>
                <w:color w:val="auto"/>
              </w:rPr>
              <w:t>E3</w:t>
            </w:r>
          </w:p>
        </w:tc>
        <w:tc>
          <w:tcPr>
            <w:tcW w:w="8549" w:type="dxa"/>
            <w:tcBorders>
              <w:bottom w:val="single" w:color="000000" w:sz="12" w:space="0"/>
              <w:right w:val="single" w:color="000000" w:sz="12" w:space="0"/>
            </w:tcBorders>
            <w:tcMar>
              <w:left w:w="0" w:type="dxa"/>
              <w:right w:w="0" w:type="dxa"/>
            </w:tcMar>
            <w:vAlign w:val="center"/>
          </w:tcPr>
          <w:p>
            <w:pPr>
              <w:pStyle w:val="1101"/>
              <w:spacing w:line="240" w:lineRule="auto"/>
              <w:rPr>
                <w:color w:val="auto"/>
              </w:rPr>
            </w:pPr>
            <w:r>
              <w:rPr>
                <w:color w:val="auto"/>
              </w:rPr>
              <w:t>周边</w:t>
            </w:r>
            <w:r>
              <w:rPr>
                <w:rFonts w:ascii="Times New Roman" w:hAnsi="Times New Roman"/>
                <w:color w:val="auto"/>
              </w:rPr>
              <w:t>5</w:t>
            </w:r>
            <w:r>
              <w:rPr>
                <w:color w:val="auto"/>
              </w:rPr>
              <w:t xml:space="preserve"> </w:t>
            </w:r>
            <w:r>
              <w:rPr>
                <w:rFonts w:ascii="Times New Roman" w:hAnsi="Times New Roman"/>
                <w:color w:val="auto"/>
              </w:rPr>
              <w:t>km</w:t>
            </w:r>
            <w:r>
              <w:rPr>
                <w:color w:val="auto"/>
              </w:rPr>
              <w:t>范围内居住区、医疗卫生、文化教育、科研、行政办公等机构人口总数小于</w:t>
            </w:r>
            <w:r>
              <w:rPr>
                <w:rFonts w:ascii="Times New Roman" w:hAnsi="Times New Roman"/>
                <w:color w:val="auto"/>
              </w:rPr>
              <w:t>1</w:t>
            </w:r>
            <w:r>
              <w:rPr>
                <w:color w:val="auto"/>
              </w:rPr>
              <w:t>万人；或周边</w:t>
            </w:r>
            <w:r>
              <w:rPr>
                <w:rFonts w:ascii="Times New Roman" w:hAnsi="Times New Roman"/>
                <w:color w:val="auto"/>
              </w:rPr>
              <w:t>500m</w:t>
            </w:r>
            <w:r>
              <w:rPr>
                <w:color w:val="auto"/>
              </w:rPr>
              <w:t>范围内人口总数小于</w:t>
            </w:r>
            <w:r>
              <w:rPr>
                <w:rFonts w:ascii="Times New Roman" w:hAnsi="Times New Roman"/>
                <w:color w:val="auto"/>
              </w:rPr>
              <w:t>500</w:t>
            </w:r>
            <w:r>
              <w:rPr>
                <w:color w:val="auto"/>
              </w:rPr>
              <w:t>人；油气、化学品输送管线管段周边</w:t>
            </w:r>
            <w:r>
              <w:rPr>
                <w:rFonts w:ascii="Times New Roman" w:hAnsi="Times New Roman"/>
                <w:color w:val="auto"/>
              </w:rPr>
              <w:t>200m</w:t>
            </w:r>
            <w:r>
              <w:rPr>
                <w:color w:val="auto"/>
              </w:rPr>
              <w:t>范围内，每千米管段人口数小于</w:t>
            </w:r>
            <w:r>
              <w:rPr>
                <w:rFonts w:ascii="Times New Roman" w:hAnsi="Times New Roman"/>
                <w:color w:val="auto"/>
              </w:rPr>
              <w:t>100</w:t>
            </w:r>
            <w:r>
              <w:rPr>
                <w:color w:val="auto"/>
              </w:rPr>
              <w:t>人</w:t>
            </w:r>
          </w:p>
        </w:tc>
      </w:tr>
    </w:tbl>
    <w:p>
      <w:pPr>
        <w:rPr>
          <w:rFonts w:hint="default" w:eastAsia="宋体"/>
          <w:color w:val="auto"/>
          <w:lang w:val="en-US" w:eastAsia="zh-CN"/>
        </w:rPr>
      </w:pPr>
      <w:r>
        <w:rPr>
          <w:rFonts w:hint="eastAsia"/>
          <w:color w:val="auto"/>
          <w:lang w:eastAsia="zh-CN"/>
        </w:rPr>
        <w:t>项目大气环境风险的危害性属于</w:t>
      </w:r>
      <w:r>
        <w:rPr>
          <w:rFonts w:hint="eastAsia" w:ascii="Times New Roman" w:hAnsi="Times New Roman"/>
          <w:color w:val="auto"/>
          <w:lang w:val="en-US" w:eastAsia="zh-CN"/>
        </w:rPr>
        <w:t>P3</w:t>
      </w:r>
      <w:r>
        <w:rPr>
          <w:rFonts w:hint="eastAsia"/>
          <w:color w:val="auto"/>
          <w:lang w:val="en-US" w:eastAsia="zh-CN"/>
        </w:rPr>
        <w:t>，环境敏感程度属于不敏感</w:t>
      </w:r>
      <w:r>
        <w:rPr>
          <w:rFonts w:hint="eastAsia" w:ascii="Times New Roman" w:hAnsi="Times New Roman"/>
          <w:color w:val="auto"/>
          <w:lang w:val="en-US" w:eastAsia="zh-CN"/>
        </w:rPr>
        <w:t>E3</w:t>
      </w:r>
      <w:r>
        <w:rPr>
          <w:rFonts w:hint="eastAsia"/>
          <w:color w:val="auto"/>
          <w:lang w:val="en-US" w:eastAsia="zh-CN"/>
        </w:rPr>
        <w:t>，因此，</w:t>
      </w:r>
      <w:r>
        <w:rPr>
          <w:rFonts w:hint="eastAsia"/>
          <w:color w:val="auto"/>
        </w:rPr>
        <w:t>项目大气</w:t>
      </w:r>
      <w:r>
        <w:rPr>
          <w:rFonts w:hint="eastAsia"/>
          <w:color w:val="auto"/>
          <w:lang w:eastAsia="zh-CN"/>
        </w:rPr>
        <w:t>环境</w:t>
      </w:r>
      <w:r>
        <w:rPr>
          <w:rFonts w:hint="eastAsia"/>
          <w:color w:val="auto"/>
        </w:rPr>
        <w:t>风险潜势为</w:t>
      </w:r>
      <w:r>
        <w:rPr>
          <w:rFonts w:hint="eastAsia"/>
          <w:color w:val="auto"/>
          <w:lang w:val="en-US" w:eastAsia="zh-CN"/>
        </w:rPr>
        <w:t>Ⅱ</w:t>
      </w:r>
      <w:r>
        <w:rPr>
          <w:rFonts w:hint="eastAsia"/>
          <w:color w:val="auto"/>
        </w:rPr>
        <w:t>。</w:t>
      </w:r>
    </w:p>
    <w:p>
      <w:pPr>
        <w:rPr>
          <w:rFonts w:hint="eastAsia" w:eastAsia="宋体"/>
          <w:color w:val="auto"/>
          <w:lang w:eastAsia="zh-CN"/>
        </w:rPr>
      </w:pPr>
      <w:r>
        <w:rPr>
          <w:rFonts w:hint="eastAsia"/>
          <w:color w:val="auto"/>
        </w:rPr>
        <w:t>（</w:t>
      </w:r>
      <w:r>
        <w:rPr>
          <w:rFonts w:hint="eastAsia" w:ascii="Times New Roman" w:hAnsi="Times New Roman"/>
          <w:color w:val="auto"/>
        </w:rPr>
        <w:t>2</w:t>
      </w:r>
      <w:r>
        <w:rPr>
          <w:rFonts w:hint="eastAsia"/>
          <w:color w:val="auto"/>
        </w:rPr>
        <w:t>）</w:t>
      </w:r>
      <w:r>
        <w:rPr>
          <w:rFonts w:hint="eastAsia"/>
          <w:color w:val="auto"/>
          <w:lang w:eastAsia="zh-CN"/>
        </w:rPr>
        <w:t>地表水环境敏感程度</w:t>
      </w:r>
    </w:p>
    <w:p>
      <w:pPr>
        <w:spacing w:line="440" w:lineRule="exact"/>
        <w:rPr>
          <w:rFonts w:hint="eastAsia"/>
          <w:color w:val="auto"/>
          <w:lang w:val="en-US" w:eastAsia="zh-CN"/>
        </w:rPr>
      </w:pPr>
      <w:r>
        <w:rPr>
          <w:rFonts w:hint="eastAsia"/>
          <w:color w:val="auto"/>
          <w:lang w:eastAsia="zh-CN"/>
        </w:rPr>
        <w:t>根据</w:t>
      </w:r>
      <w:r>
        <w:rPr>
          <w:rFonts w:hint="eastAsia" w:ascii="Times New Roman" w:hAnsi="Times New Roman"/>
          <w:color w:val="auto"/>
          <w:lang w:val="en-US" w:eastAsia="zh-CN"/>
        </w:rPr>
        <w:t>HJ169</w:t>
      </w:r>
      <w:r>
        <w:rPr>
          <w:rFonts w:hint="eastAsia"/>
          <w:color w:val="auto"/>
          <w:lang w:val="en-US" w:eastAsia="zh-CN"/>
        </w:rPr>
        <w:t>-</w:t>
      </w:r>
      <w:r>
        <w:rPr>
          <w:rFonts w:hint="eastAsia" w:ascii="Times New Roman" w:hAnsi="Times New Roman"/>
          <w:color w:val="auto"/>
          <w:lang w:val="en-US" w:eastAsia="zh-CN"/>
        </w:rPr>
        <w:t>2019</w:t>
      </w:r>
      <w:r>
        <w:rPr>
          <w:rFonts w:hint="eastAsia"/>
          <w:color w:val="auto"/>
          <w:lang w:val="en-US" w:eastAsia="zh-CN"/>
        </w:rPr>
        <w:t>，地表水环境敏感程度分级见表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7</w:t>
      </w:r>
      <w:r>
        <w:rPr>
          <w:rFonts w:hint="eastAsia"/>
          <w:color w:val="auto"/>
          <w:lang w:val="en-US" w:eastAsia="zh-CN"/>
        </w:rPr>
        <w:t>，地表水功能敏感性分区见表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8</w:t>
      </w:r>
      <w:r>
        <w:rPr>
          <w:rFonts w:hint="eastAsia"/>
          <w:color w:val="auto"/>
          <w:lang w:val="en-US" w:eastAsia="zh-CN"/>
        </w:rPr>
        <w:t>，环境敏感目标分级见表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p>
    <w:p>
      <w:pPr>
        <w:pStyle w:val="20"/>
        <w:rPr>
          <w:rFonts w:hint="default"/>
          <w:color w:val="auto"/>
          <w:lang w:val="en-US" w:eastAsia="zh-CN"/>
        </w:rPr>
      </w:pPr>
      <w:r>
        <w:rPr>
          <w:rFonts w:hint="eastAsia"/>
          <w:color w:val="auto"/>
          <w:lang w:val="en-US" w:eastAsia="zh-CN"/>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7</w:t>
      </w:r>
      <w:r>
        <w:rPr>
          <w:rFonts w:hint="eastAsia"/>
          <w:color w:val="auto"/>
          <w:lang w:val="en-US" w:eastAsia="zh-CN"/>
        </w:rPr>
        <w:t xml:space="preserve">  地表水环境敏感程度分级</w:t>
      </w:r>
    </w:p>
    <w:tbl>
      <w:tblPr>
        <w:tblStyle w:val="8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3"/>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Merge w:val="restart"/>
            <w:tcBorders>
              <w:top w:val="single" w:color="auto" w:sz="12" w:space="0"/>
              <w:left w:val="single" w:color="auto" w:sz="12"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环境敏感目标</w:t>
            </w:r>
          </w:p>
        </w:tc>
        <w:tc>
          <w:tcPr>
            <w:tcW w:w="6881" w:type="dxa"/>
            <w:gridSpan w:val="3"/>
            <w:tcBorders>
              <w:top w:val="single" w:color="auto" w:sz="12" w:space="0"/>
              <w:right w:val="single" w:color="auto" w:sz="12"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vMerge w:val="continue"/>
            <w:tcBorders>
              <w:left w:val="single" w:color="auto" w:sz="12"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p>
        </w:tc>
        <w:tc>
          <w:tcPr>
            <w:tcW w:w="2293"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F1</w:t>
            </w:r>
          </w:p>
        </w:tc>
        <w:tc>
          <w:tcPr>
            <w:tcW w:w="2294"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F2</w:t>
            </w:r>
          </w:p>
        </w:tc>
        <w:tc>
          <w:tcPr>
            <w:tcW w:w="2294" w:type="dxa"/>
            <w:tcBorders>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lef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S1</w:t>
            </w:r>
          </w:p>
        </w:tc>
        <w:tc>
          <w:tcPr>
            <w:tcW w:w="2293"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E1</w:t>
            </w:r>
          </w:p>
        </w:tc>
        <w:tc>
          <w:tcPr>
            <w:tcW w:w="2294"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E1</w:t>
            </w:r>
          </w:p>
        </w:tc>
        <w:tc>
          <w:tcPr>
            <w:tcW w:w="2294" w:type="dxa"/>
            <w:tcBorders>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lef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S2</w:t>
            </w:r>
          </w:p>
        </w:tc>
        <w:tc>
          <w:tcPr>
            <w:tcW w:w="2293"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E1</w:t>
            </w:r>
          </w:p>
        </w:tc>
        <w:tc>
          <w:tcPr>
            <w:tcW w:w="2294" w:type="dxa"/>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E2</w:t>
            </w:r>
          </w:p>
        </w:tc>
        <w:tc>
          <w:tcPr>
            <w:tcW w:w="2294" w:type="dxa"/>
            <w:tcBorders>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tcBorders>
              <w:left w:val="single" w:color="auto" w:sz="12" w:space="0"/>
              <w:bottom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S3</w:t>
            </w:r>
          </w:p>
        </w:tc>
        <w:tc>
          <w:tcPr>
            <w:tcW w:w="2293" w:type="dxa"/>
            <w:tcBorders>
              <w:bottom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E1</w:t>
            </w:r>
          </w:p>
        </w:tc>
        <w:tc>
          <w:tcPr>
            <w:tcW w:w="2294" w:type="dxa"/>
            <w:tcBorders>
              <w:bottom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E2</w:t>
            </w:r>
          </w:p>
        </w:tc>
        <w:tc>
          <w:tcPr>
            <w:tcW w:w="2294" w:type="dxa"/>
            <w:tcBorders>
              <w:bottom w:val="single" w:color="auto" w:sz="12" w:space="0"/>
              <w:righ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E3</w:t>
            </w:r>
          </w:p>
        </w:tc>
      </w:tr>
    </w:tbl>
    <w:p>
      <w:pPr>
        <w:pStyle w:val="20"/>
        <w:rPr>
          <w:rFonts w:hint="default"/>
          <w:color w:val="auto"/>
          <w:lang w:val="en-US" w:eastAsia="zh-CN"/>
        </w:rPr>
      </w:pPr>
      <w:r>
        <w:rPr>
          <w:rFonts w:hint="eastAsia"/>
          <w:color w:val="auto"/>
          <w:lang w:val="en-US" w:eastAsia="zh-CN"/>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8</w:t>
      </w:r>
      <w:r>
        <w:rPr>
          <w:rFonts w:hint="eastAsia"/>
          <w:color w:val="auto"/>
          <w:lang w:val="en-US" w:eastAsia="zh-CN"/>
        </w:rPr>
        <w:t xml:space="preserve">  地表水功能敏感性分区</w:t>
      </w:r>
    </w:p>
    <w:tbl>
      <w:tblPr>
        <w:tblStyle w:val="81"/>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7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6" w:type="dxa"/>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敏感性</w:t>
            </w:r>
          </w:p>
        </w:tc>
        <w:tc>
          <w:tcPr>
            <w:tcW w:w="7968" w:type="dxa"/>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val="en-US" w:eastAsia="zh-CN"/>
              </w:rPr>
            </w:pPr>
            <w:r>
              <w:rPr>
                <w:rFonts w:hint="eastAsia"/>
                <w:color w:val="auto"/>
                <w:sz w:val="21"/>
                <w:szCs w:val="21"/>
                <w:lang w:val="en-US" w:eastAsia="zh-CN"/>
              </w:rPr>
              <w:t>地表水环境敏感特征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6" w:type="dxa"/>
            <w:tcBorders>
              <w:tl2br w:val="nil"/>
              <w:tr2bl w:val="nil"/>
            </w:tcBorders>
            <w:vAlign w:val="center"/>
          </w:tcPr>
          <w:p>
            <w:pPr>
              <w:widowControl w:val="0"/>
              <w:wordWrap/>
              <w:adjustRightInd/>
              <w:snapToGrid/>
              <w:spacing w:line="240" w:lineRule="auto"/>
              <w:ind w:firstLine="0"/>
              <w:jc w:val="center"/>
              <w:textAlignment w:val="auto"/>
              <w:rPr>
                <w:rFonts w:hint="default"/>
                <w:color w:val="auto"/>
                <w:sz w:val="21"/>
                <w:szCs w:val="21"/>
                <w:lang w:val="en-US" w:eastAsia="zh-CN"/>
              </w:rPr>
            </w:pPr>
            <w:r>
              <w:rPr>
                <w:rFonts w:hint="eastAsia"/>
                <w:color w:val="auto"/>
                <w:sz w:val="21"/>
                <w:szCs w:val="21"/>
                <w:lang w:val="en-US" w:eastAsia="zh-CN"/>
              </w:rPr>
              <w:t>敏感</w:t>
            </w:r>
            <w:r>
              <w:rPr>
                <w:rFonts w:hint="eastAsia" w:ascii="Times New Roman" w:hAnsi="Times New Roman"/>
                <w:color w:val="auto"/>
                <w:sz w:val="21"/>
                <w:szCs w:val="21"/>
                <w:lang w:val="en-US" w:eastAsia="zh-CN"/>
              </w:rPr>
              <w:t>F1</w:t>
            </w:r>
          </w:p>
        </w:tc>
        <w:tc>
          <w:tcPr>
            <w:tcW w:w="7968" w:type="dxa"/>
            <w:tcBorders>
              <w:tl2br w:val="nil"/>
              <w:tr2bl w:val="nil"/>
            </w:tcBorders>
            <w:vAlign w:val="center"/>
          </w:tcPr>
          <w:p>
            <w:pPr>
              <w:widowControl w:val="0"/>
              <w:wordWrap/>
              <w:adjustRightInd/>
              <w:snapToGrid/>
              <w:spacing w:line="240" w:lineRule="auto"/>
              <w:ind w:firstLine="0"/>
              <w:jc w:val="left"/>
              <w:textAlignment w:val="auto"/>
              <w:rPr>
                <w:rFonts w:hint="default"/>
                <w:color w:val="auto"/>
                <w:sz w:val="21"/>
                <w:szCs w:val="21"/>
                <w:lang w:val="en-US" w:eastAsia="zh-CN"/>
              </w:rPr>
            </w:pPr>
            <w:r>
              <w:rPr>
                <w:rFonts w:hint="eastAsia"/>
                <w:color w:val="auto"/>
                <w:sz w:val="21"/>
                <w:szCs w:val="21"/>
                <w:lang w:val="en-US" w:eastAsia="zh-CN"/>
              </w:rPr>
              <w:t>排放点进入地表水水域环境功能为Ⅱ类及以上，或海水水质分类第一类；或发生事故时，危险废物泄漏到水体的排放点算起，排放进入受纳河流最大流速时，</w:t>
            </w:r>
            <w:r>
              <w:rPr>
                <w:rFonts w:hint="eastAsia" w:ascii="Times New Roman" w:hAnsi="Times New Roman"/>
                <w:color w:val="auto"/>
                <w:sz w:val="21"/>
                <w:szCs w:val="21"/>
                <w:lang w:val="en-US" w:eastAsia="zh-CN"/>
              </w:rPr>
              <w:t>24h</w:t>
            </w:r>
            <w:r>
              <w:rPr>
                <w:rFonts w:hint="eastAsia"/>
                <w:color w:val="auto"/>
                <w:sz w:val="21"/>
                <w:szCs w:val="21"/>
                <w:lang w:val="en-US" w:eastAsia="zh-CN"/>
              </w:rPr>
              <w:t>流经范围内涉跨国界的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6" w:type="dxa"/>
            <w:tcBorders>
              <w:tl2br w:val="nil"/>
              <w:tr2bl w:val="nil"/>
            </w:tcBorders>
            <w:vAlign w:val="center"/>
          </w:tcPr>
          <w:p>
            <w:pPr>
              <w:widowControl w:val="0"/>
              <w:wordWrap/>
              <w:adjustRightInd/>
              <w:snapToGrid/>
              <w:spacing w:line="240" w:lineRule="auto"/>
              <w:ind w:firstLine="0"/>
              <w:jc w:val="center"/>
              <w:textAlignment w:val="auto"/>
              <w:rPr>
                <w:rFonts w:hint="default"/>
                <w:color w:val="auto"/>
                <w:sz w:val="21"/>
                <w:szCs w:val="21"/>
                <w:lang w:val="en-US" w:eastAsia="zh-CN"/>
              </w:rPr>
            </w:pPr>
            <w:r>
              <w:rPr>
                <w:rFonts w:hint="eastAsia"/>
                <w:color w:val="auto"/>
                <w:sz w:val="21"/>
                <w:szCs w:val="21"/>
                <w:lang w:val="en-US" w:eastAsia="zh-CN"/>
              </w:rPr>
              <w:t>较敏感</w:t>
            </w:r>
            <w:r>
              <w:rPr>
                <w:rFonts w:hint="eastAsia" w:ascii="Times New Roman" w:hAnsi="Times New Roman"/>
                <w:color w:val="auto"/>
                <w:sz w:val="21"/>
                <w:szCs w:val="21"/>
                <w:lang w:val="en-US" w:eastAsia="zh-CN"/>
              </w:rPr>
              <w:t>F2</w:t>
            </w:r>
          </w:p>
        </w:tc>
        <w:tc>
          <w:tcPr>
            <w:tcW w:w="7968" w:type="dxa"/>
            <w:tcBorders>
              <w:tl2br w:val="nil"/>
              <w:tr2bl w:val="nil"/>
            </w:tcBorders>
            <w:vAlign w:val="center"/>
          </w:tcPr>
          <w:p>
            <w:pPr>
              <w:widowControl w:val="0"/>
              <w:wordWrap/>
              <w:adjustRightInd/>
              <w:snapToGrid/>
              <w:spacing w:line="240" w:lineRule="auto"/>
              <w:ind w:firstLine="0"/>
              <w:jc w:val="left"/>
              <w:textAlignment w:val="auto"/>
              <w:rPr>
                <w:rFonts w:hint="default"/>
                <w:color w:val="auto"/>
                <w:sz w:val="21"/>
                <w:szCs w:val="21"/>
                <w:lang w:val="en-US" w:eastAsia="zh-CN"/>
              </w:rPr>
            </w:pPr>
            <w:r>
              <w:rPr>
                <w:rFonts w:hint="eastAsia"/>
                <w:color w:val="auto"/>
                <w:sz w:val="21"/>
                <w:szCs w:val="21"/>
                <w:lang w:val="en-US" w:eastAsia="zh-CN"/>
              </w:rPr>
              <w:t>排放点进入地表水水域环境功能为Ⅲ类，或海水水质分类第二类；或以发生事故时，危险物质泄漏到水体的排放点算起，排放进入受纳河流最大流速时，</w:t>
            </w:r>
            <w:r>
              <w:rPr>
                <w:rFonts w:hint="eastAsia" w:ascii="Times New Roman" w:hAnsi="Times New Roman"/>
                <w:color w:val="auto"/>
                <w:sz w:val="21"/>
                <w:szCs w:val="21"/>
                <w:lang w:val="en-US" w:eastAsia="zh-CN"/>
              </w:rPr>
              <w:t>24h</w:t>
            </w:r>
            <w:r>
              <w:rPr>
                <w:rFonts w:hint="eastAsia"/>
                <w:color w:val="auto"/>
                <w:sz w:val="21"/>
                <w:szCs w:val="21"/>
                <w:lang w:val="en-US" w:eastAsia="zh-CN"/>
              </w:rPr>
              <w:t>流经范围内涉跨省界的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6" w:type="dxa"/>
            <w:tcBorders>
              <w:tl2br w:val="nil"/>
              <w:tr2bl w:val="nil"/>
            </w:tcBorders>
            <w:vAlign w:val="center"/>
          </w:tcPr>
          <w:p>
            <w:pPr>
              <w:widowControl w:val="0"/>
              <w:wordWrap/>
              <w:adjustRightInd/>
              <w:snapToGrid/>
              <w:spacing w:line="240" w:lineRule="auto"/>
              <w:ind w:firstLine="0"/>
              <w:jc w:val="center"/>
              <w:textAlignment w:val="auto"/>
              <w:rPr>
                <w:rFonts w:hint="default"/>
                <w:color w:val="auto"/>
                <w:sz w:val="21"/>
                <w:szCs w:val="21"/>
                <w:lang w:val="en-US" w:eastAsia="zh-CN"/>
              </w:rPr>
            </w:pPr>
            <w:r>
              <w:rPr>
                <w:rFonts w:hint="eastAsia"/>
                <w:color w:val="auto"/>
                <w:sz w:val="21"/>
                <w:szCs w:val="21"/>
                <w:lang w:val="en-US" w:eastAsia="zh-CN"/>
              </w:rPr>
              <w:t>低敏感</w:t>
            </w:r>
            <w:r>
              <w:rPr>
                <w:rFonts w:hint="eastAsia" w:ascii="Times New Roman" w:hAnsi="Times New Roman"/>
                <w:color w:val="auto"/>
                <w:sz w:val="21"/>
                <w:szCs w:val="21"/>
                <w:lang w:val="en-US" w:eastAsia="zh-CN"/>
              </w:rPr>
              <w:t>F3</w:t>
            </w:r>
          </w:p>
        </w:tc>
        <w:tc>
          <w:tcPr>
            <w:tcW w:w="7968" w:type="dxa"/>
            <w:tcBorders>
              <w:tl2br w:val="nil"/>
              <w:tr2bl w:val="nil"/>
            </w:tcBorders>
            <w:vAlign w:val="center"/>
          </w:tcPr>
          <w:p>
            <w:pPr>
              <w:widowControl w:val="0"/>
              <w:wordWrap/>
              <w:adjustRightInd/>
              <w:snapToGrid/>
              <w:spacing w:line="240" w:lineRule="auto"/>
              <w:ind w:firstLine="0"/>
              <w:jc w:val="left"/>
              <w:textAlignment w:val="auto"/>
              <w:rPr>
                <w:rFonts w:hint="eastAsia"/>
                <w:color w:val="auto"/>
                <w:sz w:val="21"/>
                <w:szCs w:val="21"/>
                <w:lang w:val="en-US" w:eastAsia="zh-CN"/>
              </w:rPr>
            </w:pPr>
            <w:r>
              <w:rPr>
                <w:rFonts w:hint="eastAsia"/>
                <w:color w:val="auto"/>
                <w:sz w:val="21"/>
                <w:szCs w:val="21"/>
                <w:lang w:val="en-US" w:eastAsia="zh-CN"/>
              </w:rPr>
              <w:t>上述地区之外的其他地区</w:t>
            </w:r>
          </w:p>
        </w:tc>
      </w:tr>
    </w:tbl>
    <w:p>
      <w:pPr>
        <w:pStyle w:val="20"/>
        <w:rPr>
          <w:rFonts w:hint="default"/>
          <w:color w:val="auto"/>
          <w:lang w:val="en-US" w:eastAsia="zh-CN"/>
        </w:rPr>
      </w:pPr>
      <w:r>
        <w:rPr>
          <w:rFonts w:hint="eastAsia"/>
          <w:color w:val="auto"/>
          <w:lang w:val="en-US" w:eastAsia="zh-CN"/>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 xml:space="preserve">  环境敏感目标分级</w:t>
      </w:r>
    </w:p>
    <w:tbl>
      <w:tblPr>
        <w:tblStyle w:val="8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auto" w:sz="12" w:space="0"/>
              <w:left w:val="single" w:color="auto" w:sz="12"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分级</w:t>
            </w:r>
          </w:p>
        </w:tc>
        <w:tc>
          <w:tcPr>
            <w:tcW w:w="8351" w:type="dxa"/>
            <w:tcBorders>
              <w:top w:val="single" w:color="auto" w:sz="12" w:space="0"/>
              <w:right w:val="single" w:color="auto" w:sz="12" w:space="0"/>
            </w:tcBorders>
            <w:vAlign w:val="center"/>
          </w:tcPr>
          <w:p>
            <w:pPr>
              <w:widowControl w:val="0"/>
              <w:wordWrap/>
              <w:adjustRightInd/>
              <w:snapToGrid/>
              <w:spacing w:line="240" w:lineRule="auto"/>
              <w:ind w:firstLine="0"/>
              <w:jc w:val="center"/>
              <w:textAlignment w:val="auto"/>
              <w:rPr>
                <w:rFonts w:hint="eastAsia"/>
                <w:color w:val="auto"/>
                <w:sz w:val="21"/>
                <w:szCs w:val="16"/>
                <w:lang w:val="en-US" w:eastAsia="zh-CN"/>
              </w:rPr>
            </w:pPr>
            <w:r>
              <w:rPr>
                <w:rFonts w:hint="eastAsia"/>
                <w:color w:val="auto"/>
                <w:sz w:val="21"/>
                <w:szCs w:val="16"/>
                <w:lang w:val="en-US" w:eastAsia="zh-CN"/>
              </w:rP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Borders>
              <w:lef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S1</w:t>
            </w:r>
          </w:p>
        </w:tc>
        <w:tc>
          <w:tcPr>
            <w:tcW w:w="8351" w:type="dxa"/>
            <w:tcBorders>
              <w:right w:val="single" w:color="auto" w:sz="12" w:space="0"/>
            </w:tcBorders>
            <w:vAlign w:val="top"/>
          </w:tcPr>
          <w:p>
            <w:pPr>
              <w:widowControl w:val="0"/>
              <w:wordWrap/>
              <w:adjustRightInd/>
              <w:snapToGrid/>
              <w:spacing w:line="240" w:lineRule="auto"/>
              <w:ind w:firstLine="0"/>
              <w:textAlignment w:val="auto"/>
              <w:rPr>
                <w:rFonts w:hint="default"/>
                <w:color w:val="auto"/>
                <w:sz w:val="21"/>
                <w:szCs w:val="16"/>
                <w:lang w:val="en-US" w:eastAsia="zh-CN"/>
              </w:rPr>
            </w:pPr>
            <w:r>
              <w:rPr>
                <w:rFonts w:hint="eastAsia"/>
                <w:color w:val="auto"/>
                <w:sz w:val="21"/>
                <w:szCs w:val="16"/>
                <w:lang w:val="en-US" w:eastAsia="zh-CN"/>
              </w:rPr>
              <w:t>发生事故时，危险物质泄漏到内陆水体的排放点下游（顺水流向）</w:t>
            </w:r>
            <w:r>
              <w:rPr>
                <w:rFonts w:hint="eastAsia" w:ascii="Times New Roman" w:hAnsi="Times New Roman"/>
                <w:color w:val="auto"/>
                <w:sz w:val="21"/>
                <w:szCs w:val="16"/>
                <w:lang w:val="en-US" w:eastAsia="zh-CN"/>
              </w:rPr>
              <w:t>10km</w:t>
            </w:r>
            <w:r>
              <w:rPr>
                <w:rFonts w:hint="eastAsia"/>
                <w:color w:val="auto"/>
                <w:sz w:val="21"/>
                <w:szCs w:val="16"/>
                <w:lang w:val="en-US" w:eastAsia="zh-CN"/>
              </w:rPr>
              <w:t>范围内、近岸海域一个潮周期水质点可能达到的最大水平距离的两倍范围内，有如下一类或多类环境风险受体：集中式地表水饮用水源保护区（包括一级保护区、二级保护区及准保护区）；农场及分散式饮用水水源保护区；自然保护区；重要湿地；珍惜濒危野生动植物天然集中分布区；重要水生生物的自然产卵场及索饵场、越冬场和洄游通道；世界文化和自然遗产地；红树林、珊瑚礁等滨海湿地生态系统；珍惜、濒危海洋生物的天然集中分布区；海洋特别保护区；海上自然保护区；盐场保护区；海水浴场；海洋自然历史遗迹；风景名胜区；或其他特殊重要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Borders>
              <w:left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S2</w:t>
            </w:r>
          </w:p>
        </w:tc>
        <w:tc>
          <w:tcPr>
            <w:tcW w:w="8351" w:type="dxa"/>
            <w:tcBorders>
              <w:right w:val="single" w:color="auto" w:sz="12" w:space="0"/>
            </w:tcBorders>
            <w:vAlign w:val="top"/>
          </w:tcPr>
          <w:p>
            <w:pPr>
              <w:widowControl w:val="0"/>
              <w:wordWrap/>
              <w:adjustRightInd/>
              <w:snapToGrid/>
              <w:spacing w:line="240" w:lineRule="auto"/>
              <w:ind w:firstLine="0"/>
              <w:textAlignment w:val="auto"/>
              <w:rPr>
                <w:rFonts w:hint="default"/>
                <w:color w:val="auto"/>
                <w:sz w:val="21"/>
                <w:szCs w:val="16"/>
                <w:lang w:val="en-US" w:eastAsia="zh-CN"/>
              </w:rPr>
            </w:pPr>
            <w:r>
              <w:rPr>
                <w:rFonts w:hint="eastAsia"/>
                <w:color w:val="auto"/>
                <w:sz w:val="21"/>
                <w:szCs w:val="16"/>
                <w:lang w:val="en-US" w:eastAsia="zh-CN"/>
              </w:rPr>
              <w:t>发生事故时，危险物质泄漏到内陆水体的排放点下游（顺水流向）</w:t>
            </w:r>
            <w:r>
              <w:rPr>
                <w:rFonts w:hint="eastAsia" w:ascii="Times New Roman" w:hAnsi="Times New Roman"/>
                <w:color w:val="auto"/>
                <w:sz w:val="21"/>
                <w:szCs w:val="16"/>
                <w:lang w:val="en-US" w:eastAsia="zh-CN"/>
              </w:rPr>
              <w:t>10km</w:t>
            </w:r>
            <w:r>
              <w:rPr>
                <w:rFonts w:hint="eastAsia"/>
                <w:color w:val="auto"/>
                <w:sz w:val="21"/>
                <w:szCs w:val="16"/>
                <w:lang w:val="en-US" w:eastAsia="zh-CN"/>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Borders>
              <w:left w:val="single" w:color="auto" w:sz="12" w:space="0"/>
              <w:bottom w:val="single" w:color="auto" w:sz="12" w:space="0"/>
            </w:tcBorders>
            <w:vAlign w:val="center"/>
          </w:tcPr>
          <w:p>
            <w:pPr>
              <w:widowControl w:val="0"/>
              <w:wordWrap/>
              <w:adjustRightInd/>
              <w:snapToGrid/>
              <w:spacing w:line="240" w:lineRule="auto"/>
              <w:ind w:firstLine="0"/>
              <w:jc w:val="center"/>
              <w:textAlignment w:val="auto"/>
              <w:rPr>
                <w:rFonts w:hint="default"/>
                <w:color w:val="auto"/>
                <w:sz w:val="21"/>
                <w:szCs w:val="16"/>
                <w:lang w:val="en-US" w:eastAsia="zh-CN"/>
              </w:rPr>
            </w:pPr>
            <w:r>
              <w:rPr>
                <w:rFonts w:hint="eastAsia" w:ascii="Times New Roman" w:hAnsi="Times New Roman"/>
                <w:color w:val="auto"/>
                <w:sz w:val="21"/>
                <w:szCs w:val="16"/>
                <w:lang w:val="en-US" w:eastAsia="zh-CN"/>
              </w:rPr>
              <w:t>S3</w:t>
            </w:r>
          </w:p>
        </w:tc>
        <w:tc>
          <w:tcPr>
            <w:tcW w:w="8351" w:type="dxa"/>
            <w:tcBorders>
              <w:bottom w:val="single" w:color="auto" w:sz="12" w:space="0"/>
              <w:right w:val="single" w:color="auto" w:sz="12" w:space="0"/>
            </w:tcBorders>
            <w:vAlign w:val="top"/>
          </w:tcPr>
          <w:p>
            <w:pPr>
              <w:widowControl w:val="0"/>
              <w:wordWrap/>
              <w:adjustRightInd/>
              <w:snapToGrid/>
              <w:spacing w:line="240" w:lineRule="auto"/>
              <w:ind w:firstLine="0"/>
              <w:textAlignment w:val="auto"/>
              <w:rPr>
                <w:rFonts w:hint="default"/>
                <w:color w:val="auto"/>
                <w:sz w:val="21"/>
                <w:szCs w:val="16"/>
                <w:lang w:val="en-US" w:eastAsia="zh-CN"/>
              </w:rPr>
            </w:pPr>
            <w:r>
              <w:rPr>
                <w:rFonts w:hint="eastAsia"/>
                <w:color w:val="auto"/>
                <w:sz w:val="21"/>
                <w:szCs w:val="16"/>
                <w:lang w:val="en-US" w:eastAsia="zh-CN"/>
              </w:rPr>
              <w:t>排放点下游（顺水流向）</w:t>
            </w:r>
            <w:r>
              <w:rPr>
                <w:rFonts w:hint="eastAsia" w:ascii="Times New Roman" w:hAnsi="Times New Roman"/>
                <w:color w:val="auto"/>
                <w:sz w:val="21"/>
                <w:szCs w:val="16"/>
                <w:lang w:val="en-US" w:eastAsia="zh-CN"/>
              </w:rPr>
              <w:t>10km</w:t>
            </w:r>
            <w:r>
              <w:rPr>
                <w:rFonts w:hint="eastAsia"/>
                <w:color w:val="auto"/>
                <w:sz w:val="21"/>
                <w:szCs w:val="16"/>
                <w:lang w:val="en-US" w:eastAsia="zh-CN"/>
              </w:rPr>
              <w:t>范围、近岸海域一个潮周期水质点可能达到的最大水平距离的两倍范围内无上述类型</w:t>
            </w:r>
            <w:r>
              <w:rPr>
                <w:rFonts w:hint="eastAsia" w:ascii="Times New Roman" w:hAnsi="Times New Roman"/>
                <w:color w:val="auto"/>
                <w:sz w:val="21"/>
                <w:szCs w:val="16"/>
                <w:lang w:val="en-US" w:eastAsia="zh-CN"/>
              </w:rPr>
              <w:t>1</w:t>
            </w:r>
            <w:r>
              <w:rPr>
                <w:rFonts w:hint="eastAsia"/>
                <w:color w:val="auto"/>
                <w:sz w:val="21"/>
                <w:szCs w:val="16"/>
                <w:lang w:val="en-US" w:eastAsia="zh-CN"/>
              </w:rPr>
              <w:t>和类型</w:t>
            </w:r>
            <w:r>
              <w:rPr>
                <w:rFonts w:hint="eastAsia" w:ascii="Times New Roman" w:hAnsi="Times New Roman"/>
                <w:color w:val="auto"/>
                <w:sz w:val="21"/>
                <w:szCs w:val="16"/>
                <w:lang w:val="en-US" w:eastAsia="zh-CN"/>
              </w:rPr>
              <w:t>2</w:t>
            </w:r>
            <w:r>
              <w:rPr>
                <w:rFonts w:hint="eastAsia"/>
                <w:color w:val="auto"/>
                <w:sz w:val="21"/>
                <w:szCs w:val="16"/>
                <w:lang w:val="en-US" w:eastAsia="zh-CN"/>
              </w:rPr>
              <w:t>包括的敏感目标</w:t>
            </w:r>
          </w:p>
        </w:tc>
      </w:tr>
    </w:tbl>
    <w:p>
      <w:pPr>
        <w:rPr>
          <w:rFonts w:hint="eastAsia"/>
          <w:color w:val="auto"/>
        </w:rPr>
      </w:pPr>
      <w:r>
        <w:rPr>
          <w:rFonts w:hint="eastAsia"/>
          <w:color w:val="auto"/>
          <w:lang w:val="en-US" w:eastAsia="zh-CN"/>
        </w:rPr>
        <w:t>本项目所在地附近最近地表水体为四棵树河，距离约</w:t>
      </w:r>
      <w:r>
        <w:rPr>
          <w:rFonts w:hint="eastAsia" w:ascii="Times New Roman" w:hAnsi="Times New Roman"/>
          <w:color w:val="auto"/>
          <w:lang w:val="en-US" w:eastAsia="zh-CN"/>
        </w:rPr>
        <w:t>3km</w:t>
      </w:r>
      <w:r>
        <w:rPr>
          <w:rFonts w:hint="eastAsia"/>
          <w:color w:val="auto"/>
          <w:lang w:val="en-US" w:eastAsia="zh-CN"/>
        </w:rPr>
        <w:t>，现有工程与本项目均与地表水体无水力联系，因此环境敏感程度属于</w:t>
      </w:r>
      <w:r>
        <w:rPr>
          <w:rFonts w:hint="eastAsia" w:ascii="Times New Roman" w:hAnsi="Times New Roman"/>
          <w:color w:val="auto"/>
          <w:lang w:val="en-US" w:eastAsia="zh-CN"/>
        </w:rPr>
        <w:t>E3</w:t>
      </w:r>
      <w:r>
        <w:rPr>
          <w:rFonts w:hint="eastAsia"/>
          <w:color w:val="auto"/>
          <w:lang w:val="en-US" w:eastAsia="zh-CN"/>
        </w:rPr>
        <w:t>。地表水环境风险潜势为Ⅰ。</w:t>
      </w:r>
    </w:p>
    <w:p>
      <w:pPr>
        <w:rPr>
          <w:rFonts w:hint="eastAsia"/>
          <w:color w:val="auto"/>
        </w:rPr>
      </w:pPr>
      <w:r>
        <w:rPr>
          <w:rFonts w:hint="eastAsia"/>
          <w:color w:val="auto"/>
          <w:lang w:eastAsia="zh-CN"/>
        </w:rPr>
        <w:t>（</w:t>
      </w:r>
      <w:r>
        <w:rPr>
          <w:rFonts w:hint="eastAsia" w:ascii="Times New Roman" w:hAnsi="Times New Roman"/>
          <w:color w:val="auto"/>
          <w:lang w:val="en-US" w:eastAsia="zh-CN"/>
        </w:rPr>
        <w:t>3</w:t>
      </w:r>
      <w:r>
        <w:rPr>
          <w:rFonts w:hint="eastAsia"/>
          <w:color w:val="auto"/>
          <w:lang w:eastAsia="zh-CN"/>
        </w:rPr>
        <w:t>）</w:t>
      </w:r>
      <w:r>
        <w:rPr>
          <w:rFonts w:hint="eastAsia"/>
          <w:color w:val="auto"/>
        </w:rPr>
        <w:t>地下水环境敏感程度</w:t>
      </w:r>
    </w:p>
    <w:p>
      <w:pPr>
        <w:spacing w:line="440" w:lineRule="exact"/>
        <w:rPr>
          <w:rFonts w:hint="eastAsia"/>
          <w:color w:val="auto"/>
        </w:rPr>
      </w:pPr>
      <w:r>
        <w:rPr>
          <w:rFonts w:hint="eastAsia"/>
          <w:color w:val="auto"/>
        </w:rPr>
        <w:t>根据</w:t>
      </w:r>
      <w:r>
        <w:rPr>
          <w:rFonts w:hint="eastAsia" w:ascii="Times New Roman" w:hAnsi="Times New Roman"/>
          <w:color w:val="auto"/>
        </w:rPr>
        <w:t>HJ169</w:t>
      </w:r>
      <w:r>
        <w:rPr>
          <w:rFonts w:hint="eastAsia"/>
          <w:color w:val="auto"/>
        </w:rPr>
        <w:t>-</w:t>
      </w:r>
      <w:r>
        <w:rPr>
          <w:rFonts w:hint="eastAsia" w:ascii="Times New Roman" w:hAnsi="Times New Roman"/>
          <w:color w:val="auto"/>
        </w:rPr>
        <w:t>2018</w:t>
      </w:r>
      <w:r>
        <w:rPr>
          <w:rFonts w:hint="eastAsia"/>
          <w:color w:val="auto"/>
        </w:rPr>
        <w:t>，地下水环境敏感程度分级见表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10</w:t>
      </w:r>
      <w:r>
        <w:rPr>
          <w:rFonts w:hint="eastAsia"/>
          <w:color w:val="auto"/>
        </w:rPr>
        <w:t>，地下水环境敏感性分区见表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11</w:t>
      </w:r>
      <w:r>
        <w:rPr>
          <w:rFonts w:hint="eastAsia"/>
          <w:color w:val="auto"/>
        </w:rPr>
        <w:t>，包气带防污性能分级见表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12</w:t>
      </w:r>
      <w:r>
        <w:rPr>
          <w:rFonts w:hint="eastAsia"/>
          <w:color w:val="auto"/>
        </w:rPr>
        <w:t>。</w:t>
      </w:r>
    </w:p>
    <w:p>
      <w:pPr>
        <w:pStyle w:val="20"/>
        <w:spacing w:before="156"/>
        <w:rPr>
          <w:color w:val="auto"/>
        </w:rPr>
      </w:pPr>
      <w:r>
        <w:rPr>
          <w:rFonts w:hint="eastAsia"/>
          <w:color w:val="auto"/>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10</w:t>
      </w:r>
      <w:r>
        <w:rPr>
          <w:rFonts w:hint="eastAsia"/>
          <w:color w:val="auto"/>
        </w:rPr>
        <w:t xml:space="preserve">  地下水环境敏感程度分级</w:t>
      </w:r>
    </w:p>
    <w:tbl>
      <w:tblPr>
        <w:tblStyle w:val="80"/>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9"/>
        <w:gridCol w:w="2299"/>
        <w:gridCol w:w="2300"/>
        <w:gridCol w:w="2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99" w:type="dxa"/>
            <w:vMerge w:val="restart"/>
            <w:tcBorders>
              <w:top w:val="single" w:color="auto" w:sz="12" w:space="0"/>
              <w:left w:val="single" w:color="auto" w:sz="12" w:space="0"/>
            </w:tcBorders>
            <w:vAlign w:val="center"/>
          </w:tcPr>
          <w:p>
            <w:pPr>
              <w:spacing w:line="240" w:lineRule="auto"/>
              <w:ind w:firstLine="0"/>
              <w:jc w:val="center"/>
              <w:rPr>
                <w:color w:val="auto"/>
                <w:sz w:val="21"/>
                <w:szCs w:val="21"/>
              </w:rPr>
            </w:pPr>
            <w:r>
              <w:rPr>
                <w:rFonts w:hint="eastAsia"/>
                <w:color w:val="auto"/>
                <w:sz w:val="21"/>
                <w:szCs w:val="21"/>
              </w:rPr>
              <w:t>包气带防污性能</w:t>
            </w:r>
          </w:p>
        </w:tc>
        <w:tc>
          <w:tcPr>
            <w:tcW w:w="6900" w:type="dxa"/>
            <w:gridSpan w:val="3"/>
            <w:tcBorders>
              <w:top w:val="single" w:color="auto" w:sz="12" w:space="0"/>
              <w:right w:val="single" w:color="auto" w:sz="12" w:space="0"/>
            </w:tcBorders>
            <w:vAlign w:val="center"/>
          </w:tcPr>
          <w:p>
            <w:pPr>
              <w:spacing w:line="240" w:lineRule="auto"/>
              <w:ind w:firstLine="0"/>
              <w:jc w:val="center"/>
              <w:rPr>
                <w:rFonts w:hint="eastAsia"/>
                <w:color w:val="auto"/>
                <w:sz w:val="21"/>
                <w:szCs w:val="21"/>
              </w:rPr>
            </w:pPr>
            <w:r>
              <w:rPr>
                <w:rFonts w:hint="eastAsia"/>
                <w:color w:val="auto"/>
                <w:sz w:val="21"/>
                <w:szCs w:val="21"/>
              </w:rP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299" w:type="dxa"/>
            <w:vMerge w:val="continue"/>
            <w:tcBorders>
              <w:left w:val="single" w:color="auto" w:sz="12" w:space="0"/>
            </w:tcBorders>
            <w:vAlign w:val="center"/>
          </w:tcPr>
          <w:p>
            <w:pPr>
              <w:spacing w:line="240" w:lineRule="auto"/>
              <w:ind w:firstLine="0"/>
              <w:jc w:val="center"/>
              <w:rPr>
                <w:rFonts w:hint="eastAsia"/>
                <w:color w:val="auto"/>
                <w:sz w:val="21"/>
                <w:szCs w:val="21"/>
              </w:rPr>
            </w:pPr>
          </w:p>
        </w:tc>
        <w:tc>
          <w:tcPr>
            <w:tcW w:w="2299" w:type="dxa"/>
            <w:vAlign w:val="center"/>
          </w:tcPr>
          <w:p>
            <w:pPr>
              <w:spacing w:line="240" w:lineRule="auto"/>
              <w:ind w:firstLine="0"/>
              <w:jc w:val="center"/>
              <w:rPr>
                <w:color w:val="auto"/>
                <w:sz w:val="21"/>
                <w:szCs w:val="21"/>
              </w:rPr>
            </w:pPr>
            <w:r>
              <w:rPr>
                <w:rFonts w:hint="eastAsia" w:ascii="Times New Roman" w:hAnsi="Times New Roman"/>
                <w:color w:val="auto"/>
                <w:sz w:val="21"/>
                <w:szCs w:val="21"/>
              </w:rPr>
              <w:t>G1</w:t>
            </w:r>
          </w:p>
        </w:tc>
        <w:tc>
          <w:tcPr>
            <w:tcW w:w="2300" w:type="dxa"/>
            <w:vAlign w:val="center"/>
          </w:tcPr>
          <w:p>
            <w:pPr>
              <w:spacing w:line="240" w:lineRule="auto"/>
              <w:ind w:firstLine="0"/>
              <w:jc w:val="center"/>
              <w:rPr>
                <w:color w:val="auto"/>
                <w:sz w:val="21"/>
                <w:szCs w:val="21"/>
              </w:rPr>
            </w:pPr>
            <w:r>
              <w:rPr>
                <w:rFonts w:hint="eastAsia" w:ascii="Times New Roman" w:hAnsi="Times New Roman"/>
                <w:color w:val="auto"/>
                <w:sz w:val="21"/>
                <w:szCs w:val="21"/>
              </w:rPr>
              <w:t>G2</w:t>
            </w:r>
          </w:p>
        </w:tc>
        <w:tc>
          <w:tcPr>
            <w:tcW w:w="2301" w:type="dxa"/>
            <w:tcBorders>
              <w:righ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299" w:type="dxa"/>
            <w:tcBorders>
              <w:lef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D1</w:t>
            </w:r>
          </w:p>
        </w:tc>
        <w:tc>
          <w:tcPr>
            <w:tcW w:w="2299" w:type="dxa"/>
            <w:vAlign w:val="center"/>
          </w:tcPr>
          <w:p>
            <w:pPr>
              <w:spacing w:line="240" w:lineRule="auto"/>
              <w:ind w:firstLine="0"/>
              <w:jc w:val="center"/>
              <w:rPr>
                <w:color w:val="auto"/>
                <w:sz w:val="21"/>
                <w:szCs w:val="21"/>
              </w:rPr>
            </w:pPr>
            <w:r>
              <w:rPr>
                <w:rFonts w:hint="eastAsia" w:ascii="Times New Roman" w:hAnsi="Times New Roman"/>
                <w:color w:val="auto"/>
                <w:sz w:val="21"/>
                <w:szCs w:val="21"/>
              </w:rPr>
              <w:t>E1</w:t>
            </w:r>
          </w:p>
        </w:tc>
        <w:tc>
          <w:tcPr>
            <w:tcW w:w="2300" w:type="dxa"/>
            <w:vAlign w:val="center"/>
          </w:tcPr>
          <w:p>
            <w:pPr>
              <w:spacing w:line="240" w:lineRule="auto"/>
              <w:ind w:firstLine="0"/>
              <w:jc w:val="center"/>
              <w:rPr>
                <w:color w:val="auto"/>
                <w:sz w:val="21"/>
                <w:szCs w:val="21"/>
              </w:rPr>
            </w:pPr>
            <w:r>
              <w:rPr>
                <w:rFonts w:hint="eastAsia" w:ascii="Times New Roman" w:hAnsi="Times New Roman"/>
                <w:color w:val="auto"/>
                <w:sz w:val="21"/>
                <w:szCs w:val="21"/>
              </w:rPr>
              <w:t>E1</w:t>
            </w:r>
          </w:p>
        </w:tc>
        <w:tc>
          <w:tcPr>
            <w:tcW w:w="2301" w:type="dxa"/>
            <w:tcBorders>
              <w:righ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299" w:type="dxa"/>
            <w:tcBorders>
              <w:lef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D2</w:t>
            </w:r>
          </w:p>
        </w:tc>
        <w:tc>
          <w:tcPr>
            <w:tcW w:w="2299" w:type="dxa"/>
            <w:vAlign w:val="center"/>
          </w:tcPr>
          <w:p>
            <w:pPr>
              <w:spacing w:line="240" w:lineRule="auto"/>
              <w:ind w:firstLine="0"/>
              <w:jc w:val="center"/>
              <w:rPr>
                <w:color w:val="auto"/>
                <w:sz w:val="21"/>
                <w:szCs w:val="21"/>
              </w:rPr>
            </w:pPr>
            <w:r>
              <w:rPr>
                <w:rFonts w:hint="eastAsia" w:ascii="Times New Roman" w:hAnsi="Times New Roman"/>
                <w:color w:val="auto"/>
                <w:sz w:val="21"/>
                <w:szCs w:val="21"/>
              </w:rPr>
              <w:t>E1</w:t>
            </w:r>
          </w:p>
        </w:tc>
        <w:tc>
          <w:tcPr>
            <w:tcW w:w="2300" w:type="dxa"/>
            <w:vAlign w:val="center"/>
          </w:tcPr>
          <w:p>
            <w:pPr>
              <w:spacing w:line="240" w:lineRule="auto"/>
              <w:ind w:firstLine="0"/>
              <w:jc w:val="center"/>
              <w:rPr>
                <w:color w:val="auto"/>
                <w:sz w:val="21"/>
                <w:szCs w:val="21"/>
              </w:rPr>
            </w:pPr>
            <w:r>
              <w:rPr>
                <w:rFonts w:hint="eastAsia" w:ascii="Times New Roman" w:hAnsi="Times New Roman"/>
                <w:color w:val="auto"/>
                <w:sz w:val="21"/>
                <w:szCs w:val="21"/>
              </w:rPr>
              <w:t>E2</w:t>
            </w:r>
          </w:p>
        </w:tc>
        <w:tc>
          <w:tcPr>
            <w:tcW w:w="2301" w:type="dxa"/>
            <w:tcBorders>
              <w:righ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299" w:type="dxa"/>
            <w:tcBorders>
              <w:left w:val="single" w:color="auto" w:sz="12" w:space="0"/>
              <w:bottom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D3</w:t>
            </w:r>
          </w:p>
        </w:tc>
        <w:tc>
          <w:tcPr>
            <w:tcW w:w="2299" w:type="dxa"/>
            <w:tcBorders>
              <w:bottom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E2</w:t>
            </w:r>
          </w:p>
        </w:tc>
        <w:tc>
          <w:tcPr>
            <w:tcW w:w="2300" w:type="dxa"/>
            <w:tcBorders>
              <w:bottom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E3</w:t>
            </w:r>
          </w:p>
        </w:tc>
        <w:tc>
          <w:tcPr>
            <w:tcW w:w="2301" w:type="dxa"/>
            <w:tcBorders>
              <w:bottom w:val="single" w:color="auto" w:sz="12" w:space="0"/>
              <w:righ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E3</w:t>
            </w:r>
          </w:p>
        </w:tc>
      </w:tr>
    </w:tbl>
    <w:p>
      <w:pPr>
        <w:pStyle w:val="20"/>
        <w:spacing w:before="156"/>
        <w:rPr>
          <w:color w:val="auto"/>
        </w:rPr>
      </w:pPr>
      <w:r>
        <w:rPr>
          <w:rFonts w:hint="eastAsia"/>
          <w:color w:val="auto"/>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11</w:t>
      </w:r>
      <w:r>
        <w:rPr>
          <w:rFonts w:hint="eastAsia"/>
          <w:color w:val="auto"/>
        </w:rPr>
        <w:t xml:space="preserve">  地下水功能敏感分区</w:t>
      </w:r>
    </w:p>
    <w:tbl>
      <w:tblPr>
        <w:tblStyle w:val="80"/>
        <w:tblW w:w="9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65" w:type="dxa"/>
            <w:tcBorders>
              <w:top w:val="single" w:color="auto" w:sz="12" w:space="0"/>
              <w:left w:val="single" w:color="auto" w:sz="12" w:space="0"/>
            </w:tcBorders>
            <w:vAlign w:val="center"/>
          </w:tcPr>
          <w:p>
            <w:pPr>
              <w:spacing w:line="240" w:lineRule="auto"/>
              <w:ind w:firstLine="0"/>
              <w:jc w:val="center"/>
              <w:rPr>
                <w:color w:val="auto"/>
                <w:sz w:val="21"/>
                <w:szCs w:val="21"/>
              </w:rPr>
            </w:pPr>
            <w:r>
              <w:rPr>
                <w:rFonts w:hint="eastAsia"/>
                <w:color w:val="auto"/>
                <w:sz w:val="21"/>
                <w:szCs w:val="21"/>
              </w:rPr>
              <w:t>敏感性</w:t>
            </w:r>
          </w:p>
        </w:tc>
        <w:tc>
          <w:tcPr>
            <w:tcW w:w="8094" w:type="dxa"/>
            <w:tcBorders>
              <w:top w:val="single" w:color="auto" w:sz="12" w:space="0"/>
              <w:right w:val="single" w:color="auto" w:sz="12" w:space="0"/>
            </w:tcBorders>
            <w:vAlign w:val="top"/>
          </w:tcPr>
          <w:p>
            <w:pPr>
              <w:spacing w:line="240" w:lineRule="auto"/>
              <w:ind w:firstLine="0"/>
              <w:jc w:val="center"/>
              <w:rPr>
                <w:color w:val="auto"/>
                <w:sz w:val="21"/>
                <w:szCs w:val="21"/>
              </w:rPr>
            </w:pPr>
            <w:r>
              <w:rPr>
                <w:rFonts w:hint="eastAsia"/>
                <w:color w:val="auto"/>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1165" w:type="dxa"/>
            <w:tcBorders>
              <w:left w:val="single" w:color="auto" w:sz="12" w:space="0"/>
            </w:tcBorders>
            <w:vAlign w:val="center"/>
          </w:tcPr>
          <w:p>
            <w:pPr>
              <w:spacing w:line="240" w:lineRule="auto"/>
              <w:ind w:firstLine="0"/>
              <w:jc w:val="center"/>
              <w:rPr>
                <w:color w:val="auto"/>
                <w:sz w:val="21"/>
                <w:szCs w:val="21"/>
              </w:rPr>
            </w:pPr>
            <w:r>
              <w:rPr>
                <w:rFonts w:hint="eastAsia"/>
                <w:color w:val="auto"/>
                <w:sz w:val="21"/>
                <w:szCs w:val="21"/>
              </w:rPr>
              <w:t>敏感</w:t>
            </w:r>
            <w:r>
              <w:rPr>
                <w:rFonts w:hint="eastAsia" w:ascii="Times New Roman" w:hAnsi="Times New Roman"/>
                <w:color w:val="auto"/>
                <w:sz w:val="21"/>
                <w:szCs w:val="21"/>
              </w:rPr>
              <w:t>G1</w:t>
            </w:r>
          </w:p>
        </w:tc>
        <w:tc>
          <w:tcPr>
            <w:tcW w:w="8094" w:type="dxa"/>
            <w:tcBorders>
              <w:right w:val="single" w:color="auto" w:sz="12" w:space="0"/>
            </w:tcBorders>
            <w:vAlign w:val="top"/>
          </w:tcPr>
          <w:p>
            <w:pPr>
              <w:spacing w:line="240" w:lineRule="auto"/>
              <w:ind w:firstLine="0"/>
              <w:rPr>
                <w:color w:val="auto"/>
                <w:sz w:val="21"/>
                <w:szCs w:val="21"/>
              </w:rPr>
            </w:pPr>
            <w:r>
              <w:rPr>
                <w:rFonts w:hint="eastAsia"/>
                <w:color w:val="auto"/>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165" w:type="dxa"/>
            <w:tcBorders>
              <w:left w:val="single" w:color="auto" w:sz="12" w:space="0"/>
            </w:tcBorders>
            <w:vAlign w:val="center"/>
          </w:tcPr>
          <w:p>
            <w:pPr>
              <w:spacing w:line="240" w:lineRule="auto"/>
              <w:ind w:firstLine="0"/>
              <w:jc w:val="center"/>
              <w:rPr>
                <w:color w:val="auto"/>
                <w:sz w:val="21"/>
                <w:szCs w:val="21"/>
              </w:rPr>
            </w:pPr>
            <w:r>
              <w:rPr>
                <w:rFonts w:hint="eastAsia"/>
                <w:color w:val="auto"/>
                <w:sz w:val="21"/>
                <w:szCs w:val="21"/>
              </w:rPr>
              <w:t>较敏感</w:t>
            </w:r>
            <w:r>
              <w:rPr>
                <w:rFonts w:hint="eastAsia" w:ascii="Times New Roman" w:hAnsi="Times New Roman"/>
                <w:color w:val="auto"/>
                <w:sz w:val="21"/>
                <w:szCs w:val="21"/>
              </w:rPr>
              <w:t>G2</w:t>
            </w:r>
          </w:p>
        </w:tc>
        <w:tc>
          <w:tcPr>
            <w:tcW w:w="8094" w:type="dxa"/>
            <w:tcBorders>
              <w:right w:val="single" w:color="auto" w:sz="12" w:space="0"/>
            </w:tcBorders>
            <w:vAlign w:val="top"/>
          </w:tcPr>
          <w:p>
            <w:pPr>
              <w:spacing w:line="240" w:lineRule="auto"/>
              <w:ind w:firstLine="0"/>
              <w:rPr>
                <w:rFonts w:hint="eastAsia"/>
                <w:color w:val="auto"/>
                <w:sz w:val="21"/>
                <w:szCs w:val="21"/>
              </w:rPr>
            </w:pPr>
            <w:r>
              <w:rPr>
                <w:rFonts w:hint="eastAsia"/>
                <w:color w:val="auto"/>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165" w:type="dxa"/>
            <w:tcBorders>
              <w:left w:val="single" w:color="auto" w:sz="12" w:space="0"/>
            </w:tcBorders>
            <w:vAlign w:val="center"/>
          </w:tcPr>
          <w:p>
            <w:pPr>
              <w:spacing w:line="240" w:lineRule="auto"/>
              <w:ind w:firstLine="0"/>
              <w:jc w:val="center"/>
              <w:rPr>
                <w:color w:val="auto"/>
                <w:sz w:val="21"/>
                <w:szCs w:val="21"/>
              </w:rPr>
            </w:pPr>
            <w:r>
              <w:rPr>
                <w:rFonts w:hint="eastAsia"/>
                <w:color w:val="auto"/>
                <w:sz w:val="21"/>
                <w:szCs w:val="21"/>
              </w:rPr>
              <w:t>不敏感</w:t>
            </w:r>
            <w:r>
              <w:rPr>
                <w:rFonts w:hint="eastAsia" w:ascii="Times New Roman" w:hAnsi="Times New Roman"/>
                <w:color w:val="auto"/>
                <w:sz w:val="21"/>
                <w:szCs w:val="21"/>
              </w:rPr>
              <w:t>G3</w:t>
            </w:r>
          </w:p>
        </w:tc>
        <w:tc>
          <w:tcPr>
            <w:tcW w:w="8094" w:type="dxa"/>
            <w:tcBorders>
              <w:right w:val="single" w:color="auto" w:sz="12" w:space="0"/>
            </w:tcBorders>
            <w:vAlign w:val="top"/>
          </w:tcPr>
          <w:p>
            <w:pPr>
              <w:spacing w:line="240" w:lineRule="auto"/>
              <w:ind w:firstLine="0"/>
              <w:rPr>
                <w:color w:val="auto"/>
                <w:sz w:val="21"/>
                <w:szCs w:val="21"/>
              </w:rPr>
            </w:pPr>
            <w:r>
              <w:rPr>
                <w:rFonts w:hint="eastAsia"/>
                <w:color w:val="auto"/>
                <w:sz w:val="21"/>
                <w:szCs w:val="21"/>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259" w:type="dxa"/>
            <w:gridSpan w:val="2"/>
            <w:tcBorders>
              <w:left w:val="single" w:color="auto" w:sz="12" w:space="0"/>
              <w:bottom w:val="single" w:color="auto" w:sz="12" w:space="0"/>
              <w:right w:val="single" w:color="auto" w:sz="12" w:space="0"/>
            </w:tcBorders>
            <w:vAlign w:val="center"/>
          </w:tcPr>
          <w:p>
            <w:pPr>
              <w:spacing w:line="240" w:lineRule="auto"/>
              <w:ind w:firstLine="0"/>
              <w:rPr>
                <w:color w:val="auto"/>
                <w:sz w:val="21"/>
                <w:szCs w:val="21"/>
              </w:rPr>
            </w:pPr>
            <w:r>
              <w:rPr>
                <w:rFonts w:hint="eastAsia" w:ascii="Times New Roman" w:hAnsi="Times New Roman"/>
                <w:color w:val="auto"/>
                <w:sz w:val="21"/>
                <w:szCs w:val="21"/>
              </w:rPr>
              <w:t>a</w:t>
            </w:r>
            <w:r>
              <w:rPr>
                <w:rFonts w:hint="eastAsia"/>
                <w:color w:val="auto"/>
                <w:sz w:val="21"/>
                <w:szCs w:val="21"/>
              </w:rPr>
              <w:t>“环境敏感区”是指《建设项目环境影响评价分类管理名录》中所界定的涉及地下水的环境敏感区</w:t>
            </w:r>
          </w:p>
        </w:tc>
      </w:tr>
    </w:tbl>
    <w:p>
      <w:pPr>
        <w:pStyle w:val="20"/>
        <w:spacing w:before="156"/>
        <w:rPr>
          <w:color w:val="auto"/>
        </w:rPr>
      </w:pPr>
      <w:r>
        <w:rPr>
          <w:rFonts w:hint="eastAsia"/>
          <w:color w:val="auto"/>
        </w:rPr>
        <w:t>表</w:t>
      </w: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12</w:t>
      </w:r>
      <w:r>
        <w:rPr>
          <w:rFonts w:hint="eastAsia"/>
          <w:color w:val="auto"/>
        </w:rPr>
        <w:t xml:space="preserve">  包气带防污性能分级</w:t>
      </w:r>
    </w:p>
    <w:tbl>
      <w:tblPr>
        <w:tblStyle w:val="80"/>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7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5" w:type="dxa"/>
            <w:tcBorders>
              <w:top w:val="single" w:color="auto" w:sz="12" w:space="0"/>
              <w:left w:val="single" w:color="auto" w:sz="12" w:space="0"/>
            </w:tcBorders>
            <w:vAlign w:val="center"/>
          </w:tcPr>
          <w:p>
            <w:pPr>
              <w:spacing w:line="240" w:lineRule="auto"/>
              <w:ind w:firstLine="0"/>
              <w:jc w:val="center"/>
              <w:rPr>
                <w:color w:val="auto"/>
                <w:sz w:val="21"/>
                <w:szCs w:val="21"/>
              </w:rPr>
            </w:pPr>
            <w:r>
              <w:rPr>
                <w:rFonts w:hint="eastAsia"/>
                <w:color w:val="auto"/>
                <w:sz w:val="21"/>
                <w:szCs w:val="21"/>
              </w:rPr>
              <w:t>分级</w:t>
            </w:r>
          </w:p>
        </w:tc>
        <w:tc>
          <w:tcPr>
            <w:tcW w:w="7884" w:type="dxa"/>
            <w:tcBorders>
              <w:top w:val="single" w:color="auto" w:sz="12" w:space="0"/>
              <w:right w:val="single" w:color="auto" w:sz="12" w:space="0"/>
            </w:tcBorders>
            <w:vAlign w:val="center"/>
          </w:tcPr>
          <w:p>
            <w:pPr>
              <w:spacing w:line="240" w:lineRule="auto"/>
              <w:ind w:firstLine="0"/>
              <w:jc w:val="center"/>
              <w:rPr>
                <w:color w:val="auto"/>
                <w:sz w:val="21"/>
                <w:szCs w:val="21"/>
              </w:rPr>
            </w:pPr>
            <w:r>
              <w:rPr>
                <w:rFonts w:hint="eastAsia"/>
                <w:color w:val="auto"/>
                <w:sz w:val="2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95" w:type="dxa"/>
            <w:tcBorders>
              <w:lef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D3</w:t>
            </w:r>
          </w:p>
        </w:tc>
        <w:tc>
          <w:tcPr>
            <w:tcW w:w="7884" w:type="dxa"/>
            <w:tcBorders>
              <w:right w:val="single" w:color="auto" w:sz="12" w:space="0"/>
            </w:tcBorders>
            <w:vAlign w:val="top"/>
          </w:tcPr>
          <w:p>
            <w:pPr>
              <w:spacing w:line="240" w:lineRule="auto"/>
              <w:ind w:firstLine="0"/>
              <w:rPr>
                <w:color w:val="auto"/>
                <w:sz w:val="21"/>
                <w:szCs w:val="21"/>
              </w:rPr>
            </w:pPr>
            <w:r>
              <w:rPr>
                <w:rFonts w:hint="eastAsia" w:ascii="Times New Roman" w:hAnsi="Times New Roman"/>
                <w:color w:val="auto"/>
                <w:sz w:val="21"/>
                <w:szCs w:val="21"/>
              </w:rPr>
              <w:t>Mb</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0m</w:t>
            </w:r>
            <w:r>
              <w:rPr>
                <w:rFonts w:hint="eastAsia"/>
                <w:color w:val="auto"/>
                <w:sz w:val="21"/>
                <w:szCs w:val="21"/>
              </w:rPr>
              <w:t>，</w:t>
            </w:r>
            <w:r>
              <w:rPr>
                <w:rFonts w:hint="eastAsia" w:ascii="Times New Roman" w:hAnsi="Times New Roman"/>
                <w:color w:val="auto"/>
                <w:sz w:val="21"/>
                <w:szCs w:val="21"/>
              </w:rPr>
              <w:t>K</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10</w:t>
            </w:r>
            <w:r>
              <w:rPr>
                <w:rFonts w:hint="eastAsia"/>
                <w:color w:val="auto"/>
                <w:sz w:val="21"/>
                <w:szCs w:val="21"/>
                <w:vertAlign w:val="superscript"/>
              </w:rPr>
              <w:t>-</w:t>
            </w:r>
            <w:r>
              <w:rPr>
                <w:rFonts w:hint="eastAsia" w:ascii="Times New Roman" w:hAnsi="Times New Roman"/>
                <w:color w:val="auto"/>
                <w:sz w:val="21"/>
                <w:szCs w:val="21"/>
                <w:vertAlign w:val="superscript"/>
              </w:rPr>
              <w:t>6</w:t>
            </w:r>
            <w:r>
              <w:rPr>
                <w:rFonts w:hint="eastAsia" w:ascii="Times New Roman" w:hAnsi="Times New Roman"/>
                <w:color w:val="auto"/>
                <w:sz w:val="21"/>
                <w:szCs w:val="21"/>
              </w:rPr>
              <w:t>cm</w:t>
            </w:r>
            <w:r>
              <w:rPr>
                <w:rFonts w:hint="eastAsia"/>
                <w:color w:val="auto"/>
                <w:sz w:val="21"/>
                <w:szCs w:val="21"/>
              </w:rPr>
              <w:t>/</w:t>
            </w:r>
            <w:r>
              <w:rPr>
                <w:rFonts w:hint="eastAsia" w:ascii="Times New Roman" w:hAnsi="Times New Roman"/>
                <w:color w:val="auto"/>
                <w:sz w:val="21"/>
                <w:szCs w:val="21"/>
              </w:rPr>
              <w:t>s</w:t>
            </w:r>
            <w:r>
              <w:rPr>
                <w:rFonts w:hint="eastAsia"/>
                <w:color w:val="auto"/>
                <w:sz w:val="21"/>
                <w:szCs w:val="21"/>
              </w:rPr>
              <w:t>，且分布连续、稳定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395" w:type="dxa"/>
            <w:tcBorders>
              <w:lef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D2</w:t>
            </w:r>
          </w:p>
        </w:tc>
        <w:tc>
          <w:tcPr>
            <w:tcW w:w="7884" w:type="dxa"/>
            <w:tcBorders>
              <w:right w:val="single" w:color="auto" w:sz="12" w:space="0"/>
            </w:tcBorders>
            <w:vAlign w:val="top"/>
          </w:tcPr>
          <w:p>
            <w:pPr>
              <w:spacing w:line="240" w:lineRule="auto"/>
              <w:ind w:firstLine="0"/>
              <w:rPr>
                <w:rFonts w:hint="eastAsia"/>
                <w:color w:val="auto"/>
                <w:sz w:val="21"/>
                <w:szCs w:val="21"/>
              </w:rPr>
            </w:pP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5m</w:t>
            </w:r>
            <w:r>
              <w:rPr>
                <w:rFonts w:hint="eastAsia"/>
                <w:color w:val="auto"/>
                <w:sz w:val="21"/>
                <w:szCs w:val="21"/>
              </w:rPr>
              <w:t>≤</w:t>
            </w:r>
            <w:r>
              <w:rPr>
                <w:rFonts w:hint="eastAsia" w:ascii="Times New Roman" w:hAnsi="Times New Roman"/>
                <w:color w:val="auto"/>
                <w:sz w:val="21"/>
                <w:szCs w:val="21"/>
              </w:rPr>
              <w:t>Mb</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0m</w:t>
            </w:r>
            <w:r>
              <w:rPr>
                <w:rFonts w:hint="eastAsia"/>
                <w:color w:val="auto"/>
                <w:sz w:val="21"/>
                <w:szCs w:val="21"/>
              </w:rPr>
              <w:t>,</w:t>
            </w:r>
            <w:r>
              <w:rPr>
                <w:rFonts w:hint="eastAsia" w:ascii="Times New Roman" w:hAnsi="Times New Roman"/>
                <w:color w:val="auto"/>
                <w:sz w:val="21"/>
                <w:szCs w:val="21"/>
              </w:rPr>
              <w:t>K</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10</w:t>
            </w:r>
            <w:r>
              <w:rPr>
                <w:rFonts w:hint="eastAsia"/>
                <w:color w:val="auto"/>
                <w:sz w:val="21"/>
                <w:szCs w:val="21"/>
                <w:vertAlign w:val="superscript"/>
              </w:rPr>
              <w:t>-</w:t>
            </w:r>
            <w:r>
              <w:rPr>
                <w:rFonts w:hint="eastAsia" w:ascii="Times New Roman" w:hAnsi="Times New Roman"/>
                <w:color w:val="auto"/>
                <w:sz w:val="21"/>
                <w:szCs w:val="21"/>
                <w:vertAlign w:val="superscript"/>
              </w:rPr>
              <w:t>6</w:t>
            </w:r>
            <w:r>
              <w:rPr>
                <w:rFonts w:hint="eastAsia" w:ascii="Times New Roman" w:hAnsi="Times New Roman"/>
                <w:color w:val="auto"/>
                <w:sz w:val="21"/>
                <w:szCs w:val="21"/>
              </w:rPr>
              <w:t>cm</w:t>
            </w:r>
            <w:r>
              <w:rPr>
                <w:rFonts w:hint="eastAsia"/>
                <w:color w:val="auto"/>
                <w:sz w:val="21"/>
                <w:szCs w:val="21"/>
              </w:rPr>
              <w:t>/</w:t>
            </w:r>
            <w:r>
              <w:rPr>
                <w:rFonts w:hint="eastAsia" w:ascii="Times New Roman" w:hAnsi="Times New Roman"/>
                <w:color w:val="auto"/>
                <w:sz w:val="21"/>
                <w:szCs w:val="21"/>
              </w:rPr>
              <w:t>s</w:t>
            </w:r>
            <w:r>
              <w:rPr>
                <w:rFonts w:hint="eastAsia"/>
                <w:color w:val="auto"/>
                <w:sz w:val="21"/>
                <w:szCs w:val="21"/>
              </w:rPr>
              <w:t>，且分布连续、稳定</w:t>
            </w:r>
          </w:p>
          <w:p>
            <w:pPr>
              <w:spacing w:line="240" w:lineRule="auto"/>
              <w:ind w:firstLine="0"/>
              <w:rPr>
                <w:color w:val="auto"/>
                <w:sz w:val="21"/>
                <w:szCs w:val="21"/>
              </w:rPr>
            </w:pPr>
            <w:r>
              <w:rPr>
                <w:rFonts w:hint="eastAsia" w:ascii="Times New Roman" w:hAnsi="Times New Roman"/>
                <w:color w:val="auto"/>
                <w:sz w:val="21"/>
                <w:szCs w:val="21"/>
              </w:rPr>
              <w:t>Mb</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0m</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10</w:t>
            </w:r>
            <w:r>
              <w:rPr>
                <w:rFonts w:hint="eastAsia"/>
                <w:color w:val="auto"/>
                <w:sz w:val="21"/>
                <w:szCs w:val="21"/>
                <w:vertAlign w:val="superscript"/>
              </w:rPr>
              <w:t>-</w:t>
            </w:r>
            <w:r>
              <w:rPr>
                <w:rFonts w:hint="eastAsia" w:ascii="Times New Roman" w:hAnsi="Times New Roman"/>
                <w:color w:val="auto"/>
                <w:sz w:val="21"/>
                <w:szCs w:val="21"/>
                <w:vertAlign w:val="superscript"/>
              </w:rPr>
              <w:t>6</w:t>
            </w:r>
            <w:r>
              <w:rPr>
                <w:rFonts w:hint="eastAsia"/>
                <w:color w:val="auto"/>
                <w:sz w:val="21"/>
                <w:szCs w:val="21"/>
              </w:rPr>
              <w:t>＜</w:t>
            </w:r>
            <w:r>
              <w:rPr>
                <w:rFonts w:hint="eastAsia" w:ascii="Times New Roman" w:hAnsi="Times New Roman"/>
                <w:color w:val="auto"/>
                <w:sz w:val="21"/>
                <w:szCs w:val="21"/>
              </w:rPr>
              <w:t>K</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w:t>
            </w:r>
            <w:r>
              <w:rPr>
                <w:rFonts w:hint="eastAsia" w:ascii="Times New Roman" w:hAnsi="Times New Roman"/>
                <w:color w:val="auto"/>
                <w:sz w:val="21"/>
                <w:szCs w:val="21"/>
              </w:rPr>
              <w:t>0</w:t>
            </w:r>
            <w:r>
              <w:rPr>
                <w:rFonts w:hint="eastAsia"/>
                <w:color w:val="auto"/>
                <w:sz w:val="21"/>
                <w:szCs w:val="21"/>
              </w:rPr>
              <w:t>×</w:t>
            </w:r>
            <w:r>
              <w:rPr>
                <w:rFonts w:hint="eastAsia" w:ascii="Times New Roman" w:hAnsi="Times New Roman"/>
                <w:color w:val="auto"/>
                <w:sz w:val="21"/>
                <w:szCs w:val="21"/>
              </w:rPr>
              <w:t>10</w:t>
            </w:r>
            <w:r>
              <w:rPr>
                <w:rFonts w:hint="eastAsia"/>
                <w:color w:val="auto"/>
                <w:sz w:val="21"/>
                <w:szCs w:val="21"/>
                <w:vertAlign w:val="superscript"/>
              </w:rPr>
              <w:t>-</w:t>
            </w:r>
            <w:r>
              <w:rPr>
                <w:rFonts w:hint="eastAsia" w:ascii="Times New Roman" w:hAnsi="Times New Roman"/>
                <w:color w:val="auto"/>
                <w:sz w:val="21"/>
                <w:szCs w:val="21"/>
                <w:vertAlign w:val="superscript"/>
              </w:rPr>
              <w:t>4</w:t>
            </w:r>
            <w:r>
              <w:rPr>
                <w:rFonts w:hint="eastAsia" w:ascii="Times New Roman" w:hAnsi="Times New Roman"/>
                <w:color w:val="auto"/>
                <w:sz w:val="21"/>
                <w:szCs w:val="21"/>
              </w:rPr>
              <w:t>cm</w:t>
            </w:r>
            <w:r>
              <w:rPr>
                <w:rFonts w:hint="eastAsia"/>
                <w:color w:val="auto"/>
                <w:sz w:val="21"/>
                <w:szCs w:val="21"/>
              </w:rPr>
              <w:t>/</w:t>
            </w:r>
            <w:r>
              <w:rPr>
                <w:rFonts w:hint="eastAsia" w:ascii="Times New Roman" w:hAnsi="Times New Roman"/>
                <w:color w:val="auto"/>
                <w:sz w:val="21"/>
                <w:szCs w:val="21"/>
              </w:rPr>
              <w:t>s</w:t>
            </w:r>
            <w:r>
              <w:rPr>
                <w:rFonts w:hint="eastAsia"/>
                <w:color w:val="auto"/>
                <w:sz w:val="21"/>
                <w:szCs w:val="21"/>
              </w:rPr>
              <w:t>，且分布连续、稳定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95" w:type="dxa"/>
            <w:tcBorders>
              <w:left w:val="single" w:color="auto" w:sz="12" w:space="0"/>
            </w:tcBorders>
            <w:vAlign w:val="center"/>
          </w:tcPr>
          <w:p>
            <w:pPr>
              <w:spacing w:line="240" w:lineRule="auto"/>
              <w:ind w:firstLine="0"/>
              <w:jc w:val="center"/>
              <w:rPr>
                <w:color w:val="auto"/>
                <w:sz w:val="21"/>
                <w:szCs w:val="21"/>
              </w:rPr>
            </w:pPr>
            <w:r>
              <w:rPr>
                <w:rFonts w:hint="eastAsia" w:ascii="Times New Roman" w:hAnsi="Times New Roman"/>
                <w:color w:val="auto"/>
                <w:sz w:val="21"/>
                <w:szCs w:val="21"/>
              </w:rPr>
              <w:t>D1</w:t>
            </w:r>
          </w:p>
        </w:tc>
        <w:tc>
          <w:tcPr>
            <w:tcW w:w="7884" w:type="dxa"/>
            <w:tcBorders>
              <w:right w:val="single" w:color="auto" w:sz="12" w:space="0"/>
            </w:tcBorders>
            <w:vAlign w:val="top"/>
          </w:tcPr>
          <w:p>
            <w:pPr>
              <w:spacing w:line="240" w:lineRule="auto"/>
              <w:ind w:firstLine="0"/>
              <w:rPr>
                <w:color w:val="auto"/>
                <w:sz w:val="21"/>
                <w:szCs w:val="21"/>
              </w:rPr>
            </w:pPr>
            <w:r>
              <w:rPr>
                <w:rFonts w:hint="eastAsia"/>
                <w:color w:val="auto"/>
                <w:sz w:val="21"/>
                <w:szCs w:val="21"/>
              </w:rPr>
              <w:t>岩（土）层不满足上述“</w:t>
            </w:r>
            <w:r>
              <w:rPr>
                <w:rFonts w:hint="eastAsia" w:ascii="Times New Roman" w:hAnsi="Times New Roman"/>
                <w:color w:val="auto"/>
                <w:sz w:val="21"/>
                <w:szCs w:val="21"/>
              </w:rPr>
              <w:t>D2</w:t>
            </w:r>
            <w:r>
              <w:rPr>
                <w:rFonts w:hint="eastAsia"/>
                <w:color w:val="auto"/>
                <w:sz w:val="21"/>
                <w:szCs w:val="21"/>
              </w:rPr>
              <w:t>”和“</w:t>
            </w:r>
            <w:r>
              <w:rPr>
                <w:rFonts w:hint="eastAsia" w:ascii="Times New Roman" w:hAnsi="Times New Roman"/>
                <w:color w:val="auto"/>
                <w:sz w:val="21"/>
                <w:szCs w:val="21"/>
              </w:rPr>
              <w:t>D3</w:t>
            </w:r>
            <w:r>
              <w:rPr>
                <w:rFonts w:hint="eastAsia"/>
                <w:color w:val="auto"/>
                <w:sz w:val="21"/>
                <w:szCs w:val="21"/>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279" w:type="dxa"/>
            <w:gridSpan w:val="2"/>
            <w:tcBorders>
              <w:left w:val="single" w:color="auto" w:sz="12" w:space="0"/>
              <w:bottom w:val="single" w:color="auto" w:sz="12" w:space="0"/>
              <w:right w:val="single" w:color="auto" w:sz="12" w:space="0"/>
            </w:tcBorders>
            <w:vAlign w:val="top"/>
          </w:tcPr>
          <w:p>
            <w:pPr>
              <w:spacing w:line="240" w:lineRule="auto"/>
              <w:ind w:firstLine="0"/>
              <w:rPr>
                <w:color w:val="auto"/>
                <w:sz w:val="21"/>
                <w:szCs w:val="21"/>
              </w:rPr>
            </w:pPr>
            <w:r>
              <w:rPr>
                <w:rFonts w:hint="eastAsia" w:ascii="Times New Roman" w:hAnsi="Times New Roman"/>
                <w:color w:val="auto"/>
                <w:sz w:val="21"/>
                <w:szCs w:val="21"/>
              </w:rPr>
              <w:t>Mb</w:t>
            </w:r>
            <w:r>
              <w:rPr>
                <w:rFonts w:hint="eastAsia"/>
                <w:color w:val="auto"/>
                <w:sz w:val="21"/>
                <w:szCs w:val="21"/>
                <w:lang w:eastAsia="zh-CN"/>
              </w:rPr>
              <w:t>：</w:t>
            </w:r>
            <w:r>
              <w:rPr>
                <w:rFonts w:hint="eastAsia"/>
                <w:color w:val="auto"/>
                <w:sz w:val="21"/>
                <w:szCs w:val="21"/>
              </w:rPr>
              <w:t>岩土层单层厚度。</w:t>
            </w:r>
            <w:r>
              <w:rPr>
                <w:rFonts w:hint="eastAsia" w:ascii="Times New Roman" w:hAnsi="Times New Roman"/>
                <w:color w:val="auto"/>
                <w:sz w:val="21"/>
                <w:szCs w:val="21"/>
              </w:rPr>
              <w:t>K</w:t>
            </w:r>
            <w:r>
              <w:rPr>
                <w:rFonts w:hint="eastAsia"/>
                <w:color w:val="auto"/>
                <w:sz w:val="21"/>
                <w:szCs w:val="21"/>
              </w:rPr>
              <w:t>：渗透系数。</w:t>
            </w:r>
          </w:p>
        </w:tc>
      </w:tr>
    </w:tbl>
    <w:p>
      <w:pPr>
        <w:widowControl w:val="0"/>
        <w:wordWrap/>
        <w:adjustRightInd/>
        <w:snapToGrid/>
        <w:spacing w:before="0" w:after="0"/>
        <w:ind w:firstLine="480" w:firstLineChars="200"/>
        <w:jc w:val="left"/>
        <w:textAlignment w:val="auto"/>
        <w:rPr>
          <w:rFonts w:hint="eastAsia" w:ascii="Times New Roman" w:hAnsi="Times New Roman" w:eastAsia="宋体" w:cs="Times New Roman"/>
          <w:color w:val="auto"/>
          <w:kern w:val="2"/>
          <w:szCs w:val="22"/>
          <w:lang w:eastAsia="zh-CN"/>
        </w:rPr>
      </w:pPr>
      <w:r>
        <w:rPr>
          <w:rFonts w:hint="eastAsia"/>
          <w:color w:val="auto"/>
          <w:lang w:eastAsia="zh-CN"/>
        </w:rPr>
        <w:t>本区潜水埋深</w:t>
      </w:r>
      <w:r>
        <w:rPr>
          <w:rFonts w:hint="eastAsia" w:ascii="Times New Roman" w:hAnsi="Times New Roman"/>
          <w:color w:val="auto"/>
          <w:lang w:val="en-US" w:eastAsia="zh-CN"/>
        </w:rPr>
        <w:t>60</w:t>
      </w:r>
      <w:r>
        <w:rPr>
          <w:rFonts w:hint="eastAsia"/>
          <w:color w:val="auto"/>
          <w:lang w:val="en-US" w:eastAsia="zh-CN"/>
        </w:rPr>
        <w:t>～</w:t>
      </w:r>
      <w:r>
        <w:rPr>
          <w:rFonts w:hint="eastAsia" w:ascii="Times New Roman" w:hAnsi="Times New Roman"/>
          <w:color w:val="auto"/>
          <w:lang w:val="en-US" w:eastAsia="zh-CN"/>
        </w:rPr>
        <w:t>140m</w:t>
      </w:r>
      <w:r>
        <w:rPr>
          <w:rFonts w:hint="eastAsia"/>
          <w:color w:val="auto"/>
          <w:lang w:val="en-US" w:eastAsia="zh-CN"/>
        </w:rPr>
        <w:t>，含水层厚度</w:t>
      </w:r>
      <w:r>
        <w:rPr>
          <w:rFonts w:hint="eastAsia" w:ascii="Times New Roman" w:hAnsi="Times New Roman"/>
          <w:color w:val="auto"/>
          <w:lang w:val="en-US" w:eastAsia="zh-CN"/>
        </w:rPr>
        <w:t>60m</w:t>
      </w:r>
      <w:r>
        <w:rPr>
          <w:rFonts w:hint="eastAsia"/>
          <w:color w:val="auto"/>
          <w:lang w:val="en-US" w:eastAsia="zh-CN"/>
        </w:rPr>
        <w:t>浅层地下水层段的平均厚度为</w:t>
      </w:r>
      <w:r>
        <w:rPr>
          <w:rFonts w:hint="eastAsia" w:ascii="Times New Roman" w:hAnsi="Times New Roman"/>
          <w:color w:val="auto"/>
          <w:lang w:val="en-US" w:eastAsia="zh-CN"/>
        </w:rPr>
        <w:t>60m</w:t>
      </w:r>
      <w:r>
        <w:rPr>
          <w:rFonts w:hint="eastAsia"/>
          <w:color w:val="auto"/>
          <w:lang w:val="en-US" w:eastAsia="zh-CN"/>
        </w:rPr>
        <w:t>。</w:t>
      </w:r>
      <w:r>
        <w:rPr>
          <w:rFonts w:hint="eastAsia"/>
          <w:color w:val="auto"/>
          <w:lang w:eastAsia="zh-CN"/>
        </w:rPr>
        <w:t>包气带防污性能</w:t>
      </w:r>
      <w:r>
        <w:rPr>
          <w:rFonts w:hint="eastAsia"/>
          <w:color w:val="auto"/>
        </w:rPr>
        <w:t>属于</w:t>
      </w:r>
      <w:r>
        <w:rPr>
          <w:rFonts w:hint="eastAsia" w:ascii="Times New Roman" w:hAnsi="Times New Roman"/>
          <w:color w:val="auto"/>
        </w:rPr>
        <w:t>D</w:t>
      </w:r>
      <w:r>
        <w:rPr>
          <w:rFonts w:hint="eastAsia" w:ascii="Times New Roman" w:hAnsi="Times New Roman"/>
          <w:color w:val="auto"/>
          <w:lang w:val="en-US" w:eastAsia="zh-CN"/>
        </w:rPr>
        <w:t>3</w:t>
      </w:r>
      <w:r>
        <w:rPr>
          <w:rFonts w:hint="eastAsia"/>
          <w:color w:val="auto"/>
        </w:rPr>
        <w:t>，项目位于</w:t>
      </w:r>
      <w:r>
        <w:rPr>
          <w:rFonts w:hint="eastAsia"/>
          <w:color w:val="auto"/>
          <w:lang w:eastAsia="zh-CN"/>
        </w:rPr>
        <w:t>工业园区且不属于饮用水水源的补给径流区，根据</w:t>
      </w:r>
      <w:r>
        <w:rPr>
          <w:rFonts w:hint="eastAsia"/>
          <w:color w:val="auto"/>
        </w:rPr>
        <w:t>导则</w:t>
      </w:r>
      <w:r>
        <w:rPr>
          <w:rFonts w:hint="eastAsia" w:ascii="Times New Roman" w:hAnsi="Times New Roman"/>
          <w:color w:val="auto"/>
        </w:rPr>
        <w:t>HJ610</w:t>
      </w:r>
      <w:r>
        <w:rPr>
          <w:rFonts w:hint="eastAsia"/>
          <w:color w:val="auto"/>
        </w:rPr>
        <w:t>-</w:t>
      </w:r>
      <w:r>
        <w:rPr>
          <w:rFonts w:hint="eastAsia" w:ascii="Times New Roman" w:hAnsi="Times New Roman"/>
          <w:color w:val="auto"/>
        </w:rPr>
        <w:t>2016</w:t>
      </w:r>
      <w:r>
        <w:rPr>
          <w:rFonts w:hint="eastAsia"/>
          <w:color w:val="auto"/>
          <w:lang w:eastAsia="zh-CN"/>
        </w:rPr>
        <w:t>判定原则</w:t>
      </w:r>
      <w:r>
        <w:rPr>
          <w:rFonts w:hint="eastAsia"/>
          <w:color w:val="auto"/>
        </w:rPr>
        <w:t>，地下水环境敏感分区属于</w:t>
      </w:r>
      <w:r>
        <w:rPr>
          <w:rFonts w:hint="eastAsia"/>
          <w:color w:val="auto"/>
          <w:lang w:eastAsia="zh-CN"/>
        </w:rPr>
        <w:t>不</w:t>
      </w:r>
      <w:r>
        <w:rPr>
          <w:rFonts w:hint="eastAsia"/>
          <w:color w:val="auto"/>
        </w:rPr>
        <w:t>敏感区</w:t>
      </w:r>
      <w:r>
        <w:rPr>
          <w:rFonts w:hint="eastAsia" w:ascii="Times New Roman" w:hAnsi="Times New Roman"/>
          <w:color w:val="auto"/>
        </w:rPr>
        <w:t>G</w:t>
      </w:r>
      <w:r>
        <w:rPr>
          <w:rFonts w:hint="eastAsia" w:ascii="Times New Roman" w:hAnsi="Times New Roman"/>
          <w:color w:val="auto"/>
          <w:lang w:val="en-US" w:eastAsia="zh-CN"/>
        </w:rPr>
        <w:t>3</w:t>
      </w:r>
      <w:r>
        <w:rPr>
          <w:rFonts w:hint="eastAsia" w:ascii="Times New Roman"/>
          <w:color w:val="auto"/>
        </w:rPr>
        <w:t>，</w:t>
      </w:r>
      <w:r>
        <w:rPr>
          <w:rFonts w:hint="eastAsia"/>
          <w:color w:val="auto"/>
        </w:rPr>
        <w:t>地下水环境敏感程度为</w:t>
      </w:r>
      <w:r>
        <w:rPr>
          <w:rFonts w:hint="eastAsia" w:ascii="Times New Roman" w:hAnsi="Times New Roman"/>
          <w:color w:val="auto"/>
        </w:rPr>
        <w:t>E</w:t>
      </w:r>
      <w:r>
        <w:rPr>
          <w:rFonts w:hint="eastAsia" w:ascii="Times New Roman" w:hAnsi="Times New Roman"/>
          <w:color w:val="auto"/>
          <w:lang w:val="en-US" w:eastAsia="zh-CN"/>
        </w:rPr>
        <w:t>3</w:t>
      </w:r>
      <w:r>
        <w:rPr>
          <w:rFonts w:hint="eastAsia"/>
          <w:color w:val="auto"/>
        </w:rPr>
        <w:t>。</w:t>
      </w:r>
      <w:r>
        <w:rPr>
          <w:rFonts w:hint="eastAsia"/>
          <w:color w:val="auto"/>
          <w:lang w:eastAsia="zh-CN"/>
        </w:rPr>
        <w:t>对应地下水环境风险潜势为Ⅰ。</w:t>
      </w:r>
    </w:p>
    <w:p>
      <w:pPr>
        <w:pStyle w:val="6"/>
        <w:rPr>
          <w:rFonts w:hint="eastAsia"/>
          <w:color w:val="auto"/>
          <w:lang w:val="en-US" w:eastAsia="zh-CN"/>
        </w:rPr>
      </w:pPr>
      <w:bookmarkStart w:id="228" w:name="_Toc2673300"/>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风险评价等级</w:t>
      </w:r>
      <w:bookmarkEnd w:id="228"/>
    </w:p>
    <w:p>
      <w:pPr>
        <w:spacing w:before="0" w:after="0"/>
        <w:ind w:firstLine="480" w:firstLineChars="200"/>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《建设项目环境风险评价技术导则》(</w:t>
      </w:r>
      <w:r>
        <w:rPr>
          <w:rFonts w:ascii="Times New Roman" w:hAnsi="Times New Roman" w:eastAsia="宋体" w:cs="Times New Roman"/>
          <w:color w:val="auto"/>
          <w:kern w:val="2"/>
          <w:szCs w:val="22"/>
        </w:rPr>
        <w:t>HJ169</w:t>
      </w:r>
      <w:r>
        <w:rPr>
          <w:rFonts w:ascii="Times New Roman" w:hAnsi="Times New Roman" w:eastAsia="宋体" w:cs="Times New Roman"/>
          <w:color w:val="auto"/>
          <w:kern w:val="2"/>
          <w:szCs w:val="22"/>
        </w:rPr>
        <w:t>-</w:t>
      </w:r>
      <w:r>
        <w:rPr>
          <w:rFonts w:ascii="Times New Roman" w:hAnsi="Times New Roman" w:eastAsia="宋体" w:cs="Times New Roman"/>
          <w:color w:val="auto"/>
          <w:kern w:val="2"/>
          <w:szCs w:val="22"/>
        </w:rPr>
        <w:t>20</w:t>
      </w:r>
      <w:r>
        <w:rPr>
          <w:rFonts w:hint="eastAsia" w:ascii="Times New Roman" w:hAnsi="Times New Roman" w:eastAsia="宋体" w:cs="Times New Roman"/>
          <w:color w:val="auto"/>
          <w:kern w:val="2"/>
          <w:szCs w:val="22"/>
        </w:rPr>
        <w:t>18</w:t>
      </w:r>
      <w:r>
        <w:rPr>
          <w:rFonts w:ascii="Times New Roman" w:hAnsi="Times New Roman" w:eastAsia="宋体" w:cs="Times New Roman"/>
          <w:color w:val="auto"/>
          <w:kern w:val="2"/>
          <w:szCs w:val="22"/>
        </w:rPr>
        <w:t>)中</w:t>
      </w:r>
      <w:r>
        <w:rPr>
          <w:rFonts w:hint="eastAsia" w:ascii="Times New Roman" w:hAnsi="Times New Roman" w:eastAsia="宋体" w:cs="Times New Roman"/>
          <w:color w:val="auto"/>
          <w:kern w:val="2"/>
          <w:szCs w:val="22"/>
        </w:rPr>
        <w:t>环境风险评价工作</w:t>
      </w:r>
      <w:r>
        <w:rPr>
          <w:rFonts w:ascii="Times New Roman" w:hAnsi="Times New Roman" w:eastAsia="宋体" w:cs="Times New Roman"/>
          <w:color w:val="auto"/>
          <w:kern w:val="2"/>
          <w:szCs w:val="22"/>
        </w:rPr>
        <w:t>等级划分依据见表</w:t>
      </w:r>
      <w:r>
        <w:rPr>
          <w:rFonts w:hint="eastAsia" w:ascii="Times New Roman" w:hAnsi="Times New Roman" w:cs="Times New Roman"/>
          <w:color w:val="auto"/>
          <w:kern w:val="2"/>
          <w:szCs w:val="22"/>
          <w:lang w:val="en-US" w:eastAsia="zh-CN"/>
        </w:rPr>
        <w:t>6</w:t>
      </w:r>
      <w:r>
        <w:rPr>
          <w:rFonts w:hint="eastAsia" w:ascii="Times New Roman" w:hAnsi="Times New Roman" w:eastAsia="宋体" w:cs="Times New Roman"/>
          <w:color w:val="auto"/>
          <w:kern w:val="2"/>
          <w:szCs w:val="22"/>
          <w:lang w:val="en-US" w:eastAsia="zh-CN"/>
        </w:rPr>
        <w:t>.</w:t>
      </w:r>
      <w:r>
        <w:rPr>
          <w:rFonts w:hint="eastAsia" w:ascii="Times New Roman" w:hAnsi="Times New Roman" w:cs="Times New Roman"/>
          <w:color w:val="auto"/>
          <w:kern w:val="2"/>
          <w:szCs w:val="22"/>
          <w:lang w:val="en-US" w:eastAsia="zh-CN"/>
        </w:rPr>
        <w:t>9</w:t>
      </w:r>
      <w:r>
        <w:rPr>
          <w:rFonts w:hint="eastAsia" w:ascii="Times New Roman" w:hAnsi="Times New Roman" w:eastAsia="宋体" w:cs="Times New Roman"/>
          <w:color w:val="auto"/>
          <w:kern w:val="2"/>
          <w:szCs w:val="22"/>
          <w:lang w:val="en-US" w:eastAsia="zh-CN"/>
        </w:rPr>
        <w:t>-</w:t>
      </w:r>
      <w:r>
        <w:rPr>
          <w:rFonts w:hint="eastAsia" w:ascii="Times New Roman" w:hAnsi="Times New Roman" w:eastAsia="宋体" w:cs="Times New Roman"/>
          <w:color w:val="auto"/>
          <w:kern w:val="2"/>
          <w:szCs w:val="22"/>
          <w:lang w:val="en-US" w:eastAsia="zh-CN"/>
        </w:rPr>
        <w:t>1</w:t>
      </w:r>
      <w:r>
        <w:rPr>
          <w:rFonts w:hint="eastAsia" w:ascii="Times New Roman" w:hAnsi="Times New Roman" w:cs="Times New Roman"/>
          <w:color w:val="auto"/>
          <w:kern w:val="2"/>
          <w:szCs w:val="22"/>
          <w:lang w:val="en-US" w:eastAsia="zh-CN"/>
        </w:rPr>
        <w:t>3</w:t>
      </w:r>
      <w:r>
        <w:rPr>
          <w:rFonts w:ascii="Times New Roman" w:hAnsi="Times New Roman" w:eastAsia="宋体" w:cs="Times New Roman"/>
          <w:color w:val="auto"/>
          <w:kern w:val="2"/>
          <w:szCs w:val="22"/>
        </w:rPr>
        <w:t>。</w:t>
      </w:r>
    </w:p>
    <w:p>
      <w:pPr>
        <w:widowControl w:val="0"/>
        <w:snapToGrid w:val="0"/>
        <w:spacing w:before="120" w:beforeLines="50" w:after="0" w:afterLines="0" w:line="360" w:lineRule="auto"/>
        <w:ind w:firstLine="0" w:firstLineChars="0"/>
        <w:jc w:val="center"/>
        <w:rPr>
          <w:rFonts w:hint="eastAsia" w:ascii="Times New Roman" w:hAnsi="Times New Roman" w:eastAsia="宋体" w:cs="Times New Roman"/>
          <w:b/>
          <w:color w:val="auto"/>
          <w:kern w:val="0"/>
          <w:sz w:val="21"/>
          <w:szCs w:val="20"/>
          <w:lang w:val="en-US" w:eastAsia="zh-CN" w:bidi="ar-SA"/>
        </w:rPr>
      </w:pPr>
      <w:r>
        <w:rPr>
          <w:rFonts w:ascii="Times New Roman" w:hAnsi="Times New Roman" w:eastAsia="宋体" w:cs="Times New Roman"/>
          <w:b/>
          <w:color w:val="auto"/>
          <w:kern w:val="0"/>
          <w:sz w:val="21"/>
          <w:szCs w:val="20"/>
          <w:lang w:val="en-US" w:eastAsia="zh-CN" w:bidi="ar-SA"/>
        </w:rPr>
        <w:t xml:space="preserve"> 表</w:t>
      </w:r>
      <w:r>
        <w:rPr>
          <w:rFonts w:hint="eastAsia" w:ascii="Times New Roman" w:hAnsi="Times New Roman" w:cs="Times New Roman"/>
          <w:b/>
          <w:color w:val="auto"/>
          <w:kern w:val="0"/>
          <w:sz w:val="21"/>
          <w:szCs w:val="20"/>
          <w:lang w:val="en-US" w:eastAsia="zh-CN" w:bidi="ar-SA"/>
        </w:rPr>
        <w:t>6</w:t>
      </w:r>
      <w:r>
        <w:rPr>
          <w:rFonts w:hint="eastAsia" w:ascii="Times New Roman" w:hAnsi="Times New Roman" w:eastAsia="宋体" w:cs="Times New Roman"/>
          <w:b/>
          <w:color w:val="auto"/>
          <w:kern w:val="0"/>
          <w:sz w:val="21"/>
          <w:szCs w:val="20"/>
          <w:lang w:val="en-US" w:eastAsia="zh-CN" w:bidi="ar-SA"/>
        </w:rPr>
        <w:t>.</w:t>
      </w:r>
      <w:r>
        <w:rPr>
          <w:rFonts w:hint="eastAsia" w:ascii="Times New Roman" w:hAnsi="Times New Roman" w:cs="Times New Roman"/>
          <w:b/>
          <w:color w:val="auto"/>
          <w:kern w:val="0"/>
          <w:sz w:val="21"/>
          <w:szCs w:val="20"/>
          <w:lang w:val="en-US" w:eastAsia="zh-CN" w:bidi="ar-SA"/>
        </w:rPr>
        <w:t>9</w:t>
      </w:r>
      <w:r>
        <w:rPr>
          <w:rFonts w:hint="eastAsia" w:ascii="Times New Roman" w:hAnsi="Times New Roman" w:eastAsia="宋体" w:cs="Times New Roman"/>
          <w:b/>
          <w:color w:val="auto"/>
          <w:kern w:val="0"/>
          <w:sz w:val="21"/>
          <w:szCs w:val="20"/>
          <w:lang w:val="en-US" w:eastAsia="zh-CN" w:bidi="ar-SA"/>
        </w:rPr>
        <w:t>-</w:t>
      </w:r>
      <w:r>
        <w:rPr>
          <w:rFonts w:hint="eastAsia" w:ascii="Times New Roman" w:hAnsi="Times New Roman" w:eastAsia="宋体" w:cs="Times New Roman"/>
          <w:b/>
          <w:color w:val="auto"/>
          <w:kern w:val="0"/>
          <w:sz w:val="21"/>
          <w:szCs w:val="20"/>
          <w:lang w:val="en-US" w:eastAsia="zh-CN" w:bidi="ar-SA"/>
        </w:rPr>
        <w:t>1</w:t>
      </w:r>
      <w:r>
        <w:rPr>
          <w:rFonts w:hint="eastAsia" w:ascii="Times New Roman" w:hAnsi="Times New Roman" w:cs="Times New Roman"/>
          <w:b/>
          <w:color w:val="auto"/>
          <w:kern w:val="0"/>
          <w:sz w:val="21"/>
          <w:szCs w:val="20"/>
          <w:lang w:val="en-US" w:eastAsia="zh-CN" w:bidi="ar-SA"/>
        </w:rPr>
        <w:t>3</w:t>
      </w:r>
      <w:r>
        <w:rPr>
          <w:rFonts w:ascii="Times New Roman" w:hAnsi="Times New Roman" w:eastAsia="宋体" w:cs="Times New Roman"/>
          <w:b/>
          <w:color w:val="auto"/>
          <w:kern w:val="0"/>
          <w:sz w:val="21"/>
          <w:szCs w:val="20"/>
          <w:lang w:val="en-US" w:eastAsia="zh-CN" w:bidi="ar-SA"/>
        </w:rPr>
        <w:t xml:space="preserve">    </w:t>
      </w:r>
      <w:r>
        <w:rPr>
          <w:rFonts w:hint="eastAsia" w:ascii="Times New Roman" w:hAnsi="Times New Roman" w:eastAsia="宋体" w:cs="Times New Roman"/>
          <w:b/>
          <w:color w:val="auto"/>
          <w:kern w:val="0"/>
          <w:sz w:val="21"/>
          <w:szCs w:val="20"/>
          <w:lang w:val="en-US" w:eastAsia="zh-CN" w:bidi="ar-SA"/>
        </w:rPr>
        <w:t>环境风险</w:t>
      </w:r>
      <w:r>
        <w:rPr>
          <w:rFonts w:ascii="Times New Roman" w:hAnsi="Times New Roman" w:eastAsia="宋体" w:cs="Times New Roman"/>
          <w:b/>
          <w:color w:val="auto"/>
          <w:kern w:val="0"/>
          <w:sz w:val="21"/>
          <w:szCs w:val="20"/>
          <w:lang w:val="en-US" w:eastAsia="zh-CN" w:bidi="ar-SA"/>
        </w:rPr>
        <w:t>评价工作</w:t>
      </w:r>
      <w:r>
        <w:rPr>
          <w:rFonts w:hint="eastAsia" w:ascii="Times New Roman" w:hAnsi="Times New Roman" w:eastAsia="宋体" w:cs="Times New Roman"/>
          <w:b/>
          <w:color w:val="auto"/>
          <w:kern w:val="0"/>
          <w:sz w:val="21"/>
          <w:szCs w:val="20"/>
          <w:lang w:val="en-US" w:eastAsia="zh-CN" w:bidi="ar-SA"/>
        </w:rPr>
        <w:t>等级划分表</w:t>
      </w:r>
    </w:p>
    <w:tbl>
      <w:tblPr>
        <w:tblStyle w:val="80"/>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1608"/>
        <w:gridCol w:w="1923"/>
        <w:gridCol w:w="1923"/>
        <w:gridCol w:w="1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22" w:type="dxa"/>
            <w:vAlign w:val="center"/>
          </w:tcPr>
          <w:p>
            <w:pPr>
              <w:spacing w:before="0" w:after="0" w:line="240" w:lineRule="auto"/>
              <w:ind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环境风险潜势</w:t>
            </w:r>
          </w:p>
        </w:tc>
        <w:tc>
          <w:tcPr>
            <w:tcW w:w="1608" w:type="dxa"/>
            <w:vAlign w:val="center"/>
          </w:tcPr>
          <w:p>
            <w:pPr>
              <w:spacing w:before="0" w:after="0" w:line="240" w:lineRule="auto"/>
              <w:ind w:firstLine="0" w:firstLineChars="0"/>
              <w:jc w:val="center"/>
              <w:rPr>
                <w:rFonts w:hint="eastAsia"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 </w:t>
            </w:r>
            <w:r>
              <w:rPr>
                <w:rFonts w:ascii="Times New Roman" w:hAnsi="Times New Roman" w:eastAsia="宋体" w:cs="Times New Roman"/>
                <w:color w:val="auto"/>
                <w:kern w:val="2"/>
                <w:sz w:val="21"/>
                <w:szCs w:val="21"/>
              </w:rPr>
              <w:t>IV</w:t>
            </w:r>
            <w:r>
              <w:rPr>
                <w:rFonts w:ascii="Times New Roman" w:hAnsi="Times New Roman" w:eastAsia="宋体" w:cs="Times New Roman"/>
                <w:color w:val="auto"/>
                <w:kern w:val="2"/>
                <w:sz w:val="21"/>
                <w:szCs w:val="21"/>
              </w:rPr>
              <w:t>、</w:t>
            </w:r>
            <w:r>
              <w:rPr>
                <w:rFonts w:ascii="Times New Roman" w:hAnsi="Times New Roman" w:eastAsia="宋体" w:cs="Times New Roman"/>
                <w:color w:val="auto"/>
                <w:kern w:val="2"/>
                <w:sz w:val="21"/>
                <w:szCs w:val="21"/>
              </w:rPr>
              <w:t>IV</w:t>
            </w:r>
            <w:r>
              <w:rPr>
                <w:rFonts w:hint="eastAsia" w:ascii="Times New Roman" w:hAnsi="Times New Roman" w:eastAsia="宋体" w:cs="Times New Roman"/>
                <w:color w:val="auto"/>
                <w:kern w:val="2"/>
                <w:sz w:val="21"/>
                <w:szCs w:val="21"/>
                <w:vertAlign w:val="superscript"/>
              </w:rPr>
              <w:t>+</w:t>
            </w:r>
          </w:p>
        </w:tc>
        <w:tc>
          <w:tcPr>
            <w:tcW w:w="1923" w:type="dxa"/>
            <w:vAlign w:val="center"/>
          </w:tcPr>
          <w:p>
            <w:pPr>
              <w:spacing w:before="0" w:after="0" w:line="240" w:lineRule="auto"/>
              <w:ind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III</w:t>
            </w:r>
            <w:r>
              <w:rPr>
                <w:rFonts w:ascii="Times New Roman" w:hAnsi="Times New Roman" w:eastAsia="宋体" w:cs="Times New Roman"/>
                <w:color w:val="auto"/>
                <w:kern w:val="2"/>
                <w:sz w:val="21"/>
                <w:szCs w:val="21"/>
              </w:rPr>
              <w:t xml:space="preserve">  </w:t>
            </w:r>
          </w:p>
        </w:tc>
        <w:tc>
          <w:tcPr>
            <w:tcW w:w="1923" w:type="dxa"/>
            <w:tcBorders>
              <w:bottom w:val="single" w:color="auto" w:sz="4" w:space="0"/>
            </w:tcBorders>
            <w:vAlign w:val="center"/>
          </w:tcPr>
          <w:p>
            <w:pPr>
              <w:spacing w:before="0" w:after="0" w:line="240" w:lineRule="auto"/>
              <w:ind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Ⅱ </w:t>
            </w:r>
          </w:p>
        </w:tc>
        <w:tc>
          <w:tcPr>
            <w:tcW w:w="1798" w:type="dxa"/>
            <w:vAlign w:val="center"/>
          </w:tcPr>
          <w:p>
            <w:pPr>
              <w:spacing w:before="0" w:after="0" w:line="240" w:lineRule="auto"/>
              <w:ind w:firstLine="0" w:firstLineChars="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 </w:t>
            </w:r>
            <w:r>
              <w:rPr>
                <w:rFonts w:ascii="Times New Roman" w:hAnsi="Times New Roman" w:eastAsia="宋体" w:cs="Times New Roman"/>
                <w:color w:val="auto"/>
                <w:kern w:val="2"/>
                <w:sz w:val="21"/>
                <w:szCs w:val="21"/>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22" w:type="dxa"/>
            <w:vAlign w:val="center"/>
          </w:tcPr>
          <w:p>
            <w:pPr>
              <w:spacing w:before="0" w:after="0" w:line="240" w:lineRule="auto"/>
              <w:ind w:firstLine="0" w:firstLineChars="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评价工作等级</w:t>
            </w:r>
          </w:p>
        </w:tc>
        <w:tc>
          <w:tcPr>
            <w:tcW w:w="1608" w:type="dxa"/>
            <w:vAlign w:val="center"/>
          </w:tcPr>
          <w:p>
            <w:pPr>
              <w:spacing w:before="0" w:after="0" w:line="240" w:lineRule="auto"/>
              <w:ind w:firstLine="0" w:firstLineChars="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w:t>
            </w:r>
          </w:p>
        </w:tc>
        <w:tc>
          <w:tcPr>
            <w:tcW w:w="1923" w:type="dxa"/>
            <w:vAlign w:val="center"/>
          </w:tcPr>
          <w:p>
            <w:pPr>
              <w:spacing w:before="0" w:after="0" w:line="240" w:lineRule="auto"/>
              <w:ind w:firstLine="0" w:firstLineChars="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二</w:t>
            </w:r>
          </w:p>
        </w:tc>
        <w:tc>
          <w:tcPr>
            <w:tcW w:w="1923" w:type="dxa"/>
            <w:tcBorders>
              <w:top w:val="single" w:color="auto" w:sz="4" w:space="0"/>
              <w:bottom w:val="single" w:color="auto" w:sz="4" w:space="0"/>
            </w:tcBorders>
            <w:vAlign w:val="center"/>
          </w:tcPr>
          <w:p>
            <w:pPr>
              <w:spacing w:before="0" w:after="0" w:line="240" w:lineRule="auto"/>
              <w:ind w:firstLine="0" w:firstLineChars="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三</w:t>
            </w:r>
          </w:p>
        </w:tc>
        <w:tc>
          <w:tcPr>
            <w:tcW w:w="1798" w:type="dxa"/>
            <w:vAlign w:val="center"/>
          </w:tcPr>
          <w:p>
            <w:pPr>
              <w:spacing w:before="0" w:after="0" w:line="240" w:lineRule="auto"/>
              <w:ind w:firstLine="0" w:firstLineChars="0"/>
              <w:jc w:val="center"/>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简单分析</w:t>
            </w:r>
            <w:r>
              <w:rPr>
                <w:rFonts w:hint="eastAsia" w:ascii="Times New Roman" w:hAnsi="Times New Roman" w:eastAsia="宋体" w:cs="Times New Roman"/>
                <w:color w:val="auto"/>
                <w:kern w:val="2"/>
                <w:sz w:val="21"/>
                <w:szCs w:val="21"/>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174" w:type="dxa"/>
            <w:gridSpan w:val="5"/>
            <w:vAlign w:val="center"/>
          </w:tcPr>
          <w:p>
            <w:pPr>
              <w:spacing w:before="0" w:after="0" w:line="240" w:lineRule="auto"/>
              <w:ind w:firstLine="0" w:firstLineChars="0"/>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vertAlign w:val="superscript"/>
              </w:rPr>
              <w:t>a</w:t>
            </w:r>
            <w:r>
              <w:rPr>
                <w:rFonts w:hint="eastAsia" w:ascii="Times New Roman" w:hAnsi="Times New Roman" w:eastAsia="宋体" w:cs="Times New Roman"/>
                <w:color w:val="auto"/>
                <w:kern w:val="2"/>
                <w:sz w:val="21"/>
                <w:szCs w:val="21"/>
              </w:rPr>
              <w:t>是相对于详细评价工作内容而言，在描述危险物质、环境影响途径、环境危险后果、风险防范措施等方面给出定性的说明。</w:t>
            </w:r>
          </w:p>
        </w:tc>
      </w:tr>
    </w:tbl>
    <w:p>
      <w:pPr>
        <w:rPr>
          <w:rFonts w:hint="eastAsia"/>
        </w:rPr>
      </w:pPr>
      <w:r>
        <w:rPr>
          <w:rFonts w:hint="eastAsia"/>
          <w:color w:val="auto"/>
        </w:rPr>
        <w:t>项目大气环境风险潜势</w:t>
      </w:r>
      <w:r>
        <w:rPr>
          <w:rFonts w:hint="eastAsia"/>
          <w:color w:val="auto"/>
          <w:lang w:eastAsia="zh-CN"/>
        </w:rPr>
        <w:t>为Ⅱ，地表水环境风险潜势和</w:t>
      </w:r>
      <w:r>
        <w:rPr>
          <w:rFonts w:hint="eastAsia"/>
          <w:color w:val="auto"/>
        </w:rPr>
        <w:t>地下水环境风险潜势</w:t>
      </w:r>
      <w:r>
        <w:rPr>
          <w:rFonts w:hint="eastAsia"/>
          <w:color w:val="auto"/>
          <w:lang w:eastAsia="zh-CN"/>
        </w:rPr>
        <w:t>均</w:t>
      </w:r>
      <w:r>
        <w:rPr>
          <w:rFonts w:hint="eastAsia"/>
          <w:color w:val="auto"/>
        </w:rPr>
        <w:t>为</w:t>
      </w:r>
      <w:r>
        <w:rPr>
          <w:rFonts w:hint="eastAsia"/>
          <w:color w:val="auto"/>
          <w:lang w:eastAsia="zh-CN"/>
        </w:rPr>
        <w:t>Ⅰ，</w:t>
      </w:r>
      <w:r>
        <w:rPr>
          <w:rFonts w:hint="eastAsia"/>
          <w:color w:val="auto"/>
        </w:rPr>
        <w:t>因此本</w:t>
      </w:r>
      <w:r>
        <w:rPr>
          <w:rFonts w:hint="eastAsia"/>
          <w:color w:val="auto"/>
          <w:lang w:eastAsia="zh-CN"/>
        </w:rPr>
        <w:t>项目</w:t>
      </w:r>
      <w:r>
        <w:rPr>
          <w:rFonts w:hint="eastAsia"/>
          <w:color w:val="auto"/>
        </w:rPr>
        <w:t>环境风险评价等级为</w:t>
      </w:r>
      <w:r>
        <w:rPr>
          <w:rFonts w:hint="eastAsia"/>
          <w:color w:val="auto"/>
          <w:lang w:eastAsia="zh-CN"/>
        </w:rPr>
        <w:t>三级</w:t>
      </w:r>
      <w:r>
        <w:rPr>
          <w:rFonts w:ascii="Times New Roman" w:hAnsi="Times New Roman" w:eastAsia="宋体" w:cs="Times New Roman"/>
          <w:color w:val="auto"/>
          <w:kern w:val="2"/>
          <w:szCs w:val="22"/>
        </w:rPr>
        <w:t>。</w:t>
      </w:r>
    </w:p>
    <w:p>
      <w:pPr>
        <w:pStyle w:val="5"/>
        <w:bidi w:val="0"/>
        <w:rPr>
          <w:rFonts w:hint="eastAsia" w:eastAsia="华文楷体"/>
          <w:lang w:eastAsia="zh-CN"/>
        </w:rPr>
      </w:pPr>
      <w:bookmarkStart w:id="229" w:name="_Toc6052"/>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4</w:t>
      </w:r>
      <w:r>
        <w:rPr>
          <w:rFonts w:hint="eastAsia"/>
        </w:rPr>
        <w:t>环境风险</w:t>
      </w:r>
      <w:bookmarkEnd w:id="229"/>
      <w:r>
        <w:rPr>
          <w:rFonts w:hint="eastAsia"/>
          <w:lang w:eastAsia="zh-CN"/>
        </w:rPr>
        <w:t>识别</w:t>
      </w:r>
    </w:p>
    <w:p>
      <w:pPr>
        <w:pStyle w:val="6"/>
        <w:bidi w:val="0"/>
        <w:rPr>
          <w:rFonts w:hint="eastAsia"/>
        </w:rPr>
      </w:pPr>
      <w:r>
        <w:rPr>
          <w:rFonts w:hint="eastAsia" w:ascii="Times New Roman" w:hAnsi="Times New Roman"/>
          <w:lang w:val="en-US" w:eastAsia="zh-CN"/>
        </w:rPr>
        <w:t>6</w:t>
      </w:r>
      <w:r>
        <w:rPr>
          <w:rFonts w:hint="eastAsia"/>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4</w:t>
      </w:r>
      <w:r>
        <w:rPr>
          <w:rFonts w:hint="eastAsia"/>
        </w:rPr>
        <w:t>.</w:t>
      </w:r>
      <w:r>
        <w:rPr>
          <w:rFonts w:hint="eastAsia" w:ascii="Times New Roman" w:hAnsi="Times New Roman"/>
        </w:rPr>
        <w:t>1</w:t>
      </w:r>
      <w:r>
        <w:rPr>
          <w:rFonts w:hint="eastAsia"/>
        </w:rPr>
        <w:t>物质危险性识别</w:t>
      </w:r>
    </w:p>
    <w:p>
      <w:pPr>
        <w:ind w:firstLine="480"/>
        <w:rPr>
          <w:rFonts w:hint="eastAsia"/>
        </w:rPr>
      </w:pPr>
      <w:r>
        <w:rPr>
          <w:rFonts w:hint="eastAsia"/>
          <w:lang w:eastAsia="zh-CN"/>
        </w:rPr>
        <w:t>本</w:t>
      </w:r>
      <w:r>
        <w:rPr>
          <w:rFonts w:hint="eastAsia"/>
        </w:rPr>
        <w:t>项目涉及的主要化学品</w:t>
      </w:r>
      <w:r>
        <w:rPr>
          <w:rFonts w:hint="eastAsia"/>
          <w:lang w:eastAsia="zh-CN"/>
        </w:rPr>
        <w:t>危险物质特性</w:t>
      </w:r>
      <w:r>
        <w:rPr>
          <w:rFonts w:hint="eastAsia"/>
        </w:rPr>
        <w:t>具体见表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14</w:t>
      </w:r>
      <w:r>
        <w:rPr>
          <w:rFonts w:hint="eastAsia"/>
          <w:lang w:val="en-US"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18</w:t>
      </w:r>
      <w:r>
        <w:rPr>
          <w:rFonts w:hint="eastAsia"/>
          <w:lang w:val="en-US" w:eastAsia="zh-CN"/>
        </w:rPr>
        <w:t>。</w:t>
      </w:r>
      <w:r>
        <w:rPr>
          <w:rFonts w:hint="eastAsia"/>
          <w:color w:val="0000FF"/>
          <w:lang w:val="en-US" w:eastAsia="zh-CN"/>
        </w:rPr>
        <w:t xml:space="preserve"> </w:t>
      </w:r>
    </w:p>
    <w:p>
      <w:pPr>
        <w:pStyle w:val="20"/>
        <w:spacing w:before="165"/>
        <w:rPr>
          <w:rFonts w:hint="eastAsia"/>
        </w:rPr>
      </w:pPr>
      <w:r>
        <w:rPr>
          <w:rFonts w:hint="eastAsia" w:ascii="Times New Roman" w:hAnsi="Times New Roman"/>
          <w:lang w:eastAsia="zh-CN"/>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14</w:t>
      </w:r>
      <w:r>
        <w:rPr>
          <w:rFonts w:hint="eastAsia" w:ascii="Times New Roman" w:hAnsi="Times New Roman"/>
          <w:lang w:val="en-US" w:eastAsia="zh-CN"/>
        </w:rPr>
        <w:t xml:space="preserve">  </w:t>
      </w:r>
      <w:r>
        <w:rPr>
          <w:rFonts w:hint="eastAsia" w:ascii="Times New Roman" w:hAnsi="Times New Roman"/>
          <w:lang w:eastAsia="zh-CN"/>
        </w:rPr>
        <w:t>PD</w:t>
      </w:r>
      <w:r>
        <w:rPr>
          <w:rFonts w:hint="eastAsia"/>
        </w:rPr>
        <w:t>的理化性质及危险特性说明</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09"/>
        <w:gridCol w:w="1625"/>
        <w:gridCol w:w="933"/>
        <w:gridCol w:w="950"/>
        <w:gridCol w:w="1333"/>
        <w:gridCol w:w="2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标识</w:t>
            </w:r>
          </w:p>
        </w:tc>
        <w:tc>
          <w:tcPr>
            <w:tcW w:w="4067" w:type="dxa"/>
            <w:gridSpan w:val="3"/>
            <w:noWrap w:val="0"/>
            <w:vAlign w:val="center"/>
          </w:tcPr>
          <w:p>
            <w:pPr>
              <w:spacing w:line="240" w:lineRule="auto"/>
              <w:ind w:firstLine="0"/>
              <w:jc w:val="center"/>
              <w:rPr>
                <w:rFonts w:hint="eastAsia" w:hAnsi="宋体" w:eastAsia="宋体" w:cs="宋体"/>
                <w:sz w:val="21"/>
                <w:szCs w:val="21"/>
                <w:lang w:eastAsia="zh-CN"/>
              </w:rPr>
            </w:pPr>
            <w:r>
              <w:rPr>
                <w:rFonts w:hint="eastAsia" w:hAnsi="宋体" w:cs="宋体"/>
                <w:sz w:val="21"/>
                <w:szCs w:val="21"/>
              </w:rPr>
              <w:t>中文名：</w:t>
            </w:r>
            <w:r>
              <w:rPr>
                <w:rFonts w:hint="eastAsia" w:ascii="Times New Roman" w:hAnsi="Times New Roman"/>
                <w:sz w:val="21"/>
                <w:szCs w:val="21"/>
                <w:lang w:eastAsia="zh-CN"/>
              </w:rPr>
              <w:t>PD</w:t>
            </w:r>
          </w:p>
        </w:tc>
        <w:tc>
          <w:tcPr>
            <w:tcW w:w="950"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英文名</w:t>
            </w:r>
          </w:p>
        </w:tc>
        <w:tc>
          <w:tcPr>
            <w:tcW w:w="3444"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Piperidine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分子式</w:t>
            </w:r>
          </w:p>
        </w:tc>
        <w:tc>
          <w:tcPr>
            <w:tcW w:w="1625"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C</w:t>
            </w:r>
            <w:r>
              <w:rPr>
                <w:rFonts w:hint="eastAsia" w:ascii="Times New Roman" w:hAnsi="Times New Roman"/>
                <w:sz w:val="21"/>
                <w:szCs w:val="21"/>
                <w:vertAlign w:val="subscript"/>
                <w:lang w:val="en-US" w:eastAsia="zh-CN"/>
              </w:rPr>
              <w:t>5</w:t>
            </w:r>
            <w:r>
              <w:rPr>
                <w:rFonts w:hint="eastAsia" w:ascii="Times New Roman" w:hAnsi="Times New Roman"/>
                <w:sz w:val="21"/>
                <w:szCs w:val="21"/>
                <w:lang w:val="en-US" w:eastAsia="zh-CN"/>
              </w:rPr>
              <w:t>H</w:t>
            </w:r>
            <w:r>
              <w:rPr>
                <w:rFonts w:hint="eastAsia" w:ascii="Times New Roman" w:hAnsi="Times New Roman"/>
                <w:sz w:val="21"/>
                <w:szCs w:val="21"/>
                <w:vertAlign w:val="subscript"/>
                <w:lang w:val="en-US" w:eastAsia="zh-CN"/>
              </w:rPr>
              <w:t>11</w:t>
            </w:r>
            <w:r>
              <w:rPr>
                <w:rFonts w:hint="eastAsia" w:ascii="Times New Roman" w:hAnsi="Times New Roman"/>
                <w:sz w:val="21"/>
                <w:szCs w:val="21"/>
                <w:lang w:val="en-US" w:eastAsia="zh-CN"/>
              </w:rPr>
              <w:t>N</w:t>
            </w:r>
          </w:p>
        </w:tc>
        <w:tc>
          <w:tcPr>
            <w:tcW w:w="933"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分子量</w:t>
            </w:r>
          </w:p>
        </w:tc>
        <w:tc>
          <w:tcPr>
            <w:tcW w:w="950"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85</w:t>
            </w:r>
            <w:r>
              <w:rPr>
                <w:rFonts w:hint="eastAsia" w:ascii="Times New Roman"/>
                <w:sz w:val="21"/>
                <w:szCs w:val="21"/>
                <w:lang w:val="en-US" w:eastAsia="zh-CN"/>
              </w:rPr>
              <w:t>.</w:t>
            </w:r>
            <w:r>
              <w:rPr>
                <w:rFonts w:hint="eastAsia" w:ascii="Times New Roman" w:hAnsi="Times New Roman"/>
                <w:sz w:val="21"/>
                <w:szCs w:val="21"/>
                <w:lang w:val="en-US" w:eastAsia="zh-CN"/>
              </w:rPr>
              <w:t>15</w:t>
            </w:r>
          </w:p>
        </w:tc>
        <w:tc>
          <w:tcPr>
            <w:tcW w:w="1333"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CAS</w:t>
            </w:r>
          </w:p>
        </w:tc>
        <w:tc>
          <w:tcPr>
            <w:tcW w:w="2111"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110</w:t>
            </w:r>
            <w:r>
              <w:rPr>
                <w:rFonts w:hint="eastAsia" w:ascii="Times New Roman" w:cs="宋体"/>
                <w:sz w:val="21"/>
                <w:szCs w:val="21"/>
                <w:lang w:val="en-US" w:eastAsia="zh-CN"/>
              </w:rPr>
              <w:t>-</w:t>
            </w:r>
            <w:r>
              <w:rPr>
                <w:rFonts w:hint="eastAsia" w:ascii="Times New Roman" w:hAnsi="Times New Roman" w:cs="宋体"/>
                <w:sz w:val="21"/>
                <w:szCs w:val="21"/>
                <w:lang w:val="en-US" w:eastAsia="zh-CN"/>
              </w:rPr>
              <w:t>89</w:t>
            </w:r>
            <w:r>
              <w:rPr>
                <w:rFonts w:hint="eastAsia" w:ascii="Times New Roman" w:cs="宋体"/>
                <w:sz w:val="21"/>
                <w:szCs w:val="21"/>
                <w:lang w:val="en-US" w:eastAsia="zh-CN"/>
              </w:rPr>
              <w:t>-</w:t>
            </w:r>
            <w:r>
              <w:rPr>
                <w:rFonts w:hint="eastAsia" w:ascii="Times New Roman" w:hAnsi="Times New Roman" w:cs="宋体"/>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hAnsi="宋体" w:cs="宋体"/>
                <w:sz w:val="21"/>
                <w:szCs w:val="21"/>
              </w:rPr>
              <w:t>危险</w:t>
            </w:r>
            <w:r>
              <w:rPr>
                <w:rFonts w:hint="eastAsia" w:cs="宋体"/>
                <w:sz w:val="21"/>
                <w:szCs w:val="21"/>
                <w:lang w:eastAsia="zh-CN"/>
              </w:rPr>
              <w:t>货物编号</w:t>
            </w:r>
          </w:p>
        </w:tc>
        <w:tc>
          <w:tcPr>
            <w:tcW w:w="255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32106</w:t>
            </w:r>
          </w:p>
        </w:tc>
        <w:tc>
          <w:tcPr>
            <w:tcW w:w="950" w:type="dxa"/>
            <w:noWrap w:val="0"/>
            <w:vAlign w:val="center"/>
          </w:tcPr>
          <w:p>
            <w:pPr>
              <w:spacing w:line="240" w:lineRule="auto"/>
              <w:ind w:firstLine="0"/>
              <w:jc w:val="center"/>
              <w:rPr>
                <w:rFonts w:hint="eastAsia" w:hAnsi="宋体" w:cs="宋体"/>
                <w:sz w:val="21"/>
                <w:szCs w:val="21"/>
              </w:rPr>
            </w:pPr>
            <w:r>
              <w:rPr>
                <w:rFonts w:hint="eastAsia" w:ascii="Times New Roman" w:hAnsi="Times New Roman"/>
                <w:sz w:val="21"/>
                <w:szCs w:val="21"/>
              </w:rPr>
              <w:t>UN</w:t>
            </w:r>
            <w:r>
              <w:rPr>
                <w:rFonts w:hint="eastAsia" w:hAnsi="宋体" w:cs="宋体"/>
                <w:sz w:val="21"/>
                <w:szCs w:val="21"/>
              </w:rPr>
              <w:t>号</w:t>
            </w:r>
          </w:p>
        </w:tc>
        <w:tc>
          <w:tcPr>
            <w:tcW w:w="3444" w:type="dxa"/>
            <w:gridSpan w:val="2"/>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sz w:val="21"/>
                <w:szCs w:val="21"/>
                <w:lang w:val="en-US" w:eastAsia="zh-CN"/>
              </w:rPr>
              <w:t>2401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理化性质</w:t>
            </w:r>
          </w:p>
        </w:tc>
        <w:tc>
          <w:tcPr>
            <w:tcW w:w="1509" w:type="dxa"/>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外观与</w:t>
            </w:r>
            <w:r>
              <w:rPr>
                <w:rFonts w:hint="eastAsia" w:hAnsi="宋体" w:cs="宋体"/>
                <w:sz w:val="21"/>
                <w:szCs w:val="21"/>
              </w:rPr>
              <w:t>性状</w:t>
            </w:r>
          </w:p>
        </w:tc>
        <w:tc>
          <w:tcPr>
            <w:tcW w:w="6952" w:type="dxa"/>
            <w:gridSpan w:val="5"/>
            <w:noWrap w:val="0"/>
            <w:vAlign w:val="center"/>
          </w:tcPr>
          <w:p>
            <w:pPr>
              <w:spacing w:line="240" w:lineRule="auto"/>
              <w:ind w:firstLine="0"/>
              <w:jc w:val="center"/>
              <w:rPr>
                <w:rFonts w:hint="eastAsia" w:ascii="Times New Roman" w:eastAsia="宋体" w:cs="宋体"/>
                <w:sz w:val="21"/>
                <w:szCs w:val="21"/>
                <w:lang w:eastAsia="zh-CN"/>
              </w:rPr>
            </w:pPr>
            <w:r>
              <w:rPr>
                <w:rFonts w:hint="eastAsia" w:ascii="Times New Roman" w:cs="宋体"/>
                <w:sz w:val="21"/>
                <w:szCs w:val="21"/>
                <w:lang w:eastAsia="zh-CN"/>
              </w:rPr>
              <w:t>无色澄清液体，有类似氨的气味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主要用途</w:t>
            </w:r>
          </w:p>
        </w:tc>
        <w:tc>
          <w:tcPr>
            <w:tcW w:w="6952" w:type="dxa"/>
            <w:gridSpan w:val="5"/>
            <w:noWrap w:val="0"/>
            <w:vAlign w:val="center"/>
          </w:tcPr>
          <w:p>
            <w:pPr>
              <w:spacing w:line="240" w:lineRule="auto"/>
              <w:ind w:firstLine="0"/>
              <w:jc w:val="center"/>
              <w:rPr>
                <w:rFonts w:hint="eastAsia" w:ascii="Times New Roman" w:cs="宋体"/>
                <w:sz w:val="21"/>
                <w:szCs w:val="21"/>
                <w:lang w:eastAsia="zh-CN"/>
              </w:rPr>
            </w:pPr>
            <w:r>
              <w:rPr>
                <w:rFonts w:hint="eastAsia" w:ascii="Times New Roman" w:cs="宋体"/>
                <w:sz w:val="21"/>
                <w:szCs w:val="21"/>
                <w:lang w:eastAsia="zh-CN"/>
              </w:rPr>
              <w:t>用作溶剂、有机合成中间体、环氧树脂交联剂、缩合催化剂等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闪点（</w:t>
            </w:r>
            <w:r>
              <w:rPr>
                <w:rFonts w:hint="eastAsia" w:hAnsi="宋体" w:cs="宋体"/>
                <w:sz w:val="21"/>
                <w:szCs w:val="21"/>
              </w:rPr>
              <w:t>℃</w:t>
            </w:r>
            <w:r>
              <w:rPr>
                <w:rFonts w:hint="eastAsia" w:cs="宋体"/>
                <w:sz w:val="21"/>
                <w:szCs w:val="21"/>
                <w:lang w:eastAsia="zh-CN"/>
              </w:rPr>
              <w:t>）</w:t>
            </w:r>
          </w:p>
        </w:tc>
        <w:tc>
          <w:tcPr>
            <w:tcW w:w="255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16</w:t>
            </w:r>
          </w:p>
        </w:tc>
        <w:tc>
          <w:tcPr>
            <w:tcW w:w="2283"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饱和蒸气压（</w:t>
            </w:r>
            <w:r>
              <w:rPr>
                <w:rFonts w:hint="eastAsia" w:ascii="Times New Roman" w:hAnsi="Times New Roman" w:cs="宋体"/>
                <w:sz w:val="21"/>
                <w:szCs w:val="21"/>
                <w:lang w:val="en-US" w:eastAsia="zh-CN"/>
              </w:rPr>
              <w:t>kPa</w:t>
            </w:r>
            <w:r>
              <w:rPr>
                <w:rFonts w:hint="eastAsia" w:cs="宋体"/>
                <w:sz w:val="21"/>
                <w:szCs w:val="21"/>
                <w:lang w:eastAsia="zh-CN"/>
              </w:rPr>
              <w:t>）</w:t>
            </w:r>
          </w:p>
        </w:tc>
        <w:tc>
          <w:tcPr>
            <w:tcW w:w="211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5</w:t>
            </w:r>
            <w:r>
              <w:rPr>
                <w:rFonts w:hint="eastAsia" w:ascii="Times New Roman"/>
                <w:sz w:val="21"/>
                <w:szCs w:val="21"/>
                <w:lang w:val="en-US" w:eastAsia="zh-CN"/>
              </w:rPr>
              <w:t>.</w:t>
            </w:r>
            <w:r>
              <w:rPr>
                <w:rFonts w:hint="eastAsia" w:ascii="Times New Roman" w:hAnsi="Times New Roman"/>
                <w:sz w:val="21"/>
                <w:szCs w:val="21"/>
                <w:lang w:val="en-US" w:eastAsia="zh-CN"/>
              </w:rPr>
              <w:t>33</w:t>
            </w:r>
            <w:r>
              <w:rPr>
                <w:rFonts w:hint="eastAsia" w:ascii="Times New Roman"/>
                <w:sz w:val="21"/>
                <w:szCs w:val="21"/>
                <w:lang w:val="en-US" w:eastAsia="zh-CN"/>
              </w:rPr>
              <w:t>/</w:t>
            </w:r>
            <w:r>
              <w:rPr>
                <w:rFonts w:hint="eastAsia" w:ascii="Times New Roman" w:hAnsi="Times New Roman"/>
                <w:sz w:val="21"/>
                <w:szCs w:val="21"/>
                <w:lang w:val="en-US" w:eastAsia="zh-CN"/>
              </w:rPr>
              <w:t>29</w:t>
            </w:r>
            <w:r>
              <w:rPr>
                <w:rFonts w:hint="eastAsia" w:ascii="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沸点（℃）</w:t>
            </w:r>
          </w:p>
        </w:tc>
        <w:tc>
          <w:tcPr>
            <w:tcW w:w="255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106</w:t>
            </w:r>
          </w:p>
        </w:tc>
        <w:tc>
          <w:tcPr>
            <w:tcW w:w="2283"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相对密度（水=</w:t>
            </w:r>
            <w:r>
              <w:rPr>
                <w:rFonts w:hint="eastAsia" w:ascii="Times New Roman" w:hAnsi="Times New Roman"/>
                <w:sz w:val="21"/>
                <w:szCs w:val="21"/>
              </w:rPr>
              <w:t>1</w:t>
            </w:r>
            <w:r>
              <w:rPr>
                <w:rFonts w:hint="eastAsia" w:hAnsi="宋体" w:cs="宋体"/>
                <w:sz w:val="21"/>
                <w:szCs w:val="21"/>
              </w:rPr>
              <w:t>）</w:t>
            </w:r>
          </w:p>
        </w:tc>
        <w:tc>
          <w:tcPr>
            <w:tcW w:w="2111" w:type="dxa"/>
            <w:noWrap w:val="0"/>
            <w:vAlign w:val="center"/>
          </w:tcPr>
          <w:p>
            <w:pPr>
              <w:spacing w:line="240" w:lineRule="auto"/>
              <w:ind w:firstLine="0"/>
              <w:jc w:val="center"/>
              <w:rPr>
                <w:rFonts w:hint="eastAsia" w:hAnsi="宋体" w:cs="宋体"/>
                <w:sz w:val="21"/>
                <w:szCs w:val="21"/>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862g</w:t>
            </w:r>
            <w:r>
              <w:rPr>
                <w:rFonts w:hint="eastAsia" w:ascii="Times New Roman"/>
                <w:sz w:val="21"/>
                <w:szCs w:val="21"/>
                <w:lang w:val="en-US" w:eastAsia="zh-CN"/>
              </w:rPr>
              <w:t>/</w:t>
            </w:r>
            <w:r>
              <w:rPr>
                <w:rFonts w:hint="eastAsia" w:ascii="Times New Roman" w:hAnsi="Times New Roman"/>
                <w:sz w:val="21"/>
                <w:szCs w:val="21"/>
                <w:lang w:val="en-US" w:eastAsia="zh-CN"/>
              </w:rPr>
              <w:t>cm</w:t>
            </w:r>
            <w:r>
              <w:rPr>
                <w:rFonts w:hint="eastAsia" w:ascii="Times New Roman"/>
                <w:sz w:val="21"/>
                <w:szCs w:val="21"/>
                <w:lang w:val="en-US" w:eastAsia="zh-CN"/>
              </w:rPr>
              <w:t>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熔点</w:t>
            </w:r>
            <w:r>
              <w:rPr>
                <w:rFonts w:hint="eastAsia" w:hAnsi="宋体" w:cs="宋体"/>
                <w:sz w:val="21"/>
                <w:szCs w:val="21"/>
              </w:rPr>
              <w:t>（℃）</w:t>
            </w:r>
          </w:p>
        </w:tc>
        <w:tc>
          <w:tcPr>
            <w:tcW w:w="255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cs="宋体"/>
                <w:sz w:val="21"/>
                <w:szCs w:val="21"/>
                <w:lang w:val="en-US" w:eastAsia="zh-CN"/>
              </w:rPr>
              <w:t>-</w:t>
            </w:r>
            <w:r>
              <w:rPr>
                <w:rFonts w:hint="eastAsia" w:ascii="Times New Roman" w:hAnsi="Times New Roman" w:cs="宋体"/>
                <w:sz w:val="21"/>
                <w:szCs w:val="21"/>
                <w:lang w:val="en-US" w:eastAsia="zh-CN"/>
              </w:rPr>
              <w:t>7</w:t>
            </w:r>
          </w:p>
        </w:tc>
        <w:tc>
          <w:tcPr>
            <w:tcW w:w="2283"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相对密度（空气=</w:t>
            </w:r>
            <w:r>
              <w:rPr>
                <w:rFonts w:hint="eastAsia" w:ascii="Times New Roman" w:hAnsi="Times New Roman"/>
                <w:sz w:val="21"/>
                <w:szCs w:val="21"/>
              </w:rPr>
              <w:t>1</w:t>
            </w:r>
            <w:r>
              <w:rPr>
                <w:rFonts w:hint="eastAsia" w:hAnsi="宋体" w:cs="宋体"/>
                <w:sz w:val="21"/>
                <w:szCs w:val="21"/>
              </w:rPr>
              <w:t>）</w:t>
            </w:r>
          </w:p>
        </w:tc>
        <w:tc>
          <w:tcPr>
            <w:tcW w:w="2111"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3</w:t>
            </w:r>
            <w:r>
              <w:rPr>
                <w:rFonts w:hint="eastAsia" w:cs="宋体"/>
                <w:sz w:val="21"/>
                <w:szCs w:val="21"/>
                <w:lang w:val="en-US" w:eastAsia="zh-CN"/>
              </w:rPr>
              <w:t>.</w:t>
            </w:r>
            <w:r>
              <w:rPr>
                <w:rFonts w:hint="eastAsia" w:ascii="Times New Roman" w:hAnsi="Times New Roman" w:cs="宋体"/>
                <w:sz w:val="21"/>
                <w:szCs w:val="21"/>
                <w:lang w:val="en-US" w:eastAsia="zh-CN"/>
              </w:rPr>
              <w:t>0g</w:t>
            </w:r>
            <w:r>
              <w:rPr>
                <w:rFonts w:hint="eastAsia" w:cs="宋体"/>
                <w:sz w:val="21"/>
                <w:szCs w:val="21"/>
                <w:lang w:val="en-US" w:eastAsia="zh-CN"/>
              </w:rPr>
              <w:t>/</w:t>
            </w:r>
            <w:r>
              <w:rPr>
                <w:rFonts w:hint="eastAsia" w:ascii="Times New Roman" w:hAnsi="Times New Roman" w:cs="宋体"/>
                <w:sz w:val="21"/>
                <w:szCs w:val="21"/>
                <w:lang w:val="en-US" w:eastAsia="zh-CN"/>
              </w:rPr>
              <w:t>cm</w:t>
            </w:r>
            <w:r>
              <w:rPr>
                <w:rFonts w:hint="eastAsia" w:cs="宋体"/>
                <w:sz w:val="21"/>
                <w:szCs w:val="21"/>
                <w:lang w:val="en-US" w:eastAsia="zh-CN"/>
              </w:rPr>
              <w:t>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4067" w:type="dxa"/>
            <w:gridSpan w:val="3"/>
            <w:noWrap w:val="0"/>
            <w:vAlign w:val="center"/>
          </w:tcPr>
          <w:p>
            <w:pPr>
              <w:spacing w:line="240" w:lineRule="auto"/>
              <w:ind w:firstLine="0"/>
              <w:jc w:val="center"/>
              <w:rPr>
                <w:rFonts w:hint="default" w:cs="宋体"/>
                <w:sz w:val="21"/>
                <w:szCs w:val="21"/>
                <w:lang w:val="en-US" w:eastAsia="zh-CN"/>
              </w:rPr>
            </w:pPr>
            <w:r>
              <w:rPr>
                <w:rFonts w:hint="eastAsia" w:cs="宋体"/>
                <w:sz w:val="21"/>
                <w:szCs w:val="21"/>
                <w:lang w:eastAsia="zh-CN"/>
              </w:rPr>
              <w:t>燃烧热（</w:t>
            </w:r>
            <w:r>
              <w:rPr>
                <w:rFonts w:hint="eastAsia" w:ascii="Times New Roman" w:hAnsi="Times New Roman" w:cs="宋体"/>
                <w:sz w:val="21"/>
                <w:szCs w:val="21"/>
                <w:lang w:val="en-US" w:eastAsia="zh-CN"/>
              </w:rPr>
              <w:t>KJ</w:t>
            </w:r>
            <w:r>
              <w:rPr>
                <w:rFonts w:hint="eastAsia" w:cs="宋体"/>
                <w:sz w:val="21"/>
                <w:szCs w:val="21"/>
                <w:lang w:val="en-US" w:eastAsia="zh-CN"/>
              </w:rPr>
              <w:t>/</w:t>
            </w:r>
            <w:r>
              <w:rPr>
                <w:rFonts w:hint="eastAsia" w:ascii="Times New Roman" w:hAnsi="Times New Roman" w:cs="宋体"/>
                <w:sz w:val="21"/>
                <w:szCs w:val="21"/>
                <w:lang w:val="en-US" w:eastAsia="zh-CN"/>
              </w:rPr>
              <w:t>mol</w:t>
            </w:r>
            <w:r>
              <w:rPr>
                <w:rFonts w:hint="eastAsia" w:cs="宋体"/>
                <w:sz w:val="21"/>
                <w:szCs w:val="21"/>
                <w:lang w:eastAsia="zh-CN"/>
              </w:rPr>
              <w:t>）</w:t>
            </w:r>
          </w:p>
        </w:tc>
        <w:tc>
          <w:tcPr>
            <w:tcW w:w="4394" w:type="dxa"/>
            <w:gridSpan w:val="3"/>
            <w:noWrap w:val="0"/>
            <w:vAlign w:val="center"/>
          </w:tcPr>
          <w:p>
            <w:pPr>
              <w:spacing w:line="240" w:lineRule="auto"/>
              <w:ind w:firstLine="0"/>
              <w:jc w:val="center"/>
              <w:rPr>
                <w:rFonts w:hint="default" w:cs="宋体"/>
                <w:sz w:val="21"/>
                <w:szCs w:val="21"/>
                <w:lang w:val="en-US" w:eastAsia="zh-CN"/>
              </w:rPr>
            </w:pPr>
            <w:r>
              <w:rPr>
                <w:rFonts w:hint="eastAsia" w:ascii="Times New Roman" w:hAnsi="Times New Roman" w:cs="宋体"/>
                <w:sz w:val="21"/>
                <w:szCs w:val="21"/>
                <w:lang w:val="en-US" w:eastAsia="zh-CN"/>
              </w:rPr>
              <w:t>3455</w:t>
            </w:r>
            <w:r>
              <w:rPr>
                <w:rFonts w:hint="eastAsia" w:cs="宋体"/>
                <w:sz w:val="21"/>
                <w:szCs w:val="21"/>
                <w:lang w:val="en-US" w:eastAsia="zh-CN"/>
              </w:rPr>
              <w:t>.</w:t>
            </w:r>
            <w:r>
              <w:rPr>
                <w:rFonts w:hint="eastAsia" w:ascii="Times New Roman" w:hAnsi="Times New Roman" w:cs="宋体"/>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溶解性</w:t>
            </w:r>
          </w:p>
        </w:tc>
        <w:tc>
          <w:tcPr>
            <w:tcW w:w="6952" w:type="dxa"/>
            <w:gridSpan w:val="5"/>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溶于水、乙醇、乙醚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燃烧爆炸</w:t>
            </w:r>
            <w:r>
              <w:rPr>
                <w:rFonts w:hint="eastAsia" w:hAnsi="宋体" w:cs="宋体"/>
                <w:sz w:val="21"/>
                <w:szCs w:val="21"/>
              </w:rPr>
              <w:t>危险性</w:t>
            </w: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燃烧性</w:t>
            </w:r>
          </w:p>
        </w:tc>
        <w:tc>
          <w:tcPr>
            <w:tcW w:w="2558"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易燃</w:t>
            </w:r>
          </w:p>
        </w:tc>
        <w:tc>
          <w:tcPr>
            <w:tcW w:w="2283"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建规火险分级</w:t>
            </w:r>
          </w:p>
        </w:tc>
        <w:tc>
          <w:tcPr>
            <w:tcW w:w="2111"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危险特性</w:t>
            </w:r>
          </w:p>
        </w:tc>
        <w:tc>
          <w:tcPr>
            <w:tcW w:w="6952" w:type="dxa"/>
            <w:gridSpan w:val="5"/>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其蒸汽与空气形成爆炸性混合物，遇明火、高热能引起燃烧爆炸。与氧化剂能发生强烈反应。受热分解放出有毒的氧化氮烟气。其蒸汽比空气重，能在较低处扩散到相当远的地方，遇火源引着回燃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4067" w:type="dxa"/>
            <w:gridSpan w:val="3"/>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燃烧（分解）产物</w:t>
            </w:r>
          </w:p>
        </w:tc>
        <w:tc>
          <w:tcPr>
            <w:tcW w:w="4394" w:type="dxa"/>
            <w:gridSpan w:val="3"/>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一氧化碳、二氧化碳、氧化氮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稳定性</w:t>
            </w:r>
          </w:p>
        </w:tc>
        <w:tc>
          <w:tcPr>
            <w:tcW w:w="2558"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稳定</w:t>
            </w:r>
          </w:p>
        </w:tc>
        <w:tc>
          <w:tcPr>
            <w:tcW w:w="2283"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聚合危害</w:t>
            </w:r>
          </w:p>
        </w:tc>
        <w:tc>
          <w:tcPr>
            <w:tcW w:w="2111" w:type="dxa"/>
            <w:noWrap w:val="0"/>
            <w:vAlign w:val="center"/>
          </w:tcPr>
          <w:p>
            <w:pPr>
              <w:spacing w:line="240" w:lineRule="auto"/>
              <w:ind w:firstLine="0"/>
              <w:jc w:val="center"/>
              <w:rPr>
                <w:rFonts w:hint="eastAsia" w:hAnsi="宋体" w:eastAsia="宋体" w:cs="宋体"/>
                <w:sz w:val="21"/>
                <w:szCs w:val="21"/>
                <w:lang w:eastAsia="zh-CN"/>
              </w:rPr>
            </w:pPr>
            <w:r>
              <w:rPr>
                <w:rFonts w:hint="eastAsia" w:hAnsi="宋体" w:cs="宋体"/>
                <w:sz w:val="21"/>
                <w:szCs w:val="21"/>
              </w:rPr>
              <w:t>不</w:t>
            </w:r>
            <w:r>
              <w:rPr>
                <w:rFonts w:hint="eastAsia" w:cs="宋体"/>
                <w:sz w:val="21"/>
                <w:szCs w:val="21"/>
                <w:lang w:eastAsia="zh-CN"/>
              </w:rPr>
              <w:t>能出现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禁配物</w:t>
            </w:r>
          </w:p>
        </w:tc>
        <w:tc>
          <w:tcPr>
            <w:tcW w:w="6952" w:type="dxa"/>
            <w:gridSpan w:val="5"/>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酸类、酸酐、强氧化剂、二氧化碳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8461" w:type="dxa"/>
            <w:gridSpan w:val="6"/>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灭火方法：泡沫、二氧化碳、干粉、砂土。用水灭火无效。如果该物质或被污染的流体进入水路，通知有潜在水体污染的下游用户，通知地方卫生、消防官员和污染控制部门。在安全防爆距离以外，使用雾状水冷却暴露的容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包装储运</w:t>
            </w: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危险性类别</w:t>
            </w:r>
          </w:p>
        </w:tc>
        <w:tc>
          <w:tcPr>
            <w:tcW w:w="6952" w:type="dxa"/>
            <w:gridSpan w:val="5"/>
            <w:noWrap w:val="0"/>
            <w:vAlign w:val="center"/>
          </w:tcPr>
          <w:p>
            <w:pPr>
              <w:spacing w:line="240" w:lineRule="auto"/>
              <w:ind w:firstLine="0"/>
              <w:jc w:val="center"/>
              <w:rPr>
                <w:rFonts w:hint="default" w:cs="宋体"/>
                <w:sz w:val="21"/>
                <w:szCs w:val="21"/>
                <w:lang w:val="en-US" w:eastAsia="zh-CN"/>
              </w:rPr>
            </w:pPr>
            <w:r>
              <w:rPr>
                <w:rFonts w:hint="eastAsia" w:cs="宋体"/>
                <w:sz w:val="21"/>
                <w:szCs w:val="21"/>
                <w:lang w:eastAsia="zh-CN"/>
              </w:rPr>
              <w:t>第</w:t>
            </w:r>
            <w:r>
              <w:rPr>
                <w:rFonts w:hint="eastAsia" w:ascii="Times New Roman" w:hAnsi="Times New Roman" w:cs="宋体"/>
                <w:sz w:val="21"/>
                <w:szCs w:val="21"/>
                <w:lang w:val="en-US" w:eastAsia="zh-CN"/>
              </w:rPr>
              <w:t>3</w:t>
            </w:r>
            <w:r>
              <w:rPr>
                <w:rFonts w:hint="eastAsia" w:cs="宋体"/>
                <w:sz w:val="21"/>
                <w:szCs w:val="21"/>
                <w:lang w:val="en-US" w:eastAsia="zh-CN"/>
              </w:rPr>
              <w:t>.</w:t>
            </w:r>
            <w:r>
              <w:rPr>
                <w:rFonts w:hint="eastAsia" w:ascii="Times New Roman" w:hAnsi="Times New Roman" w:cs="宋体"/>
                <w:sz w:val="21"/>
                <w:szCs w:val="21"/>
                <w:lang w:val="en-US" w:eastAsia="zh-CN"/>
              </w:rPr>
              <w:t>2</w:t>
            </w:r>
            <w:r>
              <w:rPr>
                <w:rFonts w:hint="eastAsia" w:cs="宋体"/>
                <w:sz w:val="21"/>
                <w:szCs w:val="21"/>
                <w:lang w:val="en-US" w:eastAsia="zh-CN"/>
              </w:rPr>
              <w:t>类闪点易燃液体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储运注意事项</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储存于阴凉、通风的库房。远离火种、热源。仓温不宜超过</w:t>
            </w:r>
            <w:r>
              <w:rPr>
                <w:rFonts w:hint="eastAsia" w:ascii="Times New Roman" w:hAnsi="Times New Roman" w:cs="宋体"/>
                <w:sz w:val="21"/>
                <w:szCs w:val="21"/>
                <w:lang w:val="en-US" w:eastAsia="zh-CN"/>
              </w:rPr>
              <w:t>30</w:t>
            </w:r>
            <w:r>
              <w:rPr>
                <w:rFonts w:hint="eastAsia" w:cs="宋体"/>
                <w:sz w:val="21"/>
                <w:szCs w:val="21"/>
                <w:lang w:val="en-US" w:eastAsia="zh-CN"/>
              </w:rPr>
              <w:t>℃。防止阳光直射。保持容器密封。应与氧化剂、酸类、食用化学品分开存放，切记混储。采用防爆型照明、通风设施。禁止使用易产生火花的机械设备和工具。储区应备有泄漏应急处理设备和合适的收容材料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毒性危害</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接触限值</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前苏联</w:t>
            </w:r>
            <w:r>
              <w:rPr>
                <w:rFonts w:hint="eastAsia" w:ascii="Times New Roman" w:hAnsi="Times New Roman" w:cs="宋体"/>
                <w:sz w:val="21"/>
                <w:szCs w:val="21"/>
                <w:lang w:val="en-US" w:eastAsia="zh-CN"/>
              </w:rPr>
              <w:t>MAC</w:t>
            </w:r>
            <w:r>
              <w:rPr>
                <w:rFonts w:hint="eastAsia" w:cs="宋体"/>
                <w:sz w:val="21"/>
                <w:szCs w:val="21"/>
                <w:lang w:val="en-US" w:eastAsia="zh-CN"/>
              </w:rPr>
              <w:t>：</w:t>
            </w:r>
            <w:r>
              <w:rPr>
                <w:rFonts w:hint="eastAsia" w:ascii="Times New Roman" w:hAnsi="Times New Roman" w:cs="宋体"/>
                <w:sz w:val="21"/>
                <w:szCs w:val="21"/>
                <w:lang w:val="en-US" w:eastAsia="zh-CN"/>
              </w:rPr>
              <w:t>0</w:t>
            </w:r>
            <w:r>
              <w:rPr>
                <w:rFonts w:hint="eastAsia" w:cs="宋体"/>
                <w:sz w:val="21"/>
                <w:szCs w:val="21"/>
                <w:lang w:val="en-US" w:eastAsia="zh-CN"/>
              </w:rPr>
              <w:t>.</w:t>
            </w:r>
            <w:r>
              <w:rPr>
                <w:rFonts w:hint="eastAsia" w:ascii="Times New Roman" w:hAnsi="Times New Roman" w:cs="宋体"/>
                <w:sz w:val="21"/>
                <w:szCs w:val="21"/>
                <w:lang w:val="en-US" w:eastAsia="zh-CN"/>
              </w:rPr>
              <w:t>2mg</w:t>
            </w:r>
            <w:r>
              <w:rPr>
                <w:rFonts w:hint="eastAsia" w:cs="宋体"/>
                <w:sz w:val="21"/>
                <w:szCs w:val="21"/>
                <w:lang w:val="en-US" w:eastAsia="zh-CN"/>
              </w:rPr>
              <w:t>/</w:t>
            </w:r>
            <w:r>
              <w:rPr>
                <w:rFonts w:hint="eastAsia" w:ascii="Times New Roman" w:hAnsi="Times New Roman" w:cs="宋体"/>
                <w:sz w:val="21"/>
                <w:szCs w:val="21"/>
                <w:lang w:val="en-US" w:eastAsia="zh-CN"/>
              </w:rPr>
              <w:t>m</w:t>
            </w:r>
            <w:r>
              <w:rPr>
                <w:rFonts w:hint="eastAsia" w:cs="宋体"/>
                <w:sz w:val="21"/>
                <w:szCs w:val="21"/>
                <w:lang w:val="en-US" w:eastAsia="zh-CN"/>
              </w:rPr>
              <w:t>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侵入途径</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毒性</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中等毒类：</w:t>
            </w:r>
            <w:r>
              <w:rPr>
                <w:rFonts w:hint="eastAsia" w:ascii="Times New Roman" w:hAnsi="Times New Roman" w:cs="宋体"/>
                <w:sz w:val="21"/>
                <w:szCs w:val="21"/>
                <w:lang w:val="en-US" w:eastAsia="zh-CN"/>
              </w:rPr>
              <w:t>LD</w:t>
            </w:r>
            <w:r>
              <w:rPr>
                <w:rFonts w:hint="eastAsia" w:ascii="Times New Roman" w:hAnsi="Times New Roman" w:cs="宋体"/>
                <w:sz w:val="21"/>
                <w:szCs w:val="21"/>
                <w:vertAlign w:val="subscript"/>
                <w:lang w:val="en-US" w:eastAsia="zh-CN"/>
              </w:rPr>
              <w:t>50</w:t>
            </w:r>
            <w:r>
              <w:rPr>
                <w:rFonts w:hint="eastAsia" w:cs="宋体"/>
                <w:sz w:val="21"/>
                <w:szCs w:val="21"/>
                <w:lang w:val="en-US" w:eastAsia="zh-CN"/>
              </w:rPr>
              <w:t>:</w:t>
            </w:r>
            <w:r>
              <w:rPr>
                <w:rFonts w:hint="eastAsia" w:ascii="Times New Roman" w:hAnsi="Times New Roman" w:cs="宋体"/>
                <w:sz w:val="21"/>
                <w:szCs w:val="21"/>
                <w:lang w:val="en-US" w:eastAsia="zh-CN"/>
              </w:rPr>
              <w:t>50mg</w:t>
            </w:r>
            <w:r>
              <w:rPr>
                <w:rFonts w:hint="eastAsia" w:cs="宋体"/>
                <w:sz w:val="21"/>
                <w:szCs w:val="21"/>
                <w:lang w:val="en-US" w:eastAsia="zh-CN"/>
              </w:rPr>
              <w:t>/</w:t>
            </w:r>
            <w:r>
              <w:rPr>
                <w:rFonts w:hint="eastAsia" w:ascii="Times New Roman" w:hAnsi="Times New Roman" w:cs="宋体"/>
                <w:sz w:val="21"/>
                <w:szCs w:val="21"/>
                <w:lang w:val="en-US" w:eastAsia="zh-CN"/>
              </w:rPr>
              <w:t>kg</w:t>
            </w:r>
            <w:r>
              <w:rPr>
                <w:rFonts w:hint="eastAsia" w:cs="宋体"/>
                <w:sz w:val="21"/>
                <w:szCs w:val="21"/>
                <w:lang w:val="en-US" w:eastAsia="zh-CN"/>
              </w:rPr>
              <w:t>（大鼠径口）；</w:t>
            </w:r>
            <w:r>
              <w:rPr>
                <w:rFonts w:hint="eastAsia" w:ascii="Times New Roman" w:hAnsi="Times New Roman" w:cs="宋体"/>
                <w:sz w:val="21"/>
                <w:szCs w:val="21"/>
                <w:lang w:val="en-US" w:eastAsia="zh-CN"/>
              </w:rPr>
              <w:t>320mg</w:t>
            </w:r>
            <w:r>
              <w:rPr>
                <w:rFonts w:hint="eastAsia" w:cs="宋体"/>
                <w:sz w:val="21"/>
                <w:szCs w:val="21"/>
                <w:lang w:val="en-US" w:eastAsia="zh-CN"/>
              </w:rPr>
              <w:t>/</w:t>
            </w:r>
            <w:r>
              <w:rPr>
                <w:rFonts w:hint="eastAsia" w:ascii="Times New Roman" w:hAnsi="Times New Roman" w:cs="宋体"/>
                <w:sz w:val="21"/>
                <w:szCs w:val="21"/>
                <w:lang w:val="en-US" w:eastAsia="zh-CN"/>
              </w:rPr>
              <w:t>kg</w:t>
            </w:r>
            <w:r>
              <w:rPr>
                <w:rFonts w:hint="eastAsia" w:cs="宋体"/>
                <w:sz w:val="21"/>
                <w:szCs w:val="21"/>
                <w:lang w:val="en-US" w:eastAsia="zh-CN"/>
              </w:rPr>
              <w:t>（兔经皮）；</w:t>
            </w:r>
            <w:r>
              <w:rPr>
                <w:rFonts w:hint="eastAsia" w:ascii="Times New Roman" w:hAnsi="Times New Roman" w:cs="宋体"/>
                <w:sz w:val="21"/>
                <w:szCs w:val="21"/>
                <w:lang w:val="en-US" w:eastAsia="zh-CN"/>
              </w:rPr>
              <w:t>LC</w:t>
            </w:r>
            <w:r>
              <w:rPr>
                <w:rFonts w:hint="eastAsia" w:ascii="Times New Roman" w:hAnsi="Times New Roman" w:cs="宋体"/>
                <w:sz w:val="21"/>
                <w:szCs w:val="21"/>
                <w:vertAlign w:val="subscript"/>
                <w:lang w:val="en-US" w:eastAsia="zh-CN"/>
              </w:rPr>
              <w:t>50</w:t>
            </w:r>
            <w:r>
              <w:rPr>
                <w:rFonts w:hint="eastAsia" w:cs="宋体"/>
                <w:sz w:val="21"/>
                <w:szCs w:val="21"/>
                <w:lang w:val="en-US" w:eastAsia="zh-CN"/>
              </w:rPr>
              <w:t>:</w:t>
            </w:r>
            <w:r>
              <w:rPr>
                <w:rFonts w:hint="eastAsia" w:ascii="Times New Roman" w:hAnsi="Times New Roman" w:cs="宋体"/>
                <w:sz w:val="21"/>
                <w:szCs w:val="21"/>
                <w:lang w:val="en-US" w:eastAsia="zh-CN"/>
              </w:rPr>
              <w:t>6000mg</w:t>
            </w:r>
            <w:r>
              <w:rPr>
                <w:rFonts w:hint="eastAsia" w:cs="宋体"/>
                <w:sz w:val="21"/>
                <w:szCs w:val="21"/>
                <w:lang w:val="en-US" w:eastAsia="zh-CN"/>
              </w:rPr>
              <w:t>/</w:t>
            </w:r>
            <w:r>
              <w:rPr>
                <w:rFonts w:hint="eastAsia" w:ascii="Times New Roman" w:hAnsi="Times New Roman" w:cs="宋体"/>
                <w:sz w:val="21"/>
                <w:szCs w:val="21"/>
                <w:lang w:val="en-US" w:eastAsia="zh-CN"/>
              </w:rPr>
              <w:t>m</w:t>
            </w:r>
            <w:r>
              <w:rPr>
                <w:rFonts w:hint="eastAsia" w:cs="宋体"/>
                <w:sz w:val="21"/>
                <w:szCs w:val="21"/>
                <w:lang w:val="en-US" w:eastAsia="zh-CN"/>
              </w:rPr>
              <w:t xml:space="preserve">³ </w:t>
            </w:r>
            <w:r>
              <w:rPr>
                <w:rFonts w:hint="eastAsia" w:ascii="Times New Roman" w:hAnsi="Times New Roman" w:cs="宋体"/>
                <w:sz w:val="21"/>
                <w:szCs w:val="21"/>
                <w:lang w:val="en-US" w:eastAsia="zh-CN"/>
              </w:rPr>
              <w:t>2</w:t>
            </w:r>
            <w:r>
              <w:rPr>
                <w:rFonts w:hint="eastAsia" w:cs="宋体"/>
                <w:sz w:val="21"/>
                <w:szCs w:val="21"/>
                <w:lang w:val="en-US" w:eastAsia="zh-CN"/>
              </w:rPr>
              <w:t>小时（小鼠吸入）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健康危害</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对眼和皮肤有强烈刺激性。误服可引起中毒，表现为虚弱、恶心、呕吐、流涎、呼吸困难、肌肉瘫痪和窒息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急救</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皮肤接触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脱去污染的衣着，用流动清水冲洗</w:t>
            </w:r>
            <w:r>
              <w:rPr>
                <w:rFonts w:hint="eastAsia" w:ascii="Times New Roman" w:hAnsi="Times New Roman" w:cs="宋体"/>
                <w:sz w:val="21"/>
                <w:szCs w:val="21"/>
                <w:lang w:val="en-US" w:eastAsia="zh-CN"/>
              </w:rPr>
              <w:t>15</w:t>
            </w:r>
            <w:r>
              <w:rPr>
                <w:rFonts w:hint="eastAsia" w:cs="宋体"/>
                <w:sz w:val="21"/>
                <w:szCs w:val="21"/>
                <w:lang w:val="en-US" w:eastAsia="zh-CN"/>
              </w:rPr>
              <w:t>分钟。若有灼伤，就医治疗。对少量皮肤接触，避免将物质播散面积扩大。注意患者保暖并且保持安静。吸入、食入或皮肤接触该物质可引起迟发反应。确保医务人员了解该物质相关的个体防护知识，注意自身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立即提起眼睑，用流动清水或生理盐水冲洗至少</w:t>
            </w:r>
            <w:r>
              <w:rPr>
                <w:rFonts w:hint="eastAsia" w:ascii="Times New Roman" w:hAnsi="Times New Roman" w:cs="宋体"/>
                <w:sz w:val="21"/>
                <w:szCs w:val="21"/>
                <w:lang w:val="en-US" w:eastAsia="zh-CN"/>
              </w:rPr>
              <w:t>15</w:t>
            </w:r>
            <w:r>
              <w:rPr>
                <w:rFonts w:hint="eastAsia" w:cs="宋体"/>
                <w:sz w:val="21"/>
                <w:szCs w:val="21"/>
                <w:lang w:val="en-US" w:eastAsia="zh-CN"/>
              </w:rPr>
              <w:t>分钟，就医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吸入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迅速脱离现场至空气新鲜处。呼吸困难时给输氧。呼吸及心跳停止者立即进行人工呼吸和心脏按压术。就医。如果患者食入或吸入该物质不要用口对口进行人工呼吸，可用单向阀小型呼吸器或其他适当的医疗呼吸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食入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饮足量温水，催吐。就医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防护措施</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工程控制</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生产过程密闭，加强通风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呼吸系统防护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空气中浓度较高时，应该佩戴防毒口罩。紧急事态抢救或逃生时，佩戴自给式呼吸器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防护服</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戴防化学品手套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其他</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工作现场禁止吸烟，工作后，淋浴更衣。注意个人清洁卫生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操作注意事项</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密闭操作，加强通风。操作人员必须经过专门培训，严格遵守操作规程。建议操作人员佩戴自吸过滤式防毒面具（全面罩），穿胶布防毒衣，戴橡胶耐油手套。远离火种、热源，工作场所严禁吸烟。使用防爆型的通风系统和设备。防止蒸汽泄漏到工作场所空气中。避免与氧化剂、酸类接触。灌装时应控制流速，且有接地装置，防止静电积聚。搬运时要轻装轻卸，防止包装及容器损坏。配备相应品种和数量的消防器材及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应急处理</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迅速撤离泄漏污染区人员至安全区，并进行隔离，严格限值出入。切断火源。建议应急处理人员戴自给正压呼吸器，穿防毒服</w:t>
            </w:r>
            <w:r>
              <w:rPr>
                <w:rFonts w:hint="eastAsia" w:hAnsi="宋体" w:cs="宋体"/>
                <w:sz w:val="21"/>
                <w:szCs w:val="21"/>
              </w:rPr>
              <w:t>。</w:t>
            </w:r>
            <w:r>
              <w:rPr>
                <w:rFonts w:hint="eastAsia" w:cs="宋体"/>
                <w:sz w:val="21"/>
                <w:szCs w:val="21"/>
                <w:lang w:eastAsia="zh-CN"/>
              </w:rPr>
              <w:t>不要直接接触泄漏物。尽可能切断泄漏源。防止流入下水道、排洪沟等限制性空间。小量泄漏：用砂土或其它不燃材料吸附或吸收。也可以用大量水冲洗，洗水稀释后放入废水系统。大量泄漏：构筑围堤或挖坑收容。用泡沫覆盖，降低蒸汽灾害。用防爆泵转移至槽车或专用收集器内，回收或运至废物处理场所处置</w:t>
            </w:r>
          </w:p>
        </w:tc>
      </w:tr>
    </w:tbl>
    <w:p>
      <w:pPr>
        <w:pStyle w:val="20"/>
        <w:spacing w:before="165"/>
        <w:rPr>
          <w:rFonts w:hint="eastAsia"/>
        </w:rPr>
      </w:pPr>
      <w:r>
        <w:rPr>
          <w:rFonts w:hint="eastAsia" w:ascii="Times New Roman" w:hAnsi="Times New Roman"/>
          <w:lang w:eastAsia="zh-CN"/>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15</w:t>
      </w:r>
      <w:r>
        <w:rPr>
          <w:rFonts w:hint="eastAsia" w:ascii="Times New Roman" w:hAnsi="Times New Roman"/>
          <w:lang w:val="en-US" w:eastAsia="zh-CN"/>
        </w:rPr>
        <w:t xml:space="preserve">  </w:t>
      </w:r>
      <w:r>
        <w:rPr>
          <w:rFonts w:hint="eastAsia" w:ascii="Times New Roman" w:hAnsi="Times New Roman"/>
          <w:lang w:eastAsia="zh-CN"/>
        </w:rPr>
        <w:t>DN</w:t>
      </w:r>
      <w:r>
        <w:rPr>
          <w:rFonts w:hint="eastAsia"/>
          <w:lang w:eastAsia="zh-CN"/>
        </w:rPr>
        <w:t>溶液</w:t>
      </w:r>
      <w:r>
        <w:rPr>
          <w:rFonts w:hint="eastAsia"/>
        </w:rPr>
        <w:t>的理化性质及危险特性说明</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09"/>
        <w:gridCol w:w="1625"/>
        <w:gridCol w:w="933"/>
        <w:gridCol w:w="950"/>
        <w:gridCol w:w="1037"/>
        <w:gridCol w:w="2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bookmarkStart w:id="230" w:name="OLE_LINK3" w:colFirst="0" w:colLast="1"/>
            <w:r>
              <w:rPr>
                <w:rFonts w:hint="eastAsia" w:hAnsi="宋体" w:cs="宋体"/>
                <w:sz w:val="21"/>
                <w:szCs w:val="21"/>
              </w:rPr>
              <w:t>标识</w:t>
            </w:r>
          </w:p>
        </w:tc>
        <w:tc>
          <w:tcPr>
            <w:tcW w:w="4067" w:type="dxa"/>
            <w:gridSpan w:val="3"/>
            <w:noWrap w:val="0"/>
            <w:vAlign w:val="center"/>
          </w:tcPr>
          <w:p>
            <w:pPr>
              <w:spacing w:line="240" w:lineRule="auto"/>
              <w:ind w:firstLine="0"/>
              <w:jc w:val="center"/>
              <w:rPr>
                <w:rFonts w:hint="default" w:hAnsi="宋体" w:eastAsia="宋体" w:cs="宋体"/>
                <w:sz w:val="21"/>
                <w:szCs w:val="21"/>
                <w:lang w:val="en-US" w:eastAsia="zh-CN"/>
              </w:rPr>
            </w:pPr>
            <w:r>
              <w:rPr>
                <w:rFonts w:hint="eastAsia" w:hAnsi="宋体" w:cs="宋体"/>
                <w:sz w:val="21"/>
                <w:szCs w:val="21"/>
              </w:rPr>
              <w:t>中文名：</w:t>
            </w:r>
            <w:r>
              <w:rPr>
                <w:rFonts w:hint="eastAsia" w:ascii="Times New Roman" w:hAnsi="Times New Roman"/>
                <w:sz w:val="21"/>
                <w:szCs w:val="21"/>
                <w:lang w:val="en-US" w:eastAsia="zh-CN"/>
              </w:rPr>
              <w:t>DN</w:t>
            </w:r>
            <w:r>
              <w:rPr>
                <w:rFonts w:hint="eastAsia" w:ascii="Times New Roman"/>
                <w:sz w:val="21"/>
                <w:szCs w:val="21"/>
                <w:lang w:val="en-US" w:eastAsia="zh-CN"/>
              </w:rPr>
              <w:t>溶液</w:t>
            </w:r>
          </w:p>
        </w:tc>
        <w:tc>
          <w:tcPr>
            <w:tcW w:w="950"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英文名</w:t>
            </w:r>
          </w:p>
        </w:tc>
        <w:tc>
          <w:tcPr>
            <w:tcW w:w="3444"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1</w:t>
            </w:r>
            <w:r>
              <w:rPr>
                <w:rFonts w:hint="eastAsia" w:ascii="Times New Roman"/>
                <w:sz w:val="21"/>
                <w:szCs w:val="21"/>
                <w:lang w:val="en-US" w:eastAsia="zh-CN"/>
              </w:rPr>
              <w:t>，</w:t>
            </w:r>
            <w:r>
              <w:rPr>
                <w:rFonts w:hint="eastAsia" w:ascii="Times New Roman" w:hAnsi="Times New Roman"/>
                <w:sz w:val="21"/>
                <w:szCs w:val="21"/>
                <w:lang w:val="en-US" w:eastAsia="zh-CN"/>
              </w:rPr>
              <w:t>5</w:t>
            </w:r>
            <w:r>
              <w:rPr>
                <w:rFonts w:hint="eastAsia" w:ascii="Times New Roman"/>
                <w:sz w:val="21"/>
                <w:szCs w:val="21"/>
                <w:lang w:val="en-US" w:eastAsia="zh-CN"/>
              </w:rPr>
              <w:t>-</w:t>
            </w:r>
            <w:r>
              <w:rPr>
                <w:rFonts w:hint="eastAsia" w:ascii="Times New Roman" w:hAnsi="Times New Roman"/>
                <w:sz w:val="21"/>
                <w:szCs w:val="21"/>
                <w:lang w:val="en-US" w:eastAsia="zh-CN"/>
              </w:rPr>
              <w:t>pentanediamine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分子式</w:t>
            </w:r>
          </w:p>
        </w:tc>
        <w:tc>
          <w:tcPr>
            <w:tcW w:w="1625"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olor w:val="auto"/>
                <w:sz w:val="21"/>
                <w:szCs w:val="21"/>
                <w:lang w:val="en-US" w:eastAsia="zh-CN"/>
              </w:rPr>
              <w:t>C</w:t>
            </w:r>
            <w:r>
              <w:rPr>
                <w:rFonts w:hint="eastAsia" w:ascii="Times New Roman" w:hAnsi="Times New Roman"/>
                <w:color w:val="auto"/>
                <w:sz w:val="21"/>
                <w:szCs w:val="21"/>
                <w:vertAlign w:val="subscript"/>
                <w:lang w:val="en-US" w:eastAsia="zh-CN"/>
              </w:rPr>
              <w:t>5</w:t>
            </w:r>
            <w:r>
              <w:rPr>
                <w:rFonts w:hint="eastAsia" w:ascii="Times New Roman" w:hAnsi="Times New Roman"/>
                <w:color w:val="auto"/>
                <w:sz w:val="21"/>
                <w:szCs w:val="21"/>
                <w:lang w:val="en-US" w:eastAsia="zh-CN"/>
              </w:rPr>
              <w:t>H</w:t>
            </w:r>
            <w:r>
              <w:rPr>
                <w:rFonts w:hint="eastAsia" w:ascii="Times New Roman" w:hAnsi="Times New Roman"/>
                <w:color w:val="auto"/>
                <w:sz w:val="21"/>
                <w:szCs w:val="21"/>
                <w:vertAlign w:val="subscript"/>
                <w:lang w:val="en-US" w:eastAsia="zh-CN"/>
              </w:rPr>
              <w:t>14</w:t>
            </w:r>
            <w:r>
              <w:rPr>
                <w:rFonts w:hint="eastAsia" w:ascii="Times New Roman" w:hAnsi="Times New Roman"/>
                <w:color w:val="auto"/>
                <w:sz w:val="21"/>
                <w:szCs w:val="21"/>
                <w:lang w:val="en-US" w:eastAsia="zh-CN"/>
              </w:rPr>
              <w:t>N</w:t>
            </w:r>
            <w:r>
              <w:rPr>
                <w:rFonts w:hint="eastAsia" w:ascii="Times New Roman" w:hAnsi="Times New Roman"/>
                <w:color w:val="auto"/>
                <w:sz w:val="21"/>
                <w:szCs w:val="21"/>
                <w:vertAlign w:val="subscript"/>
                <w:lang w:val="en-US" w:eastAsia="zh-CN"/>
              </w:rPr>
              <w:t>2</w:t>
            </w:r>
          </w:p>
        </w:tc>
        <w:tc>
          <w:tcPr>
            <w:tcW w:w="933"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分子量</w:t>
            </w:r>
          </w:p>
        </w:tc>
        <w:tc>
          <w:tcPr>
            <w:tcW w:w="950"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102</w:t>
            </w:r>
            <w:r>
              <w:rPr>
                <w:rFonts w:hint="eastAsia" w:ascii="Times New Roman"/>
                <w:sz w:val="21"/>
                <w:szCs w:val="21"/>
                <w:lang w:val="en-US" w:eastAsia="zh-CN"/>
              </w:rPr>
              <w:t>.</w:t>
            </w:r>
            <w:r>
              <w:rPr>
                <w:rFonts w:hint="eastAsia" w:ascii="Times New Roman" w:hAnsi="Times New Roman"/>
                <w:sz w:val="21"/>
                <w:szCs w:val="21"/>
                <w:lang w:val="en-US" w:eastAsia="zh-CN"/>
              </w:rPr>
              <w:t>18</w:t>
            </w:r>
          </w:p>
        </w:tc>
        <w:tc>
          <w:tcPr>
            <w:tcW w:w="1037"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CAS</w:t>
            </w:r>
          </w:p>
        </w:tc>
        <w:tc>
          <w:tcPr>
            <w:tcW w:w="2407"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462</w:t>
            </w:r>
            <w:r>
              <w:rPr>
                <w:rFonts w:hint="eastAsia" w:ascii="Times New Roman" w:cs="宋体"/>
                <w:sz w:val="21"/>
                <w:szCs w:val="21"/>
                <w:lang w:val="en-US" w:eastAsia="zh-CN"/>
              </w:rPr>
              <w:t>-</w:t>
            </w:r>
            <w:r>
              <w:rPr>
                <w:rFonts w:hint="eastAsia" w:ascii="Times New Roman" w:hAnsi="Times New Roman" w:cs="宋体"/>
                <w:sz w:val="21"/>
                <w:szCs w:val="21"/>
                <w:lang w:val="en-US" w:eastAsia="zh-CN"/>
              </w:rPr>
              <w:t>94</w:t>
            </w:r>
            <w:r>
              <w:rPr>
                <w:rFonts w:hint="eastAsia" w:ascii="Times New Roman" w:cs="宋体"/>
                <w:sz w:val="21"/>
                <w:szCs w:val="21"/>
                <w:lang w:val="en-US" w:eastAsia="zh-CN"/>
              </w:rPr>
              <w:t>-</w:t>
            </w:r>
            <w:r>
              <w:rPr>
                <w:rFonts w:hint="eastAsia" w:ascii="Times New Roman" w:hAnsi="Times New Roman" w:cs="宋体"/>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理化性质</w:t>
            </w:r>
          </w:p>
        </w:tc>
        <w:tc>
          <w:tcPr>
            <w:tcW w:w="1509" w:type="dxa"/>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外观与</w:t>
            </w:r>
            <w:r>
              <w:rPr>
                <w:rFonts w:hint="eastAsia" w:hAnsi="宋体" w:cs="宋体"/>
                <w:sz w:val="21"/>
                <w:szCs w:val="21"/>
              </w:rPr>
              <w:t>性状</w:t>
            </w:r>
          </w:p>
        </w:tc>
        <w:tc>
          <w:tcPr>
            <w:tcW w:w="6952" w:type="dxa"/>
            <w:gridSpan w:val="5"/>
            <w:noWrap w:val="0"/>
            <w:vAlign w:val="center"/>
          </w:tcPr>
          <w:p>
            <w:pPr>
              <w:spacing w:line="240" w:lineRule="auto"/>
              <w:ind w:firstLine="0"/>
              <w:jc w:val="center"/>
              <w:rPr>
                <w:rFonts w:hint="eastAsia" w:ascii="Times New Roman" w:eastAsia="宋体" w:cs="宋体"/>
                <w:sz w:val="21"/>
                <w:szCs w:val="21"/>
                <w:lang w:eastAsia="zh-CN"/>
              </w:rPr>
            </w:pPr>
            <w:r>
              <w:rPr>
                <w:rFonts w:hint="eastAsia" w:ascii="Times New Roman" w:cs="宋体"/>
                <w:sz w:val="21"/>
                <w:szCs w:val="21"/>
                <w:lang w:eastAsia="zh-CN"/>
              </w:rPr>
              <w:t>无色粘稠的发烟液体，有特殊气味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主要用途</w:t>
            </w:r>
          </w:p>
        </w:tc>
        <w:tc>
          <w:tcPr>
            <w:tcW w:w="6952" w:type="dxa"/>
            <w:gridSpan w:val="5"/>
            <w:noWrap w:val="0"/>
            <w:vAlign w:val="center"/>
          </w:tcPr>
          <w:p>
            <w:pPr>
              <w:spacing w:line="240" w:lineRule="auto"/>
              <w:ind w:firstLine="0"/>
              <w:jc w:val="center"/>
              <w:rPr>
                <w:rFonts w:hint="eastAsia" w:ascii="Times New Roman" w:cs="宋体"/>
                <w:sz w:val="21"/>
                <w:szCs w:val="21"/>
                <w:lang w:eastAsia="zh-CN"/>
              </w:rPr>
            </w:pPr>
            <w:r>
              <w:rPr>
                <w:rFonts w:hint="eastAsia" w:ascii="Times New Roman" w:cs="宋体"/>
                <w:sz w:val="21"/>
                <w:szCs w:val="21"/>
                <w:lang w:eastAsia="zh-CN"/>
              </w:rPr>
              <w:t>高聚物制备，有机合成中间体，环氧树脂固化剂，也用于生物研究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闪点（</w:t>
            </w:r>
            <w:r>
              <w:rPr>
                <w:rFonts w:hint="eastAsia" w:hAnsi="宋体" w:cs="宋体"/>
                <w:sz w:val="21"/>
                <w:szCs w:val="21"/>
              </w:rPr>
              <w:t>℃</w:t>
            </w:r>
            <w:r>
              <w:rPr>
                <w:rFonts w:hint="eastAsia" w:cs="宋体"/>
                <w:sz w:val="21"/>
                <w:szCs w:val="21"/>
                <w:lang w:eastAsia="zh-CN"/>
              </w:rPr>
              <w:t>）</w:t>
            </w:r>
          </w:p>
        </w:tc>
        <w:tc>
          <w:tcPr>
            <w:tcW w:w="255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62</w:t>
            </w:r>
          </w:p>
        </w:tc>
        <w:tc>
          <w:tcPr>
            <w:tcW w:w="1987"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饱和蒸气压（</w:t>
            </w:r>
            <w:r>
              <w:rPr>
                <w:rFonts w:hint="eastAsia" w:ascii="Times New Roman" w:hAnsi="Times New Roman" w:cs="宋体"/>
                <w:sz w:val="21"/>
                <w:szCs w:val="21"/>
                <w:lang w:val="en-US" w:eastAsia="zh-CN"/>
              </w:rPr>
              <w:t>kPa</w:t>
            </w:r>
            <w:r>
              <w:rPr>
                <w:rFonts w:hint="eastAsia" w:cs="宋体"/>
                <w:sz w:val="21"/>
                <w:szCs w:val="21"/>
                <w:lang w:eastAsia="zh-CN"/>
              </w:rPr>
              <w:t>）</w:t>
            </w:r>
          </w:p>
        </w:tc>
        <w:tc>
          <w:tcPr>
            <w:tcW w:w="2407"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133</w:t>
            </w:r>
            <w:r>
              <w:rPr>
                <w:rFonts w:hint="eastAsia" w:ascii="Times New Roman"/>
                <w:sz w:val="21"/>
                <w:szCs w:val="21"/>
                <w:lang w:val="en-US" w:eastAsia="zh-CN"/>
              </w:rPr>
              <w:t>～</w:t>
            </w: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173</w:t>
            </w:r>
            <w:r>
              <w:rPr>
                <w:rFonts w:hint="eastAsia" w:ascii="Times New Roman"/>
                <w:sz w:val="21"/>
                <w:szCs w:val="21"/>
                <w:lang w:val="en-US" w:eastAsia="zh-CN"/>
              </w:rPr>
              <w:t>/</w:t>
            </w:r>
            <w:r>
              <w:rPr>
                <w:rFonts w:hint="eastAsia" w:ascii="Times New Roman" w:hAnsi="Times New Roman"/>
                <w:sz w:val="21"/>
                <w:szCs w:val="21"/>
                <w:lang w:val="en-US" w:eastAsia="zh-CN"/>
              </w:rPr>
              <w:t>25</w:t>
            </w:r>
            <w:r>
              <w:rPr>
                <w:rFonts w:hint="eastAsia" w:ascii="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沸点（℃）</w:t>
            </w:r>
          </w:p>
        </w:tc>
        <w:tc>
          <w:tcPr>
            <w:tcW w:w="255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178</w:t>
            </w:r>
            <w:r>
              <w:rPr>
                <w:rFonts w:hint="eastAsia" w:cs="宋体"/>
                <w:sz w:val="21"/>
                <w:szCs w:val="21"/>
                <w:lang w:val="en-US" w:eastAsia="zh-CN"/>
              </w:rPr>
              <w:t>～</w:t>
            </w:r>
            <w:r>
              <w:rPr>
                <w:rFonts w:hint="eastAsia" w:ascii="Times New Roman" w:hAnsi="Times New Roman" w:cs="宋体"/>
                <w:sz w:val="21"/>
                <w:szCs w:val="21"/>
                <w:lang w:val="en-US" w:eastAsia="zh-CN"/>
              </w:rPr>
              <w:t>180</w:t>
            </w:r>
          </w:p>
        </w:tc>
        <w:tc>
          <w:tcPr>
            <w:tcW w:w="1987"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相对密度（水=</w:t>
            </w:r>
            <w:r>
              <w:rPr>
                <w:rFonts w:hint="eastAsia" w:ascii="Times New Roman" w:hAnsi="Times New Roman"/>
                <w:sz w:val="21"/>
                <w:szCs w:val="21"/>
              </w:rPr>
              <w:t>1</w:t>
            </w:r>
            <w:r>
              <w:rPr>
                <w:rFonts w:hint="eastAsia" w:hAnsi="宋体" w:cs="宋体"/>
                <w:sz w:val="21"/>
                <w:szCs w:val="21"/>
              </w:rPr>
              <w:t>）</w:t>
            </w:r>
          </w:p>
        </w:tc>
        <w:tc>
          <w:tcPr>
            <w:tcW w:w="2407" w:type="dxa"/>
            <w:noWrap w:val="0"/>
            <w:vAlign w:val="center"/>
          </w:tcPr>
          <w:p>
            <w:pPr>
              <w:spacing w:line="240" w:lineRule="auto"/>
              <w:ind w:firstLine="0"/>
              <w:jc w:val="center"/>
              <w:rPr>
                <w:rFonts w:hint="eastAsia" w:hAnsi="宋体" w:cs="宋体"/>
                <w:sz w:val="21"/>
                <w:szCs w:val="21"/>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873g</w:t>
            </w:r>
            <w:r>
              <w:rPr>
                <w:rFonts w:hint="eastAsia" w:ascii="Times New Roman"/>
                <w:sz w:val="21"/>
                <w:szCs w:val="21"/>
                <w:lang w:val="en-US" w:eastAsia="zh-CN"/>
              </w:rPr>
              <w:t>/</w:t>
            </w:r>
            <w:r>
              <w:rPr>
                <w:rFonts w:hint="eastAsia" w:ascii="Times New Roman" w:hAnsi="Times New Roman"/>
                <w:sz w:val="21"/>
                <w:szCs w:val="21"/>
                <w:lang w:val="en-US" w:eastAsia="zh-CN"/>
              </w:rPr>
              <w:t>cm</w:t>
            </w:r>
            <w:r>
              <w:rPr>
                <w:rFonts w:hint="eastAsia" w:ascii="Times New Roman"/>
                <w:sz w:val="21"/>
                <w:szCs w:val="21"/>
                <w:lang w:val="en-US" w:eastAsia="zh-CN"/>
              </w:rPr>
              <w:t>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熔点</w:t>
            </w:r>
            <w:r>
              <w:rPr>
                <w:rFonts w:hint="eastAsia" w:hAnsi="宋体" w:cs="宋体"/>
                <w:sz w:val="21"/>
                <w:szCs w:val="21"/>
              </w:rPr>
              <w:t>（℃）</w:t>
            </w:r>
          </w:p>
        </w:tc>
        <w:tc>
          <w:tcPr>
            <w:tcW w:w="255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9</w:t>
            </w:r>
            <w:r>
              <w:rPr>
                <w:rFonts w:hint="eastAsia" w:cs="宋体"/>
                <w:sz w:val="21"/>
                <w:szCs w:val="21"/>
                <w:lang w:val="en-US" w:eastAsia="zh-CN"/>
              </w:rPr>
              <w:t>.</w:t>
            </w:r>
            <w:r>
              <w:rPr>
                <w:rFonts w:hint="eastAsia" w:ascii="Times New Roman" w:hAnsi="Times New Roman" w:cs="宋体"/>
                <w:sz w:val="21"/>
                <w:szCs w:val="21"/>
                <w:lang w:val="en-US" w:eastAsia="zh-CN"/>
              </w:rPr>
              <w:t>0</w:t>
            </w:r>
          </w:p>
        </w:tc>
        <w:tc>
          <w:tcPr>
            <w:tcW w:w="1987"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溶解性</w:t>
            </w:r>
          </w:p>
        </w:tc>
        <w:tc>
          <w:tcPr>
            <w:tcW w:w="2407"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cs="宋体"/>
                <w:sz w:val="21"/>
                <w:szCs w:val="21"/>
                <w:lang w:eastAsia="zh-CN"/>
              </w:rPr>
              <w:t>溶于水、乙醇、乙醚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燃烧爆炸</w:t>
            </w:r>
            <w:r>
              <w:rPr>
                <w:rFonts w:hint="eastAsia" w:hAnsi="宋体" w:cs="宋体"/>
                <w:sz w:val="21"/>
                <w:szCs w:val="21"/>
              </w:rPr>
              <w:t>危险性</w:t>
            </w: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燃烧性</w:t>
            </w:r>
          </w:p>
        </w:tc>
        <w:tc>
          <w:tcPr>
            <w:tcW w:w="2558"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可燃</w:t>
            </w:r>
          </w:p>
        </w:tc>
        <w:tc>
          <w:tcPr>
            <w:tcW w:w="1987" w:type="dxa"/>
            <w:gridSpan w:val="2"/>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燃烧（分解）产物</w:t>
            </w:r>
          </w:p>
        </w:tc>
        <w:tc>
          <w:tcPr>
            <w:tcW w:w="2407"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一氧化碳、二氧化碳、氧化氮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危险特性</w:t>
            </w:r>
          </w:p>
        </w:tc>
        <w:tc>
          <w:tcPr>
            <w:tcW w:w="6952" w:type="dxa"/>
            <w:gridSpan w:val="5"/>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遇明火、高热可燃。与氧化剂能发生强烈反应。受热分解放出有毒的氧化氮烟气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稳定性</w:t>
            </w:r>
          </w:p>
        </w:tc>
        <w:tc>
          <w:tcPr>
            <w:tcW w:w="2558"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稳定</w:t>
            </w:r>
          </w:p>
        </w:tc>
        <w:tc>
          <w:tcPr>
            <w:tcW w:w="1987"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聚合危害</w:t>
            </w:r>
          </w:p>
        </w:tc>
        <w:tc>
          <w:tcPr>
            <w:tcW w:w="2407" w:type="dxa"/>
            <w:noWrap w:val="0"/>
            <w:vAlign w:val="center"/>
          </w:tcPr>
          <w:p>
            <w:pPr>
              <w:spacing w:line="240" w:lineRule="auto"/>
              <w:ind w:firstLine="0"/>
              <w:jc w:val="center"/>
              <w:rPr>
                <w:rFonts w:hint="eastAsia"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禁配物</w:t>
            </w:r>
          </w:p>
        </w:tc>
        <w:tc>
          <w:tcPr>
            <w:tcW w:w="6952" w:type="dxa"/>
            <w:gridSpan w:val="5"/>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酸类、酰基氯、酸酐、强氧化剂、二氧化碳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8461" w:type="dxa"/>
            <w:gridSpan w:val="6"/>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灭火方法：采用抗溶性泡沫、二氧化碳、干粉、砂土灭火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包装储运</w:t>
            </w: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危险性类别</w:t>
            </w:r>
          </w:p>
        </w:tc>
        <w:tc>
          <w:tcPr>
            <w:tcW w:w="6952" w:type="dxa"/>
            <w:gridSpan w:val="5"/>
            <w:noWrap w:val="0"/>
            <w:vAlign w:val="center"/>
          </w:tcPr>
          <w:p>
            <w:pPr>
              <w:spacing w:line="240" w:lineRule="auto"/>
              <w:ind w:firstLine="0"/>
              <w:jc w:val="center"/>
              <w:rPr>
                <w:rFonts w:hint="default" w:cs="宋体"/>
                <w:sz w:val="21"/>
                <w:szCs w:val="21"/>
                <w:lang w:val="en-US" w:eastAsia="zh-CN"/>
              </w:rPr>
            </w:pPr>
            <w:r>
              <w:rPr>
                <w:rFonts w:hint="eastAsia" w:cs="宋体"/>
                <w:sz w:val="21"/>
                <w:szCs w:val="21"/>
                <w:lang w:eastAsia="zh-CN"/>
              </w:rPr>
              <w:t>可燃助燃的毒害品，有毒，遇明火能燃烧，受热能放出有毒气体，急性毒性</w:t>
            </w:r>
            <w:r>
              <w:rPr>
                <w:rFonts w:hint="eastAsia" w:cs="宋体"/>
                <w:sz w:val="21"/>
                <w:szCs w:val="21"/>
                <w:lang w:val="en-US" w:eastAsia="zh-CN"/>
              </w:rPr>
              <w:t>-径口，类别</w:t>
            </w:r>
            <w:r>
              <w:rPr>
                <w:rFonts w:hint="eastAsia" w:ascii="Times New Roman" w:hAnsi="Times New Roman" w:cs="宋体"/>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储存注意事项</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val="en-US" w:eastAsia="zh-CN"/>
              </w:rPr>
              <w:t>储存于阴凉、通风的库房。远离火种、热源。保持容器密封。应与氧化剂、酸类、食用化学品分开存放，切忌混出。配备相应品种和数量的消防器材。储区应备有泄漏应急处理设备和合实的收容材料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val="en-US" w:eastAsia="zh-CN"/>
              </w:rPr>
              <w:t>运输注意事项</w:t>
            </w:r>
          </w:p>
        </w:tc>
        <w:tc>
          <w:tcPr>
            <w:tcW w:w="6952" w:type="dxa"/>
            <w:gridSpan w:val="5"/>
            <w:noWrap w:val="0"/>
            <w:vAlign w:val="center"/>
          </w:tcPr>
          <w:p>
            <w:pPr>
              <w:spacing w:line="240" w:lineRule="auto"/>
              <w:ind w:firstLine="0"/>
              <w:jc w:val="left"/>
              <w:rPr>
                <w:rFonts w:hint="eastAsia" w:cs="宋体"/>
                <w:sz w:val="21"/>
                <w:szCs w:val="21"/>
                <w:lang w:val="en-US" w:eastAsia="zh-CN"/>
              </w:rPr>
            </w:pPr>
            <w:r>
              <w:rPr>
                <w:rFonts w:hint="eastAsia" w:cs="宋体"/>
                <w:sz w:val="21"/>
                <w:szCs w:val="21"/>
                <w:lang w:val="en-US" w:eastAsia="zh-CN"/>
              </w:rPr>
              <w:t>铁路运输时应严格按照原铁道部《危险货物运输规则》中的危险货物配装表进行配装。运输前应先检查包装容器是否完整、密封，运输过程中要确保容器不泄漏、不倒塌、不坠落、不损坏。严禁与酸类、氧化剂、食品及食品添加剂混运。运输时运输车辆应配备相应品种和数量的消防器材及泄漏应急处理设备。运输途中应防暴晒、雨淋，防高温。公路运输时要按规定路线行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毒性危害</w:t>
            </w:r>
          </w:p>
        </w:tc>
        <w:tc>
          <w:tcPr>
            <w:tcW w:w="1509"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侵入途径</w:t>
            </w:r>
          </w:p>
        </w:tc>
        <w:tc>
          <w:tcPr>
            <w:tcW w:w="6952" w:type="dxa"/>
            <w:gridSpan w:val="5"/>
            <w:noWrap w:val="0"/>
            <w:vAlign w:val="center"/>
          </w:tcPr>
          <w:p>
            <w:pPr>
              <w:spacing w:line="240" w:lineRule="auto"/>
              <w:ind w:firstLine="0" w:firstLineChars="0"/>
              <w:jc w:val="left"/>
              <w:rPr>
                <w:rFonts w:hint="default" w:ascii="宋体" w:hAnsi="宋体" w:eastAsia="宋体" w:cs="宋体"/>
                <w:sz w:val="21"/>
                <w:szCs w:val="21"/>
                <w:lang w:val="en-US" w:eastAsia="zh-CN" w:bidi="ar-SA"/>
              </w:rPr>
            </w:pPr>
            <w:r>
              <w:rPr>
                <w:rFonts w:hint="eastAsia" w:cs="宋体"/>
                <w:sz w:val="21"/>
                <w:szCs w:val="21"/>
                <w:lang w:eastAsia="zh-CN"/>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毒性</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ascii="Times New Roman" w:hAnsi="Times New Roman" w:cs="宋体"/>
                <w:sz w:val="21"/>
                <w:szCs w:val="21"/>
                <w:lang w:val="en-US" w:eastAsia="zh-CN"/>
              </w:rPr>
              <w:t>LD</w:t>
            </w:r>
            <w:r>
              <w:rPr>
                <w:rFonts w:hint="eastAsia" w:ascii="Times New Roman" w:hAnsi="Times New Roman" w:cs="宋体"/>
                <w:sz w:val="21"/>
                <w:szCs w:val="21"/>
                <w:vertAlign w:val="subscript"/>
                <w:lang w:val="en-US" w:eastAsia="zh-CN"/>
              </w:rPr>
              <w:t>50</w:t>
            </w:r>
            <w:r>
              <w:rPr>
                <w:rFonts w:hint="eastAsia" w:cs="宋体"/>
                <w:sz w:val="21"/>
                <w:szCs w:val="21"/>
                <w:lang w:val="en-US" w:eastAsia="zh-CN"/>
              </w:rPr>
              <w:t>:</w:t>
            </w:r>
            <w:r>
              <w:rPr>
                <w:rFonts w:hint="eastAsia" w:ascii="Times New Roman" w:hAnsi="Times New Roman" w:cs="宋体"/>
                <w:sz w:val="21"/>
                <w:szCs w:val="21"/>
                <w:lang w:val="en-US" w:eastAsia="zh-CN"/>
              </w:rPr>
              <w:t>270mg</w:t>
            </w:r>
            <w:r>
              <w:rPr>
                <w:rFonts w:hint="eastAsia" w:cs="宋体"/>
                <w:sz w:val="21"/>
                <w:szCs w:val="21"/>
                <w:lang w:val="en-US" w:eastAsia="zh-CN"/>
              </w:rPr>
              <w:t>/</w:t>
            </w:r>
            <w:r>
              <w:rPr>
                <w:rFonts w:hint="eastAsia" w:ascii="Times New Roman" w:hAnsi="Times New Roman" w:cs="宋体"/>
                <w:sz w:val="21"/>
                <w:szCs w:val="21"/>
                <w:lang w:val="en-US" w:eastAsia="zh-CN"/>
              </w:rPr>
              <w:t>kg</w:t>
            </w:r>
            <w:r>
              <w:rPr>
                <w:rFonts w:hint="eastAsia" w:cs="宋体"/>
                <w:sz w:val="21"/>
                <w:szCs w:val="21"/>
                <w:lang w:val="en-US" w:eastAsia="zh-CN"/>
              </w:rPr>
              <w:t>（大鼠径口）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健康危害</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摄入、吸入或经皮肤吸收对身体有害。对眼睛、粘膜、呼吸道和皮肤有强烈的刺激作用，引起烧灼伤。吸入后可能因喉、支气管的痉挛、炎症和水肿，化学性肺炎、肺水肿而致死。中毒表现有咳嗽、喘息、喉炎、气短、头痛、恶心和呕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急救</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皮肤接触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脱去污染的衣着，用大量流动清水冲洗至少</w:t>
            </w:r>
            <w:r>
              <w:rPr>
                <w:rFonts w:hint="eastAsia" w:ascii="Times New Roman" w:hAnsi="Times New Roman" w:cs="宋体"/>
                <w:sz w:val="21"/>
                <w:szCs w:val="21"/>
                <w:lang w:val="en-US" w:eastAsia="zh-CN"/>
              </w:rPr>
              <w:t>15</w:t>
            </w:r>
            <w:r>
              <w:rPr>
                <w:rFonts w:hint="eastAsia" w:cs="宋体"/>
                <w:sz w:val="21"/>
                <w:szCs w:val="21"/>
                <w:lang w:val="en-US" w:eastAsia="zh-CN"/>
              </w:rPr>
              <w:t>分钟，就医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立即提起眼睑，用流动清水或生理盐水彻底冲洗至少</w:t>
            </w:r>
            <w:r>
              <w:rPr>
                <w:rFonts w:hint="eastAsia" w:ascii="Times New Roman" w:hAnsi="Times New Roman" w:cs="宋体"/>
                <w:sz w:val="21"/>
                <w:szCs w:val="21"/>
                <w:lang w:val="en-US" w:eastAsia="zh-CN"/>
              </w:rPr>
              <w:t>15</w:t>
            </w:r>
            <w:r>
              <w:rPr>
                <w:rFonts w:hint="eastAsia" w:cs="宋体"/>
                <w:sz w:val="21"/>
                <w:szCs w:val="21"/>
                <w:lang w:val="en-US" w:eastAsia="zh-CN"/>
              </w:rPr>
              <w:t>分钟，就医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吸入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食入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用水漱口，给饮牛奶或蛋清。就医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防护措施</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工程控制</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严加密闭，提供充分的局部排风。提供安全淋浴和洗眼设备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呼吸系统防护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可能接触其蒸汽时，应该佩戴自吸过滤式防毒面具（半面罩）。紧急事态抢救或撤离时，建议佩戴氧气呼吸器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身体防护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穿防毒物渗透工作服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手防护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戴橡胶耐油手套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其他防护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工作现场禁止吸烟、进食和饮水。工作完毕，彻底清洗。实行就业前和定期的体检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操作注意事项</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密闭操作，提供充分的局部排风。操作人员必须经过专门培训，严格遵守操作规程。建议操作人员佩戴自吸过滤式防毒面具（半面罩），戴化学安全防护眼镜，穿防毒物渗透工作服，戴橡胶耐油手套。远离火种、热源，工作场所严禁吸烟。使用防爆型的通风系统和设备。防止蒸汽泄漏到工作场所空气中。避免与氧化剂、酸类接触。搬运时要轻装轻卸，防止包装机容器损坏。配备相应品种和数量的消防器材及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泄漏应急处理</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迅速撤离泄漏污染区人员至安全区，并进行隔离，严格限值出入。切断火源。建议应急处理人员戴自给正压呼吸器，穿防毒服</w:t>
            </w:r>
            <w:r>
              <w:rPr>
                <w:rFonts w:hint="eastAsia" w:hAnsi="宋体" w:cs="宋体"/>
                <w:sz w:val="21"/>
                <w:szCs w:val="21"/>
              </w:rPr>
              <w:t>。</w:t>
            </w:r>
            <w:r>
              <w:rPr>
                <w:rFonts w:hint="eastAsia" w:cs="宋体"/>
                <w:sz w:val="21"/>
                <w:szCs w:val="21"/>
                <w:lang w:eastAsia="zh-CN"/>
              </w:rPr>
              <w:t>不要直接接触泄漏物。尽可能切断泄漏源。防止流入下水道、排洪沟等限制性空间。小量泄漏：用砂土或其它不燃材料吸附或吸收。也可以用大量水冲洗，洗水稀释后放入废水系统。大量泄漏：构筑围堤或挖坑收容。用泡沫覆盖，降低蒸汽灾害。用泵转移至槽车或专用收集器内，回收或运至废物处理场所处置</w:t>
            </w:r>
          </w:p>
        </w:tc>
      </w:tr>
      <w:bookmarkEnd w:id="230"/>
    </w:tbl>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17</w:t>
      </w:r>
      <w:r>
        <w:rPr>
          <w:rFonts w:hint="eastAsia"/>
          <w:lang w:val="en-US" w:eastAsia="zh-CN"/>
        </w:rPr>
        <w:t xml:space="preserve">  硫酸铵的理化性质及危险特性说明</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09"/>
        <w:gridCol w:w="1625"/>
        <w:gridCol w:w="853"/>
        <w:gridCol w:w="1030"/>
        <w:gridCol w:w="903"/>
        <w:gridCol w:w="25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标识</w:t>
            </w:r>
          </w:p>
        </w:tc>
        <w:tc>
          <w:tcPr>
            <w:tcW w:w="3987" w:type="dxa"/>
            <w:gridSpan w:val="3"/>
            <w:noWrap w:val="0"/>
            <w:vAlign w:val="center"/>
          </w:tcPr>
          <w:p>
            <w:pPr>
              <w:spacing w:line="240" w:lineRule="auto"/>
              <w:ind w:firstLine="0"/>
              <w:jc w:val="center"/>
              <w:rPr>
                <w:rFonts w:hint="default" w:hAnsi="宋体" w:eastAsia="宋体" w:cs="宋体"/>
                <w:sz w:val="21"/>
                <w:szCs w:val="21"/>
                <w:lang w:val="en-US" w:eastAsia="zh-CN"/>
              </w:rPr>
            </w:pPr>
            <w:r>
              <w:rPr>
                <w:rFonts w:hint="eastAsia" w:hAnsi="宋体" w:cs="宋体"/>
                <w:sz w:val="21"/>
                <w:szCs w:val="21"/>
              </w:rPr>
              <w:t>中文名：</w:t>
            </w:r>
            <w:r>
              <w:rPr>
                <w:rFonts w:hint="eastAsia" w:ascii="Times New Roman"/>
                <w:sz w:val="21"/>
                <w:szCs w:val="21"/>
                <w:lang w:val="en-US" w:eastAsia="zh-CN"/>
              </w:rPr>
              <w:t>硫酸铵，别名：硫铵</w:t>
            </w:r>
          </w:p>
        </w:tc>
        <w:tc>
          <w:tcPr>
            <w:tcW w:w="1030"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英文名</w:t>
            </w:r>
          </w:p>
        </w:tc>
        <w:tc>
          <w:tcPr>
            <w:tcW w:w="3444"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Ammonium</w:t>
            </w:r>
            <w:r>
              <w:rPr>
                <w:rFonts w:hint="eastAsia" w:ascii="Times New Roman"/>
                <w:sz w:val="21"/>
                <w:szCs w:val="21"/>
                <w:lang w:val="en-US" w:eastAsia="zh-CN"/>
              </w:rPr>
              <w:t xml:space="preserve"> </w:t>
            </w:r>
            <w:r>
              <w:rPr>
                <w:rFonts w:hint="eastAsia" w:ascii="Times New Roman" w:hAnsi="Times New Roman"/>
                <w:sz w:val="21"/>
                <w:szCs w:val="21"/>
                <w:lang w:val="en-US" w:eastAsia="zh-CN"/>
              </w:rPr>
              <w:t>sulfate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分子式</w:t>
            </w:r>
          </w:p>
        </w:tc>
        <w:tc>
          <w:tcPr>
            <w:tcW w:w="1625"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color w:val="auto"/>
                <w:sz w:val="21"/>
                <w:szCs w:val="21"/>
                <w:lang w:val="en-US" w:eastAsia="zh-CN"/>
              </w:rPr>
              <w:t>（</w:t>
            </w:r>
            <w:r>
              <w:rPr>
                <w:rFonts w:hint="eastAsia" w:ascii="Times New Roman" w:hAnsi="Times New Roman"/>
                <w:color w:val="auto"/>
                <w:sz w:val="21"/>
                <w:szCs w:val="21"/>
                <w:lang w:val="en-US" w:eastAsia="zh-CN"/>
              </w:rPr>
              <w:t>NH</w:t>
            </w:r>
            <w:r>
              <w:rPr>
                <w:rFonts w:hint="eastAsia" w:ascii="Times New Roman" w:hAnsi="Times New Roman"/>
                <w:color w:val="auto"/>
                <w:sz w:val="21"/>
                <w:szCs w:val="21"/>
                <w:vertAlign w:val="subscript"/>
                <w:lang w:val="en-US" w:eastAsia="zh-CN"/>
              </w:rPr>
              <w:t>4</w:t>
            </w:r>
            <w:r>
              <w:rPr>
                <w:rFonts w:hint="eastAsia" w:ascii="Times New Roman"/>
                <w:color w:val="auto"/>
                <w:sz w:val="21"/>
                <w:szCs w:val="21"/>
                <w:lang w:val="en-US" w:eastAsia="zh-CN"/>
              </w:rPr>
              <w:t>）</w:t>
            </w:r>
            <w:r>
              <w:rPr>
                <w:rFonts w:hint="eastAsia" w:ascii="Times New Roman" w:hAnsi="Times New Roman"/>
                <w:color w:val="auto"/>
                <w:sz w:val="21"/>
                <w:szCs w:val="21"/>
                <w:vertAlign w:val="subscript"/>
                <w:lang w:val="en-US" w:eastAsia="zh-CN"/>
              </w:rPr>
              <w:t>2</w:t>
            </w:r>
            <w:r>
              <w:rPr>
                <w:rFonts w:hint="eastAsia" w:ascii="Times New Roman" w:hAnsi="Times New Roman"/>
                <w:color w:val="auto"/>
                <w:sz w:val="21"/>
                <w:szCs w:val="21"/>
                <w:lang w:val="en-US" w:eastAsia="zh-CN"/>
              </w:rPr>
              <w:t>SO</w:t>
            </w:r>
            <w:r>
              <w:rPr>
                <w:rFonts w:hint="eastAsia" w:ascii="Times New Roman" w:hAnsi="Times New Roman"/>
                <w:color w:val="auto"/>
                <w:sz w:val="21"/>
                <w:szCs w:val="21"/>
                <w:vertAlign w:val="subscript"/>
                <w:lang w:val="en-US" w:eastAsia="zh-CN"/>
              </w:rPr>
              <w:t>4</w:t>
            </w:r>
          </w:p>
        </w:tc>
        <w:tc>
          <w:tcPr>
            <w:tcW w:w="853"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分子量</w:t>
            </w:r>
          </w:p>
        </w:tc>
        <w:tc>
          <w:tcPr>
            <w:tcW w:w="1030"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132</w:t>
            </w:r>
            <w:r>
              <w:rPr>
                <w:rFonts w:hint="eastAsia" w:ascii="Times New Roman"/>
                <w:sz w:val="21"/>
                <w:szCs w:val="21"/>
                <w:lang w:val="en-US" w:eastAsia="zh-CN"/>
              </w:rPr>
              <w:t>.</w:t>
            </w:r>
            <w:r>
              <w:rPr>
                <w:rFonts w:hint="eastAsia" w:ascii="Times New Roman" w:hAnsi="Times New Roman"/>
                <w:sz w:val="21"/>
                <w:szCs w:val="21"/>
                <w:lang w:val="en-US" w:eastAsia="zh-CN"/>
              </w:rPr>
              <w:t>14</w:t>
            </w:r>
          </w:p>
        </w:tc>
        <w:tc>
          <w:tcPr>
            <w:tcW w:w="903"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CAS</w:t>
            </w:r>
          </w:p>
        </w:tc>
        <w:tc>
          <w:tcPr>
            <w:tcW w:w="2541"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7783</w:t>
            </w:r>
            <w:r>
              <w:rPr>
                <w:rFonts w:hint="eastAsia" w:ascii="Times New Roman" w:cs="宋体"/>
                <w:sz w:val="21"/>
                <w:szCs w:val="21"/>
                <w:lang w:val="en-US" w:eastAsia="zh-CN"/>
              </w:rPr>
              <w:t>-</w:t>
            </w:r>
            <w:r>
              <w:rPr>
                <w:rFonts w:hint="eastAsia" w:ascii="Times New Roman" w:hAnsi="Times New Roman" w:cs="宋体"/>
                <w:sz w:val="21"/>
                <w:szCs w:val="21"/>
                <w:lang w:val="en-US" w:eastAsia="zh-CN"/>
              </w:rPr>
              <w:t>20</w:t>
            </w:r>
            <w:r>
              <w:rPr>
                <w:rFonts w:hint="eastAsia" w:ascii="Times New Roman" w:cs="宋体"/>
                <w:sz w:val="21"/>
                <w:szCs w:val="21"/>
                <w:lang w:val="en-US" w:eastAsia="zh-CN"/>
              </w:rPr>
              <w:t>-</w:t>
            </w:r>
            <w:r>
              <w:rPr>
                <w:rFonts w:hint="eastAsia" w:ascii="Times New Roman" w:hAnsi="Times New Roman" w:cs="宋体"/>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理化性质</w:t>
            </w:r>
          </w:p>
        </w:tc>
        <w:tc>
          <w:tcPr>
            <w:tcW w:w="1509" w:type="dxa"/>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外观与</w:t>
            </w:r>
            <w:r>
              <w:rPr>
                <w:rFonts w:hint="eastAsia" w:hAnsi="宋体" w:cs="宋体"/>
                <w:sz w:val="21"/>
                <w:szCs w:val="21"/>
              </w:rPr>
              <w:t>性状</w:t>
            </w:r>
          </w:p>
        </w:tc>
        <w:tc>
          <w:tcPr>
            <w:tcW w:w="6952" w:type="dxa"/>
            <w:gridSpan w:val="5"/>
            <w:noWrap w:val="0"/>
            <w:vAlign w:val="center"/>
          </w:tcPr>
          <w:p>
            <w:pPr>
              <w:spacing w:line="240" w:lineRule="auto"/>
              <w:ind w:firstLine="0"/>
              <w:jc w:val="center"/>
              <w:rPr>
                <w:rFonts w:hint="eastAsia" w:ascii="Times New Roman" w:eastAsia="宋体" w:cs="宋体"/>
                <w:sz w:val="21"/>
                <w:szCs w:val="21"/>
                <w:lang w:eastAsia="zh-CN"/>
              </w:rPr>
            </w:pPr>
            <w:r>
              <w:rPr>
                <w:rFonts w:hint="eastAsia" w:ascii="Times New Roman" w:cs="宋体"/>
                <w:sz w:val="21"/>
                <w:szCs w:val="21"/>
                <w:lang w:eastAsia="zh-CN"/>
              </w:rPr>
              <w:t>纯品为无色斜方晶体，工业品为白色至淡黄色结晶体。水溶液呈酸性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闪点（</w:t>
            </w:r>
            <w:r>
              <w:rPr>
                <w:rFonts w:hint="eastAsia" w:hAnsi="宋体" w:cs="宋体"/>
                <w:sz w:val="21"/>
                <w:szCs w:val="21"/>
              </w:rPr>
              <w:t>℃</w:t>
            </w:r>
            <w:r>
              <w:rPr>
                <w:rFonts w:hint="eastAsia" w:cs="宋体"/>
                <w:sz w:val="21"/>
                <w:szCs w:val="21"/>
                <w:lang w:eastAsia="zh-CN"/>
              </w:rPr>
              <w:t>）</w:t>
            </w:r>
          </w:p>
        </w:tc>
        <w:tc>
          <w:tcPr>
            <w:tcW w:w="247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26</w:t>
            </w:r>
          </w:p>
        </w:tc>
        <w:tc>
          <w:tcPr>
            <w:tcW w:w="1933"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相对密度（空气</w:t>
            </w:r>
            <w:r>
              <w:rPr>
                <w:rFonts w:hint="eastAsia" w:cs="宋体"/>
                <w:sz w:val="21"/>
                <w:szCs w:val="21"/>
                <w:lang w:val="en-US" w:eastAsia="zh-CN"/>
              </w:rPr>
              <w:t>=</w:t>
            </w:r>
            <w:r>
              <w:rPr>
                <w:rFonts w:hint="eastAsia" w:ascii="Times New Roman" w:hAnsi="Times New Roman" w:cs="宋体"/>
                <w:sz w:val="21"/>
                <w:szCs w:val="21"/>
                <w:lang w:val="en-US" w:eastAsia="zh-CN"/>
              </w:rPr>
              <w:t>1</w:t>
            </w:r>
            <w:r>
              <w:rPr>
                <w:rFonts w:hint="eastAsia" w:cs="宋体"/>
                <w:sz w:val="21"/>
                <w:szCs w:val="21"/>
                <w:lang w:eastAsia="zh-CN"/>
              </w:rPr>
              <w:t>）</w:t>
            </w:r>
          </w:p>
        </w:tc>
        <w:tc>
          <w:tcPr>
            <w:tcW w:w="2541"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hAnsi="Times New Roman"/>
                <w:sz w:val="21"/>
                <w:szCs w:val="21"/>
                <w:lang w:val="en-US" w:eastAsia="zh-CN"/>
              </w:rPr>
              <w:t>7</w:t>
            </w:r>
            <w:r>
              <w:rPr>
                <w:rFonts w:hint="eastAsia" w:ascii="Times New Roman"/>
                <w:sz w:val="21"/>
                <w:szCs w:val="21"/>
                <w:lang w:val="en-US" w:eastAsia="zh-CN"/>
              </w:rPr>
              <w:t>.</w:t>
            </w:r>
            <w:r>
              <w:rPr>
                <w:rFonts w:hint="eastAsia" w:ascii="Times New Roman" w:hAnsi="Times New Roman"/>
                <w:sz w:val="21"/>
                <w:szCs w:val="21"/>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沸点（℃）</w:t>
            </w:r>
          </w:p>
        </w:tc>
        <w:tc>
          <w:tcPr>
            <w:tcW w:w="247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280</w:t>
            </w:r>
          </w:p>
        </w:tc>
        <w:tc>
          <w:tcPr>
            <w:tcW w:w="1933"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相对密度（水=</w:t>
            </w:r>
            <w:r>
              <w:rPr>
                <w:rFonts w:hint="eastAsia" w:ascii="Times New Roman" w:hAnsi="Times New Roman"/>
                <w:sz w:val="21"/>
                <w:szCs w:val="21"/>
              </w:rPr>
              <w:t>1</w:t>
            </w:r>
            <w:r>
              <w:rPr>
                <w:rFonts w:hint="eastAsia" w:hAnsi="宋体" w:cs="宋体"/>
                <w:sz w:val="21"/>
                <w:szCs w:val="21"/>
              </w:rPr>
              <w:t>）</w:t>
            </w:r>
          </w:p>
        </w:tc>
        <w:tc>
          <w:tcPr>
            <w:tcW w:w="2541" w:type="dxa"/>
            <w:noWrap w:val="0"/>
            <w:vAlign w:val="center"/>
          </w:tcPr>
          <w:p>
            <w:pPr>
              <w:spacing w:line="240" w:lineRule="auto"/>
              <w:ind w:firstLine="0"/>
              <w:jc w:val="center"/>
              <w:rPr>
                <w:rFonts w:hint="eastAsia" w:hAnsi="宋体" w:cs="宋体"/>
                <w:sz w:val="21"/>
                <w:szCs w:val="21"/>
              </w:rPr>
            </w:pPr>
            <w:r>
              <w:rPr>
                <w:rFonts w:hint="eastAsia" w:ascii="Times New Roman" w:hAnsi="Times New Roman"/>
                <w:sz w:val="21"/>
                <w:szCs w:val="21"/>
                <w:lang w:val="en-US" w:eastAsia="zh-CN"/>
              </w:rPr>
              <w:t>1</w:t>
            </w:r>
            <w:r>
              <w:rPr>
                <w:rFonts w:hint="eastAsia" w:ascii="Times New Roman"/>
                <w:sz w:val="21"/>
                <w:szCs w:val="21"/>
                <w:lang w:val="en-US" w:eastAsia="zh-CN"/>
              </w:rPr>
              <w:t>.</w:t>
            </w:r>
            <w:r>
              <w:rPr>
                <w:rFonts w:hint="eastAsia" w:ascii="Times New Roman" w:hAnsi="Times New Roman"/>
                <w:sz w:val="21"/>
                <w:szCs w:val="21"/>
                <w:lang w:val="en-US" w:eastAsia="zh-CN"/>
              </w:rPr>
              <w:t>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熔点</w:t>
            </w:r>
            <w:r>
              <w:rPr>
                <w:rFonts w:hint="eastAsia" w:hAnsi="宋体" w:cs="宋体"/>
                <w:sz w:val="21"/>
                <w:szCs w:val="21"/>
              </w:rPr>
              <w:t>（℃）</w:t>
            </w:r>
          </w:p>
        </w:tc>
        <w:tc>
          <w:tcPr>
            <w:tcW w:w="2478"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140</w:t>
            </w:r>
          </w:p>
        </w:tc>
        <w:tc>
          <w:tcPr>
            <w:tcW w:w="1933"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溶解性</w:t>
            </w:r>
          </w:p>
        </w:tc>
        <w:tc>
          <w:tcPr>
            <w:tcW w:w="2541"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cs="宋体"/>
                <w:sz w:val="21"/>
                <w:szCs w:val="21"/>
                <w:lang w:eastAsia="zh-CN"/>
              </w:rPr>
              <w:t>不溶于醇、丙酮和氨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燃烧爆炸</w:t>
            </w:r>
            <w:r>
              <w:rPr>
                <w:rFonts w:hint="eastAsia" w:hAnsi="宋体" w:cs="宋体"/>
                <w:sz w:val="21"/>
                <w:szCs w:val="21"/>
              </w:rPr>
              <w:t>危险性</w:t>
            </w: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燃烧性</w:t>
            </w:r>
          </w:p>
        </w:tc>
        <w:tc>
          <w:tcPr>
            <w:tcW w:w="2478"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不燃、具刺激性</w:t>
            </w:r>
          </w:p>
        </w:tc>
        <w:tc>
          <w:tcPr>
            <w:tcW w:w="1933" w:type="dxa"/>
            <w:gridSpan w:val="2"/>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hAnsi="宋体" w:cs="宋体"/>
                <w:sz w:val="21"/>
                <w:szCs w:val="21"/>
              </w:rPr>
              <w:t>禁配物</w:t>
            </w:r>
          </w:p>
        </w:tc>
        <w:tc>
          <w:tcPr>
            <w:tcW w:w="2541"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强酸、强碱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危险特性</w:t>
            </w:r>
          </w:p>
        </w:tc>
        <w:tc>
          <w:tcPr>
            <w:tcW w:w="6952" w:type="dxa"/>
            <w:gridSpan w:val="5"/>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受热产生有毒烟气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8461" w:type="dxa"/>
            <w:gridSpan w:val="6"/>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灭火方法：消防人员必须穿全身防火防毒服，在上风向灭火。灭火时尽可能将容器从火场移至空旷处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包装储运</w:t>
            </w:r>
          </w:p>
        </w:tc>
        <w:tc>
          <w:tcPr>
            <w:tcW w:w="1509"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储存注意事项</w:t>
            </w:r>
          </w:p>
        </w:tc>
        <w:tc>
          <w:tcPr>
            <w:tcW w:w="6952" w:type="dxa"/>
            <w:gridSpan w:val="5"/>
            <w:noWrap w:val="0"/>
            <w:vAlign w:val="center"/>
          </w:tcPr>
          <w:p>
            <w:pPr>
              <w:spacing w:line="240" w:lineRule="auto"/>
              <w:ind w:firstLine="0" w:firstLineChars="0"/>
              <w:jc w:val="left"/>
              <w:rPr>
                <w:rFonts w:hint="default" w:ascii="宋体" w:hAnsi="宋体" w:eastAsia="宋体" w:cs="宋体"/>
                <w:sz w:val="21"/>
                <w:szCs w:val="21"/>
                <w:lang w:val="en-US" w:eastAsia="zh-CN" w:bidi="ar-SA"/>
              </w:rPr>
            </w:pPr>
            <w:r>
              <w:rPr>
                <w:rFonts w:hint="eastAsia" w:cs="宋体"/>
                <w:sz w:val="21"/>
                <w:szCs w:val="21"/>
                <w:lang w:val="en-US" w:eastAsia="zh-CN"/>
              </w:rPr>
              <w:t>储存于阴凉、通风的库房。远离火种、热源。应与酸类、碱类分开存放，切忌混储。储区应备有合适的材料收容泄漏物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val="en-US" w:eastAsia="zh-CN"/>
              </w:rPr>
              <w:t>运输注意事项</w:t>
            </w:r>
          </w:p>
        </w:tc>
        <w:tc>
          <w:tcPr>
            <w:tcW w:w="6952" w:type="dxa"/>
            <w:gridSpan w:val="5"/>
            <w:noWrap w:val="0"/>
            <w:vAlign w:val="center"/>
          </w:tcPr>
          <w:p>
            <w:pPr>
              <w:spacing w:line="240" w:lineRule="auto"/>
              <w:ind w:firstLine="0"/>
              <w:jc w:val="left"/>
              <w:rPr>
                <w:rFonts w:hint="eastAsia" w:cs="宋体"/>
                <w:sz w:val="21"/>
                <w:szCs w:val="21"/>
                <w:lang w:val="en-US" w:eastAsia="zh-CN"/>
              </w:rPr>
            </w:pPr>
            <w:r>
              <w:rPr>
                <w:rFonts w:hint="eastAsia" w:cs="宋体"/>
                <w:sz w:val="21"/>
                <w:szCs w:val="21"/>
                <w:lang w:val="en-US" w:eastAsia="zh-CN"/>
              </w:rPr>
              <w:t>起运时包装要完整，装载应稳妥。运输过程中药确保容器不泄漏、不倒塌、不坠落、不损坏。严禁与酸类、碱类、食用化学品等混装混运。运输途中应防暴晒、雨淋、防高温。车辆运输完毕应彻底清扫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毒性危害</w:t>
            </w:r>
          </w:p>
        </w:tc>
        <w:tc>
          <w:tcPr>
            <w:tcW w:w="1509"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侵入途径</w:t>
            </w:r>
          </w:p>
        </w:tc>
        <w:tc>
          <w:tcPr>
            <w:tcW w:w="6952" w:type="dxa"/>
            <w:gridSpan w:val="5"/>
            <w:noWrap w:val="0"/>
            <w:vAlign w:val="center"/>
          </w:tcPr>
          <w:p>
            <w:pPr>
              <w:spacing w:line="240" w:lineRule="auto"/>
              <w:ind w:firstLine="0" w:firstLineChars="0"/>
              <w:jc w:val="left"/>
              <w:rPr>
                <w:rFonts w:hint="default" w:ascii="宋体" w:hAnsi="宋体" w:eastAsia="宋体" w:cs="宋体"/>
                <w:sz w:val="21"/>
                <w:szCs w:val="21"/>
                <w:lang w:val="en-US" w:eastAsia="zh-CN" w:bidi="ar-SA"/>
              </w:rPr>
            </w:pPr>
            <w:r>
              <w:rPr>
                <w:rFonts w:hint="eastAsia" w:cs="宋体"/>
                <w:sz w:val="21"/>
                <w:szCs w:val="21"/>
                <w:lang w:eastAsia="zh-CN"/>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毒性</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ascii="Times New Roman" w:hAnsi="Times New Roman" w:cs="宋体"/>
                <w:sz w:val="21"/>
                <w:szCs w:val="21"/>
                <w:lang w:val="en-US" w:eastAsia="zh-CN"/>
              </w:rPr>
              <w:t>LD</w:t>
            </w:r>
            <w:r>
              <w:rPr>
                <w:rFonts w:hint="eastAsia" w:ascii="Times New Roman" w:hAnsi="Times New Roman" w:cs="宋体"/>
                <w:sz w:val="21"/>
                <w:szCs w:val="21"/>
                <w:vertAlign w:val="subscript"/>
                <w:lang w:val="en-US" w:eastAsia="zh-CN"/>
              </w:rPr>
              <w:t>50</w:t>
            </w:r>
            <w:r>
              <w:rPr>
                <w:rFonts w:hint="eastAsia" w:cs="宋体"/>
                <w:sz w:val="21"/>
                <w:szCs w:val="21"/>
                <w:lang w:val="en-US" w:eastAsia="zh-CN"/>
              </w:rPr>
              <w:t>:</w:t>
            </w:r>
            <w:r>
              <w:rPr>
                <w:rFonts w:hint="eastAsia" w:ascii="Times New Roman" w:hAnsi="Times New Roman" w:cs="宋体"/>
                <w:sz w:val="21"/>
                <w:szCs w:val="21"/>
                <w:lang w:val="en-US" w:eastAsia="zh-CN"/>
              </w:rPr>
              <w:t>2</w:t>
            </w:r>
            <w:r>
              <w:rPr>
                <w:rFonts w:hint="eastAsia" w:cs="宋体"/>
                <w:sz w:val="21"/>
                <w:szCs w:val="21"/>
                <w:lang w:val="en-US" w:eastAsia="zh-CN"/>
              </w:rPr>
              <w:t>.</w:t>
            </w:r>
            <w:r>
              <w:rPr>
                <w:rFonts w:hint="eastAsia" w:ascii="Times New Roman" w:hAnsi="Times New Roman" w:cs="宋体"/>
                <w:sz w:val="21"/>
                <w:szCs w:val="21"/>
                <w:lang w:val="en-US" w:eastAsia="zh-CN"/>
              </w:rPr>
              <w:t>42g</w:t>
            </w:r>
            <w:r>
              <w:rPr>
                <w:rFonts w:hint="eastAsia" w:cs="宋体"/>
                <w:sz w:val="21"/>
                <w:szCs w:val="21"/>
                <w:lang w:val="en-US" w:eastAsia="zh-CN"/>
              </w:rPr>
              <w:t>/</w:t>
            </w:r>
            <w:r>
              <w:rPr>
                <w:rFonts w:hint="eastAsia" w:ascii="Times New Roman" w:hAnsi="Times New Roman" w:cs="宋体"/>
                <w:sz w:val="21"/>
                <w:szCs w:val="21"/>
                <w:lang w:val="en-US" w:eastAsia="zh-CN"/>
              </w:rPr>
              <w:t>kg</w:t>
            </w:r>
            <w:r>
              <w:rPr>
                <w:rFonts w:hint="eastAsia" w:cs="宋体"/>
                <w:sz w:val="21"/>
                <w:szCs w:val="21"/>
                <w:lang w:val="en-US" w:eastAsia="zh-CN"/>
              </w:rPr>
              <w:t>（大鼠径口）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健康危害</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val="en-US" w:eastAsia="zh-CN" w:bidi="ar-SA"/>
              </w:rPr>
              <w:t>对眼睛、粘膜和皮肤有刺激作用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急救</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皮肤接触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脱去污染的衣着，用大量流动清水冲洗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立即提起眼睑，用流动清水或生理盐水冲洗</w:t>
            </w:r>
            <w:r>
              <w:rPr>
                <w:rFonts w:hint="eastAsia" w:cs="宋体"/>
                <w:sz w:val="21"/>
                <w:szCs w:val="21"/>
                <w:lang w:val="en-US" w:eastAsia="zh-CN"/>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吸入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迅速脱离现场至空气新鲜处。如呼吸困难，给输氧。就医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食入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饮足量温水、催吐。就医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防护措施</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工程控制</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密闭操作，局部排风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呼吸系统防护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空气中粉尘浓度超标时，必须佩戴自吸过滤式防尘口罩。紧急事态抢救或撤离时，应该佩戴空气呼吸器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身体防护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穿防毒物渗透工作服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手防护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戴橡胶手套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其他防护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远离火种、热源，工作场所严禁吸烟，工作毕，淋浴更衣。保持良好的卫生习惯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操作注意事项</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密闭操作，局部排风。操作人员必须经过专门培训，严格遵守操作规程。建议操作人员佩戴自吸过滤式防尘口罩，戴化学安全防护眼镜，穿防毒物渗透工作服，戴橡胶手套。避免产生粉尘。避免与酸类、碱类接触。搬运时药轻装轻卸，防止包装及容器损坏。配备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泄漏应急处理</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小量泄漏：尽可能将泄漏液体收集在可密闭的容器中。用砂土、活性炭或其它惰性材料吸收，并转移至安全场所。禁止冲入下水道。大量泄漏：构筑围堤或挖坑收容。封闭排水管道。用泡沫覆盖，抑制蒸发。用防爆泵转移至槽车或专用收集器内，回收或运至废物处理场所处置</w:t>
            </w:r>
          </w:p>
        </w:tc>
      </w:tr>
    </w:tbl>
    <w:p>
      <w:pPr>
        <w:pStyle w:val="20"/>
        <w:bidi w:val="0"/>
        <w:rPr>
          <w:rFonts w:hint="default"/>
          <w:lang w:val="en-US" w:eastAsia="zh-CN"/>
        </w:rPr>
      </w:pPr>
      <w:r>
        <w:rPr>
          <w:rFonts w:hint="eastAsia"/>
          <w:lang w:val="en-US" w:eastAsia="zh-CN"/>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18</w:t>
      </w:r>
      <w:r>
        <w:rPr>
          <w:rFonts w:hint="eastAsia"/>
          <w:lang w:val="en-US" w:eastAsia="zh-CN"/>
        </w:rPr>
        <w:t xml:space="preserve">  氨水的理化性质及危险特性说明</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09"/>
        <w:gridCol w:w="1625"/>
        <w:gridCol w:w="1288"/>
        <w:gridCol w:w="1069"/>
        <w:gridCol w:w="843"/>
        <w:gridCol w:w="2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标识</w:t>
            </w:r>
          </w:p>
        </w:tc>
        <w:tc>
          <w:tcPr>
            <w:tcW w:w="4422" w:type="dxa"/>
            <w:gridSpan w:val="3"/>
            <w:noWrap w:val="0"/>
            <w:vAlign w:val="center"/>
          </w:tcPr>
          <w:p>
            <w:pPr>
              <w:spacing w:line="240" w:lineRule="auto"/>
              <w:ind w:firstLine="0"/>
              <w:jc w:val="center"/>
              <w:rPr>
                <w:rFonts w:hint="default" w:hAnsi="宋体" w:eastAsia="宋体" w:cs="宋体"/>
                <w:sz w:val="21"/>
                <w:szCs w:val="21"/>
                <w:lang w:val="en-US" w:eastAsia="zh-CN"/>
              </w:rPr>
            </w:pPr>
            <w:r>
              <w:rPr>
                <w:rFonts w:hint="eastAsia" w:hAnsi="宋体" w:cs="宋体"/>
                <w:sz w:val="21"/>
                <w:szCs w:val="21"/>
              </w:rPr>
              <w:t>中文名：</w:t>
            </w:r>
            <w:r>
              <w:rPr>
                <w:rFonts w:hint="eastAsia" w:ascii="Times New Roman"/>
                <w:sz w:val="21"/>
                <w:szCs w:val="21"/>
                <w:lang w:val="en-US" w:eastAsia="zh-CN"/>
              </w:rPr>
              <w:t>氨溶液[</w:t>
            </w:r>
            <w:r>
              <w:rPr>
                <w:rFonts w:hint="eastAsia" w:ascii="Times New Roman" w:hAnsi="Times New Roman"/>
                <w:sz w:val="21"/>
                <w:szCs w:val="21"/>
                <w:lang w:val="en-US" w:eastAsia="zh-CN"/>
              </w:rPr>
              <w:t>10</w:t>
            </w:r>
            <w:r>
              <w:rPr>
                <w:rFonts w:hint="eastAsia" w:ascii="Times New Roman"/>
                <w:sz w:val="21"/>
                <w:szCs w:val="21"/>
                <w:lang w:val="en-US" w:eastAsia="zh-CN"/>
              </w:rPr>
              <w:t>%＜含氨≤</w:t>
            </w:r>
            <w:r>
              <w:rPr>
                <w:rFonts w:hint="eastAsia" w:ascii="Times New Roman" w:hAnsi="Times New Roman"/>
                <w:sz w:val="21"/>
                <w:szCs w:val="21"/>
                <w:lang w:val="en-US" w:eastAsia="zh-CN"/>
              </w:rPr>
              <w:t>35</w:t>
            </w:r>
            <w:r>
              <w:rPr>
                <w:rFonts w:hint="eastAsia" w:ascii="Times New Roman"/>
                <w:sz w:val="21"/>
                <w:szCs w:val="21"/>
                <w:lang w:val="en-US" w:eastAsia="zh-CN"/>
              </w:rPr>
              <w:t>%]；氢氧化铵</w:t>
            </w:r>
          </w:p>
        </w:tc>
        <w:tc>
          <w:tcPr>
            <w:tcW w:w="106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英文名</w:t>
            </w:r>
          </w:p>
        </w:tc>
        <w:tc>
          <w:tcPr>
            <w:tcW w:w="2970"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Ammonium</w:t>
            </w:r>
            <w:r>
              <w:rPr>
                <w:rFonts w:hint="eastAsia" w:ascii="Times New Roman"/>
                <w:sz w:val="21"/>
                <w:szCs w:val="21"/>
                <w:lang w:val="en-US" w:eastAsia="zh-CN"/>
              </w:rPr>
              <w:t xml:space="preserve"> </w:t>
            </w:r>
            <w:r>
              <w:rPr>
                <w:rFonts w:hint="eastAsia" w:ascii="Times New Roman" w:hAnsi="Times New Roman"/>
                <w:sz w:val="21"/>
                <w:szCs w:val="21"/>
                <w:lang w:val="en-US" w:eastAsia="zh-CN"/>
              </w:rPr>
              <w:t>hydroxide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分子式</w:t>
            </w:r>
          </w:p>
        </w:tc>
        <w:tc>
          <w:tcPr>
            <w:tcW w:w="1625"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olor w:val="auto"/>
                <w:sz w:val="21"/>
                <w:szCs w:val="21"/>
                <w:lang w:val="en-US" w:eastAsia="zh-CN"/>
              </w:rPr>
              <w:t>NH4OH</w:t>
            </w:r>
          </w:p>
        </w:tc>
        <w:tc>
          <w:tcPr>
            <w:tcW w:w="1288" w:type="dxa"/>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分子量</w:t>
            </w:r>
          </w:p>
        </w:tc>
        <w:tc>
          <w:tcPr>
            <w:tcW w:w="1069"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sz w:val="21"/>
                <w:szCs w:val="21"/>
                <w:lang w:val="en-US" w:eastAsia="zh-CN"/>
              </w:rPr>
              <w:t>35</w:t>
            </w:r>
            <w:r>
              <w:rPr>
                <w:rFonts w:hint="eastAsia" w:ascii="Times New Roman"/>
                <w:sz w:val="21"/>
                <w:szCs w:val="21"/>
                <w:lang w:val="en-US" w:eastAsia="zh-CN"/>
              </w:rPr>
              <w:t>.</w:t>
            </w:r>
            <w:r>
              <w:rPr>
                <w:rFonts w:hint="eastAsia" w:ascii="Times New Roman" w:hAnsi="Times New Roman"/>
                <w:sz w:val="21"/>
                <w:szCs w:val="21"/>
                <w:lang w:val="en-US" w:eastAsia="zh-CN"/>
              </w:rPr>
              <w:t>05</w:t>
            </w:r>
          </w:p>
        </w:tc>
        <w:tc>
          <w:tcPr>
            <w:tcW w:w="843"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CAS</w:t>
            </w:r>
          </w:p>
        </w:tc>
        <w:tc>
          <w:tcPr>
            <w:tcW w:w="2127" w:type="dxa"/>
            <w:noWrap w:val="0"/>
            <w:vAlign w:val="center"/>
          </w:tcPr>
          <w:p>
            <w:pPr>
              <w:spacing w:line="240" w:lineRule="auto"/>
              <w:ind w:firstLine="0"/>
              <w:jc w:val="center"/>
              <w:rPr>
                <w:rFonts w:hint="default" w:ascii="Times New Roman" w:eastAsia="宋体" w:cs="宋体"/>
                <w:sz w:val="21"/>
                <w:szCs w:val="21"/>
                <w:lang w:val="en-US" w:eastAsia="zh-CN"/>
              </w:rPr>
            </w:pPr>
            <w:r>
              <w:rPr>
                <w:rFonts w:hint="eastAsia" w:ascii="Times New Roman" w:hAnsi="Times New Roman" w:cs="宋体"/>
                <w:sz w:val="21"/>
                <w:szCs w:val="21"/>
                <w:lang w:val="en-US" w:eastAsia="zh-CN"/>
              </w:rPr>
              <w:t>1336</w:t>
            </w:r>
            <w:r>
              <w:rPr>
                <w:rFonts w:hint="eastAsia" w:ascii="Times New Roman" w:cs="宋体"/>
                <w:sz w:val="21"/>
                <w:szCs w:val="21"/>
                <w:lang w:val="en-US" w:eastAsia="zh-CN"/>
              </w:rPr>
              <w:t>-</w:t>
            </w:r>
            <w:r>
              <w:rPr>
                <w:rFonts w:hint="eastAsia" w:ascii="Times New Roman" w:hAnsi="Times New Roman" w:cs="宋体"/>
                <w:sz w:val="21"/>
                <w:szCs w:val="21"/>
                <w:lang w:val="en-US" w:eastAsia="zh-CN"/>
              </w:rPr>
              <w:t>21</w:t>
            </w:r>
            <w:r>
              <w:rPr>
                <w:rFonts w:hint="eastAsia" w:ascii="Times New Roman" w:cs="宋体"/>
                <w:sz w:val="21"/>
                <w:szCs w:val="21"/>
                <w:lang w:val="en-US" w:eastAsia="zh-CN"/>
              </w:rPr>
              <w:t>-</w:t>
            </w:r>
            <w:r>
              <w:rPr>
                <w:rFonts w:hint="eastAsia" w:ascii="Times New Roman" w:hAnsi="Times New Roman" w:cs="宋体"/>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危险货物编号</w:t>
            </w:r>
          </w:p>
        </w:tc>
        <w:tc>
          <w:tcPr>
            <w:tcW w:w="2913" w:type="dxa"/>
            <w:gridSpan w:val="2"/>
            <w:noWrap w:val="0"/>
            <w:vAlign w:val="center"/>
          </w:tcPr>
          <w:p>
            <w:pPr>
              <w:spacing w:line="240" w:lineRule="auto"/>
              <w:ind w:firstLine="0"/>
              <w:jc w:val="center"/>
              <w:rPr>
                <w:rFonts w:hint="eastAsia" w:hAnsi="宋体" w:cs="宋体"/>
                <w:sz w:val="21"/>
                <w:szCs w:val="21"/>
              </w:rPr>
            </w:pPr>
            <w:r>
              <w:rPr>
                <w:rFonts w:hint="eastAsia" w:ascii="Times New Roman" w:hAnsi="Times New Roman"/>
                <w:color w:val="auto"/>
                <w:sz w:val="21"/>
                <w:szCs w:val="21"/>
                <w:lang w:val="en-US" w:eastAsia="zh-CN"/>
              </w:rPr>
              <w:t>82503</w:t>
            </w:r>
          </w:p>
        </w:tc>
        <w:tc>
          <w:tcPr>
            <w:tcW w:w="1912" w:type="dxa"/>
            <w:gridSpan w:val="2"/>
            <w:noWrap w:val="0"/>
            <w:vAlign w:val="center"/>
          </w:tcPr>
          <w:p>
            <w:pPr>
              <w:spacing w:line="240" w:lineRule="auto"/>
              <w:ind w:firstLine="0"/>
              <w:jc w:val="center"/>
              <w:rPr>
                <w:rFonts w:hint="eastAsia" w:ascii="Times New Roman" w:cs="宋体"/>
                <w:sz w:val="21"/>
                <w:szCs w:val="21"/>
                <w:lang w:val="en-US" w:eastAsia="zh-CN"/>
              </w:rPr>
            </w:pPr>
            <w:r>
              <w:rPr>
                <w:rFonts w:hint="eastAsia" w:ascii="Times New Roman" w:hAnsi="Times New Roman"/>
                <w:sz w:val="21"/>
                <w:szCs w:val="21"/>
                <w:lang w:val="en-US" w:eastAsia="zh-CN"/>
              </w:rPr>
              <w:t>UN</w:t>
            </w:r>
            <w:r>
              <w:rPr>
                <w:rFonts w:hint="eastAsia" w:ascii="Times New Roman"/>
                <w:sz w:val="21"/>
                <w:szCs w:val="21"/>
                <w:lang w:val="en-US" w:eastAsia="zh-CN"/>
              </w:rPr>
              <w:t>编号</w:t>
            </w:r>
          </w:p>
        </w:tc>
        <w:tc>
          <w:tcPr>
            <w:tcW w:w="2127" w:type="dxa"/>
            <w:noWrap w:val="0"/>
            <w:vAlign w:val="center"/>
          </w:tcPr>
          <w:p>
            <w:pPr>
              <w:spacing w:line="240" w:lineRule="auto"/>
              <w:ind w:firstLine="0"/>
              <w:jc w:val="center"/>
              <w:rPr>
                <w:rFonts w:hint="default" w:ascii="Times New Roman" w:cs="宋体"/>
                <w:sz w:val="21"/>
                <w:szCs w:val="21"/>
                <w:lang w:val="en-US" w:eastAsia="zh-CN"/>
              </w:rPr>
            </w:pPr>
            <w:r>
              <w:rPr>
                <w:rFonts w:hint="eastAsia" w:ascii="Times New Roman" w:hAnsi="Times New Roman" w:cs="宋体"/>
                <w:sz w:val="21"/>
                <w:szCs w:val="21"/>
                <w:lang w:val="en-US" w:eastAsia="zh-CN"/>
              </w:rPr>
              <w:t>2672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理化性质</w:t>
            </w:r>
          </w:p>
        </w:tc>
        <w:tc>
          <w:tcPr>
            <w:tcW w:w="1509" w:type="dxa"/>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外观与</w:t>
            </w:r>
            <w:r>
              <w:rPr>
                <w:rFonts w:hint="eastAsia" w:hAnsi="宋体" w:cs="宋体"/>
                <w:sz w:val="21"/>
                <w:szCs w:val="21"/>
              </w:rPr>
              <w:t>性状</w:t>
            </w:r>
          </w:p>
        </w:tc>
        <w:tc>
          <w:tcPr>
            <w:tcW w:w="6952" w:type="dxa"/>
            <w:gridSpan w:val="5"/>
            <w:noWrap w:val="0"/>
            <w:vAlign w:val="center"/>
          </w:tcPr>
          <w:p>
            <w:pPr>
              <w:spacing w:line="240" w:lineRule="auto"/>
              <w:ind w:firstLine="0"/>
              <w:jc w:val="center"/>
              <w:rPr>
                <w:rFonts w:hint="eastAsia" w:ascii="Times New Roman" w:eastAsia="宋体" w:cs="宋体"/>
                <w:sz w:val="21"/>
                <w:szCs w:val="21"/>
                <w:lang w:eastAsia="zh-CN"/>
              </w:rPr>
            </w:pPr>
            <w:r>
              <w:rPr>
                <w:rFonts w:hint="eastAsia" w:ascii="Times New Roman" w:cs="宋体"/>
                <w:sz w:val="21"/>
                <w:szCs w:val="21"/>
                <w:lang w:eastAsia="zh-CN"/>
              </w:rPr>
              <w:t>无色透明液体，有强烈的刺激性臭味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hAnsi="宋体" w:cs="宋体"/>
                <w:sz w:val="21"/>
                <w:szCs w:val="21"/>
              </w:rPr>
              <w:t>沸点（℃）</w:t>
            </w:r>
          </w:p>
        </w:tc>
        <w:tc>
          <w:tcPr>
            <w:tcW w:w="2913" w:type="dxa"/>
            <w:gridSpan w:val="2"/>
            <w:noWrap w:val="0"/>
            <w:vAlign w:val="center"/>
          </w:tcPr>
          <w:p>
            <w:pPr>
              <w:spacing w:line="240" w:lineRule="auto"/>
              <w:ind w:firstLine="0" w:firstLineChars="0"/>
              <w:jc w:val="center"/>
              <w:rPr>
                <w:rFonts w:hint="default" w:ascii="宋体" w:hAnsi="宋体" w:eastAsia="宋体" w:cs="宋体"/>
                <w:sz w:val="21"/>
                <w:szCs w:val="21"/>
                <w:lang w:val="en-US" w:eastAsia="zh-CN" w:bidi="ar-SA"/>
              </w:rPr>
            </w:pPr>
            <w:r>
              <w:rPr>
                <w:rFonts w:hint="eastAsia" w:cs="宋体"/>
                <w:sz w:val="21"/>
                <w:szCs w:val="21"/>
                <w:lang w:val="en-US" w:eastAsia="zh-CN" w:bidi="ar-SA"/>
              </w:rPr>
              <w:t>/</w:t>
            </w:r>
          </w:p>
        </w:tc>
        <w:tc>
          <w:tcPr>
            <w:tcW w:w="1912"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相对密度（空气</w:t>
            </w:r>
            <w:r>
              <w:rPr>
                <w:rFonts w:hint="eastAsia" w:cs="宋体"/>
                <w:sz w:val="21"/>
                <w:szCs w:val="21"/>
                <w:lang w:val="en-US" w:eastAsia="zh-CN"/>
              </w:rPr>
              <w:t>=</w:t>
            </w:r>
            <w:r>
              <w:rPr>
                <w:rFonts w:hint="eastAsia" w:ascii="Times New Roman" w:hAnsi="Times New Roman" w:cs="宋体"/>
                <w:sz w:val="21"/>
                <w:szCs w:val="21"/>
                <w:lang w:val="en-US" w:eastAsia="zh-CN"/>
              </w:rPr>
              <w:t>1</w:t>
            </w:r>
            <w:r>
              <w:rPr>
                <w:rFonts w:hint="eastAsia" w:cs="宋体"/>
                <w:sz w:val="21"/>
                <w:szCs w:val="21"/>
                <w:lang w:eastAsia="zh-CN"/>
              </w:rPr>
              <w:t>）</w:t>
            </w:r>
          </w:p>
        </w:tc>
        <w:tc>
          <w:tcPr>
            <w:tcW w:w="2127" w:type="dxa"/>
            <w:noWrap w:val="0"/>
            <w:vAlign w:val="center"/>
          </w:tcPr>
          <w:p>
            <w:pPr>
              <w:spacing w:line="240" w:lineRule="auto"/>
              <w:ind w:firstLine="0"/>
              <w:jc w:val="center"/>
              <w:rPr>
                <w:rFonts w:hint="default" w:ascii="Times New Roman" w:eastAsia="宋体"/>
                <w:sz w:val="21"/>
                <w:szCs w:val="21"/>
                <w:lang w:val="en-US" w:eastAsia="zh-CN"/>
              </w:rPr>
            </w:pPr>
            <w:r>
              <w:rPr>
                <w:rFonts w:hint="eastAsia" w:ascii="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熔点</w:t>
            </w:r>
            <w:r>
              <w:rPr>
                <w:rFonts w:hint="eastAsia" w:hAnsi="宋体" w:cs="宋体"/>
                <w:sz w:val="21"/>
                <w:szCs w:val="21"/>
              </w:rPr>
              <w:t>（℃）</w:t>
            </w:r>
          </w:p>
        </w:tc>
        <w:tc>
          <w:tcPr>
            <w:tcW w:w="2913" w:type="dxa"/>
            <w:gridSpan w:val="2"/>
            <w:noWrap w:val="0"/>
            <w:vAlign w:val="center"/>
          </w:tcPr>
          <w:p>
            <w:pPr>
              <w:spacing w:line="240" w:lineRule="auto"/>
              <w:ind w:firstLine="0" w:firstLineChars="0"/>
              <w:jc w:val="center"/>
              <w:rPr>
                <w:rFonts w:hint="default" w:ascii="宋体" w:hAnsi="宋体" w:eastAsia="宋体" w:cs="宋体"/>
                <w:sz w:val="21"/>
                <w:szCs w:val="21"/>
                <w:lang w:val="en-US" w:eastAsia="zh-CN" w:bidi="ar-SA"/>
              </w:rPr>
            </w:pPr>
            <w:r>
              <w:rPr>
                <w:rFonts w:hint="eastAsia" w:cs="宋体"/>
                <w:sz w:val="21"/>
                <w:szCs w:val="21"/>
                <w:lang w:val="en-US" w:eastAsia="zh-CN" w:bidi="ar-SA"/>
              </w:rPr>
              <w:t>/</w:t>
            </w:r>
          </w:p>
        </w:tc>
        <w:tc>
          <w:tcPr>
            <w:tcW w:w="1912" w:type="dxa"/>
            <w:gridSpan w:val="2"/>
            <w:noWrap w:val="0"/>
            <w:vAlign w:val="center"/>
          </w:tcPr>
          <w:p>
            <w:pPr>
              <w:spacing w:line="240" w:lineRule="auto"/>
              <w:ind w:firstLine="0"/>
              <w:jc w:val="center"/>
              <w:rPr>
                <w:rFonts w:hint="eastAsia" w:hAnsi="宋体" w:cs="宋体"/>
                <w:sz w:val="21"/>
                <w:szCs w:val="21"/>
              </w:rPr>
            </w:pPr>
            <w:r>
              <w:rPr>
                <w:rFonts w:hint="eastAsia" w:hAnsi="宋体" w:cs="宋体"/>
                <w:sz w:val="21"/>
                <w:szCs w:val="21"/>
              </w:rPr>
              <w:t>相对密度（水=</w:t>
            </w:r>
            <w:r>
              <w:rPr>
                <w:rFonts w:hint="eastAsia" w:ascii="Times New Roman" w:hAnsi="Times New Roman"/>
                <w:sz w:val="21"/>
                <w:szCs w:val="21"/>
              </w:rPr>
              <w:t>1</w:t>
            </w:r>
            <w:r>
              <w:rPr>
                <w:rFonts w:hint="eastAsia" w:hAnsi="宋体" w:cs="宋体"/>
                <w:sz w:val="21"/>
                <w:szCs w:val="21"/>
              </w:rPr>
              <w:t>）</w:t>
            </w:r>
          </w:p>
        </w:tc>
        <w:tc>
          <w:tcPr>
            <w:tcW w:w="2127" w:type="dxa"/>
            <w:noWrap w:val="0"/>
            <w:vAlign w:val="center"/>
          </w:tcPr>
          <w:p>
            <w:pPr>
              <w:spacing w:line="240" w:lineRule="auto"/>
              <w:ind w:firstLine="0"/>
              <w:jc w:val="center"/>
              <w:rPr>
                <w:rFonts w:hint="default" w:hAnsi="宋体" w:cs="宋体"/>
                <w:sz w:val="21"/>
                <w:szCs w:val="21"/>
                <w:lang w:val="en-US"/>
              </w:rPr>
            </w:pPr>
            <w:r>
              <w:rPr>
                <w:rFonts w:hint="eastAsia" w:ascii="Times New Roman" w:hAnsi="Times New Roman"/>
                <w:sz w:val="21"/>
                <w:szCs w:val="21"/>
                <w:lang w:val="en-US" w:eastAsia="zh-CN"/>
              </w:rPr>
              <w:t>0</w:t>
            </w:r>
            <w:r>
              <w:rPr>
                <w:rFonts w:hint="eastAsia" w:ascii="Times New Roman"/>
                <w:sz w:val="21"/>
                <w:szCs w:val="21"/>
                <w:lang w:val="en-US" w:eastAsia="zh-CN"/>
              </w:rPr>
              <w:t>.</w:t>
            </w:r>
            <w:r>
              <w:rPr>
                <w:rFonts w:hint="eastAsia" w:ascii="Times New Roman" w:hAnsi="Times New Roman"/>
                <w:sz w:val="21"/>
                <w:szCs w:val="21"/>
                <w:lang w:val="en-US" w:eastAsia="zh-CN"/>
              </w:rPr>
              <w:t>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溶解性</w:t>
            </w:r>
          </w:p>
        </w:tc>
        <w:tc>
          <w:tcPr>
            <w:tcW w:w="2913" w:type="dxa"/>
            <w:gridSpan w:val="2"/>
            <w:noWrap w:val="0"/>
            <w:vAlign w:val="center"/>
          </w:tcPr>
          <w:p>
            <w:pPr>
              <w:spacing w:line="240" w:lineRule="auto"/>
              <w:ind w:firstLine="0"/>
              <w:jc w:val="center"/>
              <w:rPr>
                <w:rFonts w:hint="default" w:hAnsi="宋体" w:eastAsia="宋体" w:cs="宋体"/>
                <w:sz w:val="21"/>
                <w:szCs w:val="21"/>
                <w:lang w:val="en-US" w:eastAsia="zh-CN"/>
              </w:rPr>
            </w:pPr>
            <w:r>
              <w:rPr>
                <w:rFonts w:hint="eastAsia" w:cs="宋体"/>
                <w:sz w:val="21"/>
                <w:szCs w:val="21"/>
                <w:lang w:val="en-US" w:eastAsia="zh-CN"/>
              </w:rPr>
              <w:t>溶于水、醇</w:t>
            </w:r>
          </w:p>
        </w:tc>
        <w:tc>
          <w:tcPr>
            <w:tcW w:w="1912"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饱和蒸气压（</w:t>
            </w:r>
            <w:r>
              <w:rPr>
                <w:rFonts w:hint="eastAsia" w:ascii="Times New Roman" w:hAnsi="Times New Roman" w:cs="宋体"/>
                <w:sz w:val="21"/>
                <w:szCs w:val="21"/>
                <w:lang w:val="en-US" w:eastAsia="zh-CN"/>
              </w:rPr>
              <w:t>kPa</w:t>
            </w:r>
            <w:r>
              <w:rPr>
                <w:rFonts w:hint="eastAsia" w:cs="宋体"/>
                <w:sz w:val="21"/>
                <w:szCs w:val="21"/>
                <w:lang w:eastAsia="zh-CN"/>
              </w:rPr>
              <w:t>）</w:t>
            </w:r>
          </w:p>
        </w:tc>
        <w:tc>
          <w:tcPr>
            <w:tcW w:w="2127" w:type="dxa"/>
            <w:noWrap w:val="0"/>
            <w:vAlign w:val="center"/>
          </w:tcPr>
          <w:p>
            <w:pPr>
              <w:spacing w:line="240" w:lineRule="auto"/>
              <w:ind w:firstLine="0"/>
              <w:jc w:val="center"/>
              <w:rPr>
                <w:rFonts w:hint="default" w:hAnsi="宋体" w:eastAsia="宋体" w:cs="宋体"/>
                <w:sz w:val="21"/>
                <w:szCs w:val="21"/>
                <w:lang w:val="en-US" w:eastAsia="zh-CN"/>
              </w:rPr>
            </w:pPr>
            <w:r>
              <w:rPr>
                <w:rFonts w:hint="eastAsia" w:ascii="Times New Roman" w:hAnsi="Times New Roman" w:cs="宋体"/>
                <w:sz w:val="21"/>
                <w:szCs w:val="21"/>
                <w:lang w:val="en-US" w:eastAsia="zh-CN"/>
              </w:rPr>
              <w:t>1</w:t>
            </w:r>
            <w:r>
              <w:rPr>
                <w:rFonts w:hint="eastAsia" w:cs="宋体"/>
                <w:sz w:val="21"/>
                <w:szCs w:val="21"/>
                <w:lang w:val="en-US" w:eastAsia="zh-CN"/>
              </w:rPr>
              <w:t>.</w:t>
            </w:r>
            <w:r>
              <w:rPr>
                <w:rFonts w:hint="eastAsia" w:ascii="Times New Roman" w:hAnsi="Times New Roman" w:cs="宋体"/>
                <w:sz w:val="21"/>
                <w:szCs w:val="21"/>
                <w:lang w:val="en-US" w:eastAsia="zh-CN"/>
              </w:rPr>
              <w:t>59</w:t>
            </w:r>
            <w:r>
              <w:rPr>
                <w:rFonts w:hint="eastAsia" w:cs="宋体"/>
                <w:sz w:val="21"/>
                <w:szCs w:val="21"/>
                <w:lang w:val="en-US" w:eastAsia="zh-CN"/>
              </w:rPr>
              <w:t>/</w:t>
            </w:r>
            <w:r>
              <w:rPr>
                <w:rFonts w:hint="eastAsia" w:ascii="Times New Roman" w:hAnsi="Times New Roman" w:cs="宋体"/>
                <w:sz w:val="21"/>
                <w:szCs w:val="21"/>
                <w:lang w:val="en-US" w:eastAsia="zh-CN"/>
              </w:rPr>
              <w:t>20</w:t>
            </w:r>
            <w:r>
              <w:rPr>
                <w:rFonts w:hint="eastAsia" w:cs="宋体"/>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燃烧爆炸</w:t>
            </w:r>
            <w:r>
              <w:rPr>
                <w:rFonts w:hint="eastAsia" w:hAnsi="宋体" w:cs="宋体"/>
                <w:sz w:val="21"/>
                <w:szCs w:val="21"/>
              </w:rPr>
              <w:t>危险性</w:t>
            </w:r>
          </w:p>
        </w:tc>
        <w:tc>
          <w:tcPr>
            <w:tcW w:w="1509"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燃烧性</w:t>
            </w:r>
          </w:p>
        </w:tc>
        <w:tc>
          <w:tcPr>
            <w:tcW w:w="2913" w:type="dxa"/>
            <w:gridSpan w:val="2"/>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可燃</w:t>
            </w:r>
          </w:p>
        </w:tc>
        <w:tc>
          <w:tcPr>
            <w:tcW w:w="1912" w:type="dxa"/>
            <w:gridSpan w:val="2"/>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hAnsi="宋体" w:cs="宋体"/>
                <w:sz w:val="21"/>
                <w:szCs w:val="21"/>
              </w:rPr>
              <w:t>禁配物</w:t>
            </w:r>
          </w:p>
        </w:tc>
        <w:tc>
          <w:tcPr>
            <w:tcW w:w="2127"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酸类、铝、铜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燃烧分解产物</w:t>
            </w:r>
          </w:p>
        </w:tc>
        <w:tc>
          <w:tcPr>
            <w:tcW w:w="2913" w:type="dxa"/>
            <w:gridSpan w:val="2"/>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氨</w:t>
            </w:r>
          </w:p>
        </w:tc>
        <w:tc>
          <w:tcPr>
            <w:tcW w:w="1912" w:type="dxa"/>
            <w:gridSpan w:val="2"/>
            <w:noWrap w:val="0"/>
            <w:vAlign w:val="center"/>
          </w:tcPr>
          <w:p>
            <w:pPr>
              <w:spacing w:line="240" w:lineRule="auto"/>
              <w:ind w:firstLine="0" w:firstLineChars="0"/>
              <w:jc w:val="center"/>
              <w:rPr>
                <w:rFonts w:hint="eastAsia" w:hAnsi="宋体" w:eastAsia="宋体" w:cs="宋体"/>
                <w:sz w:val="21"/>
                <w:szCs w:val="21"/>
                <w:lang w:eastAsia="zh-CN"/>
              </w:rPr>
            </w:pPr>
            <w:r>
              <w:rPr>
                <w:rFonts w:hint="eastAsia" w:cs="宋体"/>
                <w:sz w:val="21"/>
                <w:szCs w:val="21"/>
                <w:lang w:eastAsia="zh-CN"/>
              </w:rPr>
              <w:t>爆炸极限（</w:t>
            </w:r>
            <w:r>
              <w:rPr>
                <w:rFonts w:hint="eastAsia" w:cs="宋体"/>
                <w:sz w:val="21"/>
                <w:szCs w:val="21"/>
                <w:lang w:val="en-US" w:eastAsia="zh-CN"/>
              </w:rPr>
              <w:t>%</w:t>
            </w:r>
            <w:r>
              <w:rPr>
                <w:rFonts w:hint="eastAsia" w:cs="宋体"/>
                <w:sz w:val="21"/>
                <w:szCs w:val="21"/>
                <w:lang w:eastAsia="zh-CN"/>
              </w:rPr>
              <w:t>）</w:t>
            </w:r>
          </w:p>
        </w:tc>
        <w:tc>
          <w:tcPr>
            <w:tcW w:w="2127" w:type="dxa"/>
            <w:noWrap w:val="0"/>
            <w:vAlign w:val="center"/>
          </w:tcPr>
          <w:p>
            <w:pPr>
              <w:spacing w:line="240" w:lineRule="auto"/>
              <w:ind w:firstLine="0" w:firstLineChars="0"/>
              <w:jc w:val="center"/>
              <w:rPr>
                <w:rFonts w:hint="default" w:cs="宋体"/>
                <w:sz w:val="21"/>
                <w:szCs w:val="21"/>
                <w:lang w:val="en-US" w:eastAsia="zh-CN"/>
              </w:rPr>
            </w:pPr>
            <w:r>
              <w:rPr>
                <w:rFonts w:hint="eastAsia" w:ascii="Times New Roman" w:hAnsi="Times New Roman" w:cs="宋体"/>
                <w:sz w:val="21"/>
                <w:szCs w:val="21"/>
                <w:lang w:val="en-US" w:eastAsia="zh-CN"/>
              </w:rPr>
              <w:t>16</w:t>
            </w:r>
            <w:r>
              <w:rPr>
                <w:rFonts w:hint="eastAsia" w:cs="宋体"/>
                <w:sz w:val="21"/>
                <w:szCs w:val="21"/>
                <w:lang w:val="en-US" w:eastAsia="zh-CN"/>
              </w:rPr>
              <w:t>.</w:t>
            </w:r>
            <w:r>
              <w:rPr>
                <w:rFonts w:hint="eastAsia" w:ascii="Times New Roman" w:hAnsi="Times New Roman" w:cs="宋体"/>
                <w:sz w:val="21"/>
                <w:szCs w:val="21"/>
                <w:lang w:val="en-US" w:eastAsia="zh-CN"/>
              </w:rPr>
              <w:t>0</w:t>
            </w:r>
            <w:r>
              <w:rPr>
                <w:rFonts w:hint="eastAsia" w:cs="宋体"/>
                <w:sz w:val="21"/>
                <w:szCs w:val="21"/>
                <w:lang w:val="en-US" w:eastAsia="zh-CN"/>
              </w:rPr>
              <w:t>～</w:t>
            </w:r>
            <w:r>
              <w:rPr>
                <w:rFonts w:hint="eastAsia" w:ascii="Times New Roman" w:hAnsi="Times New Roman" w:cs="宋体"/>
                <w:sz w:val="21"/>
                <w:szCs w:val="21"/>
                <w:lang w:val="en-US" w:eastAsia="zh-CN"/>
              </w:rPr>
              <w:t>25</w:t>
            </w:r>
            <w:r>
              <w:rPr>
                <w:rFonts w:hint="eastAsia" w:cs="宋体"/>
                <w:sz w:val="21"/>
                <w:szCs w:val="21"/>
                <w:lang w:val="en-US" w:eastAsia="zh-CN"/>
              </w:rPr>
              <w:t>.</w:t>
            </w:r>
            <w:r>
              <w:rPr>
                <w:rFonts w:hint="eastAsia" w:ascii="Times New Roman" w:hAnsi="Times New Roman" w:cs="宋体"/>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建规火灾分级</w:t>
            </w:r>
          </w:p>
        </w:tc>
        <w:tc>
          <w:tcPr>
            <w:tcW w:w="2913" w:type="dxa"/>
            <w:gridSpan w:val="2"/>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戊</w:t>
            </w:r>
          </w:p>
        </w:tc>
        <w:tc>
          <w:tcPr>
            <w:tcW w:w="1912" w:type="dxa"/>
            <w:gridSpan w:val="2"/>
            <w:noWrap w:val="0"/>
            <w:vAlign w:val="center"/>
          </w:tcPr>
          <w:p>
            <w:pPr>
              <w:spacing w:line="240" w:lineRule="auto"/>
              <w:ind w:firstLine="0" w:firstLineChars="0"/>
              <w:jc w:val="center"/>
              <w:rPr>
                <w:rFonts w:hint="eastAsia" w:cs="宋体"/>
                <w:sz w:val="21"/>
                <w:szCs w:val="21"/>
                <w:lang w:eastAsia="zh-CN"/>
              </w:rPr>
            </w:pPr>
            <w:r>
              <w:rPr>
                <w:rFonts w:hint="eastAsia" w:cs="宋体"/>
                <w:sz w:val="21"/>
                <w:szCs w:val="21"/>
                <w:lang w:eastAsia="zh-CN"/>
              </w:rPr>
              <w:t>稳定性</w:t>
            </w:r>
          </w:p>
        </w:tc>
        <w:tc>
          <w:tcPr>
            <w:tcW w:w="2127" w:type="dxa"/>
            <w:noWrap w:val="0"/>
            <w:vAlign w:val="center"/>
          </w:tcPr>
          <w:p>
            <w:pPr>
              <w:spacing w:line="240" w:lineRule="auto"/>
              <w:ind w:firstLine="0" w:firstLineChars="0"/>
              <w:jc w:val="center"/>
              <w:rPr>
                <w:rFonts w:hint="eastAsia" w:cs="宋体"/>
                <w:sz w:val="21"/>
                <w:szCs w:val="21"/>
                <w:lang w:val="en-US" w:eastAsia="zh-CN"/>
              </w:rPr>
            </w:pPr>
            <w:r>
              <w:rPr>
                <w:rFonts w:hint="eastAsia" w:cs="宋体"/>
                <w:sz w:val="21"/>
                <w:szCs w:val="21"/>
                <w:lang w:val="en-US" w:eastAsia="zh-CN"/>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危险特性</w:t>
            </w:r>
          </w:p>
        </w:tc>
        <w:tc>
          <w:tcPr>
            <w:tcW w:w="6952" w:type="dxa"/>
            <w:gridSpan w:val="5"/>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易分解放出氨气，温度越高，分解速度越快，可形成爆炸性气体。若遇高热，容器内压增大，有开裂和爆炸的危险。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hAnsi="宋体" w:cs="宋体"/>
                <w:sz w:val="21"/>
                <w:szCs w:val="21"/>
              </w:rPr>
            </w:pPr>
          </w:p>
        </w:tc>
        <w:tc>
          <w:tcPr>
            <w:tcW w:w="8461" w:type="dxa"/>
            <w:gridSpan w:val="6"/>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灭火方法：用雾状水、二氧化碳、砂土灭火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包装储运</w:t>
            </w:r>
          </w:p>
        </w:tc>
        <w:tc>
          <w:tcPr>
            <w:tcW w:w="1509"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储存注意事项</w:t>
            </w:r>
          </w:p>
        </w:tc>
        <w:tc>
          <w:tcPr>
            <w:tcW w:w="6952" w:type="dxa"/>
            <w:gridSpan w:val="5"/>
            <w:noWrap w:val="0"/>
            <w:vAlign w:val="center"/>
          </w:tcPr>
          <w:p>
            <w:pPr>
              <w:spacing w:line="240" w:lineRule="auto"/>
              <w:ind w:firstLine="0" w:firstLineChars="0"/>
              <w:jc w:val="left"/>
              <w:rPr>
                <w:rFonts w:hint="default" w:ascii="宋体" w:hAnsi="宋体" w:eastAsia="宋体" w:cs="宋体"/>
                <w:sz w:val="21"/>
                <w:szCs w:val="21"/>
                <w:lang w:val="en-US" w:eastAsia="zh-CN" w:bidi="ar-SA"/>
              </w:rPr>
            </w:pPr>
            <w:r>
              <w:rPr>
                <w:rFonts w:hint="eastAsia" w:cs="宋体"/>
                <w:sz w:val="21"/>
                <w:szCs w:val="21"/>
                <w:lang w:val="en-US" w:eastAsia="zh-CN"/>
              </w:rPr>
              <w:t>储存于阴凉、干燥通风的仓间内。远离火种、热源。防止阳光直射。应与酸类、金属类粉末分开存放。搬运时应轻装轻卸，防止包装和容器损坏。运输按规定路线行驶，勿在居民区和人口稠密区停留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hAnsi="宋体" w:cs="宋体"/>
                <w:sz w:val="21"/>
                <w:szCs w:val="21"/>
              </w:rPr>
            </w:pPr>
            <w:r>
              <w:rPr>
                <w:rFonts w:hint="eastAsia" w:cs="宋体"/>
                <w:sz w:val="21"/>
                <w:szCs w:val="21"/>
                <w:lang w:eastAsia="zh-CN"/>
              </w:rPr>
              <w:t>毒性危害</w:t>
            </w:r>
          </w:p>
        </w:tc>
        <w:tc>
          <w:tcPr>
            <w:tcW w:w="1509" w:type="dxa"/>
            <w:noWrap w:val="0"/>
            <w:vAlign w:val="center"/>
          </w:tcPr>
          <w:p>
            <w:pPr>
              <w:spacing w:line="240" w:lineRule="auto"/>
              <w:ind w:firstLine="0" w:firstLineChars="0"/>
              <w:jc w:val="center"/>
              <w:rPr>
                <w:rFonts w:hint="eastAsia" w:ascii="宋体" w:hAnsi="宋体" w:eastAsia="宋体" w:cs="宋体"/>
                <w:sz w:val="21"/>
                <w:szCs w:val="21"/>
                <w:lang w:val="en-US" w:eastAsia="zh-CN" w:bidi="ar-SA"/>
              </w:rPr>
            </w:pPr>
            <w:r>
              <w:rPr>
                <w:rFonts w:hint="eastAsia" w:cs="宋体"/>
                <w:sz w:val="21"/>
                <w:szCs w:val="21"/>
                <w:lang w:eastAsia="zh-CN"/>
              </w:rPr>
              <w:t>侵入途径</w:t>
            </w:r>
          </w:p>
        </w:tc>
        <w:tc>
          <w:tcPr>
            <w:tcW w:w="6952" w:type="dxa"/>
            <w:gridSpan w:val="5"/>
            <w:noWrap w:val="0"/>
            <w:vAlign w:val="center"/>
          </w:tcPr>
          <w:p>
            <w:pPr>
              <w:spacing w:line="240" w:lineRule="auto"/>
              <w:ind w:firstLine="0" w:firstLineChars="0"/>
              <w:jc w:val="left"/>
              <w:rPr>
                <w:rFonts w:hint="default" w:ascii="宋体" w:hAnsi="宋体" w:eastAsia="宋体" w:cs="宋体"/>
                <w:sz w:val="21"/>
                <w:szCs w:val="21"/>
                <w:lang w:val="en-US" w:eastAsia="zh-CN" w:bidi="ar-SA"/>
              </w:rPr>
            </w:pPr>
            <w:r>
              <w:rPr>
                <w:rFonts w:hint="eastAsia" w:cs="宋体"/>
                <w:sz w:val="21"/>
                <w:szCs w:val="21"/>
                <w:lang w:eastAsia="zh-CN"/>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毒性</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ascii="Times New Roman" w:hAnsi="Times New Roman" w:cs="宋体"/>
                <w:sz w:val="21"/>
                <w:szCs w:val="21"/>
                <w:lang w:val="en-US" w:eastAsia="zh-CN"/>
              </w:rPr>
              <w:t>LD</w:t>
            </w:r>
            <w:r>
              <w:rPr>
                <w:rFonts w:hint="eastAsia" w:ascii="Times New Roman" w:hAnsi="Times New Roman" w:cs="宋体"/>
                <w:sz w:val="21"/>
                <w:szCs w:val="21"/>
                <w:vertAlign w:val="subscript"/>
                <w:lang w:val="en-US" w:eastAsia="zh-CN"/>
              </w:rPr>
              <w:t>50</w:t>
            </w:r>
            <w:r>
              <w:rPr>
                <w:rFonts w:hint="eastAsia" w:cs="宋体"/>
                <w:sz w:val="21"/>
                <w:szCs w:val="21"/>
                <w:lang w:val="en-US" w:eastAsia="zh-CN"/>
              </w:rPr>
              <w:t>:</w:t>
            </w:r>
            <w:r>
              <w:rPr>
                <w:rFonts w:hint="eastAsia" w:ascii="Times New Roman" w:hAnsi="Times New Roman" w:cs="宋体"/>
                <w:sz w:val="21"/>
                <w:szCs w:val="21"/>
                <w:lang w:val="en-US" w:eastAsia="zh-CN"/>
              </w:rPr>
              <w:t>350mg</w:t>
            </w:r>
            <w:r>
              <w:rPr>
                <w:rFonts w:hint="eastAsia" w:cs="宋体"/>
                <w:sz w:val="21"/>
                <w:szCs w:val="21"/>
                <w:lang w:val="en-US" w:eastAsia="zh-CN"/>
              </w:rPr>
              <w:t>/</w:t>
            </w:r>
            <w:r>
              <w:rPr>
                <w:rFonts w:hint="eastAsia" w:ascii="Times New Roman" w:hAnsi="Times New Roman" w:cs="宋体"/>
                <w:sz w:val="21"/>
                <w:szCs w:val="21"/>
                <w:lang w:val="en-US" w:eastAsia="zh-CN"/>
              </w:rPr>
              <w:t>kg</w:t>
            </w:r>
            <w:r>
              <w:rPr>
                <w:rFonts w:hint="eastAsia" w:cs="宋体"/>
                <w:sz w:val="21"/>
                <w:szCs w:val="21"/>
                <w:lang w:val="en-US" w:eastAsia="zh-CN"/>
              </w:rPr>
              <w:t>（大鼠径口）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健康危害</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val="en-US" w:eastAsia="zh-CN" w:bidi="ar-SA"/>
              </w:rPr>
              <w:t>吸入后对鼻、喉和肺有刺激性引起咳嗽、气短和哮喘等；可因喉头水肿而窒息死亡；可发生肺水肿，引起死亡。氨水溅入眼内，可造成严重损害，甚至导致失明；皮肤接触可致灼伤。慢性影响：反复低浓度接触，可引起支气管炎。皮肤反复接触，可致皮炎，表现为皮肤干燥、痒、发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急救</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皮肤接触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立即用大量流动清水冲洗至少</w:t>
            </w:r>
            <w:r>
              <w:rPr>
                <w:rFonts w:hint="eastAsia" w:ascii="Times New Roman" w:hAnsi="Times New Roman" w:cs="宋体"/>
                <w:sz w:val="21"/>
                <w:szCs w:val="21"/>
                <w:lang w:val="en-US" w:eastAsia="zh-CN"/>
              </w:rPr>
              <w:t>15</w:t>
            </w:r>
            <w:r>
              <w:rPr>
                <w:rFonts w:hint="eastAsia" w:cs="宋体"/>
                <w:sz w:val="21"/>
                <w:szCs w:val="21"/>
                <w:lang w:val="en-US" w:eastAsia="zh-CN"/>
              </w:rPr>
              <w:t>分钟。若有灼伤，就医治疗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眼睛接触</w:t>
            </w:r>
          </w:p>
        </w:tc>
        <w:tc>
          <w:tcPr>
            <w:tcW w:w="6952" w:type="dxa"/>
            <w:gridSpan w:val="5"/>
            <w:noWrap w:val="0"/>
            <w:vAlign w:val="center"/>
          </w:tcPr>
          <w:p>
            <w:pPr>
              <w:spacing w:line="240" w:lineRule="auto"/>
              <w:ind w:firstLine="0"/>
              <w:jc w:val="left"/>
              <w:rPr>
                <w:rFonts w:hint="default" w:cs="宋体"/>
                <w:sz w:val="21"/>
                <w:szCs w:val="21"/>
                <w:lang w:val="en-US" w:eastAsia="zh-CN"/>
              </w:rPr>
            </w:pPr>
            <w:r>
              <w:rPr>
                <w:rFonts w:hint="eastAsia" w:cs="宋体"/>
                <w:sz w:val="21"/>
                <w:szCs w:val="21"/>
                <w:lang w:eastAsia="zh-CN"/>
              </w:rPr>
              <w:t>立即提起眼睑，用流动清水或生理盐水冲洗至少</w:t>
            </w:r>
            <w:r>
              <w:rPr>
                <w:rFonts w:hint="eastAsia" w:ascii="Times New Roman" w:hAnsi="Times New Roman" w:cs="宋体"/>
                <w:sz w:val="21"/>
                <w:szCs w:val="21"/>
                <w:lang w:val="en-US" w:eastAsia="zh-CN"/>
              </w:rPr>
              <w:t>15</w:t>
            </w:r>
            <w:r>
              <w:rPr>
                <w:rFonts w:hint="eastAsia" w:cs="宋体"/>
                <w:sz w:val="21"/>
                <w:szCs w:val="21"/>
                <w:lang w:val="en-US" w:eastAsia="zh-CN"/>
              </w:rPr>
              <w:t>分钟，或用</w:t>
            </w:r>
            <w:r>
              <w:rPr>
                <w:rFonts w:hint="eastAsia" w:ascii="Times New Roman" w:hAnsi="Times New Roman" w:cs="宋体"/>
                <w:sz w:val="21"/>
                <w:szCs w:val="21"/>
                <w:lang w:val="en-US" w:eastAsia="zh-CN"/>
              </w:rPr>
              <w:t>3</w:t>
            </w:r>
            <w:r>
              <w:rPr>
                <w:rFonts w:hint="eastAsia" w:cs="宋体"/>
                <w:sz w:val="21"/>
                <w:szCs w:val="21"/>
                <w:lang w:val="en-US" w:eastAsia="zh-CN"/>
              </w:rPr>
              <w:t>%硼酸溶液冲洗。立即就医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吸入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迅速脱离现场至空气新鲜处。保持呼吸道畅通。如呼吸困难，给输氧。呼吸停止时，立即进行人工呼吸。就医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食入</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误服者立即漱口，口服稀释的醋或柠檬汁。就医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restart"/>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防护措施</w:t>
            </w: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工程控制</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严加密闭，提供充分的局部排风和全面通风。提供安淋浴和洗眼设备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呼吸系统防护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可能接触其蒸汽时，应配到导管式防毒面具或直接式防毒面具（半面罩）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眼睛防护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身体防护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穿防酸碱工作服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vMerge w:val="continue"/>
            <w:noWrap w:val="0"/>
            <w:vAlign w:val="center"/>
          </w:tcPr>
          <w:p>
            <w:pPr>
              <w:spacing w:line="240" w:lineRule="auto"/>
              <w:ind w:firstLine="0"/>
              <w:jc w:val="center"/>
              <w:rPr>
                <w:rFonts w:hint="eastAsia" w:cs="宋体"/>
                <w:sz w:val="21"/>
                <w:szCs w:val="21"/>
                <w:lang w:eastAsia="zh-CN"/>
              </w:rPr>
            </w:pPr>
          </w:p>
        </w:tc>
        <w:tc>
          <w:tcPr>
            <w:tcW w:w="1509" w:type="dxa"/>
            <w:noWrap w:val="0"/>
            <w:vAlign w:val="center"/>
          </w:tcPr>
          <w:p>
            <w:pPr>
              <w:spacing w:line="240" w:lineRule="auto"/>
              <w:ind w:firstLine="0"/>
              <w:jc w:val="center"/>
              <w:rPr>
                <w:rFonts w:hint="eastAsia" w:cs="宋体"/>
                <w:sz w:val="21"/>
                <w:szCs w:val="21"/>
                <w:lang w:eastAsia="zh-CN"/>
              </w:rPr>
            </w:pPr>
            <w:r>
              <w:rPr>
                <w:rFonts w:hint="eastAsia" w:cs="宋体"/>
                <w:sz w:val="21"/>
                <w:szCs w:val="21"/>
                <w:lang w:eastAsia="zh-CN"/>
              </w:rPr>
              <w:t>手防护</w:t>
            </w:r>
          </w:p>
        </w:tc>
        <w:tc>
          <w:tcPr>
            <w:tcW w:w="6952" w:type="dxa"/>
            <w:gridSpan w:val="5"/>
            <w:noWrap w:val="0"/>
            <w:vAlign w:val="center"/>
          </w:tcPr>
          <w:p>
            <w:pPr>
              <w:spacing w:line="240" w:lineRule="auto"/>
              <w:ind w:firstLine="0"/>
              <w:jc w:val="left"/>
              <w:rPr>
                <w:rFonts w:hint="eastAsia" w:cs="宋体"/>
                <w:sz w:val="21"/>
                <w:szCs w:val="21"/>
                <w:lang w:eastAsia="zh-CN"/>
              </w:rPr>
            </w:pPr>
            <w:r>
              <w:rPr>
                <w:rFonts w:hint="eastAsia" w:cs="宋体"/>
                <w:sz w:val="21"/>
                <w:szCs w:val="21"/>
                <w:lang w:eastAsia="zh-CN"/>
              </w:rPr>
              <w:t>戴橡胶手套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操作注意事项</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严加密闭作，提供充分的局部排风和全面通风。操作人员必须经过专门培训，严格遵守操作规程。建议操作人员佩戴导管式防毒面具，戴化学安全防护眼镜，穿防酸碱工作服，戴橡胶手套。防止蒸汽泄漏到工作场所空气中。避免与酸类、金属粉末接触。搬运时要轻装轻卸，防止包装及容器损坏。配备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noWrap w:val="0"/>
            <w:vAlign w:val="center"/>
          </w:tcPr>
          <w:p>
            <w:pPr>
              <w:spacing w:line="240" w:lineRule="auto"/>
              <w:ind w:firstLine="0"/>
              <w:jc w:val="center"/>
              <w:rPr>
                <w:rFonts w:hint="eastAsia" w:hAnsi="宋体" w:eastAsia="宋体" w:cs="宋体"/>
                <w:sz w:val="21"/>
                <w:szCs w:val="21"/>
                <w:lang w:eastAsia="zh-CN"/>
              </w:rPr>
            </w:pPr>
            <w:r>
              <w:rPr>
                <w:rFonts w:hint="eastAsia" w:cs="宋体"/>
                <w:sz w:val="21"/>
                <w:szCs w:val="21"/>
                <w:lang w:eastAsia="zh-CN"/>
              </w:rPr>
              <w:t>泄漏应急处理</w:t>
            </w:r>
          </w:p>
        </w:tc>
        <w:tc>
          <w:tcPr>
            <w:tcW w:w="8461" w:type="dxa"/>
            <w:gridSpan w:val="6"/>
            <w:noWrap w:val="0"/>
            <w:vAlign w:val="center"/>
          </w:tcPr>
          <w:p>
            <w:pPr>
              <w:spacing w:line="240" w:lineRule="auto"/>
              <w:ind w:firstLine="0"/>
              <w:jc w:val="left"/>
              <w:rPr>
                <w:rFonts w:hint="eastAsia" w:hAnsi="宋体" w:eastAsia="宋体" w:cs="宋体"/>
                <w:sz w:val="21"/>
                <w:szCs w:val="21"/>
                <w:lang w:eastAsia="zh-CN"/>
              </w:rPr>
            </w:pPr>
            <w:r>
              <w:rPr>
                <w:rFonts w:hint="eastAsia" w:cs="宋体"/>
                <w:sz w:val="21"/>
                <w:szCs w:val="21"/>
                <w:lang w:eastAsia="zh-CN"/>
              </w:rPr>
              <w:t>疏散泄漏污染区人员至安全区，禁止无关人员进入污染区，建议应急处理人员戴自给式呼吸气，穿化学防护服。不要直接接触泄漏物，在确保安全情况下堵漏。用大量水冲洗，经稀释的洗水放入废水系统。用沙土、蛭石或其它惰性材料吸收，然后以少量加入大量水，调节至中性，再放入废水系统。如大量泄漏，利用围堤收容，然后收集、转移、回收或无害处理后废弃。</w:t>
            </w:r>
          </w:p>
        </w:tc>
      </w:tr>
    </w:tbl>
    <w:p>
      <w:pPr>
        <w:pStyle w:val="6"/>
        <w:bidi w:val="0"/>
        <w:rPr>
          <w:rFonts w:hint="eastAsia"/>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2</w:t>
      </w:r>
      <w:r>
        <w:rPr>
          <w:rFonts w:hint="eastAsia"/>
        </w:rPr>
        <w:t>生产过程风险识别</w:t>
      </w:r>
    </w:p>
    <w:p>
      <w:pPr>
        <w:rPr>
          <w:rFonts w:hint="eastAsia"/>
        </w:rPr>
      </w:pPr>
      <w:r>
        <w:rPr>
          <w:rFonts w:hint="eastAsia"/>
        </w:rPr>
        <w:t>参照《企业职工伤亡事故分类</w:t>
      </w:r>
      <w:r>
        <w:rPr>
          <w:rFonts w:hint="eastAsia"/>
          <w:lang w:eastAsia="zh-CN"/>
        </w:rPr>
        <w:t>标准</w:t>
      </w:r>
      <w:r>
        <w:rPr>
          <w:rFonts w:hint="eastAsia"/>
        </w:rPr>
        <w:t>》（</w:t>
      </w:r>
      <w:r>
        <w:rPr>
          <w:rFonts w:hint="eastAsia" w:ascii="Times New Roman" w:hAnsi="Times New Roman"/>
        </w:rPr>
        <w:t>GB</w:t>
      </w:r>
      <w:r>
        <w:rPr>
          <w:rFonts w:hint="eastAsia" w:ascii="Times New Roman" w:hAnsi="Times New Roman"/>
          <w:lang w:val="en-US" w:eastAsia="zh-CN"/>
        </w:rPr>
        <w:t>/</w:t>
      </w:r>
      <w:r>
        <w:rPr>
          <w:rFonts w:hint="eastAsia" w:ascii="Times New Roman" w:hAnsi="Times New Roman"/>
          <w:lang w:val="en-US" w:eastAsia="zh-CN"/>
        </w:rPr>
        <w:t>T</w:t>
      </w:r>
      <w:r>
        <w:rPr>
          <w:rFonts w:hint="eastAsia" w:ascii="Times New Roman" w:hAnsi="Times New Roman"/>
        </w:rPr>
        <w:t>6441</w:t>
      </w:r>
      <w:r>
        <w:rPr>
          <w:rFonts w:hint="eastAsia"/>
        </w:rPr>
        <w:t>-</w:t>
      </w:r>
      <w:r>
        <w:rPr>
          <w:rFonts w:hint="eastAsia" w:ascii="Times New Roman" w:hAnsi="Times New Roman"/>
        </w:rPr>
        <w:t>1986</w:t>
      </w:r>
      <w:r>
        <w:rPr>
          <w:rFonts w:hint="eastAsia"/>
        </w:rPr>
        <w:t>），综合考虑引起事故的诱导性原因、致害物、伤害方式等，项目生产过程中存在的主要危险、有害因素辨识见表</w:t>
      </w:r>
      <w:r>
        <w:rPr>
          <w:rFonts w:hint="eastAsia" w:ascii="Times New Roman" w:hAnsi="Times New Roman"/>
          <w:lang w:val="en-US" w:eastAsia="zh-CN"/>
        </w:rPr>
        <w:t>6</w:t>
      </w:r>
      <w:r>
        <w:rPr>
          <w:rFonts w:hint="eastAsia" w:ascii="Times New Roman"/>
          <w:lang w:val="en-US" w:eastAsia="zh-CN"/>
        </w:rPr>
        <w:t>.</w:t>
      </w:r>
      <w:r>
        <w:rPr>
          <w:rFonts w:hint="eastAsia" w:ascii="Times New Roman" w:hAnsi="Times New Roman"/>
          <w:lang w:val="en-US" w:eastAsia="zh-CN"/>
        </w:rPr>
        <w:t>9</w:t>
      </w:r>
      <w:r>
        <w:rPr>
          <w:rFonts w:hint="eastAsia" w:ascii="Times New Roman"/>
          <w:lang w:val="en-US" w:eastAsia="zh-CN"/>
        </w:rPr>
        <w:t>-</w:t>
      </w:r>
      <w:r>
        <w:rPr>
          <w:rFonts w:hint="eastAsia" w:ascii="Times New Roman" w:hAnsi="Times New Roman"/>
          <w:lang w:val="en-US" w:eastAsia="zh-CN"/>
        </w:rPr>
        <w:t>19</w:t>
      </w:r>
      <w:r>
        <w:rPr>
          <w:rFonts w:hint="eastAsia"/>
        </w:rPr>
        <w:t>。</w:t>
      </w:r>
    </w:p>
    <w:p>
      <w:pPr>
        <w:pStyle w:val="20"/>
        <w:spacing w:before="165"/>
        <w:rPr>
          <w:rFonts w:hint="eastAsia"/>
        </w:rPr>
      </w:pPr>
      <w:r>
        <w:rPr>
          <w:rFonts w:hint="eastAsia"/>
        </w:rP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19</w:t>
      </w:r>
      <w:r>
        <w:rPr>
          <w:rFonts w:hint="eastAsia"/>
        </w:rPr>
        <w:t xml:space="preserve">  本项目生产设施风险识别</w:t>
      </w:r>
    </w:p>
    <w:tbl>
      <w:tblPr>
        <w:tblStyle w:val="8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683"/>
        <w:gridCol w:w="879"/>
        <w:gridCol w:w="1979"/>
        <w:gridCol w:w="2518"/>
        <w:gridCol w:w="26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pPr>
              <w:autoSpaceDE w:val="0"/>
              <w:autoSpaceDN w:val="0"/>
              <w:spacing w:line="240" w:lineRule="auto"/>
              <w:ind w:firstLine="0"/>
              <w:contextualSpacing/>
              <w:jc w:val="center"/>
              <w:rPr>
                <w:rFonts w:hint="eastAsia" w:hAnsi="宋体" w:cs="宋体"/>
                <w:color w:val="000000"/>
                <w:spacing w:val="-11"/>
                <w:sz w:val="21"/>
                <w:szCs w:val="21"/>
              </w:rPr>
            </w:pPr>
            <w:bookmarkStart w:id="231" w:name="_Toc440534756"/>
            <w:r>
              <w:rPr>
                <w:rFonts w:hint="eastAsia" w:hAnsi="宋体" w:cs="宋体"/>
                <w:color w:val="000000"/>
                <w:spacing w:val="-11"/>
                <w:sz w:val="21"/>
                <w:szCs w:val="21"/>
              </w:rPr>
              <w:t>序号</w:t>
            </w:r>
          </w:p>
        </w:tc>
        <w:tc>
          <w:tcPr>
            <w:tcW w:w="851" w:type="pct"/>
            <w:gridSpan w:val="2"/>
            <w:noWrap w:val="0"/>
            <w:vAlign w:val="center"/>
          </w:tcPr>
          <w:p>
            <w:pPr>
              <w:autoSpaceDE w:val="0"/>
              <w:autoSpaceDN w:val="0"/>
              <w:spacing w:line="240" w:lineRule="auto"/>
              <w:ind w:firstLine="0"/>
              <w:contextualSpacing/>
              <w:jc w:val="center"/>
              <w:rPr>
                <w:rFonts w:hint="eastAsia" w:hAnsi="宋体" w:cs="宋体"/>
                <w:color w:val="000000"/>
                <w:spacing w:val="-11"/>
                <w:sz w:val="21"/>
                <w:szCs w:val="21"/>
              </w:rPr>
            </w:pPr>
            <w:r>
              <w:rPr>
                <w:rFonts w:hint="eastAsia" w:hAnsi="宋体" w:cs="宋体"/>
                <w:color w:val="000000"/>
                <w:spacing w:val="-11"/>
                <w:sz w:val="21"/>
                <w:szCs w:val="21"/>
              </w:rPr>
              <w:t>生产区域</w:t>
            </w:r>
          </w:p>
        </w:tc>
        <w:tc>
          <w:tcPr>
            <w:tcW w:w="1078" w:type="pct"/>
            <w:noWrap w:val="0"/>
            <w:vAlign w:val="center"/>
          </w:tcPr>
          <w:p>
            <w:pPr>
              <w:autoSpaceDE w:val="0"/>
              <w:autoSpaceDN w:val="0"/>
              <w:spacing w:line="240" w:lineRule="auto"/>
              <w:ind w:firstLine="0"/>
              <w:contextualSpacing/>
              <w:jc w:val="center"/>
              <w:rPr>
                <w:rFonts w:hint="eastAsia" w:hAnsi="宋体" w:cs="宋体"/>
                <w:color w:val="000000"/>
                <w:spacing w:val="-11"/>
                <w:sz w:val="21"/>
                <w:szCs w:val="21"/>
              </w:rPr>
            </w:pPr>
            <w:r>
              <w:rPr>
                <w:rFonts w:hint="eastAsia" w:hAnsi="宋体" w:cs="宋体"/>
                <w:color w:val="000000"/>
                <w:spacing w:val="-11"/>
                <w:sz w:val="21"/>
                <w:szCs w:val="21"/>
              </w:rPr>
              <w:t>生产装置、设备及设施</w:t>
            </w:r>
          </w:p>
        </w:tc>
        <w:tc>
          <w:tcPr>
            <w:tcW w:w="1372" w:type="pct"/>
            <w:noWrap w:val="0"/>
            <w:vAlign w:val="center"/>
          </w:tcPr>
          <w:p>
            <w:pPr>
              <w:autoSpaceDE w:val="0"/>
              <w:autoSpaceDN w:val="0"/>
              <w:spacing w:line="240" w:lineRule="auto"/>
              <w:ind w:firstLine="0"/>
              <w:contextualSpacing/>
              <w:jc w:val="center"/>
              <w:rPr>
                <w:rFonts w:hint="eastAsia" w:hAnsi="宋体" w:cs="宋体"/>
                <w:color w:val="000000"/>
                <w:spacing w:val="-11"/>
                <w:sz w:val="21"/>
                <w:szCs w:val="21"/>
              </w:rPr>
            </w:pPr>
            <w:r>
              <w:rPr>
                <w:rFonts w:hint="eastAsia" w:hAnsi="宋体" w:cs="宋体"/>
                <w:color w:val="000000"/>
                <w:spacing w:val="-11"/>
                <w:sz w:val="21"/>
                <w:szCs w:val="21"/>
              </w:rPr>
              <w:t>诱导性原因、致害物</w:t>
            </w:r>
          </w:p>
        </w:tc>
        <w:tc>
          <w:tcPr>
            <w:tcW w:w="1418" w:type="pct"/>
            <w:noWrap w:val="0"/>
            <w:vAlign w:val="center"/>
          </w:tcPr>
          <w:p>
            <w:pPr>
              <w:autoSpaceDE w:val="0"/>
              <w:autoSpaceDN w:val="0"/>
              <w:spacing w:line="240" w:lineRule="auto"/>
              <w:ind w:firstLine="0"/>
              <w:contextualSpacing/>
              <w:jc w:val="center"/>
              <w:rPr>
                <w:rFonts w:hint="eastAsia" w:hAnsi="宋体" w:cs="宋体"/>
                <w:color w:val="000000"/>
                <w:spacing w:val="-11"/>
                <w:sz w:val="21"/>
                <w:szCs w:val="21"/>
              </w:rPr>
            </w:pPr>
            <w:r>
              <w:rPr>
                <w:rFonts w:hint="eastAsia" w:hAnsi="宋体" w:cs="宋体"/>
                <w:color w:val="000000"/>
                <w:spacing w:val="-11"/>
                <w:sz w:val="21"/>
                <w:szCs w:val="21"/>
              </w:rPr>
              <w:t>事故类别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79" w:type="pct"/>
            <w:noWrap w:val="0"/>
            <w:vAlign w:val="center"/>
          </w:tcPr>
          <w:p>
            <w:pPr>
              <w:widowControl/>
              <w:spacing w:line="240" w:lineRule="auto"/>
              <w:ind w:firstLine="0"/>
              <w:jc w:val="center"/>
              <w:rPr>
                <w:rFonts w:hint="eastAsia" w:hAnsi="宋体" w:cs="宋体"/>
                <w:color w:val="000000"/>
                <w:spacing w:val="-11"/>
                <w:sz w:val="21"/>
                <w:szCs w:val="21"/>
              </w:rPr>
            </w:pPr>
            <w:r>
              <w:rPr>
                <w:rFonts w:hint="eastAsia" w:ascii="Times New Roman" w:hAnsi="Times New Roman"/>
                <w:color w:val="000000"/>
                <w:spacing w:val="-11"/>
                <w:sz w:val="21"/>
                <w:szCs w:val="21"/>
              </w:rPr>
              <w:t>1</w:t>
            </w:r>
          </w:p>
        </w:tc>
        <w:tc>
          <w:tcPr>
            <w:tcW w:w="372" w:type="pct"/>
            <w:noWrap w:val="0"/>
            <w:vAlign w:val="center"/>
          </w:tcPr>
          <w:p>
            <w:pPr>
              <w:widowControl/>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生产装置</w:t>
            </w:r>
          </w:p>
        </w:tc>
        <w:tc>
          <w:tcPr>
            <w:tcW w:w="479" w:type="pct"/>
            <w:noWrap w:val="0"/>
            <w:vAlign w:val="center"/>
          </w:tcPr>
          <w:p>
            <w:pPr>
              <w:widowControl/>
              <w:snapToGrid w:val="0"/>
              <w:spacing w:line="240" w:lineRule="auto"/>
              <w:ind w:firstLine="0"/>
              <w:jc w:val="center"/>
              <w:rPr>
                <w:rFonts w:hint="eastAsia" w:hAnsi="宋体" w:eastAsia="宋体" w:cs="宋体"/>
                <w:color w:val="000000"/>
                <w:spacing w:val="-11"/>
                <w:sz w:val="21"/>
                <w:szCs w:val="21"/>
                <w:lang w:eastAsia="zh-CN"/>
              </w:rPr>
            </w:pPr>
            <w:r>
              <w:rPr>
                <w:rFonts w:hint="eastAsia" w:cs="宋体"/>
                <w:color w:val="000000"/>
                <w:spacing w:val="-11"/>
                <w:sz w:val="21"/>
                <w:szCs w:val="21"/>
                <w:lang w:eastAsia="zh-CN"/>
              </w:rPr>
              <w:t>生产装置区</w:t>
            </w:r>
          </w:p>
        </w:tc>
        <w:tc>
          <w:tcPr>
            <w:tcW w:w="1078" w:type="pct"/>
            <w:noWrap w:val="0"/>
            <w:vAlign w:val="center"/>
          </w:tcPr>
          <w:p>
            <w:pPr>
              <w:widowControl/>
              <w:wordWrap/>
              <w:adjustRightInd/>
              <w:snapToGrid w:val="0"/>
              <w:spacing w:line="280" w:lineRule="exact"/>
              <w:ind w:left="0" w:leftChars="0" w:right="0" w:rightChars="0" w:firstLine="0" w:firstLineChars="0"/>
              <w:jc w:val="center"/>
              <w:textAlignment w:val="auto"/>
              <w:outlineLvl w:val="9"/>
              <w:rPr>
                <w:rFonts w:hint="eastAsia" w:hAnsi="宋体" w:eastAsia="宋体" w:cs="宋体"/>
                <w:color w:val="000000"/>
                <w:spacing w:val="-11"/>
                <w:sz w:val="21"/>
                <w:szCs w:val="21"/>
                <w:lang w:eastAsia="zh-CN"/>
              </w:rPr>
            </w:pPr>
            <w:r>
              <w:rPr>
                <w:rFonts w:hint="eastAsia" w:cs="宋体"/>
                <w:color w:val="auto"/>
                <w:spacing w:val="-11"/>
                <w:sz w:val="21"/>
                <w:szCs w:val="21"/>
                <w:lang w:eastAsia="zh-CN"/>
              </w:rPr>
              <w:t>反应</w:t>
            </w:r>
            <w:r>
              <w:rPr>
                <w:rFonts w:hint="eastAsia" w:hAnsi="宋体" w:cs="宋体"/>
                <w:color w:val="auto"/>
                <w:spacing w:val="-11"/>
                <w:sz w:val="21"/>
                <w:szCs w:val="21"/>
              </w:rPr>
              <w:t>器、供料泵、冷凝器、</w:t>
            </w:r>
            <w:r>
              <w:rPr>
                <w:rFonts w:hint="eastAsia" w:cs="宋体"/>
                <w:color w:val="auto"/>
                <w:spacing w:val="-11"/>
                <w:sz w:val="21"/>
                <w:szCs w:val="21"/>
                <w:lang w:eastAsia="zh-CN"/>
              </w:rPr>
              <w:t>再沸器</w:t>
            </w:r>
            <w:r>
              <w:rPr>
                <w:rFonts w:hint="eastAsia" w:hAnsi="宋体" w:cs="宋体"/>
                <w:color w:val="auto"/>
                <w:spacing w:val="-11"/>
                <w:sz w:val="21"/>
                <w:szCs w:val="21"/>
              </w:rPr>
              <w:t>、中间罐</w:t>
            </w:r>
          </w:p>
        </w:tc>
        <w:tc>
          <w:tcPr>
            <w:tcW w:w="1372" w:type="pct"/>
            <w:noWrap w:val="0"/>
            <w:vAlign w:val="center"/>
          </w:tcPr>
          <w:p>
            <w:pPr>
              <w:widowControl/>
              <w:wordWrap/>
              <w:adjustRightInd/>
              <w:snapToGrid w:val="0"/>
              <w:spacing w:line="280" w:lineRule="exact"/>
              <w:ind w:left="0" w:leftChars="0" w:right="0" w:rightChars="0" w:firstLine="0" w:firstLineChars="0"/>
              <w:jc w:val="center"/>
              <w:textAlignment w:val="auto"/>
              <w:outlineLvl w:val="9"/>
              <w:rPr>
                <w:rFonts w:hint="eastAsia" w:hAnsi="宋体" w:cs="宋体"/>
                <w:color w:val="000000"/>
                <w:spacing w:val="-11"/>
                <w:sz w:val="21"/>
                <w:szCs w:val="21"/>
              </w:rPr>
            </w:pPr>
            <w:r>
              <w:rPr>
                <w:rFonts w:hint="eastAsia" w:hAnsi="宋体" w:cs="宋体"/>
                <w:color w:val="auto"/>
                <w:spacing w:val="-11"/>
                <w:sz w:val="21"/>
                <w:szCs w:val="21"/>
              </w:rPr>
              <w:t>运动物体、带电体、有毒气体</w:t>
            </w:r>
            <w:r>
              <w:rPr>
                <w:rFonts w:hint="eastAsia" w:cs="宋体"/>
                <w:color w:val="auto"/>
                <w:spacing w:val="-11"/>
                <w:sz w:val="21"/>
                <w:szCs w:val="21"/>
                <w:lang w:eastAsia="zh-CN"/>
              </w:rPr>
              <w:t>、有毒液体、高温液体</w:t>
            </w:r>
            <w:r>
              <w:rPr>
                <w:rFonts w:hint="eastAsia" w:hAnsi="宋体" w:cs="宋体"/>
                <w:color w:val="auto"/>
                <w:spacing w:val="-11"/>
                <w:sz w:val="21"/>
                <w:szCs w:val="21"/>
              </w:rPr>
              <w:t>等</w:t>
            </w:r>
          </w:p>
        </w:tc>
        <w:tc>
          <w:tcPr>
            <w:tcW w:w="1418" w:type="pct"/>
            <w:noWrap w:val="0"/>
            <w:vAlign w:val="center"/>
          </w:tcPr>
          <w:p>
            <w:pPr>
              <w:widowControl/>
              <w:wordWrap/>
              <w:adjustRightInd/>
              <w:spacing w:line="280" w:lineRule="exact"/>
              <w:ind w:left="0" w:leftChars="0" w:right="0" w:rightChars="0" w:firstLine="0" w:firstLineChars="0"/>
              <w:jc w:val="center"/>
              <w:textAlignment w:val="auto"/>
              <w:outlineLvl w:val="9"/>
              <w:rPr>
                <w:rFonts w:hint="eastAsia" w:hAnsi="宋体" w:cs="宋体"/>
                <w:color w:val="000000"/>
                <w:spacing w:val="-11"/>
                <w:sz w:val="21"/>
                <w:szCs w:val="21"/>
              </w:rPr>
            </w:pPr>
            <w:r>
              <w:rPr>
                <w:rFonts w:hint="eastAsia" w:hAnsi="宋体" w:cs="宋体"/>
                <w:color w:val="auto"/>
                <w:spacing w:val="-11"/>
                <w:sz w:val="21"/>
                <w:szCs w:val="21"/>
              </w:rPr>
              <w:t>火灾、中毒、窒息、机械伤害、触电、高温灼烫、腐蚀等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9" w:type="pct"/>
            <w:vMerge w:val="restart"/>
            <w:noWrap w:val="0"/>
            <w:vAlign w:val="center"/>
          </w:tcPr>
          <w:p>
            <w:pPr>
              <w:widowControl/>
              <w:spacing w:line="240" w:lineRule="auto"/>
              <w:ind w:firstLine="0"/>
              <w:jc w:val="center"/>
              <w:rPr>
                <w:rFonts w:hint="eastAsia" w:hAnsi="宋体" w:cs="宋体"/>
                <w:color w:val="000000"/>
                <w:spacing w:val="-11"/>
                <w:sz w:val="21"/>
                <w:szCs w:val="21"/>
              </w:rPr>
            </w:pPr>
            <w:r>
              <w:rPr>
                <w:rFonts w:hint="eastAsia" w:ascii="Times New Roman" w:hAnsi="Times New Roman"/>
                <w:color w:val="000000"/>
                <w:spacing w:val="-11"/>
                <w:sz w:val="21"/>
                <w:szCs w:val="21"/>
              </w:rPr>
              <w:t>2</w:t>
            </w:r>
          </w:p>
        </w:tc>
        <w:tc>
          <w:tcPr>
            <w:tcW w:w="372" w:type="pct"/>
            <w:vMerge w:val="restart"/>
            <w:noWrap w:val="0"/>
            <w:vAlign w:val="center"/>
          </w:tcPr>
          <w:p>
            <w:pPr>
              <w:widowControl/>
              <w:spacing w:line="240" w:lineRule="auto"/>
              <w:ind w:firstLine="0"/>
              <w:jc w:val="center"/>
              <w:rPr>
                <w:rFonts w:hint="eastAsia" w:hAnsi="宋体" w:eastAsia="宋体" w:cs="宋体"/>
                <w:color w:val="000000"/>
                <w:spacing w:val="-11"/>
                <w:sz w:val="21"/>
                <w:szCs w:val="21"/>
                <w:lang w:eastAsia="zh-CN"/>
              </w:rPr>
            </w:pPr>
            <w:r>
              <w:rPr>
                <w:rFonts w:hint="eastAsia" w:hAnsi="宋体" w:cs="宋体"/>
                <w:color w:val="000000"/>
                <w:spacing w:val="-11"/>
                <w:sz w:val="21"/>
                <w:szCs w:val="21"/>
              </w:rPr>
              <w:t>储运</w:t>
            </w:r>
            <w:r>
              <w:rPr>
                <w:rFonts w:hint="eastAsia" w:cs="宋体"/>
                <w:color w:val="000000"/>
                <w:spacing w:val="-11"/>
                <w:sz w:val="21"/>
                <w:szCs w:val="21"/>
                <w:lang w:eastAsia="zh-CN"/>
              </w:rPr>
              <w:t>工程</w:t>
            </w:r>
          </w:p>
        </w:tc>
        <w:tc>
          <w:tcPr>
            <w:tcW w:w="479" w:type="pct"/>
            <w:vMerge w:val="restart"/>
            <w:noWrap w:val="0"/>
            <w:vAlign w:val="center"/>
          </w:tcPr>
          <w:p>
            <w:pPr>
              <w:widowControl/>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储运和装卸</w:t>
            </w:r>
          </w:p>
        </w:tc>
        <w:tc>
          <w:tcPr>
            <w:tcW w:w="1078" w:type="pct"/>
            <w:noWrap w:val="0"/>
            <w:vAlign w:val="center"/>
          </w:tcPr>
          <w:p>
            <w:pPr>
              <w:widowControl/>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输送系统、</w:t>
            </w:r>
            <w:r>
              <w:rPr>
                <w:rFonts w:hint="eastAsia" w:cs="宋体"/>
                <w:color w:val="000000"/>
                <w:spacing w:val="-11"/>
                <w:sz w:val="21"/>
                <w:szCs w:val="21"/>
                <w:lang w:eastAsia="zh-CN"/>
              </w:rPr>
              <w:t>储罐区、</w:t>
            </w:r>
            <w:r>
              <w:rPr>
                <w:rFonts w:hint="eastAsia" w:hAnsi="宋体" w:cs="宋体"/>
                <w:color w:val="000000"/>
                <w:spacing w:val="-11"/>
                <w:sz w:val="21"/>
                <w:szCs w:val="21"/>
              </w:rPr>
              <w:t>装卸车区等</w:t>
            </w:r>
          </w:p>
        </w:tc>
        <w:tc>
          <w:tcPr>
            <w:tcW w:w="1372" w:type="pct"/>
            <w:noWrap w:val="0"/>
            <w:vAlign w:val="center"/>
          </w:tcPr>
          <w:p>
            <w:pPr>
              <w:widowControl/>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运动物体、带电物体、车辆</w:t>
            </w:r>
          </w:p>
        </w:tc>
        <w:tc>
          <w:tcPr>
            <w:tcW w:w="1418" w:type="pct"/>
            <w:noWrap w:val="0"/>
            <w:vAlign w:val="center"/>
          </w:tcPr>
          <w:p>
            <w:pPr>
              <w:widowControl/>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火灾、爆炸、机械伤害、触电、车辆伤害等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pPr>
              <w:widowControl/>
              <w:spacing w:line="240" w:lineRule="auto"/>
              <w:ind w:firstLine="0"/>
              <w:jc w:val="center"/>
              <w:rPr>
                <w:rFonts w:hint="eastAsia" w:hAnsi="宋体" w:cs="宋体"/>
                <w:color w:val="000000"/>
                <w:spacing w:val="-11"/>
                <w:sz w:val="21"/>
                <w:szCs w:val="21"/>
              </w:rPr>
            </w:pPr>
          </w:p>
        </w:tc>
        <w:tc>
          <w:tcPr>
            <w:tcW w:w="372" w:type="pct"/>
            <w:vMerge w:val="continue"/>
            <w:noWrap w:val="0"/>
            <w:vAlign w:val="center"/>
          </w:tcPr>
          <w:p>
            <w:pPr>
              <w:widowControl/>
              <w:spacing w:line="240" w:lineRule="auto"/>
              <w:ind w:firstLine="0"/>
              <w:jc w:val="center"/>
              <w:rPr>
                <w:rFonts w:hint="eastAsia" w:hAnsi="宋体" w:cs="宋体"/>
                <w:color w:val="000000"/>
                <w:spacing w:val="-11"/>
                <w:sz w:val="21"/>
                <w:szCs w:val="21"/>
              </w:rPr>
            </w:pPr>
          </w:p>
        </w:tc>
        <w:tc>
          <w:tcPr>
            <w:tcW w:w="479" w:type="pct"/>
            <w:vMerge w:val="continue"/>
            <w:noWrap w:val="0"/>
            <w:vAlign w:val="center"/>
          </w:tcPr>
          <w:p>
            <w:pPr>
              <w:widowControl/>
              <w:snapToGrid w:val="0"/>
              <w:spacing w:line="240" w:lineRule="auto"/>
              <w:ind w:firstLine="0"/>
              <w:jc w:val="center"/>
              <w:rPr>
                <w:rFonts w:hint="eastAsia" w:hAnsi="宋体" w:cs="宋体"/>
                <w:color w:val="000000"/>
                <w:spacing w:val="-11"/>
                <w:sz w:val="21"/>
                <w:szCs w:val="21"/>
              </w:rPr>
            </w:pPr>
          </w:p>
        </w:tc>
        <w:tc>
          <w:tcPr>
            <w:tcW w:w="1078" w:type="pct"/>
            <w:noWrap w:val="0"/>
            <w:vAlign w:val="center"/>
          </w:tcPr>
          <w:p>
            <w:pPr>
              <w:widowControl/>
              <w:snapToGrid w:val="0"/>
              <w:spacing w:line="240" w:lineRule="auto"/>
              <w:ind w:firstLine="0"/>
              <w:jc w:val="center"/>
              <w:rPr>
                <w:rFonts w:hint="eastAsia" w:hAnsi="宋体" w:eastAsia="宋体" w:cs="宋体"/>
                <w:color w:val="000000"/>
                <w:spacing w:val="-11"/>
                <w:sz w:val="21"/>
                <w:szCs w:val="21"/>
                <w:lang w:eastAsia="zh-CN"/>
              </w:rPr>
            </w:pPr>
            <w:r>
              <w:rPr>
                <w:rFonts w:hint="eastAsia" w:cs="宋体"/>
                <w:color w:val="000000"/>
                <w:spacing w:val="-11"/>
                <w:sz w:val="21"/>
                <w:szCs w:val="21"/>
                <w:lang w:eastAsia="zh-CN"/>
              </w:rPr>
              <w:t>危险废物贮存库</w:t>
            </w:r>
          </w:p>
        </w:tc>
        <w:tc>
          <w:tcPr>
            <w:tcW w:w="1372" w:type="pct"/>
            <w:noWrap w:val="0"/>
            <w:vAlign w:val="center"/>
          </w:tcPr>
          <w:p>
            <w:pPr>
              <w:widowControl/>
              <w:snapToGrid w:val="0"/>
              <w:spacing w:line="240" w:lineRule="auto"/>
              <w:ind w:firstLine="0"/>
              <w:jc w:val="center"/>
              <w:rPr>
                <w:rFonts w:hint="eastAsia" w:hAnsi="宋体" w:eastAsia="宋体" w:cs="宋体"/>
                <w:color w:val="000000"/>
                <w:spacing w:val="-11"/>
                <w:sz w:val="21"/>
                <w:szCs w:val="21"/>
                <w:lang w:eastAsia="zh-CN"/>
              </w:rPr>
            </w:pPr>
            <w:r>
              <w:rPr>
                <w:rFonts w:hint="eastAsia" w:cs="宋体"/>
                <w:color w:val="000000"/>
                <w:spacing w:val="-11"/>
                <w:sz w:val="21"/>
                <w:szCs w:val="21"/>
                <w:lang w:eastAsia="zh-CN"/>
              </w:rPr>
              <w:t>废催化剂等</w:t>
            </w:r>
          </w:p>
        </w:tc>
        <w:tc>
          <w:tcPr>
            <w:tcW w:w="1418" w:type="pct"/>
            <w:noWrap w:val="0"/>
            <w:vAlign w:val="center"/>
          </w:tcPr>
          <w:p>
            <w:pPr>
              <w:widowControl/>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中毒、腐蚀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79" w:type="pct"/>
            <w:vMerge w:val="restart"/>
            <w:noWrap w:val="0"/>
            <w:vAlign w:val="center"/>
          </w:tcPr>
          <w:p>
            <w:pPr>
              <w:widowControl/>
              <w:spacing w:line="240" w:lineRule="auto"/>
              <w:ind w:firstLine="0"/>
              <w:jc w:val="center"/>
              <w:rPr>
                <w:rFonts w:hint="eastAsia" w:hAnsi="宋体" w:cs="宋体"/>
                <w:color w:val="000000"/>
                <w:spacing w:val="-11"/>
                <w:sz w:val="21"/>
                <w:szCs w:val="21"/>
              </w:rPr>
            </w:pPr>
            <w:r>
              <w:rPr>
                <w:rFonts w:hint="eastAsia" w:ascii="Times New Roman" w:hAnsi="Times New Roman"/>
                <w:color w:val="000000"/>
                <w:spacing w:val="-11"/>
                <w:sz w:val="21"/>
                <w:szCs w:val="21"/>
              </w:rPr>
              <w:t>3</w:t>
            </w:r>
          </w:p>
        </w:tc>
        <w:tc>
          <w:tcPr>
            <w:tcW w:w="372" w:type="pct"/>
            <w:vMerge w:val="restart"/>
            <w:noWrap w:val="0"/>
            <w:vAlign w:val="center"/>
          </w:tcPr>
          <w:p>
            <w:pPr>
              <w:widowControl/>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公辅工程</w:t>
            </w:r>
          </w:p>
        </w:tc>
        <w:tc>
          <w:tcPr>
            <w:tcW w:w="479" w:type="pct"/>
            <w:noWrap w:val="0"/>
            <w:vAlign w:val="center"/>
          </w:tcPr>
          <w:p>
            <w:pPr>
              <w:widowControl/>
              <w:wordWrap/>
              <w:adjustRightInd/>
              <w:spacing w:line="280" w:lineRule="exact"/>
              <w:ind w:left="0" w:leftChars="0" w:right="0" w:rightChars="0" w:firstLine="0" w:firstLineChars="0"/>
              <w:jc w:val="center"/>
              <w:textAlignment w:val="auto"/>
              <w:outlineLvl w:val="9"/>
              <w:rPr>
                <w:rFonts w:hint="eastAsia" w:ascii="宋体" w:hAnsi="宋体" w:eastAsia="宋体" w:cs="宋体"/>
                <w:color w:val="auto"/>
                <w:spacing w:val="-11"/>
                <w:sz w:val="21"/>
                <w:szCs w:val="21"/>
                <w:lang w:val="en-US" w:eastAsia="zh-CN" w:bidi="ar-SA"/>
              </w:rPr>
            </w:pPr>
            <w:r>
              <w:rPr>
                <w:rFonts w:hint="eastAsia" w:hAnsi="宋体" w:cs="宋体"/>
                <w:color w:val="auto"/>
                <w:spacing w:val="-11"/>
                <w:sz w:val="21"/>
                <w:szCs w:val="21"/>
              </w:rPr>
              <w:t>空压站</w:t>
            </w:r>
          </w:p>
        </w:tc>
        <w:tc>
          <w:tcPr>
            <w:tcW w:w="1078" w:type="pct"/>
            <w:noWrap w:val="0"/>
            <w:vAlign w:val="center"/>
          </w:tcPr>
          <w:p>
            <w:pPr>
              <w:widowControl/>
              <w:wordWrap/>
              <w:adjustRightInd/>
              <w:spacing w:line="280" w:lineRule="exact"/>
              <w:ind w:left="0" w:leftChars="0" w:right="0" w:rightChars="0" w:firstLine="0" w:firstLineChars="0"/>
              <w:jc w:val="center"/>
              <w:textAlignment w:val="auto"/>
              <w:outlineLvl w:val="9"/>
              <w:rPr>
                <w:rFonts w:hint="eastAsia" w:ascii="宋体" w:hAnsi="宋体" w:eastAsia="宋体" w:cs="宋体"/>
                <w:color w:val="auto"/>
                <w:spacing w:val="-11"/>
                <w:sz w:val="21"/>
                <w:szCs w:val="21"/>
                <w:lang w:val="en-US" w:eastAsia="zh-CN" w:bidi="ar-SA"/>
              </w:rPr>
            </w:pPr>
            <w:r>
              <w:rPr>
                <w:rFonts w:hint="eastAsia" w:hAnsi="宋体" w:cs="宋体"/>
                <w:color w:val="auto"/>
                <w:spacing w:val="-11"/>
                <w:sz w:val="21"/>
                <w:szCs w:val="21"/>
              </w:rPr>
              <w:t>空气压缩机、干燥器等</w:t>
            </w:r>
          </w:p>
        </w:tc>
        <w:tc>
          <w:tcPr>
            <w:tcW w:w="1372" w:type="pct"/>
            <w:noWrap w:val="0"/>
            <w:vAlign w:val="center"/>
          </w:tcPr>
          <w:p>
            <w:pPr>
              <w:widowControl/>
              <w:wordWrap/>
              <w:adjustRightInd/>
              <w:snapToGrid w:val="0"/>
              <w:spacing w:line="280" w:lineRule="exact"/>
              <w:ind w:left="0" w:leftChars="0" w:right="0" w:rightChars="0" w:firstLine="0" w:firstLineChars="0"/>
              <w:jc w:val="center"/>
              <w:textAlignment w:val="auto"/>
              <w:outlineLvl w:val="9"/>
              <w:rPr>
                <w:rFonts w:hint="eastAsia" w:ascii="宋体" w:hAnsi="宋体" w:eastAsia="宋体" w:cs="宋体"/>
                <w:color w:val="auto"/>
                <w:spacing w:val="-11"/>
                <w:sz w:val="21"/>
                <w:szCs w:val="21"/>
                <w:lang w:val="en-US" w:eastAsia="zh-CN" w:bidi="ar-SA"/>
              </w:rPr>
            </w:pPr>
            <w:r>
              <w:rPr>
                <w:rFonts w:hint="eastAsia" w:hAnsi="宋体" w:cs="宋体"/>
                <w:color w:val="auto"/>
                <w:spacing w:val="-11"/>
                <w:sz w:val="21"/>
                <w:szCs w:val="21"/>
              </w:rPr>
              <w:t>压力容器、运动物体、带电物体、压缩氮气、压缩空气</w:t>
            </w:r>
          </w:p>
        </w:tc>
        <w:tc>
          <w:tcPr>
            <w:tcW w:w="1418" w:type="pct"/>
            <w:noWrap w:val="0"/>
            <w:vAlign w:val="center"/>
          </w:tcPr>
          <w:p>
            <w:pPr>
              <w:widowControl/>
              <w:wordWrap/>
              <w:adjustRightInd/>
              <w:snapToGrid w:val="0"/>
              <w:spacing w:line="280" w:lineRule="exact"/>
              <w:ind w:left="0" w:leftChars="0" w:right="0" w:rightChars="0" w:firstLine="0" w:firstLineChars="0"/>
              <w:jc w:val="center"/>
              <w:textAlignment w:val="auto"/>
              <w:outlineLvl w:val="9"/>
              <w:rPr>
                <w:rFonts w:hint="eastAsia" w:ascii="宋体" w:hAnsi="宋体" w:eastAsia="宋体" w:cs="宋体"/>
                <w:color w:val="auto"/>
                <w:spacing w:val="-11"/>
                <w:sz w:val="21"/>
                <w:szCs w:val="21"/>
                <w:lang w:val="en-US" w:eastAsia="zh-CN" w:bidi="ar-SA"/>
              </w:rPr>
            </w:pPr>
            <w:r>
              <w:rPr>
                <w:rFonts w:hint="eastAsia" w:hAnsi="宋体" w:cs="宋体"/>
                <w:color w:val="auto"/>
                <w:spacing w:val="-11"/>
                <w:sz w:val="21"/>
                <w:szCs w:val="21"/>
              </w:rPr>
              <w:t>容器爆炸、机械伤害、触电、窒息等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pPr>
              <w:widowControl/>
              <w:spacing w:line="240" w:lineRule="auto"/>
              <w:ind w:firstLine="0"/>
              <w:jc w:val="center"/>
              <w:rPr>
                <w:rFonts w:hint="eastAsia" w:hAnsi="宋体" w:cs="宋体"/>
                <w:color w:val="000000"/>
                <w:spacing w:val="-11"/>
                <w:sz w:val="21"/>
                <w:szCs w:val="21"/>
              </w:rPr>
            </w:pPr>
          </w:p>
        </w:tc>
        <w:tc>
          <w:tcPr>
            <w:tcW w:w="372" w:type="pct"/>
            <w:vMerge w:val="continue"/>
            <w:noWrap w:val="0"/>
            <w:vAlign w:val="center"/>
          </w:tcPr>
          <w:p>
            <w:pPr>
              <w:widowControl/>
              <w:spacing w:line="240" w:lineRule="auto"/>
              <w:ind w:firstLine="0"/>
              <w:jc w:val="center"/>
              <w:rPr>
                <w:rFonts w:hint="eastAsia" w:hAnsi="宋体" w:cs="宋体"/>
                <w:color w:val="000000"/>
                <w:spacing w:val="-11"/>
                <w:sz w:val="21"/>
                <w:szCs w:val="21"/>
              </w:rPr>
            </w:pPr>
          </w:p>
        </w:tc>
        <w:tc>
          <w:tcPr>
            <w:tcW w:w="479" w:type="pct"/>
            <w:noWrap w:val="0"/>
            <w:vAlign w:val="center"/>
          </w:tcPr>
          <w:p>
            <w:pPr>
              <w:widowControl/>
              <w:topLinePunct/>
              <w:autoSpaceDN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循环水系统</w:t>
            </w:r>
          </w:p>
        </w:tc>
        <w:tc>
          <w:tcPr>
            <w:tcW w:w="1078" w:type="pct"/>
            <w:noWrap w:val="0"/>
            <w:vAlign w:val="center"/>
          </w:tcPr>
          <w:p>
            <w:pPr>
              <w:widowControl/>
              <w:topLinePunct/>
              <w:autoSpaceDN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循环水池、循环水塔及附属系统</w:t>
            </w:r>
          </w:p>
        </w:tc>
        <w:tc>
          <w:tcPr>
            <w:tcW w:w="1372" w:type="pct"/>
            <w:noWrap w:val="0"/>
            <w:vAlign w:val="center"/>
          </w:tcPr>
          <w:p>
            <w:pPr>
              <w:widowControl/>
              <w:topLinePunct/>
              <w:autoSpaceDN w:val="0"/>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高处作业平台、带电物体</w:t>
            </w:r>
          </w:p>
        </w:tc>
        <w:tc>
          <w:tcPr>
            <w:tcW w:w="1418" w:type="pct"/>
            <w:noWrap w:val="0"/>
            <w:vAlign w:val="center"/>
          </w:tcPr>
          <w:p>
            <w:pPr>
              <w:widowControl/>
              <w:topLinePunct/>
              <w:autoSpaceDN w:val="0"/>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高空坠落、淹溺、触电等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9" w:type="pct"/>
            <w:vMerge w:val="continue"/>
            <w:noWrap w:val="0"/>
            <w:vAlign w:val="center"/>
          </w:tcPr>
          <w:p>
            <w:pPr>
              <w:widowControl/>
              <w:spacing w:line="240" w:lineRule="auto"/>
              <w:ind w:firstLine="0"/>
              <w:jc w:val="center"/>
              <w:rPr>
                <w:rFonts w:hint="eastAsia" w:hAnsi="宋体" w:cs="宋体"/>
                <w:color w:val="000000"/>
                <w:spacing w:val="-11"/>
                <w:sz w:val="21"/>
                <w:szCs w:val="21"/>
              </w:rPr>
            </w:pPr>
          </w:p>
        </w:tc>
        <w:tc>
          <w:tcPr>
            <w:tcW w:w="372" w:type="pct"/>
            <w:vMerge w:val="continue"/>
            <w:noWrap w:val="0"/>
            <w:vAlign w:val="center"/>
          </w:tcPr>
          <w:p>
            <w:pPr>
              <w:widowControl/>
              <w:spacing w:line="240" w:lineRule="auto"/>
              <w:ind w:firstLine="0"/>
              <w:jc w:val="center"/>
              <w:rPr>
                <w:rFonts w:hint="eastAsia" w:hAnsi="宋体" w:cs="宋体"/>
                <w:color w:val="000000"/>
                <w:spacing w:val="-11"/>
                <w:sz w:val="21"/>
                <w:szCs w:val="21"/>
              </w:rPr>
            </w:pPr>
          </w:p>
        </w:tc>
        <w:tc>
          <w:tcPr>
            <w:tcW w:w="479" w:type="pct"/>
            <w:noWrap w:val="0"/>
            <w:vAlign w:val="center"/>
          </w:tcPr>
          <w:p>
            <w:pPr>
              <w:widowControl/>
              <w:topLinePunct/>
              <w:autoSpaceDN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变配电系统</w:t>
            </w:r>
          </w:p>
        </w:tc>
        <w:tc>
          <w:tcPr>
            <w:tcW w:w="1078" w:type="pct"/>
            <w:noWrap w:val="0"/>
            <w:vAlign w:val="center"/>
          </w:tcPr>
          <w:p>
            <w:pPr>
              <w:widowControl/>
              <w:topLinePunct/>
              <w:autoSpaceDN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变电所、变配电设备等</w:t>
            </w:r>
          </w:p>
        </w:tc>
        <w:tc>
          <w:tcPr>
            <w:tcW w:w="1372" w:type="pct"/>
            <w:noWrap w:val="0"/>
            <w:vAlign w:val="center"/>
          </w:tcPr>
          <w:p>
            <w:pPr>
              <w:widowControl/>
              <w:topLinePunct/>
              <w:autoSpaceDN w:val="0"/>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带电物体、运动物体</w:t>
            </w:r>
          </w:p>
        </w:tc>
        <w:tc>
          <w:tcPr>
            <w:tcW w:w="1418" w:type="pct"/>
            <w:noWrap w:val="0"/>
            <w:vAlign w:val="center"/>
          </w:tcPr>
          <w:p>
            <w:pPr>
              <w:widowControl/>
              <w:topLinePunct/>
              <w:autoSpaceDN w:val="0"/>
              <w:snapToGrid w:val="0"/>
              <w:spacing w:line="240" w:lineRule="auto"/>
              <w:ind w:firstLine="0"/>
              <w:jc w:val="center"/>
              <w:rPr>
                <w:rFonts w:hint="eastAsia" w:hAnsi="宋体" w:cs="宋体"/>
                <w:color w:val="000000"/>
                <w:spacing w:val="-11"/>
                <w:sz w:val="21"/>
                <w:szCs w:val="21"/>
              </w:rPr>
            </w:pPr>
            <w:r>
              <w:rPr>
                <w:rFonts w:hint="eastAsia" w:hAnsi="宋体" w:cs="宋体"/>
                <w:color w:val="000000"/>
                <w:spacing w:val="-11"/>
                <w:sz w:val="21"/>
                <w:szCs w:val="21"/>
              </w:rPr>
              <w:t>触电、机械伤害等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9" w:type="pct"/>
            <w:noWrap w:val="0"/>
            <w:vAlign w:val="center"/>
          </w:tcPr>
          <w:p>
            <w:pPr>
              <w:widowControl/>
              <w:spacing w:line="240" w:lineRule="auto"/>
              <w:ind w:firstLine="0"/>
              <w:jc w:val="center"/>
              <w:rPr>
                <w:rFonts w:hint="eastAsia" w:hAnsi="宋体" w:eastAsia="宋体" w:cs="宋体"/>
                <w:color w:val="000000"/>
                <w:spacing w:val="-11"/>
                <w:sz w:val="21"/>
                <w:szCs w:val="21"/>
                <w:lang w:val="en-US" w:eastAsia="zh-CN"/>
              </w:rPr>
            </w:pPr>
            <w:r>
              <w:rPr>
                <w:rFonts w:hint="eastAsia" w:ascii="Times New Roman" w:hAnsi="Times New Roman" w:cs="宋体"/>
                <w:color w:val="000000"/>
                <w:spacing w:val="-11"/>
                <w:sz w:val="21"/>
                <w:szCs w:val="21"/>
                <w:lang w:val="en-US" w:eastAsia="zh-CN"/>
              </w:rPr>
              <w:t>4</w:t>
            </w:r>
          </w:p>
        </w:tc>
        <w:tc>
          <w:tcPr>
            <w:tcW w:w="372" w:type="pct"/>
            <w:noWrap w:val="0"/>
            <w:vAlign w:val="center"/>
          </w:tcPr>
          <w:p>
            <w:pPr>
              <w:widowControl/>
              <w:spacing w:line="240" w:lineRule="auto"/>
              <w:ind w:firstLine="0"/>
              <w:jc w:val="center"/>
              <w:rPr>
                <w:rFonts w:hint="eastAsia" w:hAnsi="宋体" w:eastAsia="宋体" w:cs="宋体"/>
                <w:color w:val="000000"/>
                <w:spacing w:val="-11"/>
                <w:sz w:val="21"/>
                <w:szCs w:val="21"/>
                <w:lang w:eastAsia="zh-CN"/>
              </w:rPr>
            </w:pPr>
            <w:r>
              <w:rPr>
                <w:rFonts w:hint="eastAsia" w:cs="宋体"/>
                <w:color w:val="000000"/>
                <w:spacing w:val="-11"/>
                <w:sz w:val="21"/>
                <w:szCs w:val="21"/>
                <w:lang w:eastAsia="zh-CN"/>
              </w:rPr>
              <w:t>环保工程</w:t>
            </w:r>
          </w:p>
        </w:tc>
        <w:tc>
          <w:tcPr>
            <w:tcW w:w="479" w:type="pct"/>
            <w:noWrap w:val="0"/>
            <w:vAlign w:val="center"/>
          </w:tcPr>
          <w:p>
            <w:pPr>
              <w:widowControl/>
              <w:topLinePunct/>
              <w:autoSpaceDN w:val="0"/>
              <w:spacing w:line="240" w:lineRule="auto"/>
              <w:ind w:firstLine="0"/>
              <w:jc w:val="center"/>
              <w:rPr>
                <w:rFonts w:hint="eastAsia" w:hAnsi="宋体" w:eastAsia="宋体" w:cs="宋体"/>
                <w:color w:val="000000"/>
                <w:spacing w:val="-11"/>
                <w:sz w:val="21"/>
                <w:szCs w:val="21"/>
                <w:lang w:eastAsia="zh-CN"/>
              </w:rPr>
            </w:pPr>
            <w:r>
              <w:rPr>
                <w:rFonts w:hint="eastAsia" w:cs="宋体"/>
                <w:color w:val="000000"/>
                <w:spacing w:val="-11"/>
                <w:sz w:val="21"/>
                <w:szCs w:val="21"/>
                <w:lang w:eastAsia="zh-CN"/>
              </w:rPr>
              <w:t>尾气吸收塔</w:t>
            </w:r>
          </w:p>
        </w:tc>
        <w:tc>
          <w:tcPr>
            <w:tcW w:w="1078" w:type="pct"/>
            <w:noWrap w:val="0"/>
            <w:vAlign w:val="center"/>
          </w:tcPr>
          <w:p>
            <w:pPr>
              <w:widowControl/>
              <w:topLinePunct/>
              <w:autoSpaceDN w:val="0"/>
              <w:spacing w:line="240" w:lineRule="auto"/>
              <w:ind w:firstLine="0"/>
              <w:jc w:val="center"/>
              <w:rPr>
                <w:rFonts w:hint="default" w:hAnsi="宋体" w:eastAsia="宋体" w:cs="宋体"/>
                <w:color w:val="000000"/>
                <w:spacing w:val="-11"/>
                <w:sz w:val="21"/>
                <w:szCs w:val="21"/>
                <w:lang w:val="en-US" w:eastAsia="zh-CN"/>
              </w:rPr>
            </w:pPr>
            <w:r>
              <w:rPr>
                <w:rFonts w:hint="eastAsia" w:cs="宋体"/>
                <w:color w:val="000000"/>
                <w:spacing w:val="-11"/>
                <w:sz w:val="21"/>
                <w:szCs w:val="21"/>
                <w:lang w:eastAsia="zh-CN"/>
              </w:rPr>
              <w:t>一级水吸收</w:t>
            </w:r>
            <w:r>
              <w:rPr>
                <w:rFonts w:hint="eastAsia" w:cs="宋体"/>
                <w:color w:val="000000"/>
                <w:spacing w:val="-11"/>
                <w:sz w:val="21"/>
                <w:szCs w:val="21"/>
                <w:lang w:val="en-US" w:eastAsia="zh-CN"/>
              </w:rPr>
              <w:t>+二级酸吸收</w:t>
            </w:r>
          </w:p>
        </w:tc>
        <w:tc>
          <w:tcPr>
            <w:tcW w:w="1372" w:type="pct"/>
            <w:noWrap w:val="0"/>
            <w:vAlign w:val="center"/>
          </w:tcPr>
          <w:p>
            <w:pPr>
              <w:widowControl/>
              <w:topLinePunct/>
              <w:autoSpaceDN w:val="0"/>
              <w:snapToGrid w:val="0"/>
              <w:spacing w:line="240" w:lineRule="auto"/>
              <w:ind w:firstLine="0"/>
              <w:jc w:val="center"/>
              <w:rPr>
                <w:rFonts w:hint="eastAsia" w:hAnsi="宋体" w:eastAsia="宋体" w:cs="宋体"/>
                <w:color w:val="000000"/>
                <w:spacing w:val="-11"/>
                <w:sz w:val="21"/>
                <w:szCs w:val="21"/>
                <w:lang w:eastAsia="zh-CN"/>
              </w:rPr>
            </w:pPr>
            <w:r>
              <w:rPr>
                <w:rFonts w:hint="eastAsia" w:cs="宋体"/>
                <w:color w:val="000000"/>
                <w:spacing w:val="-11"/>
                <w:sz w:val="21"/>
                <w:szCs w:val="21"/>
                <w:lang w:eastAsia="zh-CN"/>
              </w:rPr>
              <w:t>腐蚀性液体（氨水、稀硫酸</w:t>
            </w:r>
          </w:p>
        </w:tc>
        <w:tc>
          <w:tcPr>
            <w:tcW w:w="1418" w:type="pct"/>
            <w:noWrap w:val="0"/>
            <w:vAlign w:val="center"/>
          </w:tcPr>
          <w:p>
            <w:pPr>
              <w:widowControl/>
              <w:topLinePunct/>
              <w:autoSpaceDN w:val="0"/>
              <w:snapToGrid w:val="0"/>
              <w:spacing w:line="240" w:lineRule="auto"/>
              <w:ind w:firstLine="0"/>
              <w:jc w:val="center"/>
              <w:rPr>
                <w:rFonts w:hint="eastAsia" w:hAnsi="宋体" w:eastAsia="宋体" w:cs="宋体"/>
                <w:color w:val="000000"/>
                <w:spacing w:val="-11"/>
                <w:sz w:val="21"/>
                <w:szCs w:val="21"/>
                <w:lang w:eastAsia="zh-CN"/>
              </w:rPr>
            </w:pPr>
            <w:r>
              <w:rPr>
                <w:rFonts w:hint="eastAsia" w:cs="宋体"/>
                <w:color w:val="000000"/>
                <w:spacing w:val="-11"/>
                <w:sz w:val="21"/>
                <w:szCs w:val="21"/>
                <w:lang w:eastAsia="zh-CN"/>
              </w:rPr>
              <w:t>中毒、腐蚀</w:t>
            </w:r>
          </w:p>
        </w:tc>
      </w:tr>
      <w:bookmarkEnd w:id="231"/>
    </w:tbl>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lang w:val="en-US" w:eastAsia="zh-CN"/>
        </w:rPr>
        <w:t>危险物质向环境转移的途径识别</w:t>
      </w:r>
    </w:p>
    <w:p>
      <w:pPr>
        <w:widowControl w:val="0"/>
        <w:wordWrap/>
        <w:adjustRightInd w:val="0"/>
        <w:snapToGrid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项目毒害物质扩散途径主要有以下几个方面：</w:t>
      </w:r>
    </w:p>
    <w:p>
      <w:pPr>
        <w:widowControl w:val="0"/>
        <w:wordWrap/>
        <w:adjustRightInd w:val="0"/>
        <w:snapToGrid w:val="0"/>
        <w:ind w:firstLine="480"/>
        <w:textAlignment w:val="auto"/>
        <w:rPr>
          <w:rFonts w:hint="default"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hint="default" w:ascii="Times New Roman" w:hAnsi="Times New Roman" w:cs="Times New Roman"/>
          <w:color w:val="auto"/>
        </w:rPr>
        <w:t>大气扩散：</w:t>
      </w:r>
      <w:r>
        <w:rPr>
          <w:rFonts w:hint="eastAsia" w:ascii="Times New Roman" w:hAnsi="Times New Roman" w:cs="Times New Roman"/>
          <w:color w:val="auto"/>
          <w:lang w:eastAsia="zh-CN"/>
        </w:rPr>
        <w:t>氨、挥发性油类</w:t>
      </w:r>
      <w:r>
        <w:rPr>
          <w:rFonts w:hint="default" w:ascii="Times New Roman" w:hAnsi="Times New Roman" w:cs="Times New Roman"/>
          <w:color w:val="auto"/>
        </w:rPr>
        <w:t>物质</w:t>
      </w:r>
      <w:r>
        <w:rPr>
          <w:rFonts w:hint="eastAsia" w:ascii="Times New Roman" w:hAnsi="Times New Roman" w:cs="Times New Roman"/>
          <w:color w:val="auto"/>
          <w:lang w:eastAsia="zh-CN"/>
        </w:rPr>
        <w:t>（产品</w:t>
      </w:r>
      <w:r>
        <w:rPr>
          <w:rFonts w:hint="eastAsia" w:ascii="Times New Roman" w:hAnsi="Times New Roman" w:cs="Times New Roman"/>
          <w:color w:val="auto"/>
          <w:lang w:eastAsia="zh-CN"/>
        </w:rPr>
        <w:t>PD</w:t>
      </w:r>
      <w:r>
        <w:rPr>
          <w:rFonts w:hint="eastAsia" w:ascii="Times New Roman" w:hAnsi="Times New Roman" w:cs="Times New Roman"/>
          <w:color w:val="auto"/>
          <w:lang w:eastAsia="zh-CN"/>
        </w:rPr>
        <w:t>）</w:t>
      </w:r>
      <w:r>
        <w:rPr>
          <w:rFonts w:hint="default" w:ascii="Times New Roman" w:hAnsi="Times New Roman" w:cs="Times New Roman"/>
          <w:color w:val="auto"/>
        </w:rPr>
        <w:t>泄漏后直接进入大气环境</w:t>
      </w:r>
      <w:r>
        <w:rPr>
          <w:rFonts w:hint="eastAsia" w:ascii="Times New Roman" w:hAnsi="Times New Roman" w:cs="Times New Roman"/>
          <w:color w:val="auto"/>
          <w:lang w:eastAsia="zh-CN"/>
        </w:rPr>
        <w:t>，</w:t>
      </w:r>
      <w:r>
        <w:rPr>
          <w:rFonts w:hint="default" w:ascii="Times New Roman" w:hAnsi="Times New Roman" w:cs="Times New Roman"/>
          <w:color w:val="auto"/>
        </w:rPr>
        <w:t>或者易燃易爆</w:t>
      </w:r>
      <w:r>
        <w:rPr>
          <w:rFonts w:hint="eastAsia" w:ascii="Times New Roman" w:hAnsi="Times New Roman" w:cs="Times New Roman"/>
          <w:color w:val="auto"/>
          <w:lang w:eastAsia="zh-CN"/>
        </w:rPr>
        <w:t>油类</w:t>
      </w:r>
      <w:r>
        <w:rPr>
          <w:rFonts w:hint="default" w:ascii="Times New Roman" w:hAnsi="Times New Roman" w:cs="Times New Roman"/>
          <w:color w:val="auto"/>
        </w:rPr>
        <w:t>物质泄漏发生火灾爆炸事故时伴生污染物进行大气环境，</w:t>
      </w:r>
      <w:r>
        <w:rPr>
          <w:rFonts w:hint="eastAsia" w:ascii="Times New Roman" w:hAnsi="Times New Roman" w:cs="Times New Roman"/>
          <w:color w:val="auto"/>
          <w:lang w:eastAsia="zh-CN"/>
        </w:rPr>
        <w:t>可能</w:t>
      </w:r>
      <w:r>
        <w:rPr>
          <w:rFonts w:hint="default" w:ascii="Times New Roman" w:hAnsi="Times New Roman" w:cs="Times New Roman"/>
          <w:color w:val="auto"/>
        </w:rPr>
        <w:t>通过大气扩散对周围环境造成危害。</w:t>
      </w:r>
    </w:p>
    <w:p>
      <w:pPr>
        <w:widowControl w:val="0"/>
        <w:wordWrap/>
        <w:adjustRightInd w:val="0"/>
        <w:snapToGrid w:val="0"/>
        <w:ind w:firstLine="480"/>
        <w:textAlignment w:val="auto"/>
        <w:rPr>
          <w:rFonts w:hint="eastAsia"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w:t>
      </w:r>
      <w:r>
        <w:rPr>
          <w:rFonts w:hint="default" w:ascii="Times New Roman" w:hAnsi="Times New Roman" w:cs="Times New Roman"/>
          <w:color w:val="auto"/>
        </w:rPr>
        <w:t>水环境</w:t>
      </w:r>
      <w:r>
        <w:rPr>
          <w:rFonts w:hint="eastAsia" w:ascii="Times New Roman" w:hAnsi="Times New Roman" w:cs="Times New Roman"/>
          <w:color w:val="auto"/>
          <w:lang w:val="en-US" w:eastAsia="zh-CN"/>
        </w:rPr>
        <w:t>/土壤</w:t>
      </w:r>
      <w:r>
        <w:rPr>
          <w:rFonts w:hint="default" w:ascii="Times New Roman" w:hAnsi="Times New Roman" w:cs="Times New Roman"/>
          <w:color w:val="auto"/>
        </w:rPr>
        <w:t>扩散：易燃易爆物质发生火灾事故时产生的消防废水或者泄漏的液</w:t>
      </w:r>
      <w:r>
        <w:rPr>
          <w:rFonts w:hint="eastAsia" w:ascii="Times New Roman" w:hAnsi="Times New Roman" w:cs="Times New Roman"/>
          <w:color w:val="auto"/>
          <w:lang w:eastAsia="zh-CN"/>
        </w:rPr>
        <w:t>体</w:t>
      </w:r>
      <w:r>
        <w:rPr>
          <w:rFonts w:hint="default" w:ascii="Times New Roman" w:hAnsi="Times New Roman" w:cs="Times New Roman"/>
          <w:color w:val="auto"/>
        </w:rPr>
        <w:t>未能有效收集，通过排水系统排放入外界水体，对外界水环境造成影响。</w:t>
      </w:r>
      <w:r>
        <w:rPr>
          <w:rFonts w:hint="eastAsia" w:ascii="Times New Roman" w:hAnsi="Times New Roman" w:cs="Times New Roman"/>
          <w:color w:val="auto"/>
          <w:lang w:eastAsia="zh-CN"/>
        </w:rPr>
        <w:t>由于本项目主体装置区地面硬化，周边设有截水沟，可有效收集事故废水。罐区采取分区防渗，发生泄漏易于发现，因此在做好分区防渗工作的情况下，不存在该污染途径。</w:t>
      </w:r>
    </w:p>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4</w:t>
      </w:r>
      <w:r>
        <w:rPr>
          <w:rFonts w:hint="eastAsia"/>
          <w:lang w:val="en-US" w:eastAsia="zh-CN"/>
        </w:rPr>
        <w:t>环境风险识别结果</w:t>
      </w:r>
    </w:p>
    <w:p>
      <w:pPr>
        <w:bidi w:val="0"/>
        <w:rPr>
          <w:rFonts w:hint="default"/>
          <w:lang w:val="en-US" w:eastAsia="zh-CN"/>
        </w:rPr>
      </w:pPr>
      <w:r>
        <w:rPr>
          <w:rFonts w:hint="eastAsia"/>
          <w:lang w:eastAsia="zh-CN"/>
        </w:rPr>
        <w:t>根据本项目涉及的危险物质，可能发生的最大可信事故进行识别。本项目的风险事故情形筛选情况见表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20</w:t>
      </w:r>
      <w:r>
        <w:rPr>
          <w:rFonts w:hint="eastAsia"/>
          <w:lang w:val="en-US" w:eastAsia="zh-CN"/>
        </w:rPr>
        <w:t>。</w:t>
      </w:r>
    </w:p>
    <w:p>
      <w:pPr>
        <w:pStyle w:val="20"/>
        <w:widowControl w:val="0"/>
        <w:wordWrap/>
        <w:adjustRightInd w:val="0"/>
        <w:snapToGrid w:val="0"/>
        <w:spacing w:beforeLines="0"/>
        <w:ind w:firstLine="48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cs="Times New Roman"/>
          <w:b/>
          <w:bCs/>
          <w:color w:val="auto"/>
          <w:lang w:val="en-US" w:eastAsia="zh-CN"/>
        </w:rPr>
        <w:t>6</w:t>
      </w:r>
      <w:r>
        <w:rPr>
          <w:rFonts w:hint="eastAsia"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9</w:t>
      </w:r>
      <w:r>
        <w:rPr>
          <w:rFonts w:hint="eastAsia"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20</w:t>
      </w:r>
      <w:r>
        <w:rPr>
          <w:rFonts w:hint="default" w:ascii="Times New Roman" w:hAnsi="Times New Roman" w:eastAsia="宋体" w:cs="Times New Roman"/>
          <w:b/>
          <w:bCs/>
          <w:color w:val="auto"/>
        </w:rPr>
        <w:t xml:space="preserve">  </w:t>
      </w:r>
      <w:r>
        <w:rPr>
          <w:rFonts w:hint="eastAsia" w:ascii="Times New Roman" w:hAnsi="Times New Roman" w:cs="Times New Roman"/>
          <w:b/>
          <w:bCs/>
          <w:color w:val="auto"/>
          <w:lang w:eastAsia="zh-CN"/>
        </w:rPr>
        <w:t>本</w:t>
      </w:r>
      <w:r>
        <w:rPr>
          <w:rFonts w:hint="default" w:ascii="Times New Roman" w:hAnsi="Times New Roman" w:eastAsia="宋体" w:cs="Times New Roman"/>
          <w:b/>
          <w:bCs/>
          <w:color w:val="auto"/>
        </w:rPr>
        <w:t>项目风险事故情形筛选情况表</w:t>
      </w:r>
    </w:p>
    <w:tbl>
      <w:tblPr>
        <w:tblStyle w:val="80"/>
        <w:tblpPr w:leftFromText="180" w:rightFromText="180" w:vertAnchor="text" w:tblpXSpec="left" w:tblpY="1"/>
        <w:tblOverlap w:val="never"/>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48"/>
        <w:gridCol w:w="1674"/>
        <w:gridCol w:w="2114"/>
        <w:gridCol w:w="1507"/>
        <w:gridCol w:w="1292"/>
        <w:gridCol w:w="19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12"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环境风险源</w:t>
            </w:r>
          </w:p>
        </w:tc>
        <w:tc>
          <w:tcPr>
            <w:tcW w:w="1152"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危险物质</w:t>
            </w:r>
          </w:p>
        </w:tc>
        <w:tc>
          <w:tcPr>
            <w:tcW w:w="821"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环境风险类型</w:t>
            </w:r>
          </w:p>
        </w:tc>
        <w:tc>
          <w:tcPr>
            <w:tcW w:w="704"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影响途径</w:t>
            </w:r>
          </w:p>
        </w:tc>
        <w:tc>
          <w:tcPr>
            <w:tcW w:w="1054"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可能受影响的目标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12"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831m</w:t>
            </w:r>
            <w:r>
              <w:rPr>
                <w:rFonts w:hint="eastAsia" w:ascii="Times New Roman" w:hAnsi="Times New Roman" w:cs="Times New Roman"/>
                <w:color w:val="auto"/>
                <w:sz w:val="21"/>
                <w:szCs w:val="21"/>
                <w:lang w:val="en-US" w:eastAsia="zh-CN"/>
              </w:rPr>
              <w:t>³</w:t>
            </w:r>
            <w:r>
              <w:rPr>
                <w:rFonts w:hint="eastAsia" w:ascii="Times New Roman" w:hAnsi="Times New Roman" w:cs="Times New Roman"/>
                <w:color w:val="auto"/>
                <w:sz w:val="21"/>
                <w:szCs w:val="21"/>
                <w:lang w:eastAsia="zh-CN"/>
              </w:rPr>
              <w:t>PD</w:t>
            </w:r>
            <w:r>
              <w:rPr>
                <w:rFonts w:hint="eastAsia" w:ascii="Times New Roman" w:hAnsi="Times New Roman" w:cs="Times New Roman"/>
                <w:color w:val="auto"/>
                <w:sz w:val="21"/>
                <w:szCs w:val="21"/>
                <w:lang w:eastAsia="zh-CN"/>
              </w:rPr>
              <w:t>储罐</w:t>
            </w:r>
          </w:p>
        </w:tc>
        <w:tc>
          <w:tcPr>
            <w:tcW w:w="1152"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PD</w:t>
            </w:r>
          </w:p>
        </w:tc>
        <w:tc>
          <w:tcPr>
            <w:tcW w:w="821"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火灾爆炸中毒</w:t>
            </w:r>
          </w:p>
        </w:tc>
        <w:tc>
          <w:tcPr>
            <w:tcW w:w="704"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灼伤、吸入</w:t>
            </w:r>
          </w:p>
        </w:tc>
        <w:tc>
          <w:tcPr>
            <w:tcW w:w="1054"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厂内员工、下风向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3"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912"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尾气吸收塔</w:t>
            </w:r>
          </w:p>
        </w:tc>
        <w:tc>
          <w:tcPr>
            <w:tcW w:w="1152"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氨水（浓度≥</w:t>
            </w: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w:t>
            </w:r>
          </w:p>
        </w:tc>
        <w:tc>
          <w:tcPr>
            <w:tcW w:w="821"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泄漏</w:t>
            </w:r>
          </w:p>
        </w:tc>
        <w:tc>
          <w:tcPr>
            <w:tcW w:w="704"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吸入</w:t>
            </w:r>
          </w:p>
        </w:tc>
        <w:tc>
          <w:tcPr>
            <w:tcW w:w="1054" w:type="pct"/>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厂内员工、下风向</w:t>
            </w:r>
          </w:p>
        </w:tc>
      </w:tr>
    </w:tbl>
    <w:p>
      <w:pPr>
        <w:pStyle w:val="5"/>
        <w:bidi w:val="0"/>
        <w:rPr>
          <w:rFonts w:hint="eastAsia"/>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5</w:t>
      </w:r>
      <w:r>
        <w:rPr>
          <w:rFonts w:hint="eastAsia"/>
          <w:lang w:val="en-US" w:eastAsia="zh-CN"/>
        </w:rPr>
        <w:t>环境风险事故情形分析</w:t>
      </w:r>
    </w:p>
    <w:p>
      <w:pPr>
        <w:pStyle w:val="6"/>
        <w:bidi w:val="0"/>
        <w:rPr>
          <w:rFonts w:hint="eastAsia"/>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典型事故案例</w:t>
      </w:r>
    </w:p>
    <w:p>
      <w:r>
        <w:t>化工行业的突发性事故主要表现为反应器的爆炸或破裂和储罐、管道的</w:t>
      </w:r>
      <w:r>
        <w:rPr>
          <w:rFonts w:hint="eastAsia"/>
          <w:lang w:eastAsia="zh-CN"/>
        </w:rPr>
        <w:t>泄漏</w:t>
      </w:r>
      <w:r>
        <w:t>，以及原料、产品运输途中的</w:t>
      </w:r>
      <w:r>
        <w:rPr>
          <w:rFonts w:hint="eastAsia"/>
          <w:lang w:eastAsia="zh-CN"/>
        </w:rPr>
        <w:t>泄漏</w:t>
      </w:r>
      <w:r>
        <w:t>、交通事故和爆炸事故。</w:t>
      </w:r>
      <w:r>
        <w:rPr>
          <w:rFonts w:hint="eastAsia"/>
          <w:lang w:eastAsia="zh-CN"/>
        </w:rPr>
        <w:t>本次评价</w:t>
      </w:r>
      <w:r>
        <w:t>列出与</w:t>
      </w:r>
      <w:r>
        <w:rPr>
          <w:rFonts w:hint="eastAsia"/>
          <w:lang w:eastAsia="zh-CN"/>
        </w:rPr>
        <w:t>储运工程</w:t>
      </w:r>
      <w:r>
        <w:t>有关的事故</w:t>
      </w:r>
      <w:r>
        <w:rPr>
          <w:rFonts w:hint="eastAsia"/>
          <w:lang w:eastAsia="zh-CN"/>
        </w:rPr>
        <w:t>典型</w:t>
      </w:r>
      <w:r>
        <w:t>案例。</w:t>
      </w:r>
    </w:p>
    <w:p>
      <w:pPr>
        <w:rPr>
          <w:rFonts w:hint="eastAsia"/>
          <w:lang w:val="en-US" w:eastAsia="zh-CN"/>
        </w:rPr>
      </w:pPr>
      <w:r>
        <w:rPr>
          <w:rFonts w:hint="eastAsia" w:ascii="Times New Roman" w:hAnsi="Times New Roman" w:cs="Times New Roman"/>
          <w:lang w:val="en-US" w:eastAsia="zh-CN"/>
        </w:rPr>
        <w:t>2008</w:t>
      </w:r>
      <w:r>
        <w:rPr>
          <w:rFonts w:hint="eastAsia"/>
          <w:lang w:val="en-US" w:eastAsia="zh-CN"/>
        </w:rPr>
        <w:t>年</w:t>
      </w:r>
      <w:r>
        <w:rPr>
          <w:rFonts w:hint="eastAsia" w:ascii="Times New Roman" w:hAnsi="Times New Roman" w:cs="Times New Roman"/>
          <w:lang w:val="en-US" w:eastAsia="zh-CN"/>
        </w:rPr>
        <w:t>8</w:t>
      </w:r>
      <w:r>
        <w:rPr>
          <w:rFonts w:hint="eastAsia"/>
          <w:lang w:val="en-US" w:eastAsia="zh-CN"/>
        </w:rPr>
        <w:t>月</w:t>
      </w:r>
      <w:r>
        <w:rPr>
          <w:rFonts w:hint="eastAsia" w:ascii="Times New Roman" w:hAnsi="Times New Roman" w:cs="Times New Roman"/>
          <w:lang w:val="en-US" w:eastAsia="zh-CN"/>
        </w:rPr>
        <w:t>2</w:t>
      </w:r>
      <w:r>
        <w:rPr>
          <w:rFonts w:hint="eastAsia"/>
          <w:lang w:val="en-US" w:eastAsia="zh-CN"/>
        </w:rPr>
        <w:t>日上午</w:t>
      </w:r>
      <w:r>
        <w:rPr>
          <w:rFonts w:hint="eastAsia" w:ascii="Times New Roman" w:hAnsi="Times New Roman" w:cs="Times New Roman"/>
          <w:lang w:val="en-US" w:eastAsia="zh-CN"/>
        </w:rPr>
        <w:t>10</w:t>
      </w:r>
      <w:r>
        <w:rPr>
          <w:rFonts w:hint="eastAsia"/>
          <w:lang w:val="en-US" w:eastAsia="zh-CN"/>
        </w:rPr>
        <w:t>时</w:t>
      </w:r>
      <w:r>
        <w:rPr>
          <w:rFonts w:hint="eastAsia" w:ascii="Times New Roman" w:hAnsi="Times New Roman" w:cs="Times New Roman"/>
          <w:lang w:val="en-US" w:eastAsia="zh-CN"/>
        </w:rPr>
        <w:t>2</w:t>
      </w:r>
      <w:r>
        <w:rPr>
          <w:rFonts w:hint="eastAsia"/>
          <w:lang w:val="en-US" w:eastAsia="zh-CN"/>
        </w:rPr>
        <w:t>分，贵州兴化化工有限责任公司甲醇储罐区一精甲醇储罐发生爆炸燃烧，引发该罐区内其他</w:t>
      </w:r>
      <w:r>
        <w:rPr>
          <w:rFonts w:hint="eastAsia" w:ascii="Times New Roman" w:hAnsi="Times New Roman" w:cs="Times New Roman"/>
          <w:lang w:val="en-US" w:eastAsia="zh-CN"/>
        </w:rPr>
        <w:t>5</w:t>
      </w:r>
      <w:r>
        <w:rPr>
          <w:rFonts w:hint="eastAsia"/>
          <w:lang w:val="en-US" w:eastAsia="zh-CN"/>
        </w:rPr>
        <w:t>个储罐相继发生爆炸燃烧。分析事故原因，</w:t>
      </w:r>
      <w:r>
        <w:rPr>
          <w:rFonts w:hint="eastAsia" w:ascii="Times New Roman" w:hAnsi="Times New Roman" w:cs="Times New Roman"/>
          <w:lang w:val="en-US" w:eastAsia="zh-CN"/>
        </w:rPr>
        <w:t>2008</w:t>
      </w:r>
      <w:r>
        <w:rPr>
          <w:rFonts w:hint="eastAsia"/>
          <w:lang w:val="en-US" w:eastAsia="zh-CN"/>
        </w:rPr>
        <w:t>年</w:t>
      </w:r>
      <w:r>
        <w:rPr>
          <w:rFonts w:hint="eastAsia" w:ascii="Times New Roman" w:hAnsi="Times New Roman" w:cs="Times New Roman"/>
          <w:lang w:val="en-US" w:eastAsia="zh-CN"/>
        </w:rPr>
        <w:t>7</w:t>
      </w:r>
      <w:r>
        <w:rPr>
          <w:rFonts w:hint="eastAsia"/>
          <w:lang w:val="en-US" w:eastAsia="zh-CN"/>
        </w:rPr>
        <w:t>月</w:t>
      </w:r>
      <w:r>
        <w:rPr>
          <w:rFonts w:hint="eastAsia" w:ascii="Times New Roman" w:hAnsi="Times New Roman" w:cs="Times New Roman"/>
          <w:lang w:val="en-US" w:eastAsia="zh-CN"/>
        </w:rPr>
        <w:t>30</w:t>
      </w:r>
      <w:r>
        <w:rPr>
          <w:rFonts w:hint="eastAsia"/>
          <w:lang w:val="en-US" w:eastAsia="zh-CN"/>
        </w:rPr>
        <w:t>日，贵州兴化公司因进行甲醇罐惰性气体保护设施建设，委托无资质的公司进行储罐的二氧化碳管道安装工作，该安装公司在处于生产状况下的甲醇储罐违规将精甲醇储罐顶部备用短接打开，与二氧化碳管道进行连接配管，管道另一端则延伸至罐外下部，造成罐体内部通过管道与大气直接连通，致使空气进入罐内，与甲醇蒸汽形成爆炸性混合气体。</w:t>
      </w:r>
      <w:r>
        <w:rPr>
          <w:rFonts w:hint="eastAsia" w:ascii="Times New Roman" w:hAnsi="Times New Roman" w:cs="Times New Roman"/>
          <w:lang w:val="en-US" w:eastAsia="zh-CN"/>
        </w:rPr>
        <w:t>8</w:t>
      </w:r>
      <w:r>
        <w:rPr>
          <w:rFonts w:hint="eastAsia"/>
          <w:lang w:val="en-US" w:eastAsia="zh-CN"/>
        </w:rPr>
        <w:t>月</w:t>
      </w:r>
      <w:r>
        <w:rPr>
          <w:rFonts w:hint="eastAsia" w:ascii="Times New Roman" w:hAnsi="Times New Roman" w:cs="Times New Roman"/>
          <w:lang w:val="en-US" w:eastAsia="zh-CN"/>
        </w:rPr>
        <w:t>2</w:t>
      </w:r>
      <w:r>
        <w:rPr>
          <w:rFonts w:hint="eastAsia"/>
          <w:lang w:val="en-US" w:eastAsia="zh-CN"/>
        </w:rPr>
        <w:t>日上午，因气温较高，罐内爆炸性混合气体通过配管外泄，使得罐内、管道及管口区域充斥爆炸性混合气体，由于精甲醇罐旁边又在违规进行电焊等动火作业（动火作业未办理动火证），引起管口区域爆炸性混合气体燃烧，并通过连通管道引发罐内爆炸性混合气体爆炸，罐底部被冲开，大量甲醇外泄、燃烧，使附近地势较低处储罐先后被烈火加热，罐内甲醇剧烈汽化，又使得</w:t>
      </w:r>
      <w:r>
        <w:rPr>
          <w:rFonts w:hint="eastAsia" w:ascii="Times New Roman" w:hAnsi="Times New Roman" w:cs="Times New Roman"/>
          <w:lang w:val="en-US" w:eastAsia="zh-CN"/>
        </w:rPr>
        <w:t>5</w:t>
      </w:r>
      <w:r>
        <w:rPr>
          <w:rFonts w:hint="eastAsia"/>
          <w:lang w:val="en-US" w:eastAsia="zh-CN"/>
        </w:rPr>
        <w:t>个储罐相继发生爆炸燃烧。</w:t>
      </w:r>
    </w:p>
    <w:p>
      <w:pPr>
        <w:rPr>
          <w:rFonts w:hint="eastAsia"/>
          <w:lang w:val="en-US" w:eastAsia="zh-CN"/>
        </w:rPr>
      </w:pPr>
      <w:r>
        <w:rPr>
          <w:rFonts w:hint="eastAsia"/>
          <w:lang w:eastAsia="zh-CN"/>
        </w:rPr>
        <w:t>根据美国</w:t>
      </w:r>
      <w:r>
        <w:rPr>
          <w:rFonts w:hint="eastAsia" w:ascii="Times New Roman" w:hAnsi="Times New Roman" w:cs="Times New Roman"/>
          <w:lang w:val="en-US" w:eastAsia="zh-CN"/>
        </w:rPr>
        <w:t>J</w:t>
      </w:r>
      <w:r>
        <w:rPr>
          <w:rFonts w:hint="eastAsia"/>
          <w:lang w:val="en-US" w:eastAsia="zh-CN"/>
        </w:rPr>
        <w:t>/</w:t>
      </w:r>
      <w:r>
        <w:rPr>
          <w:rFonts w:hint="eastAsia" w:ascii="Times New Roman" w:hAnsi="Times New Roman" w:cs="Times New Roman"/>
          <w:lang w:val="en-US" w:eastAsia="zh-CN"/>
        </w:rPr>
        <w:t>HMarsh</w:t>
      </w:r>
      <w:r>
        <w:rPr>
          <w:rFonts w:hint="eastAsia"/>
          <w:lang w:val="en-US" w:eastAsia="zh-CN"/>
        </w:rPr>
        <w:t>＆</w:t>
      </w:r>
      <w:r>
        <w:rPr>
          <w:rFonts w:hint="eastAsia" w:ascii="Times New Roman" w:hAnsi="Times New Roman" w:cs="Times New Roman"/>
          <w:lang w:val="en-US" w:eastAsia="zh-CN"/>
        </w:rPr>
        <w:t>Mclennan</w:t>
      </w:r>
      <w:r>
        <w:rPr>
          <w:rFonts w:hint="eastAsia"/>
          <w:lang w:val="en-US" w:eastAsia="zh-CN"/>
        </w:rPr>
        <w:t>咨询公司《世界石油化工行业近</w:t>
      </w:r>
      <w:r>
        <w:rPr>
          <w:rFonts w:hint="eastAsia" w:ascii="Times New Roman" w:hAnsi="Times New Roman" w:cs="Times New Roman"/>
          <w:lang w:val="en-US" w:eastAsia="zh-CN"/>
        </w:rPr>
        <w:t>30</w:t>
      </w:r>
      <w:r>
        <w:rPr>
          <w:rFonts w:hint="eastAsia"/>
          <w:lang w:val="en-US" w:eastAsia="zh-CN"/>
        </w:rPr>
        <w:t>年来发生的</w:t>
      </w:r>
      <w:r>
        <w:rPr>
          <w:rFonts w:hint="eastAsia" w:ascii="Times New Roman" w:hAnsi="Times New Roman" w:cs="Times New Roman"/>
          <w:lang w:val="en-US" w:eastAsia="zh-CN"/>
        </w:rPr>
        <w:t>100</w:t>
      </w:r>
      <w:r>
        <w:rPr>
          <w:rFonts w:hint="eastAsia"/>
          <w:lang w:val="en-US" w:eastAsia="zh-CN"/>
        </w:rPr>
        <w:t>例重大财产损失事故》（损失在</w:t>
      </w:r>
      <w:r>
        <w:rPr>
          <w:rFonts w:hint="eastAsia" w:ascii="Times New Roman" w:hAnsi="Times New Roman" w:cs="Times New Roman"/>
          <w:lang w:val="en-US" w:eastAsia="zh-CN"/>
        </w:rPr>
        <w:t>1000</w:t>
      </w:r>
      <w:r>
        <w:rPr>
          <w:rFonts w:hint="eastAsia"/>
          <w:lang w:val="en-US" w:eastAsia="zh-CN"/>
        </w:rPr>
        <w:t>万美元的特大型火灾爆炸事故）统计，罐区事故比例达到</w:t>
      </w:r>
      <w:r>
        <w:rPr>
          <w:rFonts w:hint="eastAsia" w:ascii="Times New Roman" w:hAnsi="Times New Roman" w:cs="Times New Roman"/>
          <w:lang w:val="en-US" w:eastAsia="zh-CN"/>
        </w:rPr>
        <w:t>16</w:t>
      </w:r>
      <w:r>
        <w:rPr>
          <w:rFonts w:hint="eastAsia"/>
          <w:lang w:val="en-US" w:eastAsia="zh-CN"/>
        </w:rPr>
        <w:t>.</w:t>
      </w:r>
      <w:r>
        <w:rPr>
          <w:rFonts w:hint="eastAsia" w:ascii="Times New Roman" w:hAnsi="Times New Roman" w:cs="Times New Roman"/>
          <w:lang w:val="en-US" w:eastAsia="zh-CN"/>
        </w:rPr>
        <w:t>8</w:t>
      </w:r>
      <w:r>
        <w:rPr>
          <w:rFonts w:hint="eastAsia" w:ascii="Times New Roman" w:hAnsi="Times New Roman" w:cs="Times New Roman"/>
          <w:lang w:val="en-US" w:eastAsia="zh-CN"/>
        </w:rPr>
        <w:t>%</w:t>
      </w:r>
      <w:r>
        <w:rPr>
          <w:rFonts w:hint="eastAsia"/>
          <w:lang w:val="en-US" w:eastAsia="zh-CN"/>
        </w:rPr>
        <w:t>，事故率最高。</w:t>
      </w:r>
    </w:p>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2</w:t>
      </w:r>
      <w:r>
        <w:rPr>
          <w:rFonts w:hint="eastAsia"/>
          <w:lang w:val="en-US" w:eastAsia="zh-CN"/>
        </w:rPr>
        <w:t>最大可信事故</w:t>
      </w:r>
    </w:p>
    <w:p>
      <w:pPr>
        <w:rPr>
          <w:rFonts w:hint="eastAsia" w:eastAsia="宋体"/>
          <w:lang w:val="en-US" w:eastAsia="zh-CN"/>
        </w:rPr>
      </w:pPr>
      <w:r>
        <w:rPr>
          <w:rFonts w:hint="eastAsia"/>
          <w:lang w:val="en-US" w:eastAsia="zh-CN"/>
        </w:rPr>
        <w:t>根据</w:t>
      </w:r>
      <w:r>
        <w:rPr>
          <w:rFonts w:hint="eastAsia"/>
          <w:lang w:eastAsia="zh-CN"/>
        </w:rPr>
        <w:t>致害因素，最大可信中毒事故树图见图</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cs="Times New Roman"/>
          <w:lang w:val="en-US" w:eastAsia="zh-CN"/>
        </w:rPr>
        <w:t>1</w:t>
      </w:r>
      <w:r>
        <w:rPr>
          <w:rFonts w:hint="eastAsia"/>
          <w:lang w:val="en-US" w:eastAsia="zh-CN"/>
        </w:rPr>
        <w:t>，各事件发生的概率见表</w:t>
      </w:r>
      <w:r>
        <w:rPr>
          <w:rFonts w:hint="eastAsia" w:ascii="Times New Roman" w:hAnsi="Times New Roman" w:cs="Times New Roman"/>
          <w:lang w:val="en-US" w:eastAsia="zh-CN"/>
        </w:rPr>
        <w:t>6</w:t>
      </w:r>
      <w:r>
        <w:rPr>
          <w:rFonts w:hint="eastAsia" w:cs="Times New Roman"/>
          <w:lang w:val="en-US" w:eastAsia="zh-CN"/>
        </w:rPr>
        <w:t>.</w:t>
      </w:r>
      <w:r>
        <w:rPr>
          <w:rFonts w:hint="eastAsia" w:ascii="Times New Roman" w:hAnsi="Times New Roman" w:cs="Times New Roman"/>
          <w:lang w:val="en-US" w:eastAsia="zh-CN"/>
        </w:rPr>
        <w:t>9</w:t>
      </w:r>
      <w:r>
        <w:rPr>
          <w:rFonts w:hint="eastAsia" w:cs="Times New Roman"/>
          <w:lang w:val="en-US" w:eastAsia="zh-CN"/>
        </w:rPr>
        <w:t>-</w:t>
      </w:r>
      <w:r>
        <w:rPr>
          <w:rFonts w:hint="eastAsia" w:ascii="Times New Roman" w:hAnsi="Times New Roman" w:cs="Times New Roman"/>
          <w:lang w:val="en-US" w:eastAsia="zh-CN"/>
        </w:rPr>
        <w:t>21</w:t>
      </w:r>
      <w:r>
        <w:rPr>
          <w:rFonts w:hint="eastAsia"/>
          <w:lang w:val="en-US" w:eastAsia="zh-CN"/>
        </w:rPr>
        <w:t>。</w:t>
      </w:r>
    </w:p>
    <w:p>
      <w:pPr>
        <w:pStyle w:val="20"/>
        <w:keepNext w:val="0"/>
        <w:keepLines w:val="0"/>
        <w:pageBreakBefore w:val="0"/>
        <w:widowControl w:val="0"/>
        <w:kinsoku/>
        <w:wordWrap/>
        <w:overflowPunct/>
        <w:topLinePunct w:val="0"/>
        <w:autoSpaceDE/>
        <w:autoSpaceDN/>
        <w:bidi w:val="0"/>
        <w:adjustRightInd/>
        <w:snapToGrid/>
        <w:spacing w:before="0" w:beforeLines="0"/>
        <w:textAlignment w:val="auto"/>
        <w:rPr>
          <w:lang w:val="en-US"/>
        </w:rPr>
      </w:pPr>
      <w:r>
        <w:rPr>
          <w:lang w:val="en-US" w:eastAsia="zh-CN"/>
        </w:rPr>
        <w:drawing>
          <wp:anchor distT="0" distB="0" distL="114300" distR="114300" simplePos="0" relativeHeight="251684864" behindDoc="0" locked="0" layoutInCell="1" allowOverlap="1">
            <wp:simplePos x="0" y="0"/>
            <wp:positionH relativeFrom="column">
              <wp:posOffset>304165</wp:posOffset>
            </wp:positionH>
            <wp:positionV relativeFrom="paragraph">
              <wp:posOffset>35560</wp:posOffset>
            </wp:positionV>
            <wp:extent cx="5318760" cy="3829050"/>
            <wp:effectExtent l="0" t="0" r="15240" b="0"/>
            <wp:wrapTopAndBottom/>
            <wp:docPr id="7" name="图片 5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65" descr="IMG_256"/>
                    <pic:cNvPicPr>
                      <a:picLocks noChangeAspect="1"/>
                    </pic:cNvPicPr>
                  </pic:nvPicPr>
                  <pic:blipFill>
                    <a:blip r:embed="rId91"/>
                    <a:stretch>
                      <a:fillRect/>
                    </a:stretch>
                  </pic:blipFill>
                  <pic:spPr>
                    <a:xfrm>
                      <a:off x="0" y="0"/>
                      <a:ext cx="5318760" cy="3829050"/>
                    </a:xfrm>
                    <a:prstGeom prst="rect">
                      <a:avLst/>
                    </a:prstGeom>
                    <a:noFill/>
                    <a:ln>
                      <a:noFill/>
                    </a:ln>
                  </pic:spPr>
                </pic:pic>
              </a:graphicData>
            </a:graphic>
          </wp:anchor>
        </w:drawing>
      </w:r>
      <w:r>
        <w:rPr>
          <w:rFonts w:hint="eastAsia"/>
          <w:lang w:eastAsia="zh-CN"/>
        </w:rPr>
        <w:t>图</w:t>
      </w:r>
      <w:r>
        <w:rPr>
          <w:rFonts w:hint="eastAsia" w:ascii="Times New Roman" w:hAnsi="Times New Roman" w:cs="Times New Roman"/>
          <w:lang w:val="en-US" w:eastAsia="zh-CN"/>
        </w:rPr>
        <w:t>6</w:t>
      </w:r>
      <w:r>
        <w:rPr>
          <w:rFonts w:hint="eastAsia" w:cs="Times New Roman"/>
          <w:lang w:val="en-US" w:eastAsia="zh-CN"/>
        </w:rPr>
        <w:t>.</w:t>
      </w:r>
      <w:r>
        <w:rPr>
          <w:rFonts w:hint="eastAsia" w:ascii="Times New Roman" w:hAnsi="Times New Roman" w:cs="Times New Roman"/>
          <w:lang w:val="en-US" w:eastAsia="zh-CN"/>
        </w:rPr>
        <w:t>9</w:t>
      </w:r>
      <w:r>
        <w:rPr>
          <w:rFonts w:hint="eastAsia"/>
          <w:lang w:val="en-US" w:eastAsia="zh-CN"/>
        </w:rPr>
        <w:t>-</w:t>
      </w:r>
      <w:r>
        <w:rPr>
          <w:rFonts w:hint="eastAsia" w:ascii="Times New Roman" w:hAnsi="Times New Roman" w:cs="Times New Roman"/>
          <w:lang w:val="en-US" w:eastAsia="zh-CN"/>
        </w:rPr>
        <w:t>1</w:t>
      </w:r>
      <w:r>
        <w:rPr>
          <w:rFonts w:hint="eastAsia"/>
          <w:lang w:val="en-US" w:eastAsia="zh-CN"/>
        </w:rPr>
        <w:t xml:space="preserve">  中毒泄漏事故树图</w:t>
      </w:r>
    </w:p>
    <w:p>
      <w:pPr>
        <w:pStyle w:val="20"/>
        <w:rPr>
          <w:rFonts w:hint="eastAsia"/>
          <w:lang w:val="en-US" w:eastAsia="zh-CN"/>
        </w:rPr>
      </w:pPr>
      <w:r>
        <w:rPr>
          <w:rFonts w:hint="eastAsia"/>
          <w:lang w:eastAsia="zh-CN"/>
        </w:rPr>
        <w:t>表</w:t>
      </w:r>
      <w:r>
        <w:rPr>
          <w:rFonts w:hint="eastAsia" w:ascii="Times New Roman" w:hAnsi="Times New Roman" w:cs="Times New Roman"/>
          <w:lang w:val="en-US" w:eastAsia="zh-CN"/>
        </w:rPr>
        <w:t>6</w:t>
      </w:r>
      <w:r>
        <w:rPr>
          <w:rFonts w:hint="eastAsia" w:cs="Times New Roman"/>
          <w:lang w:val="en-US" w:eastAsia="zh-CN"/>
        </w:rPr>
        <w:t>.</w:t>
      </w:r>
      <w:r>
        <w:rPr>
          <w:rFonts w:hint="eastAsia" w:ascii="Times New Roman" w:hAnsi="Times New Roman" w:cs="Times New Roman"/>
          <w:lang w:val="en-US" w:eastAsia="zh-CN"/>
        </w:rPr>
        <w:t>9</w:t>
      </w:r>
      <w:r>
        <w:rPr>
          <w:rFonts w:hint="eastAsia" w:cs="Times New Roman"/>
          <w:lang w:val="en-US" w:eastAsia="zh-CN"/>
        </w:rPr>
        <w:t>-</w:t>
      </w:r>
      <w:r>
        <w:rPr>
          <w:rFonts w:hint="eastAsia" w:ascii="Times New Roman" w:hAnsi="Times New Roman" w:cs="Times New Roman"/>
          <w:lang w:val="en-US" w:eastAsia="zh-CN"/>
        </w:rPr>
        <w:t>21</w:t>
      </w:r>
      <w:r>
        <w:rPr>
          <w:rFonts w:hint="eastAsia"/>
          <w:lang w:val="en-US" w:eastAsia="zh-CN"/>
        </w:rPr>
        <w:t xml:space="preserve">  中毒事件发生概率一览表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694"/>
        <w:gridCol w:w="1149"/>
        <w:gridCol w:w="694"/>
        <w:gridCol w:w="1606"/>
        <w:gridCol w:w="693"/>
        <w:gridCol w:w="1607"/>
        <w:gridCol w:w="1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四级事件</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概率</w:t>
            </w:r>
          </w:p>
        </w:tc>
        <w:tc>
          <w:tcPr>
            <w:tcW w:w="11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三级事件</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概率</w:t>
            </w:r>
          </w:p>
        </w:tc>
        <w:tc>
          <w:tcPr>
            <w:tcW w:w="16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二级事件</w:t>
            </w:r>
          </w:p>
        </w:tc>
        <w:tc>
          <w:tcPr>
            <w:tcW w:w="6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概率</w:t>
            </w:r>
          </w:p>
        </w:tc>
        <w:tc>
          <w:tcPr>
            <w:tcW w:w="1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一级事件</w:t>
            </w:r>
          </w:p>
        </w:tc>
        <w:tc>
          <w:tcPr>
            <w:tcW w:w="1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概率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承压不足破裂</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01</w:t>
            </w:r>
          </w:p>
        </w:tc>
        <w:tc>
          <w:tcPr>
            <w:tcW w:w="11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管道故障</w:t>
            </w:r>
          </w:p>
        </w:tc>
        <w:tc>
          <w:tcPr>
            <w:tcW w:w="6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04</w:t>
            </w:r>
          </w:p>
        </w:tc>
        <w:tc>
          <w:tcPr>
            <w:tcW w:w="16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发生泄漏事故</w:t>
            </w:r>
          </w:p>
        </w:tc>
        <w:tc>
          <w:tcPr>
            <w:tcW w:w="6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08</w:t>
            </w:r>
          </w:p>
        </w:tc>
        <w:tc>
          <w:tcPr>
            <w:tcW w:w="16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发生中毒事故</w:t>
            </w:r>
          </w:p>
        </w:tc>
        <w:tc>
          <w:tcPr>
            <w:tcW w:w="11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5</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6</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10</w:t>
            </w:r>
            <w:r>
              <w:rPr>
                <w:rFonts w:hint="eastAsia"/>
                <w:sz w:val="21"/>
                <w:szCs w:val="21"/>
                <w:vertAlign w:val="superscript"/>
                <w:lang w:val="en-US" w:eastAsia="zh-CN"/>
              </w:rPr>
              <w:t>-</w:t>
            </w:r>
            <w:r>
              <w:rPr>
                <w:rFonts w:hint="eastAsia" w:ascii="Times New Roman" w:hAnsi="Times New Roman" w:cs="Times New Roman"/>
                <w:sz w:val="21"/>
                <w:szCs w:val="21"/>
                <w:vertAlign w:val="superscript"/>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管道破裂</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02</w:t>
            </w:r>
          </w:p>
        </w:tc>
        <w:tc>
          <w:tcPr>
            <w:tcW w:w="11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密封垫损坏</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01</w:t>
            </w:r>
          </w:p>
        </w:tc>
        <w:tc>
          <w:tcPr>
            <w:tcW w:w="11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r>
              <w:rPr>
                <w:rFonts w:hint="eastAsia"/>
                <w:sz w:val="21"/>
                <w:szCs w:val="21"/>
                <w:vertAlign w:val="baseline"/>
                <w:lang w:eastAsia="zh-CN"/>
              </w:rPr>
              <w:t>储罐罐体破裂</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02</w:t>
            </w: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出口阀破裂</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02</w:t>
            </w: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未佩戴防护用具</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02</w:t>
            </w:r>
          </w:p>
        </w:tc>
        <w:tc>
          <w:tcPr>
            <w:tcW w:w="16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人员在泄漏污染区防护不当</w:t>
            </w:r>
          </w:p>
        </w:tc>
        <w:tc>
          <w:tcPr>
            <w:tcW w:w="6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07</w:t>
            </w: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不会使用防护用具</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01</w:t>
            </w: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现场未配备防护用具</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01</w:t>
            </w: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防护用具失效</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02</w:t>
            </w: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eastAsia="zh-CN"/>
              </w:rPr>
            </w:pPr>
            <w:r>
              <w:rPr>
                <w:rFonts w:hint="eastAsia"/>
                <w:sz w:val="21"/>
                <w:szCs w:val="21"/>
                <w:vertAlign w:val="baseline"/>
                <w:lang w:eastAsia="zh-CN"/>
              </w:rPr>
              <w:t>躲避不及</w:t>
            </w:r>
          </w:p>
        </w:tc>
        <w:tc>
          <w:tcPr>
            <w:tcW w:w="6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01</w:t>
            </w:r>
          </w:p>
        </w:tc>
        <w:tc>
          <w:tcPr>
            <w:tcW w:w="16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6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75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r>
              <w:rPr>
                <w:rFonts w:hint="eastAsia"/>
                <w:sz w:val="21"/>
                <w:szCs w:val="21"/>
                <w:vertAlign w:val="baseline"/>
                <w:lang w:eastAsia="zh-CN"/>
              </w:rPr>
              <w:t>达到有害浓度</w:t>
            </w:r>
          </w:p>
        </w:tc>
        <w:tc>
          <w:tcPr>
            <w:tcW w:w="6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eastAsia="宋体"/>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sz w:val="21"/>
                <w:szCs w:val="21"/>
                <w:vertAlign w:val="baseline"/>
                <w:lang w:val="en-US" w:eastAsia="zh-CN"/>
              </w:rPr>
              <w:t>.</w:t>
            </w:r>
            <w:r>
              <w:rPr>
                <w:rFonts w:hint="eastAsia" w:ascii="Times New Roman" w:hAnsi="Times New Roman" w:cs="Times New Roman"/>
                <w:sz w:val="21"/>
                <w:szCs w:val="21"/>
                <w:vertAlign w:val="baseline"/>
                <w:lang w:val="en-US" w:eastAsia="zh-CN"/>
              </w:rPr>
              <w:t>01</w:t>
            </w:r>
          </w:p>
        </w:tc>
        <w:tc>
          <w:tcPr>
            <w:tcW w:w="16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c>
          <w:tcPr>
            <w:tcW w:w="11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eastAsia"/>
                <w:sz w:val="21"/>
                <w:szCs w:val="21"/>
                <w:vertAlign w:val="baseline"/>
              </w:rPr>
            </w:pPr>
          </w:p>
        </w:tc>
      </w:tr>
    </w:tbl>
    <w:p>
      <w:pPr>
        <w:rPr>
          <w:rFonts w:hint="eastAsia" w:eastAsia="宋体"/>
          <w:lang w:val="en-US" w:eastAsia="zh-CN"/>
        </w:rPr>
      </w:pPr>
      <w:r>
        <w:rPr>
          <w:rFonts w:hint="eastAsia"/>
          <w:lang w:eastAsia="zh-CN"/>
        </w:rPr>
        <w:t>由表</w:t>
      </w:r>
      <w:r>
        <w:rPr>
          <w:rFonts w:hint="eastAsia" w:ascii="Times New Roman" w:hAnsi="Times New Roman" w:cs="Times New Roman"/>
          <w:lang w:val="en-US" w:eastAsia="zh-CN"/>
        </w:rPr>
        <w:t>6</w:t>
      </w:r>
      <w:r>
        <w:rPr>
          <w:rFonts w:hint="eastAsia" w:cs="Times New Roman"/>
          <w:lang w:val="en-US" w:eastAsia="zh-CN"/>
        </w:rPr>
        <w:t>.</w:t>
      </w:r>
      <w:r>
        <w:rPr>
          <w:rFonts w:hint="eastAsia" w:ascii="Times New Roman" w:hAnsi="Times New Roman" w:cs="Times New Roman"/>
          <w:lang w:val="en-US" w:eastAsia="zh-CN"/>
        </w:rPr>
        <w:t>9</w:t>
      </w:r>
      <w:r>
        <w:rPr>
          <w:rFonts w:hint="eastAsia" w:cs="Times New Roman"/>
          <w:lang w:val="en-US" w:eastAsia="zh-CN"/>
        </w:rPr>
        <w:t>-</w:t>
      </w:r>
      <w:r>
        <w:rPr>
          <w:rFonts w:hint="eastAsia" w:ascii="Times New Roman" w:hAnsi="Times New Roman" w:cs="Times New Roman"/>
          <w:lang w:val="en-US" w:eastAsia="zh-CN"/>
        </w:rPr>
        <w:t>21</w:t>
      </w:r>
      <w:r>
        <w:rPr>
          <w:rFonts w:hint="eastAsia"/>
          <w:lang w:val="en-US" w:eastAsia="zh-CN"/>
        </w:rPr>
        <w:t>可知，储罐、管道等设施泄漏中毒事故发生的概率为</w:t>
      </w:r>
      <w:r>
        <w:rPr>
          <w:rFonts w:hint="eastAsia" w:ascii="Times New Roman" w:hAnsi="Times New Roman" w:cs="Times New Roman"/>
          <w:lang w:val="en-US" w:eastAsia="zh-CN"/>
        </w:rPr>
        <w:t>5</w:t>
      </w:r>
      <w:r>
        <w:rPr>
          <w:rFonts w:hint="eastAsia"/>
          <w:lang w:val="en-US" w:eastAsia="zh-CN"/>
        </w:rPr>
        <w:t>.</w:t>
      </w:r>
      <w:r>
        <w:rPr>
          <w:rFonts w:hint="eastAsia" w:ascii="Times New Roman" w:hAnsi="Times New Roman" w:cs="Times New Roman"/>
          <w:lang w:val="en-US" w:eastAsia="zh-CN"/>
        </w:rPr>
        <w:t>6</w:t>
      </w:r>
      <w:r>
        <w:rPr>
          <w:rFonts w:hint="eastAsia"/>
          <w:lang w:val="en-US" w:eastAsia="zh-CN"/>
        </w:rPr>
        <w:t>×</w:t>
      </w:r>
      <w:r>
        <w:rPr>
          <w:rFonts w:hint="eastAsia" w:ascii="Times New Roman" w:hAnsi="Times New Roman" w:cs="Times New Roman"/>
          <w:lang w:val="en-US" w:eastAsia="zh-CN"/>
        </w:rPr>
        <w:t>10</w:t>
      </w:r>
      <w:r>
        <w:rPr>
          <w:rFonts w:hint="eastAsia"/>
          <w:vertAlign w:val="superscript"/>
          <w:lang w:val="en-US" w:eastAsia="zh-CN"/>
        </w:rPr>
        <w:t>-</w:t>
      </w:r>
      <w:r>
        <w:rPr>
          <w:rFonts w:hint="eastAsia" w:ascii="Times New Roman" w:hAnsi="Times New Roman" w:cs="Times New Roman"/>
          <w:vertAlign w:val="superscript"/>
          <w:lang w:val="en-US" w:eastAsia="zh-CN"/>
        </w:rPr>
        <w:t>5</w:t>
      </w:r>
      <w:r>
        <w:rPr>
          <w:rFonts w:hint="eastAsia"/>
          <w:lang w:val="en-US" w:eastAsia="zh-CN"/>
        </w:rPr>
        <w:t>。</w:t>
      </w:r>
    </w:p>
    <w:p>
      <w:pPr>
        <w:pStyle w:val="5"/>
        <w:bidi w:val="0"/>
        <w:rPr>
          <w:rFonts w:hint="eastAsia" w:hAnsi="Times New Roman"/>
          <w:lang w:val="en-US" w:eastAsia="zh-CN"/>
        </w:rPr>
      </w:pPr>
      <w:bookmarkStart w:id="232" w:name="_Toc11299"/>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rPr>
        <w:t>.</w:t>
      </w:r>
      <w:r>
        <w:rPr>
          <w:rFonts w:hint="eastAsia" w:ascii="Times New Roman" w:hAnsi="Times New Roman"/>
          <w:lang w:val="en-US" w:eastAsia="zh-CN"/>
        </w:rPr>
        <w:t>6</w:t>
      </w:r>
      <w:r>
        <w:rPr>
          <w:rFonts w:hint="eastAsia" w:hAnsi="Times New Roman"/>
          <w:lang w:val="en-US" w:eastAsia="zh-CN"/>
        </w:rPr>
        <w:t>环境风险评价</w:t>
      </w:r>
    </w:p>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1</w:t>
      </w:r>
      <w:r>
        <w:rPr>
          <w:rFonts w:hint="eastAsia"/>
          <w:lang w:val="en-US" w:eastAsia="zh-CN"/>
        </w:rPr>
        <w:t>事故情况大气环境风险影响分析</w:t>
      </w:r>
    </w:p>
    <w:p>
      <w:pPr>
        <w:bidi w:val="0"/>
        <w:rPr>
          <w:rFonts w:hint="eastAsia"/>
          <w:lang w:eastAsia="zh-CN"/>
        </w:rPr>
      </w:pPr>
      <w:r>
        <w:rPr>
          <w:rFonts w:hint="eastAsia"/>
          <w:lang w:eastAsia="zh-CN"/>
        </w:rPr>
        <w:t>正常工况下，本项目储罐和吸收塔均整体密闭，因此不存在</w:t>
      </w:r>
      <w:r>
        <w:rPr>
          <w:rFonts w:hint="eastAsia" w:ascii="Times New Roman" w:hAnsi="Times New Roman"/>
          <w:lang w:eastAsia="zh-CN"/>
        </w:rPr>
        <w:t>PD</w:t>
      </w:r>
      <w:r>
        <w:rPr>
          <w:rFonts w:hint="eastAsia"/>
          <w:lang w:eastAsia="zh-CN"/>
        </w:rPr>
        <w:t>和氨气直接挥发的可能。</w:t>
      </w:r>
    </w:p>
    <w:p>
      <w:pPr>
        <w:bidi w:val="0"/>
        <w:rPr>
          <w:rFonts w:hint="default" w:eastAsia="宋体"/>
          <w:lang w:val="en-US" w:eastAsia="zh-CN"/>
        </w:rPr>
      </w:pPr>
      <w:r>
        <w:rPr>
          <w:rFonts w:hint="eastAsia"/>
          <w:lang w:eastAsia="zh-CN"/>
        </w:rPr>
        <w:t>非正常工况下，当尾气吸收塔发生泄漏后，挥发性废气成份主要为</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，具有明显的刺激性气味；当储罐发生泄漏后，</w:t>
      </w:r>
      <w:r>
        <w:rPr>
          <w:rFonts w:hint="eastAsia" w:ascii="Times New Roman" w:hAnsi="Times New Roman"/>
          <w:lang w:val="en-US" w:eastAsia="zh-CN"/>
        </w:rPr>
        <w:t>PD</w:t>
      </w:r>
      <w:r>
        <w:rPr>
          <w:rFonts w:hint="eastAsia"/>
          <w:lang w:val="en-US" w:eastAsia="zh-CN"/>
        </w:rPr>
        <w:t>也具有明显的胡椒气味。因此尾气吸收塔和</w:t>
      </w:r>
      <w:r>
        <w:rPr>
          <w:rFonts w:hint="eastAsia" w:ascii="Times New Roman" w:hAnsi="Times New Roman"/>
          <w:lang w:val="en-US" w:eastAsia="zh-CN"/>
        </w:rPr>
        <w:t>PD</w:t>
      </w:r>
      <w:r>
        <w:rPr>
          <w:rFonts w:hint="eastAsia"/>
          <w:lang w:val="en-US" w:eastAsia="zh-CN"/>
        </w:rPr>
        <w:t>储罐若发生泄漏，易于发现并进行处理，不存在长期泄漏未被发现的可能。</w:t>
      </w:r>
    </w:p>
    <w:p>
      <w:pPr>
        <w:bidi w:val="0"/>
        <w:rPr>
          <w:rFonts w:hint="eastAsia"/>
          <w:lang w:eastAsia="zh-CN"/>
        </w:rPr>
      </w:pPr>
      <w:r>
        <w:rPr>
          <w:rFonts w:hint="eastAsia"/>
          <w:lang w:eastAsia="zh-CN"/>
        </w:rPr>
        <w:t>氨水挥发出的氨气在常温下不可燃，因此吸收塔不存在火灾爆炸等事故。而</w:t>
      </w:r>
      <w:r>
        <w:rPr>
          <w:rFonts w:hint="eastAsia" w:ascii="Times New Roman" w:hAnsi="Times New Roman"/>
          <w:lang w:eastAsia="zh-CN"/>
        </w:rPr>
        <w:t>PD</w:t>
      </w:r>
      <w:r>
        <w:rPr>
          <w:rFonts w:hint="eastAsia"/>
          <w:lang w:eastAsia="zh-CN"/>
        </w:rPr>
        <w:t>本身易燃，伴随储罐泄漏和</w:t>
      </w:r>
      <w:r>
        <w:rPr>
          <w:rFonts w:hint="eastAsia" w:ascii="Times New Roman" w:hAnsi="Times New Roman"/>
          <w:lang w:eastAsia="zh-CN"/>
        </w:rPr>
        <w:t>PD</w:t>
      </w:r>
      <w:r>
        <w:rPr>
          <w:rFonts w:hint="eastAsia"/>
          <w:lang w:eastAsia="zh-CN"/>
        </w:rPr>
        <w:t>大量挥发，可能导致火灾爆炸事故，对周边环境造成影响。</w:t>
      </w:r>
    </w:p>
    <w:p>
      <w:pPr>
        <w:pStyle w:val="6"/>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3</w:t>
      </w:r>
      <w:r>
        <w:rPr>
          <w:rFonts w:hint="eastAsia"/>
          <w:lang w:val="en-US" w:eastAsia="zh-CN"/>
        </w:rPr>
        <w:t>事故情况地下水环境风险影响分析</w:t>
      </w:r>
    </w:p>
    <w:p>
      <w:pPr>
        <w:ind w:firstLine="480"/>
        <w:rPr>
          <w:rFonts w:hint="eastAsia" w:eastAsia="宋体"/>
          <w:lang w:eastAsia="zh-CN"/>
        </w:rPr>
      </w:pPr>
      <w:r>
        <w:rPr>
          <w:rFonts w:hint="eastAsia"/>
          <w:lang w:eastAsia="zh-CN"/>
        </w:rPr>
        <w:t>本项目</w:t>
      </w:r>
      <w:r>
        <w:rPr>
          <w:rFonts w:hint="eastAsia"/>
          <w:color w:val="auto"/>
          <w:lang w:val="en-US" w:eastAsia="zh-CN"/>
        </w:rPr>
        <w:t>物料泄漏导致地下水污染的预测过程见</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地下水环境影响分析章节。</w:t>
      </w:r>
      <w:r>
        <w:rPr>
          <w:rFonts w:hint="eastAsia"/>
          <w:color w:val="auto"/>
          <w:lang w:eastAsia="zh-CN"/>
        </w:rPr>
        <w:t>本项目</w:t>
      </w:r>
      <w:r>
        <w:rPr>
          <w:rFonts w:hint="eastAsia"/>
          <w:color w:val="auto"/>
        </w:rPr>
        <w:t>采取</w:t>
      </w:r>
      <w:r>
        <w:rPr>
          <w:rFonts w:hint="eastAsia"/>
          <w:color w:val="auto"/>
          <w:lang w:val="en-US" w:eastAsia="zh-CN"/>
        </w:rPr>
        <w:t>分区防渗、</w:t>
      </w:r>
      <w:r>
        <w:rPr>
          <w:rFonts w:hint="eastAsia"/>
          <w:color w:val="auto"/>
        </w:rPr>
        <w:t>硬化</w:t>
      </w:r>
      <w:r>
        <w:rPr>
          <w:rFonts w:hint="eastAsia"/>
          <w:color w:val="auto"/>
          <w:lang w:eastAsia="zh-CN"/>
        </w:rPr>
        <w:t>，装置区周边设置有截水沟；罐区基础防渗硬化并设置围堰</w:t>
      </w:r>
      <w:r>
        <w:rPr>
          <w:rFonts w:hint="eastAsia"/>
          <w:color w:val="auto"/>
        </w:rPr>
        <w:t>，可</w:t>
      </w:r>
      <w:r>
        <w:rPr>
          <w:rFonts w:hint="eastAsia"/>
          <w:color w:val="auto"/>
          <w:lang w:eastAsia="zh-CN"/>
        </w:rPr>
        <w:t>有效</w:t>
      </w:r>
      <w:r>
        <w:rPr>
          <w:rFonts w:hint="eastAsia"/>
          <w:color w:val="auto"/>
        </w:rPr>
        <w:t>收集</w:t>
      </w:r>
      <w:r>
        <w:rPr>
          <w:rFonts w:hint="eastAsia"/>
          <w:color w:val="auto"/>
          <w:lang w:eastAsia="zh-CN"/>
        </w:rPr>
        <w:t>泄漏</w:t>
      </w:r>
      <w:r>
        <w:rPr>
          <w:rFonts w:hint="eastAsia"/>
          <w:color w:val="auto"/>
        </w:rPr>
        <w:t>事故废水。正常工况下，</w:t>
      </w:r>
      <w:r>
        <w:rPr>
          <w:rFonts w:hint="eastAsia"/>
          <w:color w:val="auto"/>
          <w:lang w:eastAsia="zh-CN"/>
        </w:rPr>
        <w:t>泄漏导致地下水</w:t>
      </w:r>
      <w:r>
        <w:rPr>
          <w:rFonts w:hint="eastAsia"/>
          <w:color w:val="auto"/>
        </w:rPr>
        <w:t>环境</w:t>
      </w:r>
      <w:r>
        <w:rPr>
          <w:rFonts w:hint="eastAsia"/>
          <w:color w:val="auto"/>
          <w:lang w:eastAsia="zh-CN"/>
        </w:rPr>
        <w:t>受污染</w:t>
      </w:r>
      <w:r>
        <w:rPr>
          <w:rFonts w:hint="eastAsia"/>
          <w:color w:val="auto"/>
        </w:rPr>
        <w:t>的可能较小，地下水环境风险是可控的。</w:t>
      </w:r>
    </w:p>
    <w:p>
      <w:pPr>
        <w:pStyle w:val="6"/>
        <w:bidi w:val="0"/>
        <w:rPr>
          <w:rFonts w:hint="eastAsia"/>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4</w:t>
      </w:r>
      <w:r>
        <w:rPr>
          <w:rFonts w:hint="eastAsia"/>
          <w:lang w:val="en-US" w:eastAsia="zh-CN"/>
        </w:rPr>
        <w:t>事故情况土壤环境风险影响分析</w:t>
      </w:r>
    </w:p>
    <w:p>
      <w:pPr>
        <w:bidi w:val="0"/>
        <w:rPr>
          <w:rFonts w:hint="eastAsia"/>
          <w:lang w:eastAsia="zh-CN"/>
        </w:rPr>
      </w:pPr>
      <w:r>
        <w:rPr>
          <w:rFonts w:hint="eastAsia"/>
        </w:rPr>
        <w:t>本项目主要涉及</w:t>
      </w:r>
      <w:r>
        <w:rPr>
          <w:rFonts w:hint="eastAsia"/>
          <w:lang w:eastAsia="zh-CN"/>
        </w:rPr>
        <w:t>土壤</w:t>
      </w:r>
      <w:r>
        <w:rPr>
          <w:rFonts w:hint="eastAsia"/>
        </w:rPr>
        <w:t>污染</w:t>
      </w:r>
      <w:r>
        <w:rPr>
          <w:rFonts w:hint="eastAsia"/>
          <w:lang w:eastAsia="zh-CN"/>
        </w:rPr>
        <w:t>的物质为废催化剂中所含重金属</w:t>
      </w:r>
      <w:r>
        <w:rPr>
          <w:rFonts w:hint="eastAsia"/>
        </w:rPr>
        <w:t>。</w:t>
      </w:r>
      <w:r>
        <w:rPr>
          <w:rFonts w:hint="eastAsia"/>
          <w:lang w:eastAsia="zh-CN"/>
        </w:rPr>
        <w:t>本项目催化剂在密闭反应器内使用，废催化剂采用桶装收集后，依托现有危险废物贮存库暂存，定期委托有资质的单位处理。现有危险废物贮存库地面采取了严格的防渗硬化，设置有截水沟和集水池，符合《危险废物贮存污染控制标准》（</w:t>
      </w:r>
      <w:r>
        <w:rPr>
          <w:rFonts w:hint="eastAsia" w:ascii="Times New Roman" w:hAnsi="Times New Roman"/>
          <w:lang w:val="en-US" w:eastAsia="zh-CN"/>
        </w:rPr>
        <w:t>GB18597</w:t>
      </w:r>
      <w:r>
        <w:rPr>
          <w:rFonts w:hint="eastAsia"/>
          <w:lang w:val="en-US" w:eastAsia="zh-CN"/>
        </w:rPr>
        <w:t>-</w:t>
      </w:r>
      <w:r>
        <w:rPr>
          <w:rFonts w:hint="eastAsia" w:ascii="Times New Roman" w:hAnsi="Times New Roman"/>
          <w:lang w:val="en-US" w:eastAsia="zh-CN"/>
        </w:rPr>
        <w:t>2023</w:t>
      </w:r>
      <w:r>
        <w:rPr>
          <w:rFonts w:hint="eastAsia"/>
          <w:lang w:eastAsia="zh-CN"/>
        </w:rPr>
        <w:t>）的相关要求。</w:t>
      </w:r>
    </w:p>
    <w:p>
      <w:pPr>
        <w:bidi w:val="0"/>
        <w:rPr>
          <w:rFonts w:hint="eastAsia"/>
          <w:lang w:val="en-US" w:eastAsia="zh-CN"/>
        </w:rPr>
      </w:pPr>
      <w:r>
        <w:rPr>
          <w:rFonts w:hint="eastAsia"/>
          <w:lang w:eastAsia="zh-CN"/>
        </w:rPr>
        <w:t>通过对危险废物的严格管理，</w:t>
      </w:r>
      <w:r>
        <w:rPr>
          <w:rFonts w:hint="eastAsia"/>
        </w:rPr>
        <w:t>从根本上断绝</w:t>
      </w:r>
      <w:r>
        <w:rPr>
          <w:rFonts w:hint="eastAsia"/>
          <w:lang w:eastAsia="zh-CN"/>
        </w:rPr>
        <w:t>了泄漏物料</w:t>
      </w:r>
      <w:r>
        <w:rPr>
          <w:rFonts w:hint="eastAsia"/>
        </w:rPr>
        <w:t>与土壤的接触途径</w:t>
      </w:r>
      <w:r>
        <w:rPr>
          <w:rFonts w:hint="eastAsia"/>
          <w:lang w:eastAsia="zh-CN"/>
        </w:rPr>
        <w:t>，</w:t>
      </w:r>
      <w:r>
        <w:rPr>
          <w:rFonts w:hint="eastAsia"/>
        </w:rPr>
        <w:t>项目的土壤环境风险是可控的。</w:t>
      </w:r>
    </w:p>
    <w:p>
      <w:pPr>
        <w:pStyle w:val="6"/>
        <w:bidi w:val="0"/>
        <w:rPr>
          <w:rFonts w:hint="eastAsia"/>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5</w:t>
      </w:r>
      <w:r>
        <w:rPr>
          <w:rFonts w:hint="eastAsia"/>
          <w:lang w:val="en-US" w:eastAsia="zh-CN"/>
        </w:rPr>
        <w:t>.</w:t>
      </w:r>
      <w:r>
        <w:rPr>
          <w:rFonts w:hint="eastAsia" w:ascii="Times New Roman" w:hAnsi="Times New Roman"/>
          <w:lang w:val="en-US" w:eastAsia="zh-CN"/>
        </w:rPr>
        <w:t>5</w:t>
      </w:r>
      <w:r>
        <w:rPr>
          <w:rFonts w:hint="eastAsia"/>
          <w:lang w:val="en-US" w:eastAsia="zh-CN"/>
        </w:rPr>
        <w:t>物料运输过程的环境风险影响分析</w:t>
      </w:r>
    </w:p>
    <w:p>
      <w:pPr>
        <w:bidi w:val="0"/>
        <w:rPr>
          <w:rFonts w:hint="eastAsia" w:eastAsia="宋体"/>
          <w:lang w:eastAsia="zh-CN"/>
        </w:rPr>
      </w:pPr>
      <w:r>
        <w:rPr>
          <w:rFonts w:hint="eastAsia"/>
          <w:lang w:eastAsia="zh-CN"/>
        </w:rPr>
        <w:t>本</w:t>
      </w:r>
      <w:r>
        <w:t>项目</w:t>
      </w:r>
      <w:r>
        <w:rPr>
          <w:rFonts w:hint="eastAsia"/>
          <w:lang w:eastAsia="zh-CN"/>
        </w:rPr>
        <w:t>厂内</w:t>
      </w:r>
      <w:r>
        <w:t>原材料</w:t>
      </w:r>
      <w:r>
        <w:rPr>
          <w:rFonts w:hint="eastAsia"/>
          <w:lang w:eastAsia="zh-CN"/>
        </w:rPr>
        <w:t>和工艺过程的物料输送均采用管道输送</w:t>
      </w:r>
      <w:r>
        <w:t>。</w:t>
      </w:r>
      <w:r>
        <w:rPr>
          <w:rFonts w:hint="eastAsia"/>
          <w:lang w:eastAsia="zh-CN"/>
        </w:rPr>
        <w:t>建设单位有年度的检维修计划，定期对于厂内管道和仪表进行检查，发现有泄漏隐患将及时更换，管道泄漏导致的环境风险较小。</w:t>
      </w:r>
    </w:p>
    <w:p>
      <w:pPr>
        <w:bidi w:val="0"/>
      </w:pPr>
      <w:r>
        <w:rPr>
          <w:rFonts w:hint="eastAsia"/>
          <w:lang w:eastAsia="zh-CN"/>
        </w:rPr>
        <w:t>产品厂外</w:t>
      </w:r>
      <w:r>
        <w:t>运输主要</w:t>
      </w:r>
      <w:r>
        <w:rPr>
          <w:rFonts w:hint="eastAsia"/>
          <w:lang w:eastAsia="zh-CN"/>
        </w:rPr>
        <w:t>为</w:t>
      </w:r>
      <w:r>
        <w:t>公路运输</w:t>
      </w:r>
      <w:r>
        <w:rPr>
          <w:rFonts w:hint="eastAsia"/>
          <w:lang w:eastAsia="zh-CN"/>
        </w:rPr>
        <w:t>，</w:t>
      </w:r>
      <w:r>
        <w:t>化工产品</w:t>
      </w:r>
      <w:r>
        <w:rPr>
          <w:rFonts w:hint="eastAsia"/>
          <w:lang w:eastAsia="zh-CN"/>
        </w:rPr>
        <w:t>由于</w:t>
      </w:r>
      <w:r>
        <w:t>其火灾危险性各不相同，运输</w:t>
      </w:r>
      <w:r>
        <w:rPr>
          <w:rFonts w:hint="eastAsia"/>
          <w:lang w:eastAsia="zh-CN"/>
        </w:rPr>
        <w:t>过程</w:t>
      </w:r>
      <w:r>
        <w:t>必须严格遵照规定的配装原则</w:t>
      </w:r>
      <w:r>
        <w:rPr>
          <w:rFonts w:hint="eastAsia"/>
          <w:lang w:eastAsia="zh-CN"/>
        </w:rPr>
        <w:t>进行</w:t>
      </w:r>
      <w:r>
        <w:t>。</w:t>
      </w:r>
      <w:r>
        <w:rPr>
          <w:rFonts w:hint="eastAsia"/>
        </w:rPr>
        <w:t>本项目</w:t>
      </w:r>
      <w:r>
        <w:rPr>
          <w:rFonts w:hint="eastAsia"/>
          <w:lang w:eastAsia="zh-CN"/>
        </w:rPr>
        <w:t>产品</w:t>
      </w:r>
      <w:r>
        <w:t>的运输均采用专用车辆，按照物料的不同化学性质采用适当的装运措施。一般情况下，在运输途中不会产生物料的散落或泄漏，不会对沿途环境造成不利影响。但由于运输频繁，路线复杂</w:t>
      </w:r>
      <w:r>
        <w:rPr>
          <w:rFonts w:hint="eastAsia"/>
          <w:lang w:eastAsia="zh-CN"/>
        </w:rPr>
        <w:t>等原因</w:t>
      </w:r>
      <w:r>
        <w:t>，发生交通事故从而引起危险物料外泄的可能性是存在的。运输的风险特征</w:t>
      </w:r>
      <w:r>
        <w:rPr>
          <w:rFonts w:hint="eastAsia"/>
          <w:lang w:eastAsia="zh-CN"/>
        </w:rPr>
        <w:t>见</w:t>
      </w:r>
      <w: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22</w:t>
      </w:r>
      <w:r>
        <w:t>。</w:t>
      </w:r>
    </w:p>
    <w:p>
      <w:pPr>
        <w:pStyle w:val="20"/>
        <w:bidi w:val="0"/>
      </w:pPr>
      <w: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22</w:t>
      </w:r>
      <w:r>
        <w:rPr>
          <w:rFonts w:hint="eastAsia"/>
          <w:lang w:val="en-US" w:eastAsia="zh-CN"/>
        </w:rPr>
        <w:t xml:space="preserve"> </w:t>
      </w:r>
      <w:r>
        <w:rPr>
          <w:rFonts w:hint="eastAsia"/>
        </w:rPr>
        <w:t xml:space="preserve"> </w:t>
      </w:r>
      <w:r>
        <w:t>运输的风险特征一览表</w:t>
      </w:r>
    </w:p>
    <w:tbl>
      <w:tblPr>
        <w:tblStyle w:val="8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00"/>
        <w:gridCol w:w="1285"/>
        <w:gridCol w:w="1603"/>
        <w:gridCol w:w="4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3" w:type="pct"/>
            <w:tcBorders>
              <w:top w:val="single" w:color="000000" w:sz="12" w:space="0"/>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运输方式</w:t>
            </w:r>
          </w:p>
        </w:tc>
        <w:tc>
          <w:tcPr>
            <w:tcW w:w="715" w:type="pct"/>
            <w:tcBorders>
              <w:top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风险类型</w:t>
            </w:r>
          </w:p>
        </w:tc>
        <w:tc>
          <w:tcPr>
            <w:tcW w:w="892" w:type="pct"/>
            <w:tcBorders>
              <w:top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危害</w:t>
            </w:r>
          </w:p>
        </w:tc>
        <w:tc>
          <w:tcPr>
            <w:tcW w:w="2668" w:type="pct"/>
            <w:tcBorders>
              <w:top w:val="single" w:color="000000" w:sz="12"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原因简析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3" w:type="pct"/>
            <w:vMerge w:val="restart"/>
            <w:tcBorders>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公路运输</w:t>
            </w:r>
          </w:p>
        </w:tc>
        <w:tc>
          <w:tcPr>
            <w:tcW w:w="7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1"/>
                <w:lang w:eastAsia="zh-CN"/>
              </w:rPr>
            </w:pPr>
            <w:r>
              <w:rPr>
                <w:rFonts w:hint="eastAsia"/>
                <w:sz w:val="21"/>
                <w:szCs w:val="21"/>
                <w:lang w:eastAsia="zh-CN"/>
              </w:rPr>
              <w:t>泄漏</w:t>
            </w:r>
          </w:p>
        </w:tc>
        <w:tc>
          <w:tcPr>
            <w:tcW w:w="8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污染陆域</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污染地表水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污染地下水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火灾、爆炸</w:t>
            </w:r>
          </w:p>
        </w:tc>
        <w:tc>
          <w:tcPr>
            <w:tcW w:w="2668"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地震灾害</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管道设备损害、腐蚀</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误操作</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人为损坏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3" w:type="pct"/>
            <w:vMerge w:val="continue"/>
            <w:tcBorders>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p>
        </w:tc>
        <w:tc>
          <w:tcPr>
            <w:tcW w:w="7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火灾爆炸</w:t>
            </w:r>
          </w:p>
        </w:tc>
        <w:tc>
          <w:tcPr>
            <w:tcW w:w="8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财产损失</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人员伤亡</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污染环境</w:t>
            </w:r>
          </w:p>
        </w:tc>
        <w:tc>
          <w:tcPr>
            <w:tcW w:w="2668"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燃料泄漏</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存在机械、高温、电气、化学火源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3" w:type="pct"/>
            <w:vMerge w:val="restart"/>
            <w:tcBorders>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管道</w:t>
            </w:r>
          </w:p>
        </w:tc>
        <w:tc>
          <w:tcPr>
            <w:tcW w:w="7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1"/>
                <w:lang w:eastAsia="zh-CN"/>
              </w:rPr>
            </w:pPr>
            <w:r>
              <w:rPr>
                <w:rFonts w:hint="eastAsia"/>
                <w:sz w:val="21"/>
                <w:szCs w:val="21"/>
                <w:lang w:eastAsia="zh-CN"/>
              </w:rPr>
              <w:t>泄漏</w:t>
            </w:r>
          </w:p>
        </w:tc>
        <w:tc>
          <w:tcPr>
            <w:tcW w:w="8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污染陆域</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污染地表水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污染地下水</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火灾、爆炸</w:t>
            </w:r>
          </w:p>
        </w:tc>
        <w:tc>
          <w:tcPr>
            <w:tcW w:w="2668"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地震灾害</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管道设备损害、腐蚀</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误操作</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人为损坏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3" w:type="pct"/>
            <w:vMerge w:val="continue"/>
            <w:tcBorders>
              <w:left w:val="single" w:color="000000" w:sz="12" w:space="0"/>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p>
        </w:tc>
        <w:tc>
          <w:tcPr>
            <w:tcW w:w="715"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火灾爆炸</w:t>
            </w:r>
          </w:p>
        </w:tc>
        <w:tc>
          <w:tcPr>
            <w:tcW w:w="892"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财产损失</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人员伤亡</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污染环境</w:t>
            </w:r>
          </w:p>
        </w:tc>
        <w:tc>
          <w:tcPr>
            <w:tcW w:w="2668" w:type="pct"/>
            <w:tcBorders>
              <w:bottom w:val="single" w:color="000000" w:sz="12"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燃料泄漏</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存在机械、高温、电气、化学火源</w:t>
            </w:r>
          </w:p>
        </w:tc>
      </w:tr>
    </w:tbl>
    <w:p>
      <w:pPr>
        <w:bidi w:val="0"/>
      </w:pPr>
      <w:r>
        <w:t>交通事故引发的环境污染属于突发环境污染事故，其没有固定的排放方式和排放途径，事故发生的时间、地点、环境具有很大的不确定性，发生突然，在瞬时或短时间内大量的排出污染物质，易对</w:t>
      </w:r>
      <w:r>
        <w:rPr>
          <w:rFonts w:hint="eastAsia"/>
          <w:lang w:eastAsia="zh-CN"/>
        </w:rPr>
        <w:t>当地</w:t>
      </w:r>
      <w:r>
        <w:t>环境造成污染。</w:t>
      </w:r>
    </w:p>
    <w:p>
      <w:pPr>
        <w:bidi w:val="0"/>
        <w:rPr>
          <w:rFonts w:hint="eastAsia"/>
          <w:lang w:val="en-US" w:eastAsia="zh-CN"/>
        </w:rPr>
      </w:pPr>
      <w:r>
        <w:t>对于因交通事故引发的水环境污染事故，</w:t>
      </w:r>
      <w:r>
        <w:rPr>
          <w:rFonts w:hint="eastAsia"/>
          <w:lang w:eastAsia="zh-CN"/>
        </w:rPr>
        <w:t>应</w:t>
      </w:r>
      <w:r>
        <w:t>坚持</w:t>
      </w:r>
      <w:r>
        <w:rPr>
          <w:rFonts w:hint="eastAsia"/>
        </w:rPr>
        <w:t>“</w:t>
      </w:r>
      <w:r>
        <w:t>预防为主，防治结合</w:t>
      </w:r>
      <w:r>
        <w:rPr>
          <w:rFonts w:hint="eastAsia"/>
        </w:rPr>
        <w:t>”</w:t>
      </w:r>
      <w:r>
        <w:t>的原则，首先做好预防工作，然后完善控制污染事故危害的措施。由于交通事故发生地点一般不</w:t>
      </w:r>
      <w:r>
        <w:rPr>
          <w:rFonts w:hint="eastAsia"/>
        </w:rPr>
        <w:t>在</w:t>
      </w:r>
      <w:r>
        <w:t>厂区内，因此，交通事故的预防工作需要化学品运输单位和交通道路、桥梁等设施的管理单位共同采取措施。</w:t>
      </w:r>
    </w:p>
    <w:p>
      <w:pPr>
        <w:pStyle w:val="5"/>
        <w:bidi w:val="0"/>
        <w:rPr>
          <w:rFonts w:hint="default" w:hAnsi="Times New Roman"/>
          <w:lang w:val="en-US" w:eastAsia="zh-CN"/>
        </w:rPr>
      </w:pPr>
      <w:r>
        <w:rPr>
          <w:rFonts w:hint="eastAsia" w:ascii="Times New Roman" w:hAnsi="Times New Roman"/>
          <w:lang w:val="en-US" w:eastAsia="zh-CN"/>
        </w:rPr>
        <w:t>6</w:t>
      </w:r>
      <w:r>
        <w:rPr>
          <w:rFonts w:hint="eastAsia" w:hAnsi="Times New Roman"/>
          <w:lang w:val="en-US" w:eastAsia="zh-CN"/>
        </w:rPr>
        <w:t>.</w:t>
      </w:r>
      <w:r>
        <w:rPr>
          <w:rFonts w:hint="eastAsia" w:ascii="Times New Roman" w:hAnsi="Times New Roman"/>
          <w:lang w:val="en-US" w:eastAsia="zh-CN"/>
        </w:rPr>
        <w:t>9</w:t>
      </w:r>
      <w:r>
        <w:rPr>
          <w:rFonts w:hint="eastAsia" w:hAnsi="Times New Roman"/>
          <w:lang w:val="en-US" w:eastAsia="zh-CN"/>
        </w:rPr>
        <w:t>.</w:t>
      </w:r>
      <w:r>
        <w:rPr>
          <w:rFonts w:hint="eastAsia" w:ascii="Times New Roman" w:hAnsi="Times New Roman"/>
          <w:lang w:val="en-US" w:eastAsia="zh-CN"/>
        </w:rPr>
        <w:t>7</w:t>
      </w:r>
      <w:r>
        <w:rPr>
          <w:rFonts w:hint="eastAsia" w:hAnsi="Times New Roman"/>
          <w:lang w:val="en-US" w:eastAsia="zh-CN"/>
        </w:rPr>
        <w:t>环境风险管理</w:t>
      </w:r>
    </w:p>
    <w:bookmarkEnd w:id="232"/>
    <w:p>
      <w:pPr>
        <w:pStyle w:val="6"/>
        <w:rPr>
          <w:rFonts w:hint="eastAsia" w:eastAsia="宋体"/>
          <w:color w:val="auto"/>
          <w:lang w:eastAsia="zh-CN"/>
        </w:rPr>
      </w:pPr>
      <w:r>
        <w:rPr>
          <w:rFonts w:hint="eastAsia" w:ascii="Times New Roman" w:hAnsi="Times New Roman"/>
          <w:color w:val="auto"/>
          <w:lang w:val="en-US" w:eastAsia="zh-CN"/>
        </w:rPr>
        <w:t>6</w:t>
      </w:r>
      <w:r>
        <w:rPr>
          <w:rFonts w:hint="eastAsia" w:ascii="Times New Roman" w:hAnsi="Times New Roman"/>
          <w:color w:val="auto"/>
          <w:lang w:val="en-US" w:eastAsia="zh-CN"/>
        </w:rPr>
        <w:t>.</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7</w:t>
      </w:r>
      <w:r>
        <w:rPr>
          <w:rFonts w:hint="eastAsia"/>
          <w:color w:val="auto"/>
        </w:rPr>
        <w:t>.</w:t>
      </w:r>
      <w:r>
        <w:rPr>
          <w:rFonts w:hint="eastAsia" w:ascii="Times New Roman" w:hAnsi="Times New Roman"/>
          <w:color w:val="auto"/>
        </w:rPr>
        <w:t>1</w:t>
      </w:r>
      <w:r>
        <w:rPr>
          <w:rFonts w:hint="eastAsia" w:ascii="Times New Roman" w:hAnsi="Times New Roman"/>
          <w:color w:val="auto"/>
          <w:lang w:eastAsia="zh-CN"/>
        </w:rPr>
        <w:t>大气环境风险事故的防范措施</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）建立大气环境风险防范措施体系</w:t>
      </w:r>
    </w:p>
    <w:p>
      <w:pPr>
        <w:rPr>
          <w:rFonts w:hint="default"/>
          <w:color w:val="auto"/>
          <w:lang w:val="en-US" w:eastAsia="zh-CN"/>
        </w:rPr>
      </w:pPr>
      <w:r>
        <w:rPr>
          <w:rFonts w:hint="eastAsia"/>
          <w:color w:val="auto"/>
          <w:lang w:val="en-US" w:eastAsia="zh-CN"/>
        </w:rPr>
        <w:t>厂内建立大气环境风险防范措施体系见图</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p>
    <w:p>
      <w:pPr>
        <w:pStyle w:val="20"/>
        <w:rPr>
          <w:rFonts w:hint="default"/>
          <w:color w:val="auto"/>
          <w:lang w:val="en-US" w:eastAsia="zh-CN"/>
        </w:rPr>
      </w:pPr>
      <w:r>
        <w:rPr>
          <w:rFonts w:hint="default" w:ascii="Times New Roman" w:hAnsi="Times New Roman" w:eastAsia="宋体" w:cs="Times New Roman"/>
          <w:b/>
          <w:color w:val="auto"/>
          <w:kern w:val="0"/>
          <w:sz w:val="21"/>
          <w:szCs w:val="20"/>
          <w:lang w:val="en-US" w:eastAsia="zh-CN" w:bidi="ar-SA"/>
        </w:rPr>
        <w:pict>
          <v:shape id="Object 771" o:spid="_x0000_s2058" o:spt="75" type="#_x0000_t75" style="position:absolute;left:0pt;margin-left:-0.15pt;margin-top:15.65pt;height:362.5pt;width:453.75pt;mso-wrap-distance-bottom:0pt;mso-wrap-distance-top:0pt;z-index:251670528;mso-width-relative:page;mso-height-relative:page;" o:ole="t" fillcolor="#FFFFFF" filled="f" o:preferrelative="t" stroked="f" coordsize="21600,21600">
            <v:path/>
            <v:fill on="f" color2="#FFFFFF" focussize="0,0"/>
            <v:stroke on="f"/>
            <v:imagedata r:id="rId93" gain="65536f" blacklevel="0f" gamma="0" o:title=""/>
            <o:lock v:ext="edit" position="f" selection="f" grouping="f" rotation="f" cropping="f" text="f" aspectratio="t"/>
            <w10:wrap type="topAndBottom"/>
          </v:shape>
          <o:OLEObject Type="Embed" ProgID="Visio.Drawing.11" ShapeID="Object 771" DrawAspect="Content" ObjectID="_1468075749" r:id="rId92">
            <o:LockedField>false</o:LockedField>
          </o:OLEObject>
        </w:pict>
      </w:r>
      <w:r>
        <w:rPr>
          <w:rFonts w:hint="eastAsia"/>
          <w:color w:val="auto"/>
          <w:lang w:val="en-US" w:eastAsia="zh-CN"/>
        </w:rPr>
        <w:t>图</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 xml:space="preserve">  大气环境风险防范措施体系框架图</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）建立并完善大气环境风险三级防控体系</w:t>
      </w:r>
    </w:p>
    <w:p>
      <w:pPr>
        <w:rPr>
          <w:rFonts w:hint="default"/>
          <w:color w:val="auto"/>
        </w:rPr>
      </w:pPr>
      <w:r>
        <w:rPr>
          <w:rFonts w:hint="eastAsia"/>
          <w:color w:val="auto"/>
          <w:lang w:eastAsia="zh-CN"/>
        </w:rPr>
        <w:t>①</w:t>
      </w:r>
      <w:r>
        <w:rPr>
          <w:rFonts w:hint="default"/>
          <w:color w:val="auto"/>
        </w:rPr>
        <w:t>一级防控措施：工艺设计与安全方面，如罐区、装置区、管线等密封防泄漏措施。以有效减少或避免使用风险物质。</w:t>
      </w:r>
    </w:p>
    <w:p>
      <w:pPr>
        <w:rPr>
          <w:rFonts w:hint="default"/>
          <w:color w:val="auto"/>
        </w:rPr>
      </w:pPr>
      <w:r>
        <w:rPr>
          <w:rFonts w:hint="eastAsia"/>
          <w:color w:val="auto"/>
          <w:lang w:eastAsia="zh-CN"/>
        </w:rPr>
        <w:t>②</w:t>
      </w:r>
      <w:r>
        <w:rPr>
          <w:rFonts w:hint="default"/>
          <w:color w:val="auto"/>
        </w:rPr>
        <w:t>二级防控措施：报警、监控与切断系统，如有毒、有害气体自动监测报警系统，自动控制，联锁装置及自动切断系统等。以有效减少泄漏量、缩短泄漏时间的措施。</w:t>
      </w:r>
    </w:p>
    <w:p>
      <w:pPr>
        <w:rPr>
          <w:rFonts w:hint="eastAsia"/>
          <w:color w:val="auto"/>
          <w:lang w:val="en-US" w:eastAsia="zh-CN"/>
        </w:rPr>
      </w:pPr>
      <w:r>
        <w:rPr>
          <w:rFonts w:hint="eastAsia"/>
          <w:color w:val="auto"/>
          <w:lang w:eastAsia="zh-CN"/>
        </w:rPr>
        <w:t>③</w:t>
      </w:r>
      <w:r>
        <w:rPr>
          <w:rFonts w:hint="default"/>
          <w:color w:val="auto"/>
        </w:rPr>
        <w:t>三级防控措施：事故后应急处置措施，如喷淋消防系统、事故喷淋系统、泡沫覆盖等措施，并有效转移到废水、固废、备用储存设施中等。以有效降低事故状态下大气释放源强、缩短时间、减小排放量。</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）完善大气环境风险防范措施</w:t>
      </w:r>
    </w:p>
    <w:p>
      <w:pPr>
        <w:rPr>
          <w:rFonts w:hint="default"/>
          <w:color w:val="auto"/>
        </w:rPr>
      </w:pPr>
      <w:r>
        <w:rPr>
          <w:rFonts w:hint="default"/>
          <w:color w:val="auto"/>
        </w:rPr>
        <w:t>防止大气环境风险事故所采取的措施见表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23</w:t>
      </w:r>
      <w:r>
        <w:rPr>
          <w:rFonts w:hint="default"/>
          <w:color w:val="auto"/>
        </w:rPr>
        <w:t>。</w:t>
      </w:r>
    </w:p>
    <w:p>
      <w:pPr>
        <w:pStyle w:val="20"/>
        <w:rPr>
          <w:rFonts w:hint="default"/>
          <w:color w:val="auto"/>
        </w:rPr>
      </w:pPr>
      <w:r>
        <w:rPr>
          <w:rFonts w:hint="default"/>
          <w:color w:val="auto"/>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23</w:t>
      </w:r>
      <w:r>
        <w:rPr>
          <w:rFonts w:hint="eastAsia"/>
          <w:color w:val="auto"/>
          <w:lang w:val="en-US" w:eastAsia="zh-CN"/>
        </w:rPr>
        <w:t xml:space="preserve">  </w:t>
      </w:r>
      <w:r>
        <w:rPr>
          <w:rFonts w:hint="default"/>
          <w:color w:val="auto"/>
        </w:rPr>
        <w:t>防止大气环境风险事故的措施</w:t>
      </w:r>
    </w:p>
    <w:tbl>
      <w:tblPr>
        <w:tblStyle w:val="80"/>
        <w:tblW w:w="9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6"/>
        <w:gridCol w:w="8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选址</w:t>
            </w:r>
          </w:p>
        </w:tc>
        <w:tc>
          <w:tcPr>
            <w:tcW w:w="8066" w:type="dxa"/>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eastAsia" w:ascii="Times New Roman" w:hAnsi="Times New Roman" w:eastAsia="宋体" w:cs="Times New Roman"/>
                <w:color w:val="auto"/>
                <w:spacing w:val="-11"/>
                <w:sz w:val="21"/>
                <w:szCs w:val="21"/>
                <w:lang w:eastAsia="zh-CN"/>
              </w:rPr>
            </w:pPr>
            <w:r>
              <w:rPr>
                <w:rFonts w:hint="default" w:ascii="Times New Roman" w:hAnsi="Times New Roman" w:eastAsia="宋体" w:cs="Times New Roman"/>
                <w:color w:val="auto"/>
                <w:spacing w:val="-11"/>
                <w:sz w:val="21"/>
                <w:szCs w:val="21"/>
              </w:rPr>
              <w:t>项目用地属于规划的工业用地，场地无地质灾害，符合</w:t>
            </w:r>
            <w:r>
              <w:rPr>
                <w:rFonts w:hint="default" w:ascii="Times New Roman" w:hAnsi="Times New Roman" w:eastAsia="宋体" w:cs="Times New Roman"/>
                <w:color w:val="auto"/>
                <w:spacing w:val="-11"/>
                <w:sz w:val="21"/>
                <w:szCs w:val="21"/>
                <w:lang w:val="en-US" w:eastAsia="zh-CN"/>
              </w:rPr>
              <w:t>工业园</w:t>
            </w:r>
            <w:r>
              <w:rPr>
                <w:rFonts w:hint="default" w:ascii="Times New Roman" w:hAnsi="Times New Roman" w:eastAsia="宋体" w:cs="Times New Roman"/>
                <w:color w:val="auto"/>
                <w:spacing w:val="-11"/>
                <w:sz w:val="21"/>
                <w:szCs w:val="21"/>
              </w:rPr>
              <w:t>的要求，该地区</w:t>
            </w:r>
            <w:r>
              <w:rPr>
                <w:rFonts w:hint="eastAsia" w:ascii="Times New Roman" w:hAnsi="Times New Roman" w:cs="Times New Roman"/>
                <w:color w:val="auto"/>
                <w:spacing w:val="-11"/>
                <w:sz w:val="21"/>
                <w:szCs w:val="21"/>
                <w:lang w:eastAsia="zh-CN"/>
              </w:rPr>
              <w:t>无明显</w:t>
            </w:r>
            <w:r>
              <w:rPr>
                <w:rFonts w:hint="default" w:ascii="Times New Roman" w:hAnsi="Times New Roman" w:eastAsia="宋体" w:cs="Times New Roman"/>
                <w:color w:val="auto"/>
                <w:spacing w:val="-11"/>
                <w:sz w:val="21"/>
                <w:szCs w:val="21"/>
              </w:rPr>
              <w:t>主导风向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总图布置</w:t>
            </w: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功能区划分明确，布置合理；生产装置区适合工艺流程</w:t>
            </w:r>
            <w:r>
              <w:rPr>
                <w:rFonts w:hint="eastAsia" w:ascii="Times New Roman" w:hAnsi="Times New Roman" w:eastAsia="宋体" w:cs="Times New Roman"/>
                <w:color w:val="auto"/>
                <w:spacing w:val="-11"/>
                <w:sz w:val="21"/>
                <w:szCs w:val="21"/>
                <w:lang w:eastAsia="zh-CN"/>
              </w:rPr>
              <w:t>就近</w:t>
            </w:r>
            <w:r>
              <w:rPr>
                <w:rFonts w:hint="default" w:ascii="Times New Roman" w:hAnsi="Times New Roman" w:eastAsia="宋体" w:cs="Times New Roman"/>
                <w:color w:val="auto"/>
                <w:spacing w:val="-11"/>
                <w:sz w:val="21"/>
                <w:szCs w:val="21"/>
              </w:rPr>
              <w:t>的需要；储罐区、仓库设施邻近生产装置区，物流线短；消防车道与厂区道路均为贯通式通道，相互连通，道路满足技术规范要求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建筑安全</w:t>
            </w: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建(构)筑物的平面布置，严格按照《建筑设计防火规范》和《</w:t>
            </w:r>
            <w:r>
              <w:rPr>
                <w:rFonts w:hint="eastAsia" w:ascii="Times New Roman" w:hAnsi="Times New Roman" w:eastAsia="宋体" w:cs="Times New Roman"/>
                <w:color w:val="auto"/>
                <w:spacing w:val="-11"/>
                <w:sz w:val="21"/>
                <w:szCs w:val="21"/>
                <w:lang w:eastAsia="zh-CN"/>
              </w:rPr>
              <w:t>工业企业总平面设计</w:t>
            </w:r>
            <w:r>
              <w:rPr>
                <w:rFonts w:hint="default" w:ascii="Times New Roman" w:hAnsi="Times New Roman" w:eastAsia="宋体" w:cs="Times New Roman"/>
                <w:color w:val="auto"/>
                <w:spacing w:val="-11"/>
                <w:sz w:val="21"/>
                <w:szCs w:val="21"/>
              </w:rPr>
              <w:t>规范》</w:t>
            </w:r>
            <w:r>
              <w:rPr>
                <w:rFonts w:hint="eastAsia" w:ascii="Times New Roman" w:hAnsi="Times New Roman" w:eastAsia="宋体" w:cs="Times New Roman"/>
                <w:color w:val="auto"/>
                <w:spacing w:val="-11"/>
                <w:sz w:val="21"/>
                <w:szCs w:val="21"/>
                <w:lang w:eastAsia="zh-CN"/>
              </w:rPr>
              <w:t>等</w:t>
            </w:r>
            <w:r>
              <w:rPr>
                <w:rFonts w:hint="default" w:ascii="Times New Roman" w:hAnsi="Times New Roman" w:eastAsia="宋体" w:cs="Times New Roman"/>
                <w:color w:val="auto"/>
                <w:spacing w:val="-11"/>
                <w:sz w:val="21"/>
                <w:szCs w:val="21"/>
              </w:rPr>
              <w:t>的规定，设置环形消防通道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建构筑物</w:t>
            </w:r>
            <w:r>
              <w:rPr>
                <w:rFonts w:hint="eastAsia" w:ascii="Times New Roman" w:hAnsi="Times New Roman" w:cs="Times New Roman"/>
                <w:color w:val="auto"/>
                <w:spacing w:val="-11"/>
                <w:sz w:val="21"/>
                <w:szCs w:val="21"/>
                <w:lang w:eastAsia="zh-CN"/>
              </w:rPr>
              <w:t>均</w:t>
            </w:r>
            <w:r>
              <w:rPr>
                <w:rFonts w:hint="default" w:ascii="Times New Roman" w:hAnsi="Times New Roman" w:eastAsia="宋体" w:cs="Times New Roman"/>
                <w:color w:val="auto"/>
                <w:spacing w:val="-11"/>
                <w:sz w:val="21"/>
                <w:szCs w:val="21"/>
              </w:rPr>
              <w:t>按火灾危险性和耐火等级严格进行防火分区，设</w:t>
            </w:r>
            <w:r>
              <w:rPr>
                <w:rFonts w:hint="eastAsia" w:ascii="Times New Roman" w:hAnsi="Times New Roman" w:cs="Times New Roman"/>
                <w:color w:val="auto"/>
                <w:spacing w:val="-11"/>
                <w:sz w:val="21"/>
                <w:szCs w:val="21"/>
                <w:lang w:eastAsia="zh-CN"/>
              </w:rPr>
              <w:t>必要</w:t>
            </w:r>
            <w:r>
              <w:rPr>
                <w:rFonts w:hint="default" w:ascii="Times New Roman" w:hAnsi="Times New Roman" w:eastAsia="宋体" w:cs="Times New Roman"/>
                <w:color w:val="auto"/>
                <w:spacing w:val="-11"/>
                <w:sz w:val="21"/>
                <w:szCs w:val="21"/>
              </w:rPr>
              <w:t>的防火门窗、防爆墙等设施；根据爆炸和火灾危险性不同，各类厂房采用相应耐火等级的建筑材料，建筑物设有便利的疏散通道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生产装置安全</w:t>
            </w: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采用</w:t>
            </w:r>
            <w:r>
              <w:rPr>
                <w:rFonts w:hint="eastAsia" w:ascii="Times New Roman" w:hAnsi="Times New Roman" w:eastAsia="宋体" w:cs="Times New Roman"/>
                <w:color w:val="auto"/>
                <w:spacing w:val="-11"/>
                <w:sz w:val="21"/>
                <w:szCs w:val="21"/>
                <w:lang w:eastAsia="zh-CN"/>
              </w:rPr>
              <w:t>自动化</w:t>
            </w:r>
            <w:r>
              <w:rPr>
                <w:rFonts w:hint="default" w:ascii="Times New Roman" w:hAnsi="Times New Roman" w:eastAsia="宋体" w:cs="Times New Roman"/>
                <w:color w:val="auto"/>
                <w:spacing w:val="-11"/>
                <w:sz w:val="21"/>
                <w:szCs w:val="21"/>
              </w:rPr>
              <w:t>控制系统和仪表安全系统以及工业电视监视系统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各装置均选择成熟、可靠、先进、能耗低的工艺技术和设备，严防“跑、冒、滴、漏”，实现全过程密闭化生产，减少泄漏、火灾、爆炸和中毒的可能性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工艺系统以及重要设备均设立安全阀、爆破片等防爆泄压系统；有些可燃性物料的管路系统设立阻火器、水封等阻火设施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在可产生有毒有害，可燃气体的生产装置区域设置有毒有害、可燃气体探头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危险化学品储运设施安全</w:t>
            </w: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危险品严格按照《危险化学品安全管理条例》及《常用化学品贮存通则》的要求进行储存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罐区配备专业技术人员负责管理，设置有毒气体在线检测与报警系统、火灾检测与报警系统、手动报警按钮以及针对储存物料的应急处置设施和消防设施，并配备个人防护用品。为减少溢料风险，储罐设置高液位报警器，避免冲装过量引起溢料或增加储罐爆炸泄漏的风险。罐区设置醒目的安全标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p>
        </w:tc>
        <w:tc>
          <w:tcPr>
            <w:tcW w:w="806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罐区设置消防栓和消防炮，及消防冷却系统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106" w:type="dxa"/>
            <w:tcBorders>
              <w:top w:val="single" w:color="000000" w:sz="4" w:space="0"/>
              <w:left w:val="single" w:color="000000" w:sz="12" w:space="0"/>
              <w:bottom w:val="single" w:color="000000" w:sz="12"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有毒物质防护和紧急救援措施</w:t>
            </w:r>
          </w:p>
        </w:tc>
        <w:tc>
          <w:tcPr>
            <w:tcW w:w="8066" w:type="dxa"/>
            <w:tcBorders>
              <w:top w:val="single" w:color="000000" w:sz="4" w:space="0"/>
              <w:left w:val="single" w:color="000000" w:sz="4" w:space="0"/>
              <w:bottom w:val="single" w:color="000000" w:sz="12"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为进入可能存在高浓度有毒气体区域的操作工人，配置便携式可燃和有毒气体检测仪；在人身可能接触到有害物质而引起烧伤、刺激或伤害皮肤的区域内，均设紧急淋浴器和洗眼器；除防护眼镜、手套、洗眼淋浴器等一般防护外，还应设有专用的防毒面具；对关键操作强制使用人员配备防护设备，如空气呼吸面具、全身聚氯乙烯防护服、手套和防护镜等</w:t>
            </w:r>
          </w:p>
        </w:tc>
      </w:tr>
    </w:tbl>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水环境风险防范措施</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）建立水环境风险防范措施体系</w:t>
      </w:r>
    </w:p>
    <w:p>
      <w:pPr>
        <w:rPr>
          <w:rFonts w:hint="default"/>
          <w:color w:val="auto"/>
          <w:lang w:val="en-US" w:eastAsia="zh-CN"/>
        </w:rPr>
      </w:pPr>
      <w:r>
        <w:rPr>
          <w:rFonts w:hint="eastAsia"/>
          <w:color w:val="auto"/>
          <w:lang w:val="en-US" w:eastAsia="zh-CN"/>
        </w:rPr>
        <w:t>厂内建立大气环境风险防范措施体系见图</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p>
    <w:p>
      <w:pPr>
        <w:pStyle w:val="20"/>
        <w:rPr>
          <w:rFonts w:hint="eastAsia"/>
          <w:color w:val="auto"/>
          <w:lang w:val="en-US" w:eastAsia="zh-CN"/>
        </w:rPr>
      </w:pPr>
      <w:r>
        <w:rPr>
          <w:rFonts w:hint="default" w:ascii="Times New Roman" w:hAnsi="Times New Roman" w:eastAsia="宋体" w:cs="Times New Roman"/>
          <w:b/>
          <w:color w:val="auto"/>
          <w:sz w:val="24"/>
        </w:rPr>
        <w:t>图</w:t>
      </w:r>
      <w:r>
        <w:rPr>
          <w:rFonts w:hint="eastAsia" w:ascii="Times New Roman" w:hAnsi="Times New Roman" w:cs="Times New Roman"/>
          <w:b/>
          <w:color w:val="auto"/>
          <w:sz w:val="24"/>
          <w:lang w:val="en-US" w:eastAsia="zh-CN"/>
        </w:rPr>
        <w:t>6</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val="en-US" w:eastAsia="zh-CN"/>
        </w:rPr>
        <w:t>9</w:t>
      </w:r>
      <w:r>
        <w:rPr>
          <w:rFonts w:hint="eastAsia" w:ascii="Times New Roman" w:hAnsi="Times New Roman" w:cs="Times New Roman"/>
          <w:b/>
          <w:color w:val="auto"/>
          <w:sz w:val="24"/>
          <w:lang w:val="en-US" w:eastAsia="zh-CN"/>
        </w:rPr>
        <w:t>-</w:t>
      </w:r>
      <w:r>
        <w:rPr>
          <w:rFonts w:hint="eastAsia" w:ascii="Times New Roman" w:hAnsi="Times New Roman" w:cs="Times New Roman"/>
          <w:b/>
          <w:color w:val="auto"/>
          <w:sz w:val="24"/>
          <w:lang w:val="en-US" w:eastAsia="zh-CN"/>
        </w:rPr>
        <w:t>3</w:t>
      </w:r>
      <w:r>
        <w:rPr>
          <w:rFonts w:hint="default" w:ascii="Times New Roman" w:hAnsi="Times New Roman" w:eastAsia="宋体" w:cs="Times New Roman"/>
          <w:b/>
          <w:color w:val="auto"/>
          <w:sz w:val="24"/>
        </w:rPr>
        <w:t xml:space="preserve">  水环境风险防范措施体系框架图</w:t>
      </w:r>
      <w:r>
        <w:rPr>
          <w:rFonts w:hint="default" w:ascii="Times New Roman" w:hAnsi="Times New Roman" w:eastAsia="宋体" w:cs="Times New Roman"/>
          <w:b/>
          <w:color w:val="auto"/>
          <w:kern w:val="0"/>
          <w:sz w:val="21"/>
          <w:szCs w:val="20"/>
          <w:lang w:val="en-US" w:eastAsia="zh-CN" w:bidi="ar-SA"/>
        </w:rPr>
        <w:pict>
          <v:shape id="Object 772" o:spid="_x0000_s2059" o:spt="75" type="#_x0000_t75" style="position:absolute;left:0pt;margin-left:-2.5pt;margin-top:14.25pt;height:373.15pt;width:466.35pt;mso-wrap-distance-bottom:0pt;mso-wrap-distance-top:0pt;z-index:251671552;mso-width-relative:page;mso-height-relative:page;" o:ole="t" filled="f" o:preferrelative="t" stroked="f" coordsize="21600,21600">
            <v:path/>
            <v:fill on="f" focussize="0,0"/>
            <v:stroke on="f"/>
            <v:imagedata r:id="rId95" blacklevel="0f" o:title=""/>
            <o:lock v:ext="edit" aspectratio="t"/>
            <w10:wrap type="topAndBottom"/>
          </v:shape>
          <o:OLEObject Type="Embed" ProgID="Visio.Drawing.11" ShapeID="Object 772" DrawAspect="Content" ObjectID="_1468075750" r:id="rId94">
            <o:LockedField>false</o:LockedField>
          </o:OLEObject>
        </w:pic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）防止废水污染事故措施</w:t>
      </w:r>
    </w:p>
    <w:p>
      <w:pPr>
        <w:rPr>
          <w:rFonts w:hint="default" w:eastAsia="宋体"/>
          <w:color w:val="auto"/>
          <w:lang w:val="en-US" w:eastAsia="zh-CN"/>
        </w:rPr>
      </w:pPr>
      <w:r>
        <w:rPr>
          <w:rFonts w:hint="eastAsia"/>
          <w:color w:val="auto"/>
          <w:lang w:eastAsia="zh-CN"/>
        </w:rPr>
        <w:t>本项目针对</w:t>
      </w:r>
      <w:r>
        <w:rPr>
          <w:rFonts w:hint="default"/>
          <w:color w:val="auto"/>
        </w:rPr>
        <w:t>废水污染事故采取收集、处理和应急三级防治措施，收集系统收集废水，处理系统处理废水，废水处理系统出现事故时有事故水池作为应急防范措施，可确保正常及事故状态下废水不会对环境造成危害。</w:t>
      </w:r>
      <w:r>
        <w:rPr>
          <w:rFonts w:hint="eastAsia"/>
          <w:color w:val="auto"/>
          <w:lang w:eastAsia="zh-CN"/>
        </w:rPr>
        <w:t>防治废水污染事故措施见表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24</w:t>
      </w:r>
      <w:r>
        <w:rPr>
          <w:rFonts w:hint="eastAsia"/>
          <w:color w:val="auto"/>
          <w:lang w:val="en-US" w:eastAsia="zh-CN"/>
        </w:rPr>
        <w:t>。</w:t>
      </w:r>
    </w:p>
    <w:p>
      <w:pPr>
        <w:pStyle w:val="20"/>
        <w:rPr>
          <w:rFonts w:hint="default"/>
          <w:color w:val="auto"/>
        </w:rPr>
      </w:pPr>
      <w:r>
        <w:rPr>
          <w:rFonts w:hint="default"/>
          <w:color w:val="auto"/>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24</w:t>
      </w:r>
      <w:r>
        <w:rPr>
          <w:rFonts w:hint="default"/>
          <w:color w:val="auto"/>
        </w:rPr>
        <w:t xml:space="preserve">  防止废水污染事故措施</w:t>
      </w:r>
    </w:p>
    <w:tbl>
      <w:tblPr>
        <w:tblStyle w:val="80"/>
        <w:tblW w:w="9172"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0"/>
        <w:gridCol w:w="75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40" w:type="dxa"/>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围堰及防火堤</w:t>
            </w:r>
          </w:p>
        </w:tc>
        <w:tc>
          <w:tcPr>
            <w:tcW w:w="7532" w:type="dxa"/>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装置</w:t>
            </w:r>
            <w:r>
              <w:rPr>
                <w:rFonts w:hint="eastAsia" w:ascii="Times New Roman" w:hAnsi="Times New Roman" w:cs="Times New Roman"/>
                <w:color w:val="auto"/>
                <w:sz w:val="21"/>
                <w:szCs w:val="21"/>
                <w:lang w:eastAsia="zh-CN"/>
              </w:rPr>
              <w:t>区设置截水沟，</w:t>
            </w:r>
            <w:r>
              <w:rPr>
                <w:rFonts w:hint="default" w:ascii="Times New Roman" w:hAnsi="Times New Roman" w:eastAsia="宋体" w:cs="Times New Roman"/>
                <w:color w:val="auto"/>
                <w:sz w:val="21"/>
                <w:szCs w:val="21"/>
              </w:rPr>
              <w:t>罐区设围堰，对事故情况泄漏物料及消防废水进行收集控制，罐组地面全部硬化，</w:t>
            </w:r>
            <w:r>
              <w:rPr>
                <w:rFonts w:hint="eastAsia" w:ascii="Times New Roman" w:hAnsi="Times New Roman" w:cs="Times New Roman"/>
                <w:color w:val="auto"/>
                <w:sz w:val="21"/>
                <w:szCs w:val="21"/>
                <w:lang w:eastAsia="zh-CN"/>
              </w:rPr>
              <w:t>基础防渗，围堰内</w:t>
            </w:r>
            <w:r>
              <w:rPr>
                <w:rFonts w:hint="default" w:ascii="Times New Roman" w:hAnsi="Times New Roman" w:eastAsia="宋体" w:cs="Times New Roman"/>
                <w:color w:val="auto"/>
                <w:sz w:val="21"/>
                <w:szCs w:val="21"/>
              </w:rPr>
              <w:t>采用混凝土铺砌</w:t>
            </w:r>
            <w:r>
              <w:rPr>
                <w:rFonts w:hint="eastAsia" w:ascii="Times New Roman" w:hAnsi="Times New Roman" w:cs="Times New Roman"/>
                <w:color w:val="auto"/>
                <w:sz w:val="21"/>
                <w:szCs w:val="21"/>
                <w:lang w:eastAsia="zh-CN"/>
              </w:rPr>
              <w:t>并</w:t>
            </w:r>
            <w:r>
              <w:rPr>
                <w:rFonts w:hint="default" w:ascii="Times New Roman" w:hAnsi="Times New Roman" w:eastAsia="宋体" w:cs="Times New Roman"/>
                <w:color w:val="auto"/>
                <w:sz w:val="21"/>
                <w:szCs w:val="21"/>
              </w:rPr>
              <w:t>设混凝土排水沟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40"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清净下水</w:t>
            </w:r>
          </w:p>
        </w:tc>
        <w:tc>
          <w:tcPr>
            <w:tcW w:w="7532"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循环水排水等</w:t>
            </w:r>
            <w:r>
              <w:rPr>
                <w:rFonts w:hint="eastAsia" w:ascii="Times New Roman" w:hAnsi="Times New Roman" w:eastAsia="宋体" w:cs="Times New Roman"/>
                <w:color w:val="auto"/>
                <w:sz w:val="21"/>
                <w:szCs w:val="21"/>
                <w:lang w:eastAsia="zh-CN"/>
              </w:rPr>
              <w:t>清净下水</w:t>
            </w:r>
            <w:r>
              <w:rPr>
                <w:rFonts w:hint="eastAsia" w:ascii="Times New Roman" w:hAnsi="Times New Roman" w:cs="Times New Roman"/>
                <w:color w:val="auto"/>
                <w:sz w:val="21"/>
                <w:szCs w:val="21"/>
                <w:lang w:eastAsia="zh-CN"/>
              </w:rPr>
              <w:t>直接</w:t>
            </w:r>
            <w:r>
              <w:rPr>
                <w:rFonts w:hint="eastAsia" w:ascii="Times New Roman" w:hAnsi="Times New Roman" w:eastAsia="宋体" w:cs="Times New Roman"/>
                <w:color w:val="auto"/>
                <w:sz w:val="21"/>
                <w:szCs w:val="21"/>
                <w:lang w:eastAsia="zh-CN"/>
              </w:rPr>
              <w:t>排入园区管网，最终至园区污水处理厂处理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40"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生产</w:t>
            </w:r>
            <w:r>
              <w:rPr>
                <w:rFonts w:hint="eastAsia" w:ascii="Times New Roman" w:hAnsi="Times New Roman" w:cs="Times New Roman"/>
                <w:color w:val="auto"/>
                <w:sz w:val="21"/>
                <w:szCs w:val="21"/>
                <w:lang w:eastAsia="zh-CN"/>
              </w:rPr>
              <w:t>工艺</w:t>
            </w:r>
            <w:r>
              <w:rPr>
                <w:rFonts w:hint="eastAsia" w:ascii="Times New Roman" w:hAnsi="Times New Roman" w:eastAsia="宋体" w:cs="Times New Roman"/>
                <w:color w:val="auto"/>
                <w:sz w:val="21"/>
                <w:szCs w:val="21"/>
                <w:lang w:eastAsia="zh-CN"/>
              </w:rPr>
              <w:t>废水</w:t>
            </w:r>
            <w:r>
              <w:rPr>
                <w:rFonts w:hint="eastAsia" w:ascii="Times New Roman" w:hAnsi="Times New Roman" w:cs="Times New Roman"/>
                <w:color w:val="auto"/>
                <w:sz w:val="21"/>
                <w:szCs w:val="21"/>
                <w:lang w:eastAsia="zh-CN"/>
              </w:rPr>
              <w:t>和生活污水</w:t>
            </w:r>
          </w:p>
        </w:tc>
        <w:tc>
          <w:tcPr>
            <w:tcW w:w="7532"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装置地面冲洗废水和新增生活污水</w:t>
            </w:r>
            <w:r>
              <w:rPr>
                <w:rFonts w:hint="eastAsia" w:ascii="Times New Roman" w:hAnsi="Times New Roman" w:eastAsia="宋体" w:cs="Times New Roman"/>
                <w:color w:val="auto"/>
                <w:sz w:val="21"/>
                <w:szCs w:val="21"/>
                <w:lang w:eastAsia="zh-CN"/>
              </w:rPr>
              <w:t>收集处理达到</w:t>
            </w:r>
            <w:r>
              <w:rPr>
                <w:rFonts w:hint="eastAsia" w:ascii="Times New Roman" w:hAnsi="Times New Roman" w:cs="Times New Roman"/>
                <w:color w:val="auto"/>
                <w:sz w:val="21"/>
                <w:szCs w:val="21"/>
                <w:lang w:eastAsia="zh-CN"/>
              </w:rPr>
              <w:t>《合成树脂工业污染物排放标准》（</w:t>
            </w:r>
            <w:r>
              <w:rPr>
                <w:rFonts w:hint="eastAsia" w:ascii="Times New Roman" w:hAnsi="Times New Roman" w:cs="Times New Roman"/>
                <w:color w:val="auto"/>
                <w:sz w:val="21"/>
                <w:szCs w:val="21"/>
                <w:lang w:val="en-US" w:eastAsia="zh-CN"/>
              </w:rPr>
              <w:t>GB31572</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2015</w:t>
            </w:r>
            <w:r>
              <w:rPr>
                <w:rFonts w:hint="eastAsia" w:ascii="Times New Roman" w:hAnsi="Times New Roman" w:cs="Times New Roman"/>
                <w:color w:val="auto"/>
                <w:sz w:val="21"/>
                <w:szCs w:val="21"/>
                <w:lang w:eastAsia="zh-CN"/>
              </w:rPr>
              <w:t>）表</w:t>
            </w: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间接排放标准，其它污染物满足</w:t>
            </w:r>
            <w:r>
              <w:rPr>
                <w:rFonts w:hint="eastAsia"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eastAsia="zh-CN"/>
              </w:rPr>
              <w:t>污水排入城镇下水道水质标准</w:t>
            </w:r>
            <w:r>
              <w:rPr>
                <w:rFonts w:hint="eastAsia"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GB</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T31962</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2015</w:t>
            </w:r>
            <w:r>
              <w:rPr>
                <w:rFonts w:hint="eastAsia" w:ascii="Times New Roman" w:hAnsi="Times New Roman" w:cs="Times New Roman"/>
                <w:color w:val="auto"/>
                <w:sz w:val="21"/>
                <w:szCs w:val="21"/>
                <w:lang w:eastAsia="zh-CN"/>
              </w:rPr>
              <w:t>）表</w:t>
            </w:r>
            <w:r>
              <w:rPr>
                <w:rFonts w:hint="eastAsia" w:ascii="Times New Roman" w:hAnsi="Times New Roman" w:cs="Times New Roman"/>
                <w:color w:val="auto"/>
                <w:sz w:val="21"/>
                <w:szCs w:val="21"/>
                <w:lang w:val="en-US" w:eastAsia="zh-CN"/>
              </w:rPr>
              <w:t>1B</w:t>
            </w:r>
            <w:r>
              <w:rPr>
                <w:rFonts w:hint="eastAsia" w:ascii="Times New Roman" w:hAnsi="Times New Roman" w:cs="Times New Roman"/>
                <w:color w:val="auto"/>
                <w:sz w:val="21"/>
                <w:szCs w:val="21"/>
                <w:lang w:val="en-US" w:eastAsia="zh-CN"/>
              </w:rPr>
              <w:t>级，</w:t>
            </w:r>
            <w:r>
              <w:rPr>
                <w:rFonts w:hint="eastAsia" w:ascii="Times New Roman" w:hAnsi="Times New Roman" w:eastAsia="宋体" w:cs="Times New Roman"/>
                <w:color w:val="auto"/>
                <w:sz w:val="21"/>
                <w:szCs w:val="21"/>
                <w:lang w:eastAsia="zh-CN"/>
              </w:rPr>
              <w:t>排入园区管网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40"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事故</w:t>
            </w:r>
            <w:r>
              <w:rPr>
                <w:rFonts w:hint="default" w:ascii="Times New Roman" w:hAnsi="Times New Roman" w:eastAsia="宋体" w:cs="Times New Roman"/>
                <w:color w:val="auto"/>
                <w:sz w:val="21"/>
                <w:szCs w:val="21"/>
              </w:rPr>
              <w:t>排水系统</w:t>
            </w:r>
          </w:p>
        </w:tc>
        <w:tc>
          <w:tcPr>
            <w:tcW w:w="7532"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收集事故状态下的部分事故水</w:t>
            </w:r>
            <w:r>
              <w:rPr>
                <w:rFonts w:hint="eastAsia"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eastAsia="zh-CN"/>
              </w:rPr>
              <w:t>依托现有</w:t>
            </w:r>
            <w:r>
              <w:rPr>
                <w:rFonts w:hint="eastAsia" w:ascii="Times New Roman" w:hAnsi="Times New Roman"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事故水池，事故废水经</w:t>
            </w:r>
            <w:r>
              <w:rPr>
                <w:rFonts w:hint="default" w:ascii="Times New Roman" w:hAnsi="Times New Roman" w:eastAsia="宋体" w:cs="Times New Roman"/>
                <w:color w:val="auto"/>
                <w:sz w:val="21"/>
                <w:szCs w:val="21"/>
                <w:lang w:val="en-US" w:eastAsia="zh-CN"/>
              </w:rPr>
              <w:t>厂区污水处理站预处理</w:t>
            </w:r>
            <w:r>
              <w:rPr>
                <w:rFonts w:hint="eastAsia" w:ascii="Times New Roman" w:hAnsi="Times New Roman" w:eastAsia="宋体" w:cs="Times New Roman"/>
                <w:color w:val="auto"/>
                <w:sz w:val="21"/>
                <w:szCs w:val="21"/>
                <w:lang w:val="en-US" w:eastAsia="zh-CN"/>
              </w:rPr>
              <w:t>达标</w:t>
            </w:r>
            <w:r>
              <w:rPr>
                <w:rFonts w:hint="default" w:ascii="Times New Roman" w:hAnsi="Times New Roman" w:eastAsia="宋体" w:cs="Times New Roman"/>
                <w:color w:val="auto"/>
                <w:sz w:val="21"/>
                <w:szCs w:val="21"/>
                <w:lang w:val="en-US" w:eastAsia="zh-CN"/>
              </w:rPr>
              <w:t>后</w:t>
            </w:r>
            <w:r>
              <w:rPr>
                <w:rFonts w:hint="eastAsia" w:ascii="Times New Roman" w:hAnsi="Times New Roman" w:cs="Times New Roman"/>
                <w:color w:val="auto"/>
                <w:sz w:val="21"/>
                <w:szCs w:val="21"/>
                <w:lang w:eastAsia="zh-CN"/>
              </w:rPr>
              <w:t>排</w:t>
            </w:r>
            <w:r>
              <w:rPr>
                <w:rFonts w:hint="default" w:ascii="Times New Roman" w:hAnsi="Times New Roman" w:eastAsia="宋体" w:cs="Times New Roman"/>
                <w:color w:val="auto"/>
                <w:sz w:val="21"/>
                <w:szCs w:val="21"/>
              </w:rPr>
              <w:t>园区污水处理厂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640" w:type="dxa"/>
            <w:tcBorders>
              <w:top w:val="single" w:color="000000" w:sz="4" w:space="0"/>
              <w:left w:val="single" w:color="000000" w:sz="12" w:space="0"/>
              <w:bottom w:val="single" w:color="000000" w:sz="12"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防渗处理</w:t>
            </w:r>
          </w:p>
        </w:tc>
        <w:tc>
          <w:tcPr>
            <w:tcW w:w="7532" w:type="dxa"/>
            <w:tcBorders>
              <w:top w:val="single" w:color="000000" w:sz="4" w:space="0"/>
              <w:left w:val="single" w:color="000000" w:sz="4" w:space="0"/>
              <w:bottom w:val="single" w:color="000000" w:sz="12" w:space="0"/>
              <w:right w:val="single" w:color="000000" w:sz="12" w:space="0"/>
            </w:tcBorders>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厂内分区防渗，</w:t>
            </w:r>
            <w:r>
              <w:rPr>
                <w:rFonts w:hint="eastAsia" w:ascii="Times New Roman" w:hAnsi="Times New Roman" w:cs="Times New Roman"/>
                <w:color w:val="auto"/>
                <w:sz w:val="21"/>
                <w:szCs w:val="21"/>
                <w:lang w:eastAsia="zh-CN"/>
              </w:rPr>
              <w:t>装置区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罐区</w:t>
            </w:r>
            <w:r>
              <w:rPr>
                <w:rFonts w:hint="eastAsia" w:ascii="Times New Roman" w:hAnsi="Times New Roman" w:eastAsia="宋体" w:cs="Times New Roman"/>
                <w:color w:val="auto"/>
                <w:sz w:val="21"/>
                <w:szCs w:val="21"/>
                <w:lang w:eastAsia="zh-CN"/>
              </w:rPr>
              <w:t>基础、</w:t>
            </w:r>
            <w:r>
              <w:rPr>
                <w:rFonts w:hint="eastAsia" w:ascii="Times New Roman" w:hAnsi="Times New Roman" w:cs="Times New Roman"/>
                <w:color w:val="auto"/>
                <w:sz w:val="21"/>
                <w:szCs w:val="21"/>
                <w:lang w:eastAsia="zh-CN"/>
              </w:rPr>
              <w:t>危险废物贮存库</w:t>
            </w:r>
            <w:r>
              <w:rPr>
                <w:rFonts w:hint="eastAsia" w:ascii="Times New Roman" w:hAnsi="Times New Roman" w:eastAsia="宋体" w:cs="Times New Roman"/>
                <w:color w:val="auto"/>
                <w:sz w:val="21"/>
                <w:szCs w:val="21"/>
                <w:lang w:eastAsia="zh-CN"/>
              </w:rPr>
              <w:t>等均采取了严格的防渗措施</w:t>
            </w:r>
          </w:p>
        </w:tc>
      </w:tr>
    </w:tbl>
    <w:p>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w:t>
      </w:r>
      <w:r>
        <w:rPr>
          <w:rFonts w:hint="default" w:ascii="Times New Roman" w:hAnsi="Times New Roman" w:eastAsia="宋体" w:cs="Times New Roman"/>
          <w:color w:val="auto"/>
          <w:szCs w:val="22"/>
        </w:rPr>
        <w:t>1</w:t>
      </w:r>
      <w:r>
        <w:rPr>
          <w:rFonts w:hint="default" w:ascii="Times New Roman" w:hAnsi="Times New Roman" w:eastAsia="宋体" w:cs="Times New Roman"/>
          <w:color w:val="auto"/>
          <w:szCs w:val="22"/>
        </w:rPr>
        <w:t>）</w:t>
      </w:r>
      <w:r>
        <w:rPr>
          <w:rFonts w:hint="eastAsia" w:ascii="Times New Roman" w:hAnsi="Times New Roman" w:cs="Times New Roman"/>
          <w:color w:val="auto"/>
          <w:szCs w:val="22"/>
          <w:lang w:eastAsia="zh-CN"/>
        </w:rPr>
        <w:t>地面</w:t>
      </w:r>
      <w:r>
        <w:rPr>
          <w:rFonts w:hint="default" w:ascii="Times New Roman" w:hAnsi="Times New Roman" w:eastAsia="宋体" w:cs="Times New Roman"/>
          <w:color w:val="auto"/>
          <w:szCs w:val="22"/>
        </w:rPr>
        <w:t>防渗措施</w:t>
      </w:r>
    </w:p>
    <w:p>
      <w:pPr>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根据现有资料，厂内现有工程中，液体化学品储罐区、酸碱罐区、各吸收塔和吸收塔底部水池、危险废物贮存库、事故池、污水处理各池体、污水管道（网）等区域均采取了重点防渗措施。其他一般区域采用了水泥硬化地面。</w:t>
      </w:r>
    </w:p>
    <w:p>
      <w:pPr>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①生产装置区</w:t>
      </w:r>
    </w:p>
    <w:p>
      <w:pPr>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生产装置区采用了抗渗混凝土做地面。露天装置区装置周边设置截水沟，可有效收集生产过程中的跑冒滴漏。</w:t>
      </w:r>
    </w:p>
    <w:p>
      <w:pPr>
        <w:ind w:firstLine="480"/>
        <w:rPr>
          <w:rFonts w:hint="default" w:ascii="Times New Roman" w:hAnsi="Times New Roman" w:eastAsia="宋体" w:cs="Times New Roman"/>
          <w:color w:val="auto"/>
        </w:rPr>
      </w:pPr>
      <w:r>
        <w:rPr>
          <w:rFonts w:hint="eastAsia" w:ascii="Times New Roman" w:hAnsi="Times New Roman" w:cs="Times New Roman"/>
          <w:color w:val="auto"/>
          <w:lang w:eastAsia="zh-CN"/>
        </w:rPr>
        <w:t>②</w:t>
      </w:r>
      <w:r>
        <w:rPr>
          <w:rFonts w:hint="default" w:ascii="Times New Roman" w:hAnsi="Times New Roman" w:eastAsia="宋体" w:cs="Times New Roman"/>
          <w:color w:val="auto"/>
        </w:rPr>
        <w:t>管道、阀门防渗措施</w:t>
      </w:r>
    </w:p>
    <w:p>
      <w:pPr>
        <w:ind w:firstLine="480"/>
        <w:rPr>
          <w:rFonts w:hint="eastAsia" w:ascii="Times New Roman" w:hAnsi="Times New Roman" w:cs="Times New Roman"/>
          <w:color w:val="0000FF"/>
          <w:lang w:eastAsia="zh-CN"/>
        </w:rPr>
      </w:pPr>
      <w:r>
        <w:rPr>
          <w:rFonts w:hint="default" w:ascii="Times New Roman" w:hAnsi="Times New Roman" w:eastAsia="宋体" w:cs="Times New Roman"/>
          <w:bCs/>
          <w:color w:val="auto"/>
        </w:rPr>
        <w:t>对于地上管道、阀门严格质量管理，如发现问题及时解决。对工艺要求必须地下走管的管道、阀门设专用混凝土防渗管沟，防水混凝土抗渗标号不低于</w:t>
      </w:r>
      <w:r>
        <w:rPr>
          <w:rFonts w:hint="default" w:ascii="Times New Roman" w:hAnsi="Times New Roman" w:eastAsia="宋体" w:cs="Times New Roman"/>
          <w:bCs/>
          <w:color w:val="auto"/>
        </w:rPr>
        <w:t>40</w:t>
      </w:r>
      <w:r>
        <w:rPr>
          <w:rFonts w:hint="default" w:ascii="Times New Roman" w:hAnsi="Times New Roman" w:eastAsia="宋体" w:cs="Times New Roman"/>
          <w:bCs/>
          <w:color w:val="auto"/>
        </w:rPr>
        <w:t>，防渗管沟厚度不低于</w:t>
      </w:r>
      <w:r>
        <w:rPr>
          <w:rFonts w:hint="default" w:ascii="Times New Roman" w:hAnsi="Times New Roman" w:eastAsia="宋体" w:cs="Times New Roman"/>
          <w:bCs/>
          <w:color w:val="auto"/>
        </w:rPr>
        <w:t>100mm</w:t>
      </w:r>
      <w:r>
        <w:rPr>
          <w:rFonts w:hint="default" w:ascii="Times New Roman" w:hAnsi="Times New Roman" w:eastAsia="宋体" w:cs="Times New Roman"/>
          <w:bCs/>
          <w:color w:val="auto"/>
        </w:rPr>
        <w:t>，管沟内壁涂防水涂料，管沟上设活动观察顶盖，以便出现渗漏问题及时观察、解决。管沟与污水处理站相连，废水</w:t>
      </w:r>
      <w:r>
        <w:rPr>
          <w:rFonts w:hint="eastAsia" w:ascii="Times New Roman" w:hAnsi="Times New Roman" w:cs="Times New Roman"/>
          <w:bCs/>
          <w:color w:val="auto"/>
          <w:lang w:eastAsia="zh-CN"/>
        </w:rPr>
        <w:t>排入</w:t>
      </w:r>
      <w:r>
        <w:rPr>
          <w:rFonts w:hint="default" w:ascii="Times New Roman" w:hAnsi="Times New Roman" w:eastAsia="宋体" w:cs="Times New Roman"/>
          <w:bCs/>
          <w:color w:val="auto"/>
        </w:rPr>
        <w:t>污水处理站处理。</w:t>
      </w:r>
    </w:p>
    <w:p>
      <w:pPr>
        <w:ind w:firstLine="480"/>
        <w:jc w:val="left"/>
        <w:rPr>
          <w:rFonts w:hint="default" w:ascii="Times New Roman" w:hAnsi="Times New Roman" w:eastAsia="宋体" w:cs="Times New Roman"/>
          <w:color w:val="auto"/>
        </w:rPr>
      </w:pPr>
      <w:r>
        <w:rPr>
          <w:rFonts w:hint="eastAsia" w:ascii="Times New Roman" w:hAnsi="Times New Roman" w:cs="Times New Roman"/>
          <w:color w:val="auto"/>
          <w:lang w:eastAsia="zh-CN"/>
        </w:rPr>
        <w:t>③</w:t>
      </w:r>
      <w:r>
        <w:rPr>
          <w:rFonts w:hint="default" w:ascii="Times New Roman" w:hAnsi="Times New Roman" w:eastAsia="宋体" w:cs="Times New Roman"/>
          <w:color w:val="auto"/>
        </w:rPr>
        <w:t>事故水池的防渗处理措施</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严格按照建筑防渗设计规范进行设计，事故污水池的防渗采用：地基垫层采用</w:t>
      </w:r>
      <w:r>
        <w:rPr>
          <w:rFonts w:hint="eastAsia" w:ascii="Times New Roman" w:hAnsi="Times New Roman" w:eastAsia="宋体" w:cs="Times New Roman"/>
          <w:color w:val="auto"/>
          <w:lang w:eastAsia="zh-CN"/>
        </w:rPr>
        <w:t>抗渗混凝土</w:t>
      </w:r>
      <w:r>
        <w:rPr>
          <w:rFonts w:hint="default" w:ascii="Times New Roman" w:hAnsi="Times New Roman" w:eastAsia="宋体" w:cs="Times New Roman"/>
          <w:color w:val="auto"/>
        </w:rPr>
        <w:t>垫层，并按照水压计算设计地面防渗层，底面和池壁壁面铺设</w:t>
      </w:r>
      <w:r>
        <w:rPr>
          <w:rFonts w:hint="default" w:ascii="Times New Roman" w:hAnsi="Times New Roman" w:eastAsia="宋体" w:cs="Times New Roman"/>
          <w:color w:val="auto"/>
          <w:spacing w:val="8"/>
        </w:rPr>
        <w:t>HDPE</w:t>
      </w:r>
      <w:r>
        <w:rPr>
          <w:rFonts w:hint="eastAsia" w:ascii="Times New Roman" w:hAnsi="Times New Roman" w:eastAsia="宋体" w:cs="Times New Roman"/>
          <w:color w:val="auto"/>
          <w:spacing w:val="8"/>
          <w:lang w:eastAsia="zh-CN"/>
        </w:rPr>
        <w:t>防渗土工膜</w:t>
      </w:r>
      <w:r>
        <w:rPr>
          <w:rFonts w:hint="default" w:ascii="Times New Roman" w:hAnsi="Times New Roman" w:eastAsia="宋体" w:cs="Times New Roman"/>
          <w:color w:val="auto"/>
        </w:rPr>
        <w:t>。</w:t>
      </w:r>
    </w:p>
    <w:p>
      <w:pPr>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④罐区防渗措施</w:t>
      </w:r>
    </w:p>
    <w:p>
      <w:pPr>
        <w:ind w:firstLine="480"/>
        <w:rPr>
          <w:rFonts w:hint="eastAsia" w:ascii="Times New Roman" w:hAnsi="Times New Roman" w:cs="Times New Roman"/>
          <w:color w:val="auto"/>
          <w:lang w:eastAsia="zh-CN"/>
        </w:rPr>
      </w:pPr>
      <w:r>
        <w:rPr>
          <w:rFonts w:hint="default" w:ascii="Times New Roman" w:hAnsi="Times New Roman" w:eastAsia="宋体" w:cs="Times New Roman"/>
          <w:bCs/>
          <w:color w:val="auto"/>
          <w:lang w:val="zh-CN"/>
        </w:rPr>
        <w:t>罐区地面采取</w:t>
      </w:r>
      <w:r>
        <w:rPr>
          <w:rFonts w:hint="eastAsia" w:ascii="Times New Roman" w:hAnsi="Times New Roman" w:eastAsia="宋体" w:cs="Times New Roman"/>
          <w:bCs/>
          <w:color w:val="auto"/>
          <w:lang w:val="en-US" w:eastAsia="zh-CN"/>
        </w:rPr>
        <w:t>1</w:t>
      </w:r>
      <w:r>
        <w:rPr>
          <w:rFonts w:hint="eastAsia" w:ascii="Times New Roman" w:hAnsi="Times New Roman" w:eastAsia="宋体" w:cs="Times New Roman"/>
          <w:bCs/>
          <w:color w:val="auto"/>
          <w:lang w:val="en-US" w:eastAsia="zh-CN"/>
        </w:rPr>
        <w:t>.</w:t>
      </w:r>
      <w:r>
        <w:rPr>
          <w:rFonts w:hint="eastAsia" w:ascii="Times New Roman" w:hAnsi="Times New Roman" w:eastAsia="宋体" w:cs="Times New Roman"/>
          <w:bCs/>
          <w:color w:val="auto"/>
          <w:lang w:val="en-US" w:eastAsia="zh-CN"/>
        </w:rPr>
        <w:t>5mm</w:t>
      </w:r>
      <w:r>
        <w:rPr>
          <w:rFonts w:hint="eastAsia" w:ascii="Times New Roman" w:hAnsi="Times New Roman" w:eastAsia="宋体" w:cs="Times New Roman"/>
          <w:bCs/>
          <w:color w:val="auto"/>
          <w:lang w:val="en-US" w:eastAsia="zh-CN"/>
        </w:rPr>
        <w:t>厚</w:t>
      </w:r>
      <w:r>
        <w:rPr>
          <w:rFonts w:hint="eastAsia" w:ascii="Times New Roman" w:hAnsi="Times New Roman" w:eastAsia="宋体" w:cs="Times New Roman"/>
          <w:bCs/>
          <w:color w:val="auto"/>
          <w:lang w:val="en-US" w:eastAsia="zh-CN"/>
        </w:rPr>
        <w:t>HDPE</w:t>
      </w:r>
      <w:r>
        <w:rPr>
          <w:rFonts w:hint="default" w:ascii="Times New Roman" w:hAnsi="Times New Roman" w:eastAsia="宋体" w:cs="Times New Roman"/>
          <w:bCs/>
          <w:color w:val="auto"/>
          <w:lang w:val="zh-CN"/>
        </w:rPr>
        <w:t>土工膜+抗渗混凝土（厚度不小于</w:t>
      </w:r>
      <w:r>
        <w:rPr>
          <w:rFonts w:hint="default" w:ascii="Times New Roman" w:hAnsi="Times New Roman" w:eastAsia="宋体" w:cs="Times New Roman"/>
          <w:bCs/>
          <w:color w:val="auto"/>
          <w:lang w:val="zh-CN"/>
        </w:rPr>
        <w:t>100mm</w:t>
      </w:r>
      <w:r>
        <w:rPr>
          <w:rFonts w:hint="default" w:ascii="Times New Roman" w:hAnsi="Times New Roman" w:eastAsia="宋体" w:cs="Times New Roman"/>
          <w:bCs/>
          <w:color w:val="auto"/>
          <w:lang w:val="zh-CN"/>
        </w:rPr>
        <w:t>）结构，抗渗混凝土系数</w:t>
      </w:r>
      <w:r>
        <w:rPr>
          <w:rFonts w:hint="default" w:ascii="Times New Roman" w:hAnsi="Times New Roman" w:eastAsia="宋体" w:cs="Times New Roman"/>
          <w:color w:val="auto"/>
        </w:rPr>
        <w:t>≤</w:t>
      </w:r>
      <w:r>
        <w:rPr>
          <w:rFonts w:hint="default" w:ascii="Times New Roman" w:hAnsi="Times New Roman" w:eastAsia="宋体" w:cs="Times New Roman"/>
          <w:color w:val="auto"/>
        </w:rPr>
        <w:t>1</w:t>
      </w:r>
      <w:r>
        <w:rPr>
          <w:rFonts w:hint="default" w:ascii="Times New Roman" w:hAnsi="Times New Roman" w:eastAsia="宋体" w:cs="Times New Roman"/>
          <w:color w:val="auto"/>
        </w:rPr>
        <w:t>.</w:t>
      </w:r>
      <w:r>
        <w:rPr>
          <w:rFonts w:hint="default" w:ascii="Times New Roman" w:hAnsi="Times New Roman" w:eastAsia="宋体" w:cs="Times New Roman"/>
          <w:color w:val="auto"/>
        </w:rPr>
        <w:t>0</w:t>
      </w:r>
      <w:r>
        <w:rPr>
          <w:rFonts w:hint="default" w:ascii="Times New Roman" w:hAnsi="Times New Roman" w:eastAsia="宋体" w:cs="Times New Roman"/>
          <w:color w:val="auto"/>
        </w:rPr>
        <w:t>×</w:t>
      </w:r>
      <w:r>
        <w:rPr>
          <w:rFonts w:hint="default" w:ascii="Times New Roman" w:hAnsi="Times New Roman" w:eastAsia="宋体" w:cs="Times New Roman"/>
          <w:color w:val="auto"/>
        </w:rPr>
        <w:t>10</w:t>
      </w:r>
      <w:r>
        <w:rPr>
          <w:rFonts w:hint="default" w:ascii="Times New Roman" w:hAnsi="Times New Roman" w:eastAsia="宋体" w:cs="Times New Roman"/>
          <w:color w:val="auto"/>
          <w:vertAlign w:val="superscript"/>
        </w:rPr>
        <w:t>-</w:t>
      </w:r>
      <w:r>
        <w:rPr>
          <w:rFonts w:hint="default" w:ascii="Times New Roman" w:hAnsi="Times New Roman" w:eastAsia="宋体" w:cs="Times New Roman"/>
          <w:color w:val="auto"/>
          <w:vertAlign w:val="superscript"/>
        </w:rPr>
        <w:t>6</w:t>
      </w:r>
      <w:r>
        <w:rPr>
          <w:rFonts w:hint="default" w:ascii="Times New Roman" w:hAnsi="Times New Roman" w:eastAsia="宋体" w:cs="Times New Roman"/>
          <w:color w:val="auto"/>
        </w:rPr>
        <w:t>cm</w:t>
      </w:r>
      <w:r>
        <w:rPr>
          <w:rFonts w:hint="default" w:ascii="Times New Roman" w:hAnsi="Times New Roman" w:eastAsia="宋体" w:cs="Times New Roman"/>
          <w:color w:val="auto"/>
        </w:rPr>
        <w:t>/</w:t>
      </w:r>
      <w:r>
        <w:rPr>
          <w:rFonts w:hint="default" w:ascii="Times New Roman" w:hAnsi="Times New Roman" w:eastAsia="宋体" w:cs="Times New Roman"/>
          <w:color w:val="auto"/>
        </w:rPr>
        <w:t>s</w:t>
      </w:r>
      <w:r>
        <w:rPr>
          <w:rFonts w:hint="default" w:ascii="Times New Roman" w:hAnsi="Times New Roman" w:eastAsia="宋体" w:cs="Times New Roman"/>
          <w:bCs/>
          <w:color w:val="auto"/>
          <w:lang w:val="zh-CN"/>
        </w:rPr>
        <w:t>，</w:t>
      </w:r>
      <w:r>
        <w:rPr>
          <w:rFonts w:hint="default" w:ascii="Times New Roman" w:hAnsi="Times New Roman" w:eastAsia="宋体" w:cs="Times New Roman"/>
          <w:color w:val="auto"/>
        </w:rPr>
        <w:t>环墙采用抗渗混凝土，与防火堤、隔堤及其他设施基础严密连接，表面刷聚合物水泥柔性防水涂料，</w:t>
      </w:r>
      <w:r>
        <w:rPr>
          <w:rFonts w:hint="default" w:ascii="Times New Roman" w:hAnsi="Times New Roman" w:eastAsia="宋体" w:cs="Times New Roman"/>
          <w:bCs/>
          <w:color w:val="auto"/>
          <w:lang w:val="zh-CN"/>
        </w:rPr>
        <w:t>满足防渗要求，罐区设有导排和收集设施。</w:t>
      </w:r>
    </w:p>
    <w:p>
      <w:pPr>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⑤危险废物贮存库的防渗措施</w:t>
      </w:r>
    </w:p>
    <w:p>
      <w:pPr>
        <w:ind w:firstLine="480"/>
        <w:rPr>
          <w:rFonts w:hint="eastAsia" w:ascii="Times New Roman" w:hAnsi="Times New Roman" w:cs="Times New Roman"/>
          <w:color w:val="0000FF"/>
          <w:lang w:eastAsia="zh-CN"/>
        </w:rPr>
      </w:pPr>
      <w:r>
        <w:rPr>
          <w:rFonts w:hint="eastAsia" w:ascii="Times New Roman" w:hAnsi="Times New Roman" w:cs="Times New Roman"/>
          <w:color w:val="auto"/>
          <w:lang w:eastAsia="zh-CN"/>
        </w:rPr>
        <w:t>危险废物贮存库</w:t>
      </w:r>
      <w:r>
        <w:rPr>
          <w:rFonts w:hint="default" w:ascii="Times New Roman" w:hAnsi="Times New Roman" w:eastAsia="宋体" w:cs="Times New Roman"/>
          <w:color w:val="auto"/>
        </w:rPr>
        <w:t>地面采用地面复合土工膜防渗技术（</w:t>
      </w:r>
      <w:r>
        <w:rPr>
          <w:rFonts w:hint="eastAsia" w:ascii="Times New Roman" w:hAnsi="Times New Roman" w:eastAsia="宋体" w:cs="Times New Roman"/>
          <w:color w:val="auto"/>
          <w:lang w:eastAsia="zh-CN"/>
        </w:rPr>
        <w:t>抗渗混凝土面层</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中细砂支承层+土工膜(</w:t>
      </w:r>
      <w:r>
        <w:rPr>
          <w:rFonts w:hint="eastAsia" w:ascii="Times New Roman" w:hAnsi="Times New Roman" w:eastAsia="宋体" w:cs="Times New Roman"/>
          <w:color w:val="auto"/>
          <w:lang w:val="en-US" w:eastAsia="zh-CN"/>
        </w:rPr>
        <w:t>HD</w:t>
      </w:r>
      <w:r>
        <w:rPr>
          <w:rFonts w:hint="default" w:ascii="Times New Roman" w:hAnsi="Times New Roman" w:eastAsia="宋体" w:cs="Times New Roman"/>
          <w:color w:val="auto"/>
        </w:rPr>
        <w:t>PE</w:t>
      </w:r>
      <w:r>
        <w:rPr>
          <w:rFonts w:hint="default" w:ascii="Times New Roman" w:hAnsi="Times New Roman" w:eastAsia="宋体" w:cs="Times New Roman"/>
          <w:color w:val="auto"/>
        </w:rPr>
        <w:t>厚</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rPr>
        <w:t>5mm</w:t>
      </w:r>
      <w:r>
        <w:rPr>
          <w:rFonts w:hint="default" w:ascii="Times New Roman" w:hAnsi="Times New Roman" w:eastAsia="宋体" w:cs="Times New Roman"/>
          <w:color w:val="auto"/>
        </w:rPr>
        <w:t>)+水泥钢筋混凝土）。</w:t>
      </w:r>
    </w:p>
    <w:p>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w:t>
      </w:r>
      <w:r>
        <w:rPr>
          <w:rFonts w:hint="default" w:ascii="Times New Roman" w:hAnsi="Times New Roman" w:eastAsia="宋体" w:cs="Times New Roman"/>
          <w:color w:val="auto"/>
          <w:szCs w:val="22"/>
        </w:rPr>
        <w:t>2</w:t>
      </w:r>
      <w:r>
        <w:rPr>
          <w:rFonts w:hint="default" w:ascii="Times New Roman" w:hAnsi="Times New Roman" w:eastAsia="宋体" w:cs="Times New Roman"/>
          <w:color w:val="auto"/>
          <w:szCs w:val="22"/>
        </w:rPr>
        <w:t>）围堰设置</w:t>
      </w:r>
    </w:p>
    <w:p>
      <w:pPr>
        <w:tabs>
          <w:tab w:val="left" w:pos="1620"/>
        </w:tabs>
        <w:ind w:firstLine="480"/>
        <w:rPr>
          <w:rFonts w:hint="default" w:ascii="Times New Roman" w:hAnsi="Times New Roman" w:eastAsia="宋体" w:cs="Times New Roman"/>
          <w:color w:val="auto"/>
        </w:rPr>
      </w:pPr>
      <w:r>
        <w:rPr>
          <w:rFonts w:hint="eastAsia" w:ascii="Times New Roman" w:hAnsi="Times New Roman" w:cs="Times New Roman"/>
          <w:color w:val="auto"/>
          <w:lang w:eastAsia="zh-CN"/>
        </w:rPr>
        <w:t>厂内储罐区均</w:t>
      </w:r>
      <w:r>
        <w:rPr>
          <w:rFonts w:hint="default" w:ascii="Times New Roman" w:hAnsi="Times New Roman" w:eastAsia="宋体" w:cs="Times New Roman"/>
          <w:color w:val="auto"/>
        </w:rPr>
        <w:t>设置围堰。配备必要的设施确保事故状态下</w:t>
      </w:r>
      <w:r>
        <w:rPr>
          <w:rFonts w:hint="eastAsia" w:ascii="Times New Roman" w:hAnsi="Times New Roman" w:cs="Times New Roman"/>
          <w:color w:val="auto"/>
          <w:lang w:eastAsia="zh-CN"/>
        </w:rPr>
        <w:t>泄漏废水（液）能得到有效收集</w:t>
      </w:r>
      <w:r>
        <w:rPr>
          <w:rFonts w:hint="default" w:ascii="Times New Roman" w:hAnsi="Times New Roman" w:eastAsia="宋体" w:cs="Times New Roman"/>
          <w:color w:val="auto"/>
        </w:rPr>
        <w:t>，防止污染介质外流扩散造成</w:t>
      </w:r>
      <w:r>
        <w:rPr>
          <w:rFonts w:hint="eastAsia" w:ascii="Times New Roman" w:hAnsi="Times New Roman" w:eastAsia="宋体" w:cs="Times New Roman"/>
          <w:color w:val="auto"/>
          <w:lang w:eastAsia="zh-CN"/>
        </w:rPr>
        <w:t>周边</w:t>
      </w:r>
      <w:r>
        <w:rPr>
          <w:rFonts w:hint="eastAsia" w:ascii="Times New Roman" w:hAnsi="Times New Roman" w:cs="Times New Roman"/>
          <w:color w:val="auto"/>
          <w:lang w:eastAsia="zh-CN"/>
        </w:rPr>
        <w:t>地下水</w:t>
      </w:r>
      <w:r>
        <w:rPr>
          <w:rFonts w:hint="default" w:ascii="Times New Roman" w:hAnsi="Times New Roman" w:eastAsia="宋体" w:cs="Times New Roman"/>
          <w:color w:val="auto"/>
        </w:rPr>
        <w:t>、土壤的大面积污染。</w:t>
      </w:r>
    </w:p>
    <w:p>
      <w:pPr>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w:t>
      </w:r>
      <w:r>
        <w:rPr>
          <w:rFonts w:hint="default" w:ascii="Times New Roman" w:hAnsi="Times New Roman" w:eastAsia="宋体" w:cs="Times New Roman"/>
          <w:color w:val="auto"/>
          <w:szCs w:val="22"/>
        </w:rPr>
        <w:t>3</w:t>
      </w:r>
      <w:r>
        <w:rPr>
          <w:rFonts w:hint="default" w:ascii="Times New Roman" w:hAnsi="Times New Roman" w:eastAsia="宋体" w:cs="Times New Roman"/>
          <w:color w:val="auto"/>
          <w:szCs w:val="22"/>
        </w:rPr>
        <w:t>）事故废水收集和处理措施</w:t>
      </w:r>
    </w:p>
    <w:p>
      <w:pPr>
        <w:ind w:firstLine="480"/>
        <w:rPr>
          <w:rFonts w:hint="default" w:ascii="Times New Roman" w:hAnsi="Times New Roman" w:eastAsia="宋体" w:cs="Times New Roman"/>
          <w:color w:val="auto"/>
          <w:lang w:val="zh-CN"/>
        </w:rPr>
      </w:pPr>
      <w:r>
        <w:rPr>
          <w:rFonts w:hint="eastAsia" w:ascii="Times New Roman" w:hAnsi="Times New Roman" w:cs="Times New Roman"/>
          <w:color w:val="auto"/>
          <w:lang w:val="zh-CN"/>
        </w:rPr>
        <w:t>本项目依托的</w:t>
      </w:r>
      <w:r>
        <w:rPr>
          <w:rFonts w:hint="default" w:ascii="Times New Roman" w:hAnsi="Times New Roman" w:eastAsia="宋体" w:cs="Times New Roman"/>
          <w:color w:val="auto"/>
          <w:lang w:val="zh-CN"/>
        </w:rPr>
        <w:t>事故水池</w:t>
      </w:r>
      <w:r>
        <w:rPr>
          <w:rFonts w:hint="eastAsia" w:ascii="Times New Roman" w:hAnsi="Times New Roman" w:cs="Times New Roman"/>
          <w:color w:val="auto"/>
          <w:lang w:val="zh-CN"/>
        </w:rPr>
        <w:t>容积为</w:t>
      </w:r>
      <w:r>
        <w:rPr>
          <w:rFonts w:hint="eastAsia" w:ascii="Times New Roman" w:hAnsi="Times New Roman" w:cs="Times New Roman"/>
          <w:color w:val="auto"/>
          <w:lang w:val="en-US" w:eastAsia="zh-CN"/>
        </w:rPr>
        <w:t>6000m</w:t>
      </w:r>
      <w:r>
        <w:rPr>
          <w:rFonts w:hint="eastAsia" w:ascii="Times New Roman" w:hAnsi="Times New Roman" w:cs="Times New Roman"/>
          <w:color w:val="auto"/>
          <w:lang w:val="en-US" w:eastAsia="zh-CN"/>
        </w:rPr>
        <w:t>³，事故池容积可满足事故状态下事故废水、消防废水贮存。</w:t>
      </w:r>
      <w:r>
        <w:rPr>
          <w:rFonts w:hint="default" w:ascii="Times New Roman" w:hAnsi="Times New Roman" w:eastAsia="宋体" w:cs="Times New Roman"/>
          <w:color w:val="auto"/>
          <w:lang w:val="zh-CN"/>
        </w:rPr>
        <w:t>事故水池的设计和建设按照《石油化工企业设计防火规范》（</w:t>
      </w:r>
      <w:r>
        <w:rPr>
          <w:rFonts w:hint="default" w:ascii="Times New Roman" w:hAnsi="Times New Roman" w:eastAsia="宋体" w:cs="Times New Roman"/>
          <w:color w:val="auto"/>
          <w:lang w:val="zh-CN"/>
        </w:rPr>
        <w:t>GB50160</w:t>
      </w:r>
      <w:r>
        <w:rPr>
          <w:rFonts w:hint="default" w:ascii="Times New Roman" w:hAnsi="Times New Roman" w:eastAsia="宋体" w:cs="Times New Roman"/>
          <w:color w:val="auto"/>
          <w:lang w:val="zh-CN"/>
        </w:rPr>
        <w:t>-</w:t>
      </w:r>
      <w:r>
        <w:rPr>
          <w:rFonts w:hint="default" w:ascii="Times New Roman" w:hAnsi="Times New Roman" w:eastAsia="宋体" w:cs="Times New Roman"/>
          <w:color w:val="auto"/>
          <w:lang w:val="zh-CN"/>
        </w:rPr>
        <w:t>2008</w:t>
      </w:r>
      <w:r>
        <w:rPr>
          <w:rFonts w:hint="default" w:ascii="Times New Roman" w:hAnsi="Times New Roman" w:eastAsia="宋体" w:cs="Times New Roman"/>
          <w:color w:val="auto"/>
          <w:lang w:val="zh-CN"/>
        </w:rPr>
        <w:t>）执行，并满足下列要求：</w:t>
      </w:r>
    </w:p>
    <w:p>
      <w:pPr>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①事故水池火灾危险类别确定为丙类；事故状态下按甲类管理。</w:t>
      </w:r>
    </w:p>
    <w:p>
      <w:pPr>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②事故水池采取防渗、防腐、防冻、防洪、抗浮、抗震等措施。</w:t>
      </w:r>
    </w:p>
    <w:p>
      <w:pPr>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③事故水池配备抽水设施，</w:t>
      </w:r>
      <w:r>
        <w:rPr>
          <w:rFonts w:hint="eastAsia" w:ascii="Times New Roman" w:hAnsi="Times New Roman" w:eastAsia="宋体" w:cs="Times New Roman"/>
          <w:color w:val="auto"/>
          <w:lang w:val="zh-CN"/>
        </w:rPr>
        <w:t>可</w:t>
      </w:r>
      <w:r>
        <w:rPr>
          <w:rFonts w:hint="default" w:ascii="Times New Roman" w:hAnsi="Times New Roman" w:eastAsia="宋体" w:cs="Times New Roman"/>
          <w:color w:val="auto"/>
          <w:lang w:val="zh-CN"/>
        </w:rPr>
        <w:t>将事故池中的污水输送至</w:t>
      </w:r>
      <w:r>
        <w:rPr>
          <w:rFonts w:hint="eastAsia" w:ascii="Times New Roman" w:hAnsi="Times New Roman" w:eastAsia="宋体" w:cs="Times New Roman"/>
          <w:color w:val="auto"/>
          <w:lang w:val="zh-CN"/>
        </w:rPr>
        <w:t>厂内</w:t>
      </w:r>
      <w:r>
        <w:rPr>
          <w:rFonts w:hint="default" w:ascii="Times New Roman" w:hAnsi="Times New Roman" w:eastAsia="宋体" w:cs="Times New Roman"/>
          <w:color w:val="auto"/>
          <w:lang w:val="zh-CN"/>
        </w:rPr>
        <w:t>污水处理系统。</w:t>
      </w:r>
    </w:p>
    <w:p>
      <w:pPr>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④事故水池设浮动式分离收集器、液位监视仪、集液区，方便对分层污染物的处理和物料回收。</w:t>
      </w:r>
    </w:p>
    <w:p>
      <w:pPr>
        <w:ind w:firstLine="480"/>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通过以上措施，确保</w:t>
      </w:r>
      <w:r>
        <w:rPr>
          <w:rFonts w:hint="default" w:ascii="Times New Roman" w:hAnsi="Times New Roman" w:eastAsia="宋体" w:cs="Times New Roman"/>
          <w:color w:val="auto"/>
        </w:rPr>
        <w:t>事故状态下产生的废水、废液</w:t>
      </w:r>
      <w:r>
        <w:rPr>
          <w:rFonts w:hint="eastAsia" w:ascii="Times New Roman" w:hAnsi="Times New Roman" w:eastAsia="宋体" w:cs="Times New Roman"/>
          <w:color w:val="auto"/>
          <w:lang w:eastAsia="zh-CN"/>
        </w:rPr>
        <w:t>可顺利</w:t>
      </w:r>
      <w:r>
        <w:rPr>
          <w:rFonts w:hint="default" w:ascii="Times New Roman" w:hAnsi="Times New Roman" w:eastAsia="宋体" w:cs="Times New Roman"/>
          <w:color w:val="auto"/>
        </w:rPr>
        <w:t>收集到事故池中。</w:t>
      </w:r>
    </w:p>
    <w:p>
      <w:pPr>
        <w:rPr>
          <w:rFonts w:hint="eastAsia"/>
          <w:color w:val="auto"/>
          <w:lang w:val="en-US" w:eastAsia="zh-CN"/>
        </w:rPr>
      </w:pP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）事故池容积核算</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厂内单个储罐最大为</w:t>
      </w:r>
      <w:r>
        <w:rPr>
          <w:rFonts w:hint="eastAsia" w:ascii="Times New Roman" w:hAnsi="Times New Roman" w:cs="Times New Roman"/>
          <w:bCs/>
          <w:color w:val="auto"/>
          <w:szCs w:val="24"/>
          <w:lang w:val="en-US" w:eastAsia="zh-CN"/>
        </w:rPr>
        <w:t>PD</w:t>
      </w:r>
      <w:r>
        <w:rPr>
          <w:rFonts w:hint="eastAsia" w:ascii="Times New Roman" w:hAnsi="Times New Roman" w:cs="Times New Roman"/>
          <w:bCs/>
          <w:color w:val="auto"/>
          <w:szCs w:val="24"/>
          <w:lang w:val="en-US" w:eastAsia="zh-CN"/>
        </w:rPr>
        <w:t>储罐（</w:t>
      </w:r>
      <w:r>
        <w:rPr>
          <w:rFonts w:hint="eastAsia" w:ascii="Times New Roman" w:hAnsi="Times New Roman" w:cs="Times New Roman"/>
          <w:bCs/>
          <w:color w:val="auto"/>
          <w:szCs w:val="24"/>
          <w:lang w:val="en-US" w:eastAsia="zh-CN"/>
        </w:rPr>
        <w:t>831m</w:t>
      </w:r>
      <w:r>
        <w:rPr>
          <w:rFonts w:hint="eastAsia" w:ascii="Times New Roman" w:hAnsi="Times New Roman" w:cs="Times New Roman"/>
          <w:bCs/>
          <w:color w:val="auto"/>
          <w:szCs w:val="24"/>
          <w:lang w:val="en-US" w:eastAsia="zh-CN"/>
        </w:rPr>
        <w:t>³）。生产装置周围设置截水沟，一旦发生事故又同时下雨时，可将阀门切换至厂内废水收集管网系统。</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rPr>
      </w:pPr>
      <w:r>
        <w:rPr>
          <w:rFonts w:hint="eastAsia" w:ascii="Times New Roman" w:hAnsi="Times New Roman" w:cs="Times New Roman"/>
          <w:bCs/>
          <w:color w:val="auto"/>
          <w:szCs w:val="24"/>
          <w:lang w:val="en-US" w:eastAsia="zh-CN"/>
        </w:rPr>
        <w:t>根据</w:t>
      </w:r>
      <w:r>
        <w:rPr>
          <w:rFonts w:hint="eastAsia"/>
        </w:rPr>
        <w:t>《关于印发＜水体污染防控紧急措施设计导则＞的通知》中有关要求，事故储存设施总有效容积计算公示如下：</w:t>
      </w:r>
    </w:p>
    <w:p>
      <w:pPr>
        <w:keepNext w:val="0"/>
        <w:keepLines w:val="0"/>
        <w:pageBreakBefore w:val="0"/>
        <w:widowControl w:val="0"/>
        <w:kinsoku/>
        <w:wordWrap/>
        <w:overflowPunct/>
        <w:topLinePunct w:val="0"/>
        <w:autoSpaceDE/>
        <w:autoSpaceDN/>
        <w:bidi w:val="0"/>
        <w:adjustRightInd/>
        <w:snapToGrid/>
        <w:spacing w:line="440" w:lineRule="exact"/>
        <w:ind w:firstLine="482"/>
        <w:jc w:val="center"/>
        <w:textAlignment w:val="auto"/>
      </w:pPr>
      <w:r>
        <w:rPr>
          <w:rFonts w:hint="eastAsia" w:ascii="Times New Roman" w:hAnsi="Times New Roman"/>
        </w:rPr>
        <w:t>V</w:t>
      </w:r>
      <w:r>
        <w:rPr>
          <w:rFonts w:hint="eastAsia"/>
          <w:vertAlign w:val="subscript"/>
        </w:rPr>
        <w:t>总</w:t>
      </w:r>
      <w:r>
        <w:rPr>
          <w:rFonts w:hint="eastAsia"/>
        </w:rPr>
        <w:t>=</w:t>
      </w:r>
      <w:r>
        <w:rPr>
          <w:rFonts w:hint="eastAsia" w:ascii="Times New Roman" w:hAnsi="Times New Roman"/>
        </w:rPr>
        <w:t>V</w:t>
      </w:r>
      <w:r>
        <w:rPr>
          <w:rFonts w:hint="eastAsia" w:ascii="Times New Roman" w:hAnsi="Times New Roman"/>
          <w:vertAlign w:val="subscript"/>
        </w:rPr>
        <w:t>1</w:t>
      </w:r>
      <w:r>
        <w:rPr>
          <w:rFonts w:hint="eastAsia"/>
        </w:rPr>
        <w:t>+</w:t>
      </w:r>
      <w:r>
        <w:rPr>
          <w:rFonts w:hint="eastAsia" w:ascii="Times New Roman" w:hAnsi="Times New Roman"/>
        </w:rPr>
        <w:t>V</w:t>
      </w:r>
      <w:r>
        <w:rPr>
          <w:rFonts w:hint="eastAsia" w:ascii="Times New Roman" w:hAnsi="Times New Roman"/>
          <w:vertAlign w:val="subscript"/>
        </w:rPr>
        <w:t>2</w:t>
      </w:r>
      <w:r>
        <w:rPr>
          <w:rFonts w:hint="eastAsia"/>
        </w:rPr>
        <w:t>-</w:t>
      </w:r>
      <w:r>
        <w:rPr>
          <w:rFonts w:hint="eastAsia" w:ascii="Times New Roman" w:hAnsi="Times New Roman"/>
        </w:rPr>
        <w:t>V</w:t>
      </w:r>
      <w:r>
        <w:rPr>
          <w:rFonts w:hint="eastAsia" w:ascii="Times New Roman" w:hAnsi="Times New Roman"/>
          <w:vertAlign w:val="subscript"/>
        </w:rPr>
        <w:t>3</w:t>
      </w:r>
      <w:r>
        <w:rPr>
          <w:rFonts w:hint="eastAsia"/>
        </w:rPr>
        <w:t>+</w:t>
      </w:r>
      <w:r>
        <w:rPr>
          <w:rFonts w:hint="eastAsia" w:ascii="Times New Roman" w:hAnsi="Times New Roman"/>
        </w:rPr>
        <w:t>V</w:t>
      </w:r>
      <w:r>
        <w:rPr>
          <w:rFonts w:hint="eastAsia" w:ascii="Times New Roman" w:hAnsi="Times New Roman"/>
          <w:vertAlign w:val="subscript"/>
        </w:rPr>
        <w:t>4</w:t>
      </w:r>
      <w:r>
        <w:rPr>
          <w:rFonts w:hint="eastAsia"/>
        </w:rPr>
        <w:t>+</w:t>
      </w:r>
      <w:r>
        <w:rPr>
          <w:rFonts w:hint="eastAsia" w:ascii="Times New Roman" w:hAnsi="Times New Roman"/>
        </w:rPr>
        <w:t>V</w:t>
      </w:r>
      <w:r>
        <w:rPr>
          <w:rFonts w:hint="eastAsia" w:ascii="Times New Roman" w:hAnsi="Times New Roman"/>
          <w:vertAlign w:val="subscript"/>
        </w:rPr>
        <w:t>5</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pPr>
      <w:r>
        <w:rPr>
          <w:rFonts w:hint="eastAsia" w:ascii="Times New Roman" w:hAnsi="Times New Roman"/>
        </w:rPr>
        <w:t>V</w:t>
      </w:r>
      <w:r>
        <w:rPr>
          <w:rFonts w:hint="eastAsia" w:ascii="Times New Roman" w:hAnsi="Times New Roman"/>
          <w:vertAlign w:val="subscript"/>
        </w:rPr>
        <w:t>1</w:t>
      </w:r>
      <w:r>
        <w:rPr>
          <w:rFonts w:hint="eastAsia"/>
        </w:rPr>
        <w:t>----收集系统范围内发生事故的一个罐组或一套装置的物料量（储存相同物料的罐组按一个最大储罐计，装置物料量按存留最大物料量的一台反应器或中间储罐计）。</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pPr>
      <w:r>
        <w:rPr>
          <w:rFonts w:hint="eastAsia" w:ascii="Times New Roman" w:hAnsi="Times New Roman"/>
        </w:rPr>
        <w:t>V</w:t>
      </w:r>
      <w:r>
        <w:rPr>
          <w:rFonts w:hint="eastAsia" w:ascii="Times New Roman" w:hAnsi="Times New Roman"/>
          <w:vertAlign w:val="subscript"/>
        </w:rPr>
        <w:t>2</w:t>
      </w:r>
      <w:r>
        <w:rPr>
          <w:rFonts w:hint="eastAsia"/>
        </w:rPr>
        <w:t>----发生事故时产生的消防水量。</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eastAsia="宋体"/>
          <w:lang w:val="en-US" w:eastAsia="zh-CN"/>
        </w:rPr>
      </w:pPr>
      <w:r>
        <w:rPr>
          <w:rFonts w:hint="eastAsia" w:ascii="Times New Roman" w:hAnsi="Times New Roman"/>
        </w:rPr>
        <w:t>V</w:t>
      </w:r>
      <w:r>
        <w:rPr>
          <w:rFonts w:hint="eastAsia" w:ascii="Times New Roman" w:hAnsi="Times New Roman"/>
          <w:vertAlign w:val="subscript"/>
        </w:rPr>
        <w:t>3</w:t>
      </w:r>
      <w:r>
        <w:rPr>
          <w:rFonts w:hint="eastAsia"/>
        </w:rPr>
        <w:t>----围堰容积。</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pPr>
      <w:r>
        <w:rPr>
          <w:rFonts w:hint="eastAsia" w:ascii="Times New Roman" w:hAnsi="Times New Roman"/>
        </w:rPr>
        <w:t>V</w:t>
      </w:r>
      <w:r>
        <w:rPr>
          <w:rFonts w:hint="eastAsia" w:ascii="Times New Roman" w:hAnsi="Times New Roman"/>
          <w:vertAlign w:val="subscript"/>
        </w:rPr>
        <w:t>4</w:t>
      </w:r>
      <w:r>
        <w:rPr>
          <w:rFonts w:hint="eastAsia"/>
        </w:rPr>
        <w:t>----发生事故时仍必须进入该收集系统的生产废水量</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rPr>
      </w:pPr>
      <w:r>
        <w:rPr>
          <w:rFonts w:hint="eastAsia" w:ascii="Times New Roman" w:hAnsi="Times New Roman"/>
        </w:rPr>
        <w:t>V</w:t>
      </w:r>
      <w:r>
        <w:rPr>
          <w:rFonts w:hint="eastAsia" w:ascii="Times New Roman" w:hAnsi="Times New Roman"/>
          <w:vertAlign w:val="subscript"/>
        </w:rPr>
        <w:t>5</w:t>
      </w:r>
      <w:r>
        <w:rPr>
          <w:rFonts w:hint="eastAsia"/>
        </w:rPr>
        <w:t>----降雨量，日最大降雨按</w:t>
      </w:r>
      <w:r>
        <w:rPr>
          <w:rFonts w:hint="eastAsia" w:ascii="Times New Roman" w:hAnsi="Times New Roman"/>
          <w:lang w:val="en-US" w:eastAsia="zh-CN"/>
        </w:rPr>
        <w:t>21</w:t>
      </w:r>
      <w:r>
        <w:rPr>
          <w:rFonts w:hint="eastAsia" w:ascii="Times New Roman" w:hAnsi="Times New Roman"/>
        </w:rPr>
        <w:t>mm</w:t>
      </w:r>
      <w:r>
        <w:rPr>
          <w:rFonts w:hint="eastAsia"/>
        </w:rPr>
        <w:t>/</w:t>
      </w:r>
      <w:r>
        <w:rPr>
          <w:rFonts w:hint="eastAsia" w:ascii="Times New Roman" w:hAnsi="Times New Roman"/>
        </w:rPr>
        <w:t>d</w:t>
      </w:r>
      <w:r>
        <w:rPr>
          <w:rFonts w:hint="eastAsia"/>
        </w:rPr>
        <w:t>计。</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rPr>
      </w:pPr>
      <w:r>
        <w:rPr>
          <w:rFonts w:hint="eastAsia"/>
        </w:rPr>
        <w:t>火灾持续时间</w:t>
      </w:r>
      <w:r>
        <w:rPr>
          <w:rFonts w:hint="eastAsia" w:ascii="Times New Roman" w:hAnsi="Times New Roman"/>
        </w:rPr>
        <w:t>2h</w:t>
      </w:r>
      <w:r>
        <w:rPr>
          <w:rFonts w:hint="eastAsia" w:ascii="Times New Roman"/>
        </w:rPr>
        <w:t>计</w:t>
      </w:r>
      <w:r>
        <w:rPr>
          <w:rFonts w:hint="eastAsia"/>
        </w:rPr>
        <w:t>。</w:t>
      </w:r>
    </w:p>
    <w:p>
      <w:pPr>
        <w:rPr>
          <w:rFonts w:hint="eastAsia"/>
          <w:color w:val="auto"/>
          <w:lang w:val="en-US" w:eastAsia="zh-CN"/>
        </w:rPr>
      </w:pPr>
      <w:r>
        <w:rPr>
          <w:rFonts w:hint="eastAsia"/>
        </w:rPr>
        <w:t>本项目设置有</w:t>
      </w:r>
      <w:r>
        <w:rPr>
          <w:rFonts w:hint="eastAsia"/>
          <w:lang w:eastAsia="zh-CN"/>
        </w:rPr>
        <w:t>三</w:t>
      </w:r>
      <w:r>
        <w:rPr>
          <w:rFonts w:hint="eastAsia"/>
        </w:rPr>
        <w:t>个</w:t>
      </w:r>
      <w:r>
        <w:rPr>
          <w:rFonts w:hint="eastAsia"/>
          <w:lang w:eastAsia="zh-CN"/>
        </w:rPr>
        <w:t>储罐</w:t>
      </w:r>
      <w:r>
        <w:rPr>
          <w:rFonts w:hint="eastAsia"/>
        </w:rPr>
        <w:t>，以最大</w:t>
      </w:r>
      <w:r>
        <w:rPr>
          <w:rFonts w:hint="eastAsia"/>
          <w:lang w:eastAsia="zh-CN"/>
        </w:rPr>
        <w:t>的</w:t>
      </w:r>
      <w:r>
        <w:rPr>
          <w:rFonts w:hint="eastAsia" w:ascii="Times New Roman" w:hAnsi="Times New Roman"/>
          <w:lang w:val="en-US" w:eastAsia="zh-CN"/>
        </w:rPr>
        <w:t>PD</w:t>
      </w:r>
      <w:r>
        <w:rPr>
          <w:rFonts w:hint="eastAsia"/>
        </w:rPr>
        <w:t>储罐</w:t>
      </w:r>
      <w:r>
        <w:rPr>
          <w:rFonts w:hint="eastAsia"/>
          <w:lang w:eastAsia="zh-CN"/>
        </w:rPr>
        <w:t>计算</w:t>
      </w:r>
      <w:r>
        <w:rPr>
          <w:rFonts w:hint="eastAsia"/>
        </w:rPr>
        <w:t>：</w:t>
      </w:r>
      <w:r>
        <w:rPr>
          <w:rFonts w:hint="eastAsia" w:ascii="Times New Roman" w:hAnsi="Times New Roman"/>
        </w:rPr>
        <w:t>V</w:t>
      </w:r>
      <w:r>
        <w:rPr>
          <w:rFonts w:hint="eastAsia" w:ascii="Times New Roman" w:hAnsi="Times New Roman"/>
          <w:vertAlign w:val="subscript"/>
        </w:rPr>
        <w:t>1</w:t>
      </w:r>
      <w:r>
        <w:rPr>
          <w:rFonts w:hint="eastAsia"/>
        </w:rPr>
        <w:t>=</w:t>
      </w:r>
      <w:r>
        <w:rPr>
          <w:rFonts w:hint="eastAsia" w:ascii="Times New Roman" w:hAnsi="Times New Roman"/>
          <w:lang w:val="en-US" w:eastAsia="zh-CN"/>
        </w:rPr>
        <w:t>831</w:t>
      </w:r>
      <w:r>
        <w:rPr>
          <w:rFonts w:hint="eastAsia" w:ascii="Times New Roman" w:hAnsi="Times New Roman"/>
        </w:rPr>
        <w:t>m</w:t>
      </w:r>
      <w:r>
        <w:rPr>
          <w:rFonts w:hint="eastAsia"/>
        </w:rPr>
        <w:t>³</w:t>
      </w:r>
      <w:r>
        <w:rPr>
          <w:rFonts w:hint="eastAsia"/>
          <w:lang w:eastAsia="zh-CN"/>
        </w:rPr>
        <w:t>（</w:t>
      </w:r>
      <w:r>
        <w:rPr>
          <w:rFonts w:hint="eastAsia" w:ascii="Times New Roman" w:hAnsi="Times New Roman"/>
          <w:lang w:val="en-US" w:eastAsia="zh-CN"/>
        </w:rPr>
        <w:t>PD</w:t>
      </w:r>
      <w:r>
        <w:rPr>
          <w:rFonts w:hint="eastAsia"/>
          <w:lang w:val="en-US" w:eastAsia="zh-CN"/>
        </w:rPr>
        <w:t>储罐</w:t>
      </w:r>
      <w:r>
        <w:rPr>
          <w:rFonts w:hint="eastAsia"/>
          <w:lang w:eastAsia="zh-CN"/>
        </w:rPr>
        <w:t>）</w:t>
      </w:r>
      <w:r>
        <w:rPr>
          <w:rFonts w:hint="eastAsia"/>
        </w:rPr>
        <w:t>，</w:t>
      </w:r>
      <w:r>
        <w:rPr>
          <w:rFonts w:hint="eastAsia" w:ascii="Times New Roman" w:hAnsi="Times New Roman"/>
        </w:rPr>
        <w:t>V</w:t>
      </w:r>
      <w:r>
        <w:rPr>
          <w:rFonts w:hint="eastAsia" w:ascii="Times New Roman" w:hAnsi="Times New Roman"/>
          <w:vertAlign w:val="subscript"/>
        </w:rPr>
        <w:t>2</w:t>
      </w:r>
      <w:r>
        <w:rPr>
          <w:rFonts w:hint="eastAsia"/>
        </w:rPr>
        <w:t>=</w:t>
      </w:r>
      <w:r>
        <w:rPr>
          <w:rFonts w:hint="eastAsia" w:ascii="Times New Roman" w:hAnsi="Times New Roman"/>
          <w:lang w:val="en-US" w:eastAsia="zh-CN"/>
        </w:rPr>
        <w:t>2880</w:t>
      </w:r>
      <w:r>
        <w:rPr>
          <w:rFonts w:hint="eastAsia" w:ascii="Times New Roman" w:hAnsi="Times New Roman"/>
        </w:rPr>
        <w:t>m</w:t>
      </w:r>
      <w:r>
        <w:rPr>
          <w:rFonts w:hint="eastAsia"/>
        </w:rPr>
        <w:t>³</w:t>
      </w:r>
      <w:r>
        <w:rPr>
          <w:rFonts w:hint="eastAsia"/>
          <w:lang w:eastAsia="zh-CN"/>
        </w:rPr>
        <w:t>（</w:t>
      </w:r>
      <w:r>
        <w:rPr>
          <w:rFonts w:hint="eastAsia" w:ascii="Times New Roman" w:hAnsi="Times New Roman"/>
          <w:lang w:val="en-US" w:eastAsia="zh-CN"/>
        </w:rPr>
        <w:t>2</w:t>
      </w:r>
      <w:r>
        <w:rPr>
          <w:rFonts w:hint="eastAsia"/>
          <w:lang w:val="en-US" w:eastAsia="zh-CN"/>
        </w:rPr>
        <w:t>台流量</w:t>
      </w:r>
      <w:r>
        <w:rPr>
          <w:rFonts w:hint="eastAsia" w:ascii="Times New Roman" w:hAnsi="Times New Roman"/>
          <w:lang w:val="en-US" w:eastAsia="zh-CN"/>
        </w:rPr>
        <w:t>200L</w:t>
      </w:r>
      <w:r>
        <w:rPr>
          <w:rFonts w:hint="eastAsia"/>
          <w:lang w:val="en-US" w:eastAsia="zh-CN"/>
        </w:rPr>
        <w:t>/</w:t>
      </w:r>
      <w:r>
        <w:rPr>
          <w:rFonts w:hint="eastAsia" w:ascii="Times New Roman" w:hAnsi="Times New Roman"/>
          <w:lang w:val="en-US" w:eastAsia="zh-CN"/>
        </w:rPr>
        <w:t>s</w:t>
      </w:r>
      <w:r>
        <w:rPr>
          <w:rFonts w:hint="eastAsia"/>
          <w:lang w:eastAsia="zh-CN"/>
        </w:rPr>
        <w:t>）</w:t>
      </w:r>
      <w:r>
        <w:rPr>
          <w:rFonts w:hint="eastAsia"/>
        </w:rPr>
        <w:t>，</w:t>
      </w:r>
      <w:r>
        <w:rPr>
          <w:rFonts w:hint="eastAsia" w:ascii="Times New Roman" w:hAnsi="Times New Roman"/>
        </w:rPr>
        <w:t>V</w:t>
      </w:r>
      <w:r>
        <w:rPr>
          <w:rFonts w:hint="eastAsia" w:ascii="Times New Roman" w:hAnsi="Times New Roman"/>
          <w:vertAlign w:val="subscript"/>
        </w:rPr>
        <w:t>3</w:t>
      </w:r>
      <w:r>
        <w:rPr>
          <w:rFonts w:hint="eastAsia"/>
        </w:rPr>
        <w:t>=</w:t>
      </w:r>
      <w:r>
        <w:rPr>
          <w:rFonts w:hint="eastAsia" w:ascii="Times New Roman" w:hAnsi="Times New Roman"/>
          <w:lang w:val="en-US" w:eastAsia="zh-CN"/>
        </w:rPr>
        <w:t>1920</w:t>
      </w:r>
      <w:r>
        <w:rPr>
          <w:rFonts w:hint="eastAsia" w:ascii="Times New Roman" w:hAnsi="Times New Roman"/>
        </w:rPr>
        <w:t>m</w:t>
      </w:r>
      <w:r>
        <w:rPr>
          <w:rFonts w:hint="eastAsia"/>
        </w:rPr>
        <w:t>³，</w:t>
      </w:r>
      <w:r>
        <w:rPr>
          <w:rFonts w:hint="eastAsia" w:ascii="Times New Roman" w:hAnsi="Times New Roman"/>
        </w:rPr>
        <w:t>V</w:t>
      </w:r>
      <w:r>
        <w:rPr>
          <w:rFonts w:hint="eastAsia" w:ascii="Times New Roman" w:hAnsi="Times New Roman"/>
          <w:vertAlign w:val="subscript"/>
        </w:rPr>
        <w:t>4</w:t>
      </w:r>
      <w:r>
        <w:rPr>
          <w:rFonts w:hint="eastAsia"/>
        </w:rPr>
        <w:t>=</w:t>
      </w:r>
      <w:r>
        <w:rPr>
          <w:rFonts w:hint="eastAsia" w:ascii="Times New Roman" w:hAnsi="Times New Roman"/>
        </w:rPr>
        <w:t>0m</w:t>
      </w:r>
      <w:r>
        <w:rPr>
          <w:rFonts w:hint="eastAsia"/>
        </w:rPr>
        <w:t>³，</w:t>
      </w:r>
      <w:r>
        <w:rPr>
          <w:rFonts w:hint="eastAsia" w:ascii="Times New Roman" w:hAnsi="Times New Roman"/>
        </w:rPr>
        <w:t>V</w:t>
      </w:r>
      <w:r>
        <w:rPr>
          <w:rFonts w:hint="eastAsia" w:ascii="Times New Roman" w:hAnsi="Times New Roman"/>
          <w:vertAlign w:val="subscript"/>
        </w:rPr>
        <w:t>5</w:t>
      </w:r>
      <w:r>
        <w:rPr>
          <w:rFonts w:hint="eastAsia"/>
        </w:rPr>
        <w:t>=</w:t>
      </w:r>
      <w:r>
        <w:rPr>
          <w:rFonts w:hint="eastAsia" w:ascii="Times New Roman" w:hAnsi="Times New Roman"/>
          <w:lang w:val="en-US" w:eastAsia="zh-CN"/>
        </w:rPr>
        <w:t>33</w:t>
      </w:r>
      <w:r>
        <w:rPr>
          <w:rFonts w:hint="eastAsia" w:ascii="Times New Roman" w:hAnsi="Times New Roman"/>
          <w:lang w:val="en-US" w:eastAsia="zh-CN"/>
        </w:rPr>
        <w:t>.</w:t>
      </w:r>
      <w:r>
        <w:rPr>
          <w:rFonts w:hint="eastAsia" w:ascii="Times New Roman" w:hAnsi="Times New Roman"/>
          <w:lang w:val="en-US" w:eastAsia="zh-CN"/>
        </w:rPr>
        <w:t>6</w:t>
      </w:r>
      <w:r>
        <w:rPr>
          <w:rFonts w:hint="eastAsia" w:ascii="Times New Roman" w:hAnsi="Times New Roman"/>
        </w:rPr>
        <w:t>m</w:t>
      </w:r>
      <w:r>
        <w:rPr>
          <w:rFonts w:hint="eastAsia"/>
        </w:rPr>
        <w:t>³，</w:t>
      </w:r>
      <w:r>
        <w:rPr>
          <w:rFonts w:hint="eastAsia"/>
          <w:lang w:eastAsia="zh-CN"/>
        </w:rPr>
        <w:t>则</w:t>
      </w:r>
      <w:r>
        <w:rPr>
          <w:rFonts w:hint="eastAsia" w:ascii="Times New Roman" w:hAnsi="Times New Roman"/>
          <w:lang w:val="en-US" w:eastAsia="zh-CN"/>
        </w:rPr>
        <w:t>V</w:t>
      </w:r>
      <w:r>
        <w:rPr>
          <w:rFonts w:hint="eastAsia"/>
          <w:vertAlign w:val="subscript"/>
          <w:lang w:val="en-US" w:eastAsia="zh-CN"/>
        </w:rPr>
        <w:t>总</w:t>
      </w:r>
      <w:r>
        <w:rPr>
          <w:rFonts w:hint="eastAsia"/>
          <w:lang w:val="en-US" w:eastAsia="zh-CN"/>
        </w:rPr>
        <w:t>=</w:t>
      </w:r>
      <w:r>
        <w:rPr>
          <w:rFonts w:hint="eastAsia" w:ascii="Times New Roman" w:hAnsi="Times New Roman"/>
          <w:lang w:val="en-US" w:eastAsia="zh-CN"/>
        </w:rPr>
        <w:t>1824</w:t>
      </w:r>
      <w:r>
        <w:rPr>
          <w:rFonts w:hint="eastAsia" w:ascii="Times New Roman" w:hAnsi="Times New Roman"/>
          <w:lang w:val="en-US" w:eastAsia="zh-CN"/>
        </w:rPr>
        <w:t>.</w:t>
      </w:r>
      <w:r>
        <w:rPr>
          <w:rFonts w:hint="eastAsia" w:ascii="Times New Roman" w:hAnsi="Times New Roman"/>
          <w:lang w:val="en-US" w:eastAsia="zh-CN"/>
        </w:rPr>
        <w:t>6</w:t>
      </w:r>
      <w:r>
        <w:rPr>
          <w:rFonts w:hint="eastAsia" w:ascii="Times New Roman" w:hAnsi="Times New Roman"/>
        </w:rPr>
        <w:t>m</w:t>
      </w:r>
      <w:r>
        <w:rPr>
          <w:rFonts w:hint="eastAsia"/>
        </w:rPr>
        <w:t>³。因此</w:t>
      </w:r>
      <w:r>
        <w:rPr>
          <w:rFonts w:hint="eastAsia"/>
          <w:lang w:eastAsia="zh-CN"/>
        </w:rPr>
        <w:t>本</w:t>
      </w:r>
      <w:r>
        <w:rPr>
          <w:rFonts w:hint="eastAsia"/>
        </w:rPr>
        <w:t>项目依托厂内现有</w:t>
      </w:r>
      <w:r>
        <w:rPr>
          <w:rFonts w:hint="eastAsia" w:ascii="Times New Roman" w:hAnsi="Times New Roman"/>
          <w:lang w:val="en-US" w:eastAsia="zh-CN"/>
        </w:rPr>
        <w:t>6000</w:t>
      </w:r>
      <w:r>
        <w:rPr>
          <w:rFonts w:hint="eastAsia" w:ascii="Times New Roman" w:hAnsi="Times New Roman"/>
        </w:rPr>
        <w:t>m</w:t>
      </w:r>
      <w:r>
        <w:rPr>
          <w:rFonts w:hint="eastAsia"/>
        </w:rPr>
        <w:t>³事故池</w:t>
      </w:r>
      <w:r>
        <w:rPr>
          <w:rFonts w:hint="eastAsia"/>
          <w:lang w:eastAsia="zh-CN"/>
        </w:rPr>
        <w:t>可</w:t>
      </w:r>
      <w:r>
        <w:rPr>
          <w:rFonts w:hint="eastAsia"/>
        </w:rPr>
        <w:t>满足</w:t>
      </w:r>
      <w:r>
        <w:rPr>
          <w:rFonts w:hint="eastAsia"/>
          <w:lang w:eastAsia="zh-CN"/>
        </w:rPr>
        <w:t>本项目</w:t>
      </w:r>
      <w:r>
        <w:rPr>
          <w:rFonts w:hint="eastAsia"/>
        </w:rPr>
        <w:t>事故排放的需求</w:t>
      </w:r>
      <w:r>
        <w:rPr>
          <w:rFonts w:hint="eastAsia"/>
          <w:lang w:eastAsia="zh-CN"/>
        </w:rPr>
        <w:t>，</w:t>
      </w:r>
      <w:r>
        <w:rPr>
          <w:rFonts w:hint="default" w:ascii="Times New Roman" w:hAnsi="Times New Roman" w:eastAsia="宋体" w:cs="Times New Roman"/>
          <w:color w:val="auto"/>
        </w:rPr>
        <w:t>符合</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化工建设项目环境保护设计标准</w:t>
      </w:r>
      <w:r>
        <w:rPr>
          <w:rFonts w:hint="eastAsia" w:ascii="Times New Roman" w:hAnsi="Times New Roman" w:cs="Times New Roman"/>
          <w:color w:val="auto"/>
          <w:lang w:eastAsia="zh-CN"/>
        </w:rPr>
        <w:t>》（</w:t>
      </w:r>
      <w:r>
        <w:rPr>
          <w:rFonts w:hint="default" w:ascii="Times New Roman" w:hAnsi="Times New Roman" w:eastAsia="宋体" w:cs="Times New Roman"/>
          <w:color w:val="auto"/>
        </w:rPr>
        <w:t>GB</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T</w:t>
      </w:r>
      <w:r>
        <w:rPr>
          <w:rFonts w:hint="default" w:ascii="Times New Roman" w:hAnsi="Times New Roman" w:eastAsia="宋体" w:cs="Times New Roman"/>
          <w:color w:val="auto"/>
        </w:rPr>
        <w:t>50483</w:t>
      </w:r>
      <w:r>
        <w:rPr>
          <w:rFonts w:hint="default" w:ascii="Times New Roman" w:hAnsi="Times New Roman" w:eastAsia="宋体" w:cs="Times New Roman"/>
          <w:color w:val="auto"/>
        </w:rPr>
        <w:t>-</w:t>
      </w:r>
      <w:r>
        <w:rPr>
          <w:rFonts w:hint="default" w:ascii="Times New Roman" w:hAnsi="Times New Roman" w:eastAsia="宋体" w:cs="Times New Roman"/>
          <w:color w:val="auto"/>
        </w:rPr>
        <w:t>20</w:t>
      </w:r>
      <w:r>
        <w:rPr>
          <w:rFonts w:hint="eastAsia" w:ascii="Times New Roman" w:hAnsi="Times New Roman" w:cs="Times New Roman"/>
          <w:color w:val="auto"/>
          <w:lang w:val="en-US" w:eastAsia="zh-CN"/>
        </w:rPr>
        <w:t>1</w:t>
      </w:r>
      <w:r>
        <w:rPr>
          <w:rFonts w:hint="default" w:ascii="Times New Roman" w:hAnsi="Times New Roman" w:eastAsia="宋体" w:cs="Times New Roman"/>
          <w:color w:val="auto"/>
        </w:rPr>
        <w:t>9</w:t>
      </w:r>
      <w:r>
        <w:rPr>
          <w:rFonts w:hint="eastAsia" w:ascii="Times New Roman" w:hAnsi="Times New Roman" w:cs="Times New Roman"/>
          <w:color w:val="auto"/>
          <w:lang w:eastAsia="zh-CN"/>
        </w:rPr>
        <w:t>）</w:t>
      </w:r>
      <w:r>
        <w:rPr>
          <w:rFonts w:hint="default" w:ascii="Times New Roman" w:hAnsi="Times New Roman" w:eastAsia="宋体" w:cs="Times New Roman"/>
          <w:color w:val="auto"/>
        </w:rPr>
        <w:t>规定。</w:t>
      </w:r>
    </w:p>
    <w:p>
      <w:pPr>
        <w:rPr>
          <w:rFonts w:hint="default"/>
          <w:color w:val="auto"/>
        </w:rPr>
      </w:pPr>
      <w:r>
        <w:rPr>
          <w:rFonts w:hint="eastAsia"/>
          <w:color w:val="auto"/>
          <w:lang w:eastAsia="zh-CN"/>
        </w:rPr>
        <w:t>（</w:t>
      </w:r>
      <w:r>
        <w:rPr>
          <w:rFonts w:hint="eastAsia" w:ascii="Times New Roman" w:hAnsi="Times New Roman"/>
          <w:color w:val="auto"/>
          <w:lang w:val="en-US" w:eastAsia="zh-CN"/>
        </w:rPr>
        <w:t>5</w:t>
      </w:r>
      <w:r>
        <w:rPr>
          <w:rFonts w:hint="eastAsia"/>
          <w:color w:val="auto"/>
          <w:lang w:eastAsia="zh-CN"/>
        </w:rPr>
        <w:t>）</w:t>
      </w:r>
      <w:r>
        <w:rPr>
          <w:rFonts w:hint="default"/>
          <w:color w:val="auto"/>
        </w:rPr>
        <w:t>三级防控体系</w:t>
      </w:r>
    </w:p>
    <w:p>
      <w:pPr>
        <w:rPr>
          <w:rFonts w:hint="default"/>
          <w:color w:val="auto"/>
        </w:rPr>
      </w:pPr>
      <w:r>
        <w:rPr>
          <w:rFonts w:hint="default"/>
          <w:color w:val="auto"/>
        </w:rPr>
        <w:t>参照《中国石油天然气集团公司石油化工企业水污染应急防控技术要点》要求，针对项目污染物来源及其特性，以实现达标排放和满足应急处置为原则，建立污染源头、处理过程和最终排放的</w:t>
      </w:r>
      <w:r>
        <w:rPr>
          <w:rFonts w:hint="eastAsia"/>
          <w:color w:val="auto"/>
          <w:lang w:eastAsia="zh-CN"/>
        </w:rPr>
        <w:t>“</w:t>
      </w:r>
      <w:r>
        <w:rPr>
          <w:rFonts w:hint="default"/>
          <w:color w:val="auto"/>
        </w:rPr>
        <w:t>三级防控</w:t>
      </w:r>
      <w:r>
        <w:rPr>
          <w:rFonts w:hint="eastAsia"/>
          <w:color w:val="auto"/>
          <w:lang w:eastAsia="zh-CN"/>
        </w:rPr>
        <w:t>”</w:t>
      </w:r>
      <w:r>
        <w:rPr>
          <w:rFonts w:hint="default"/>
          <w:color w:val="auto"/>
        </w:rPr>
        <w:t>机制。</w:t>
      </w:r>
    </w:p>
    <w:p>
      <w:pPr>
        <w:rPr>
          <w:rFonts w:hint="default"/>
          <w:color w:val="auto"/>
        </w:rPr>
      </w:pPr>
      <w:r>
        <w:rPr>
          <w:rFonts w:hint="default"/>
          <w:color w:val="auto"/>
        </w:rPr>
        <w:t>第一级防控措施是设置装置区</w:t>
      </w:r>
      <w:r>
        <w:rPr>
          <w:rFonts w:hint="eastAsia"/>
          <w:color w:val="auto"/>
          <w:lang w:eastAsia="zh-CN"/>
        </w:rPr>
        <w:t>截水沟</w:t>
      </w:r>
      <w:r>
        <w:rPr>
          <w:rFonts w:hint="default"/>
          <w:color w:val="auto"/>
        </w:rPr>
        <w:t>和罐区防火堤，构筑生产过程中环境安全的第一层防控网，将泄漏物料切换到处理系统，防止污染雨水和轻微事故泄漏造成的环境污染；</w:t>
      </w:r>
    </w:p>
    <w:p>
      <w:pPr>
        <w:rPr>
          <w:rFonts w:hint="default"/>
          <w:color w:val="auto"/>
        </w:rPr>
      </w:pPr>
      <w:r>
        <w:rPr>
          <w:rFonts w:hint="default"/>
          <w:color w:val="auto"/>
        </w:rPr>
        <w:t>第二级防控措施是在产生剧毒或者污染严重污染物的装置或厂区设置事故缓冲池，切断污染物与外部的通道、导入污水处理系统，将污染控制在厂内，防止重大事故泄漏物料和污染消防水造成的环境污染；</w:t>
      </w:r>
    </w:p>
    <w:p>
      <w:pPr>
        <w:rPr>
          <w:rFonts w:hint="default"/>
          <w:color w:val="auto"/>
        </w:rPr>
      </w:pPr>
      <w:r>
        <w:rPr>
          <w:rFonts w:hint="default"/>
          <w:color w:val="auto"/>
        </w:rPr>
        <w:t>第三级防控措施是在雨水排放口设置截止阀，将污染物控制在区内，防止重大事故泄漏物料和污染消防水造成的环境污染。</w:t>
      </w:r>
    </w:p>
    <w:p>
      <w:pPr>
        <w:rPr>
          <w:rFonts w:hint="default"/>
          <w:color w:val="auto"/>
        </w:rPr>
      </w:pPr>
      <w:r>
        <w:rPr>
          <w:rFonts w:hint="default"/>
          <w:color w:val="auto"/>
        </w:rPr>
        <w:t>事故废水或消防废水的截留、收集和处理流程见图</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4</w:t>
      </w:r>
      <w:r>
        <w:rPr>
          <w:rFonts w:hint="default"/>
          <w:color w:val="auto"/>
        </w:rPr>
        <w:t>。</w:t>
      </w:r>
    </w:p>
    <w:p>
      <w:pPr>
        <w:pStyle w:val="20"/>
        <w:rPr>
          <w:rFonts w:hint="eastAsia"/>
          <w:color w:val="auto"/>
          <w:lang w:val="en-US" w:eastAsia="zh-CN"/>
        </w:rPr>
      </w:pPr>
      <w:r>
        <w:rPr>
          <w:rFonts w:hint="default" w:ascii="Times New Roman" w:hAnsi="Times New Roman" w:eastAsia="宋体" w:cs="Times New Roman"/>
          <w:b/>
          <w:color w:val="auto"/>
          <w:kern w:val="0"/>
          <w:sz w:val="21"/>
          <w:szCs w:val="20"/>
          <w:lang w:val="en-US" w:eastAsia="zh-CN" w:bidi="ar-SA"/>
        </w:rPr>
        <mc:AlternateContent>
          <mc:Choice Requires="wpg">
            <w:drawing>
              <wp:anchor distT="0" distB="0" distL="114300" distR="114300" simplePos="0" relativeHeight="251669504" behindDoc="0" locked="0" layoutInCell="1" allowOverlap="1">
                <wp:simplePos x="0" y="0"/>
                <wp:positionH relativeFrom="column">
                  <wp:posOffset>216535</wp:posOffset>
                </wp:positionH>
                <wp:positionV relativeFrom="paragraph">
                  <wp:posOffset>63500</wp:posOffset>
                </wp:positionV>
                <wp:extent cx="5304790" cy="2580005"/>
                <wp:effectExtent l="0" t="6985" r="10160" b="0"/>
                <wp:wrapTopAndBottom/>
                <wp:docPr id="67" name="组合 67"/>
                <wp:cNvGraphicFramePr/>
                <a:graphic xmlns:a="http://schemas.openxmlformats.org/drawingml/2006/main">
                  <a:graphicData uri="http://schemas.microsoft.com/office/word/2010/wordprocessingGroup">
                    <wpg:wgp>
                      <wpg:cNvGrpSpPr/>
                      <wpg:grpSpPr>
                        <a:xfrm>
                          <a:off x="0" y="0"/>
                          <a:ext cx="5304745" cy="2580005"/>
                          <a:chOff x="0" y="0"/>
                          <a:chExt cx="8701" cy="4691"/>
                        </a:xfrm>
                      </wpg:grpSpPr>
                      <wps:wsp>
                        <wps:cNvPr id="30" name="矩形 30"/>
                        <wps:cNvSpPr/>
                        <wps:spPr>
                          <a:xfrm>
                            <a:off x="0" y="0"/>
                            <a:ext cx="8624" cy="4691"/>
                          </a:xfrm>
                          <a:prstGeom prst="rect">
                            <a:avLst/>
                          </a:prstGeom>
                          <a:noFill/>
                          <a:ln>
                            <a:noFill/>
                          </a:ln>
                        </wps:spPr>
                        <wps:bodyPr upright="1"/>
                      </wps:wsp>
                      <wps:wsp>
                        <wps:cNvPr id="31" name="矩形 31"/>
                        <wps:cNvSpPr/>
                        <wps:spPr>
                          <a:xfrm>
                            <a:off x="83" y="642"/>
                            <a:ext cx="1428" cy="490"/>
                          </a:xfrm>
                          <a:prstGeom prst="rect">
                            <a:avLst/>
                          </a:prstGeom>
                          <a:solidFill>
                            <a:srgbClr val="FFFFFF"/>
                          </a:solidFill>
                          <a:ln>
                            <a:noFill/>
                          </a:ln>
                        </wps:spPr>
                        <wps:txbx>
                          <w:txbxContent>
                            <w:p>
                              <w:pPr>
                                <w:spacing w:line="240" w:lineRule="auto"/>
                                <w:ind w:firstLine="0" w:firstLineChars="0"/>
                                <w:jc w:val="center"/>
                                <w:rPr>
                                  <w:rFonts w:hint="eastAsia"/>
                                  <w:sz w:val="21"/>
                                  <w:szCs w:val="21"/>
                                </w:rPr>
                              </w:pPr>
                              <w:r>
                                <w:rPr>
                                  <w:rFonts w:hint="eastAsia"/>
                                  <w:sz w:val="21"/>
                                  <w:szCs w:val="21"/>
                                </w:rPr>
                                <w:t>清净雨水</w:t>
                              </w:r>
                            </w:p>
                          </w:txbxContent>
                        </wps:txbx>
                        <wps:bodyPr upright="1"/>
                      </wps:wsp>
                      <wps:wsp>
                        <wps:cNvPr id="32" name="矩形 32"/>
                        <wps:cNvSpPr/>
                        <wps:spPr>
                          <a:xfrm>
                            <a:off x="187" y="1704"/>
                            <a:ext cx="892" cy="336"/>
                          </a:xfrm>
                          <a:prstGeom prst="rect">
                            <a:avLst/>
                          </a:prstGeom>
                          <a:solidFill>
                            <a:srgbClr val="FFFFFF"/>
                          </a:solidFill>
                          <a:ln>
                            <a:noFill/>
                          </a:ln>
                        </wps:spPr>
                        <wps:txbx>
                          <w:txbxContent>
                            <w:p>
                              <w:pPr>
                                <w:spacing w:line="240" w:lineRule="auto"/>
                                <w:ind w:firstLine="0" w:firstLineChars="0"/>
                                <w:jc w:val="center"/>
                                <w:rPr>
                                  <w:sz w:val="21"/>
                                  <w:szCs w:val="21"/>
                                </w:rPr>
                              </w:pPr>
                              <w:r>
                                <w:rPr>
                                  <w:rFonts w:hint="eastAsia"/>
                                  <w:sz w:val="21"/>
                                  <w:szCs w:val="21"/>
                                </w:rPr>
                                <w:t>事故废水</w:t>
                              </w:r>
                            </w:p>
                          </w:txbxContent>
                        </wps:txbx>
                        <wps:bodyPr lIns="0" tIns="0" rIns="0" bIns="0" upright="1"/>
                      </wps:wsp>
                      <wps:wsp>
                        <wps:cNvPr id="33" name="矩形 33"/>
                        <wps:cNvSpPr/>
                        <wps:spPr>
                          <a:xfrm>
                            <a:off x="1080" y="1864"/>
                            <a:ext cx="712" cy="3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围堰</w:t>
                              </w:r>
                            </w:p>
                          </w:txbxContent>
                        </wps:txbx>
                        <wps:bodyPr lIns="0" tIns="0" rIns="0" bIns="0" upright="1"/>
                      </wps:wsp>
                      <wps:wsp>
                        <wps:cNvPr id="34" name="直接连接符 34"/>
                        <wps:cNvCnPr/>
                        <wps:spPr>
                          <a:xfrm>
                            <a:off x="187" y="382"/>
                            <a:ext cx="1156" cy="1"/>
                          </a:xfrm>
                          <a:prstGeom prst="line">
                            <a:avLst/>
                          </a:prstGeom>
                          <a:ln w="9525" cap="flat" cmpd="sng">
                            <a:solidFill>
                              <a:srgbClr val="000000"/>
                            </a:solidFill>
                            <a:prstDash val="solid"/>
                            <a:headEnd type="none" w="med" len="med"/>
                            <a:tailEnd type="triangle" w="med" len="med"/>
                          </a:ln>
                        </wps:spPr>
                        <wps:bodyPr upright="1"/>
                      </wps:wsp>
                      <wps:wsp>
                        <wps:cNvPr id="35" name="矩形 35"/>
                        <wps:cNvSpPr/>
                        <wps:spPr>
                          <a:xfrm>
                            <a:off x="5844" y="1864"/>
                            <a:ext cx="646" cy="3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调节池</w:t>
                              </w:r>
                            </w:p>
                          </w:txbxContent>
                        </wps:txbx>
                        <wps:bodyPr wrap="square" lIns="0" tIns="0" rIns="0" bIns="0" upright="1">
                          <a:noAutofit/>
                        </wps:bodyPr>
                      </wps:wsp>
                      <wps:wsp>
                        <wps:cNvPr id="36" name="矩形 36"/>
                        <wps:cNvSpPr/>
                        <wps:spPr>
                          <a:xfrm>
                            <a:off x="7070" y="1863"/>
                            <a:ext cx="1631" cy="3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lang w:eastAsia="zh-CN"/>
                                </w:rPr>
                                <w:t>现有</w:t>
                              </w:r>
                              <w:r>
                                <w:rPr>
                                  <w:rFonts w:hint="eastAsia"/>
                                  <w:sz w:val="21"/>
                                  <w:szCs w:val="21"/>
                                </w:rPr>
                                <w:t>污水</w:t>
                              </w:r>
                              <w:r>
                                <w:rPr>
                                  <w:rFonts w:hint="eastAsia"/>
                                  <w:sz w:val="21"/>
                                  <w:szCs w:val="21"/>
                                  <w:lang w:eastAsia="zh-CN"/>
                                </w:rPr>
                                <w:t>处理站</w:t>
                              </w:r>
                            </w:p>
                          </w:txbxContent>
                        </wps:txbx>
                        <wps:bodyPr wrap="square" lIns="0" tIns="0" rIns="0" bIns="0" upright="1">
                          <a:noAutofit/>
                        </wps:bodyPr>
                      </wps:wsp>
                      <wps:wsp>
                        <wps:cNvPr id="37" name="直接箭头连接符 37"/>
                        <wps:cNvCnPr/>
                        <wps:spPr>
                          <a:xfrm flipV="1">
                            <a:off x="1792" y="2028"/>
                            <a:ext cx="4052" cy="3"/>
                          </a:xfrm>
                          <a:prstGeom prst="straightConnector1">
                            <a:avLst/>
                          </a:prstGeom>
                          <a:ln w="9525" cap="flat" cmpd="sng">
                            <a:solidFill>
                              <a:srgbClr val="000000"/>
                            </a:solidFill>
                            <a:prstDash val="solid"/>
                            <a:headEnd type="none" w="med" len="med"/>
                            <a:tailEnd type="triangle" w="med" len="med"/>
                          </a:ln>
                        </wps:spPr>
                        <wps:bodyPr upright="0"/>
                      </wps:wsp>
                      <wps:wsp>
                        <wps:cNvPr id="38" name="矩形 38"/>
                        <wps:cNvSpPr/>
                        <wps:spPr>
                          <a:xfrm>
                            <a:off x="6995" y="4131"/>
                            <a:ext cx="1590" cy="3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lang w:eastAsia="zh-CN"/>
                                </w:rPr>
                                <w:t>园区</w:t>
                              </w:r>
                              <w:r>
                                <w:rPr>
                                  <w:rFonts w:hint="eastAsia"/>
                                  <w:sz w:val="21"/>
                                  <w:szCs w:val="21"/>
                                </w:rPr>
                                <w:t>污水厂</w:t>
                              </w:r>
                            </w:p>
                          </w:txbxContent>
                        </wps:txbx>
                        <wps:bodyPr wrap="square" lIns="0" tIns="0" rIns="0" bIns="0" upright="1">
                          <a:noAutofit/>
                        </wps:bodyPr>
                      </wps:wsp>
                      <wps:wsp>
                        <wps:cNvPr id="39" name="矩形 39"/>
                        <wps:cNvSpPr/>
                        <wps:spPr>
                          <a:xfrm>
                            <a:off x="3044" y="3338"/>
                            <a:ext cx="1426" cy="3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ascii="Times New Roman" w:hAnsi="Times New Roman"/>
                                  <w:sz w:val="21"/>
                                  <w:szCs w:val="21"/>
                                  <w:lang w:val="en-US" w:eastAsia="zh-CN"/>
                                </w:rPr>
                                <w:t>60</w:t>
                              </w:r>
                              <w:r>
                                <w:rPr>
                                  <w:rFonts w:hint="eastAsia" w:ascii="Times New Roman" w:hAnsi="Times New Roman"/>
                                  <w:sz w:val="21"/>
                                  <w:szCs w:val="21"/>
                                </w:rPr>
                                <w:t>00m</w:t>
                              </w:r>
                              <w:r>
                                <w:rPr>
                                  <w:rFonts w:hint="eastAsia" w:ascii="Times New Roman" w:hAnsi="Times New Roman"/>
                                  <w:sz w:val="21"/>
                                  <w:szCs w:val="21"/>
                                  <w:vertAlign w:val="superscript"/>
                                </w:rPr>
                                <w:t>3</w:t>
                              </w:r>
                              <w:r>
                                <w:rPr>
                                  <w:rFonts w:hint="eastAsia"/>
                                  <w:sz w:val="21"/>
                                  <w:szCs w:val="21"/>
                                </w:rPr>
                                <w:t>事故池</w:t>
                              </w:r>
                            </w:p>
                          </w:txbxContent>
                        </wps:txbx>
                        <wps:bodyPr lIns="0" tIns="0" rIns="0" bIns="0" upright="1"/>
                      </wps:wsp>
                      <wps:wsp>
                        <wps:cNvPr id="40" name="直接箭头连接符 40"/>
                        <wps:cNvCnPr/>
                        <wps:spPr>
                          <a:xfrm>
                            <a:off x="2507" y="2028"/>
                            <a:ext cx="1" cy="1473"/>
                          </a:xfrm>
                          <a:prstGeom prst="straightConnector1">
                            <a:avLst/>
                          </a:prstGeom>
                          <a:ln w="9525" cap="flat" cmpd="sng">
                            <a:solidFill>
                              <a:srgbClr val="000000"/>
                            </a:solidFill>
                            <a:prstDash val="solid"/>
                            <a:headEnd type="none" w="med" len="med"/>
                            <a:tailEnd type="triangle" w="med" len="med"/>
                          </a:ln>
                        </wps:spPr>
                        <wps:bodyPr upright="0"/>
                      </wps:wsp>
                      <wps:wsp>
                        <wps:cNvPr id="41" name="直接连接符 41"/>
                        <wps:cNvCnPr/>
                        <wps:spPr>
                          <a:xfrm>
                            <a:off x="2508" y="3501"/>
                            <a:ext cx="536" cy="0"/>
                          </a:xfrm>
                          <a:prstGeom prst="line">
                            <a:avLst/>
                          </a:prstGeom>
                          <a:ln w="9525" cap="flat" cmpd="sng">
                            <a:solidFill>
                              <a:srgbClr val="000000"/>
                            </a:solidFill>
                            <a:prstDash val="solid"/>
                            <a:headEnd type="none" w="med" len="med"/>
                            <a:tailEnd type="triangle" w="med" len="med"/>
                          </a:ln>
                        </wps:spPr>
                        <wps:bodyPr upright="1"/>
                      </wps:wsp>
                      <wps:wsp>
                        <wps:cNvPr id="42" name="直接连接符 42"/>
                        <wps:cNvCnPr/>
                        <wps:spPr>
                          <a:xfrm>
                            <a:off x="4469" y="3501"/>
                            <a:ext cx="358" cy="0"/>
                          </a:xfrm>
                          <a:prstGeom prst="line">
                            <a:avLst/>
                          </a:prstGeom>
                          <a:ln w="9525" cap="flat" cmpd="sng">
                            <a:solidFill>
                              <a:srgbClr val="000000"/>
                            </a:solidFill>
                            <a:prstDash val="solid"/>
                            <a:headEnd type="none" w="med" len="med"/>
                            <a:tailEnd type="triangle" w="med" len="med"/>
                          </a:ln>
                        </wps:spPr>
                        <wps:bodyPr upright="1"/>
                      </wps:wsp>
                      <wps:wsp>
                        <wps:cNvPr id="43" name="直接连接符 43"/>
                        <wps:cNvCnPr/>
                        <wps:spPr>
                          <a:xfrm flipV="1">
                            <a:off x="4824" y="2028"/>
                            <a:ext cx="5" cy="1462"/>
                          </a:xfrm>
                          <a:prstGeom prst="line">
                            <a:avLst/>
                          </a:prstGeom>
                          <a:ln w="9525" cap="flat" cmpd="sng">
                            <a:solidFill>
                              <a:srgbClr val="000000"/>
                            </a:solidFill>
                            <a:prstDash val="solid"/>
                            <a:headEnd type="none" w="med" len="med"/>
                            <a:tailEnd type="triangle" w="med" len="med"/>
                          </a:ln>
                        </wps:spPr>
                        <wps:bodyPr upright="1"/>
                      </wps:wsp>
                      <wps:wsp>
                        <wps:cNvPr id="44" name="流程图: 对照 44"/>
                        <wps:cNvSpPr/>
                        <wps:spPr>
                          <a:xfrm>
                            <a:off x="2404" y="2520"/>
                            <a:ext cx="180" cy="172"/>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45" name="流程图: 对照 45"/>
                        <wps:cNvSpPr/>
                        <wps:spPr>
                          <a:xfrm>
                            <a:off x="1258" y="872"/>
                            <a:ext cx="177" cy="169"/>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46" name="直接箭头连接符 46"/>
                        <wps:cNvCnPr/>
                        <wps:spPr>
                          <a:xfrm>
                            <a:off x="6689" y="2028"/>
                            <a:ext cx="381" cy="1"/>
                          </a:xfrm>
                          <a:prstGeom prst="straightConnector1">
                            <a:avLst/>
                          </a:prstGeom>
                          <a:ln w="9525" cap="flat" cmpd="sng">
                            <a:solidFill>
                              <a:srgbClr val="000000"/>
                            </a:solidFill>
                            <a:prstDash val="solid"/>
                            <a:headEnd type="none" w="med" len="med"/>
                            <a:tailEnd type="triangle" w="med" len="med"/>
                          </a:ln>
                        </wps:spPr>
                        <wps:bodyPr upright="0"/>
                      </wps:wsp>
                      <wps:wsp>
                        <wps:cNvPr id="47" name="矩形 47"/>
                        <wps:cNvSpPr/>
                        <wps:spPr>
                          <a:xfrm>
                            <a:off x="0" y="31"/>
                            <a:ext cx="1246" cy="326"/>
                          </a:xfrm>
                          <a:prstGeom prst="rect">
                            <a:avLst/>
                          </a:prstGeom>
                          <a:solidFill>
                            <a:srgbClr val="FFFFFF"/>
                          </a:solidFill>
                          <a:ln>
                            <a:noFill/>
                          </a:ln>
                        </wps:spPr>
                        <wps:txbx>
                          <w:txbxContent>
                            <w:p>
                              <w:pPr>
                                <w:spacing w:line="240" w:lineRule="auto"/>
                                <w:ind w:firstLine="0" w:firstLineChars="0"/>
                                <w:jc w:val="center"/>
                                <w:rPr>
                                  <w:sz w:val="21"/>
                                  <w:szCs w:val="21"/>
                                </w:rPr>
                              </w:pPr>
                              <w:r>
                                <w:rPr>
                                  <w:rFonts w:hint="eastAsia"/>
                                  <w:sz w:val="21"/>
                                  <w:szCs w:val="21"/>
                                </w:rPr>
                                <w:t>雨  水</w:t>
                              </w:r>
                            </w:p>
                          </w:txbxContent>
                        </wps:txbx>
                        <wps:bodyPr lIns="0" tIns="0" rIns="0" bIns="0" upright="1"/>
                      </wps:wsp>
                      <wps:wsp>
                        <wps:cNvPr id="48" name="流程图: 对照 48"/>
                        <wps:cNvSpPr/>
                        <wps:spPr>
                          <a:xfrm rot="5400000">
                            <a:off x="1880" y="1655"/>
                            <a:ext cx="162" cy="177"/>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49" name="流程图: 对照 49"/>
                        <wps:cNvSpPr/>
                        <wps:spPr>
                          <a:xfrm rot="5400000">
                            <a:off x="2576" y="1262"/>
                            <a:ext cx="199" cy="179"/>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50" name="流程图: 对照 50"/>
                        <wps:cNvSpPr/>
                        <wps:spPr>
                          <a:xfrm rot="5400000">
                            <a:off x="2415" y="3112"/>
                            <a:ext cx="162" cy="177"/>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51" name="直接箭头连接符 51"/>
                        <wps:cNvCnPr/>
                        <wps:spPr>
                          <a:xfrm>
                            <a:off x="187" y="2032"/>
                            <a:ext cx="892" cy="1"/>
                          </a:xfrm>
                          <a:prstGeom prst="straightConnector1">
                            <a:avLst/>
                          </a:prstGeom>
                          <a:ln w="9525" cap="flat" cmpd="sng">
                            <a:solidFill>
                              <a:srgbClr val="000000"/>
                            </a:solidFill>
                            <a:prstDash val="solid"/>
                            <a:headEnd type="none" w="med" len="med"/>
                            <a:tailEnd type="triangle" w="med" len="med"/>
                          </a:ln>
                        </wps:spPr>
                        <wps:bodyPr upright="0"/>
                      </wps:wsp>
                      <wps:wsp>
                        <wps:cNvPr id="52" name="矩形 52"/>
                        <wps:cNvSpPr/>
                        <wps:spPr>
                          <a:xfrm rot="5400000">
                            <a:off x="7176" y="3099"/>
                            <a:ext cx="661" cy="297"/>
                          </a:xfrm>
                          <a:prstGeom prst="rect">
                            <a:avLst/>
                          </a:prstGeom>
                          <a:solidFill>
                            <a:srgbClr val="FFFFFF"/>
                          </a:solidFill>
                          <a:ln>
                            <a:noFill/>
                          </a:ln>
                        </wps:spPr>
                        <wps:txbx>
                          <w:txbxContent>
                            <w:p>
                              <w:pPr>
                                <w:spacing w:line="240" w:lineRule="auto"/>
                                <w:ind w:firstLine="0" w:firstLineChars="0"/>
                                <w:jc w:val="center"/>
                                <w:rPr>
                                  <w:rFonts w:hint="eastAsia"/>
                                  <w:sz w:val="21"/>
                                  <w:szCs w:val="21"/>
                                </w:rPr>
                              </w:pPr>
                              <w:r>
                                <w:rPr>
                                  <w:rFonts w:hint="eastAsia"/>
                                  <w:sz w:val="21"/>
                                  <w:szCs w:val="21"/>
                                </w:rPr>
                                <w:t>合</w:t>
                              </w:r>
                            </w:p>
                            <w:p>
                              <w:pPr>
                                <w:spacing w:line="240" w:lineRule="auto"/>
                                <w:ind w:firstLine="0" w:firstLineChars="0"/>
                                <w:jc w:val="center"/>
                                <w:rPr>
                                  <w:sz w:val="21"/>
                                  <w:szCs w:val="21"/>
                                </w:rPr>
                              </w:pPr>
                              <w:r>
                                <w:rPr>
                                  <w:rFonts w:hint="eastAsia"/>
                                  <w:sz w:val="21"/>
                                  <w:szCs w:val="21"/>
                                </w:rPr>
                                <w:t>格</w:t>
                              </w:r>
                            </w:p>
                          </w:txbxContent>
                        </wps:txbx>
                        <wps:bodyPr lIns="0" tIns="0" rIns="0" bIns="0" upright="1"/>
                      </wps:wsp>
                      <wps:wsp>
                        <wps:cNvPr id="53" name="矩形 53"/>
                        <wps:cNvSpPr/>
                        <wps:spPr>
                          <a:xfrm>
                            <a:off x="368" y="2356"/>
                            <a:ext cx="1602" cy="327"/>
                          </a:xfrm>
                          <a:prstGeom prst="rect">
                            <a:avLst/>
                          </a:prstGeom>
                          <a:solidFill>
                            <a:srgbClr val="FFFFFF"/>
                          </a:solidFill>
                          <a:ln>
                            <a:noFill/>
                          </a:ln>
                        </wps:spPr>
                        <wps:txbx>
                          <w:txbxContent>
                            <w:p>
                              <w:pPr>
                                <w:spacing w:line="240" w:lineRule="auto"/>
                                <w:ind w:firstLine="0" w:firstLineChars="0"/>
                                <w:jc w:val="center"/>
                                <w:rPr>
                                  <w:sz w:val="21"/>
                                  <w:szCs w:val="21"/>
                                </w:rPr>
                              </w:pPr>
                              <w:r>
                                <w:rPr>
                                  <w:rFonts w:hint="eastAsia"/>
                                  <w:sz w:val="21"/>
                                  <w:szCs w:val="21"/>
                                </w:rPr>
                                <w:t>第一级防护措施</w:t>
                              </w:r>
                            </w:p>
                          </w:txbxContent>
                        </wps:txbx>
                        <wps:bodyPr lIns="0" tIns="0" rIns="0" bIns="0" upright="1"/>
                      </wps:wsp>
                      <wps:wsp>
                        <wps:cNvPr id="54" name="矩形 54"/>
                        <wps:cNvSpPr/>
                        <wps:spPr>
                          <a:xfrm>
                            <a:off x="2863" y="3818"/>
                            <a:ext cx="1958" cy="316"/>
                          </a:xfrm>
                          <a:prstGeom prst="rect">
                            <a:avLst/>
                          </a:prstGeom>
                          <a:solidFill>
                            <a:srgbClr val="FFFFFF"/>
                          </a:solidFill>
                          <a:ln>
                            <a:noFill/>
                          </a:ln>
                        </wps:spPr>
                        <wps:txbx>
                          <w:txbxContent>
                            <w:p>
                              <w:pPr>
                                <w:spacing w:line="240" w:lineRule="auto"/>
                                <w:ind w:firstLine="0" w:firstLineChars="0"/>
                                <w:jc w:val="center"/>
                                <w:rPr>
                                  <w:sz w:val="21"/>
                                  <w:szCs w:val="21"/>
                                </w:rPr>
                              </w:pPr>
                              <w:r>
                                <w:rPr>
                                  <w:rFonts w:hint="eastAsia"/>
                                  <w:sz w:val="21"/>
                                  <w:szCs w:val="21"/>
                                </w:rPr>
                                <w:t>第二级防护措施</w:t>
                              </w:r>
                            </w:p>
                          </w:txbxContent>
                        </wps:txbx>
                        <wps:bodyPr lIns="0" tIns="0" rIns="0" bIns="0" upright="1"/>
                      </wps:wsp>
                      <wps:wsp>
                        <wps:cNvPr id="55" name="直接连接符 55"/>
                        <wps:cNvCnPr/>
                        <wps:spPr>
                          <a:xfrm>
                            <a:off x="3590" y="392"/>
                            <a:ext cx="1" cy="1648"/>
                          </a:xfrm>
                          <a:prstGeom prst="line">
                            <a:avLst/>
                          </a:prstGeom>
                          <a:ln w="9525" cap="flat" cmpd="sng">
                            <a:solidFill>
                              <a:srgbClr val="000000"/>
                            </a:solidFill>
                            <a:prstDash val="solid"/>
                            <a:headEnd type="none" w="med" len="med"/>
                            <a:tailEnd type="triangle" w="med" len="med"/>
                          </a:ln>
                        </wps:spPr>
                        <wps:bodyPr upright="1"/>
                      </wps:wsp>
                      <wps:wsp>
                        <wps:cNvPr id="56" name="直接连接符 56"/>
                        <wps:cNvCnPr/>
                        <wps:spPr>
                          <a:xfrm flipH="1">
                            <a:off x="6089" y="3114"/>
                            <a:ext cx="1443" cy="2"/>
                          </a:xfrm>
                          <a:prstGeom prst="line">
                            <a:avLst/>
                          </a:prstGeom>
                          <a:ln w="9525" cap="flat" cmpd="sng">
                            <a:solidFill>
                              <a:srgbClr val="000000"/>
                            </a:solidFill>
                            <a:prstDash val="solid"/>
                            <a:headEnd type="none" w="med" len="med"/>
                            <a:tailEnd type="triangle" w="med" len="med"/>
                          </a:ln>
                        </wps:spPr>
                        <wps:bodyPr upright="1"/>
                      </wps:wsp>
                      <wps:wsp>
                        <wps:cNvPr id="57" name="流程图: 对照 57"/>
                        <wps:cNvSpPr/>
                        <wps:spPr>
                          <a:xfrm>
                            <a:off x="5356" y="1943"/>
                            <a:ext cx="177" cy="174"/>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58" name="矩形 58"/>
                        <wps:cNvSpPr/>
                        <wps:spPr>
                          <a:xfrm>
                            <a:off x="6715" y="2728"/>
                            <a:ext cx="891" cy="326"/>
                          </a:xfrm>
                          <a:prstGeom prst="rect">
                            <a:avLst/>
                          </a:prstGeom>
                          <a:solidFill>
                            <a:srgbClr val="FFFFFF"/>
                          </a:solidFill>
                          <a:ln>
                            <a:noFill/>
                          </a:ln>
                        </wps:spPr>
                        <wps:txbx>
                          <w:txbxContent>
                            <w:p>
                              <w:pPr>
                                <w:spacing w:line="240" w:lineRule="auto"/>
                                <w:ind w:firstLine="0" w:firstLineChars="0"/>
                                <w:jc w:val="center"/>
                                <w:rPr>
                                  <w:sz w:val="21"/>
                                  <w:szCs w:val="21"/>
                                </w:rPr>
                              </w:pPr>
                              <w:r>
                                <w:rPr>
                                  <w:rFonts w:hint="eastAsia"/>
                                  <w:sz w:val="21"/>
                                  <w:szCs w:val="21"/>
                                </w:rPr>
                                <w:t>不合格</w:t>
                              </w:r>
                            </w:p>
                          </w:txbxContent>
                        </wps:txbx>
                        <wps:bodyPr lIns="0" tIns="0" rIns="0" bIns="0" upright="1"/>
                      </wps:wsp>
                      <wps:wsp>
                        <wps:cNvPr id="59" name="直接连接符 59"/>
                        <wps:cNvCnPr/>
                        <wps:spPr>
                          <a:xfrm>
                            <a:off x="1343" y="391"/>
                            <a:ext cx="0" cy="982"/>
                          </a:xfrm>
                          <a:prstGeom prst="line">
                            <a:avLst/>
                          </a:prstGeom>
                          <a:ln w="9525" cap="flat" cmpd="sng">
                            <a:solidFill>
                              <a:srgbClr val="000000"/>
                            </a:solidFill>
                            <a:prstDash val="solid"/>
                            <a:headEnd type="none" w="med" len="med"/>
                            <a:tailEnd type="triangle" w="med" len="med"/>
                          </a:ln>
                        </wps:spPr>
                        <wps:bodyPr upright="1"/>
                      </wps:wsp>
                      <wps:wsp>
                        <wps:cNvPr id="60" name="直接连接符 60"/>
                        <wps:cNvCnPr/>
                        <wps:spPr>
                          <a:xfrm>
                            <a:off x="7592" y="2216"/>
                            <a:ext cx="1" cy="1872"/>
                          </a:xfrm>
                          <a:prstGeom prst="line">
                            <a:avLst/>
                          </a:prstGeom>
                          <a:ln w="9525" cap="flat" cmpd="sng">
                            <a:solidFill>
                              <a:srgbClr val="000000"/>
                            </a:solidFill>
                            <a:prstDash val="solid"/>
                            <a:headEnd type="none" w="med" len="med"/>
                            <a:tailEnd type="triangle" w="med" len="med"/>
                          </a:ln>
                        </wps:spPr>
                        <wps:bodyPr upright="1"/>
                      </wps:wsp>
                      <wps:wsp>
                        <wps:cNvPr id="61" name="矩形 61"/>
                        <wps:cNvSpPr/>
                        <wps:spPr>
                          <a:xfrm>
                            <a:off x="5573" y="3562"/>
                            <a:ext cx="1960" cy="480"/>
                          </a:xfrm>
                          <a:prstGeom prst="rect">
                            <a:avLst/>
                          </a:prstGeom>
                          <a:solidFill>
                            <a:srgbClr val="FFFFFF">
                              <a:alpha val="0"/>
                            </a:srgbClr>
                          </a:solidFill>
                          <a:ln>
                            <a:noFill/>
                          </a:ln>
                        </wps:spPr>
                        <wps:txbx>
                          <w:txbxContent>
                            <w:p>
                              <w:pPr>
                                <w:spacing w:line="240" w:lineRule="auto"/>
                                <w:ind w:firstLine="0" w:firstLineChars="0"/>
                                <w:jc w:val="center"/>
                                <w:rPr>
                                  <w:sz w:val="21"/>
                                  <w:szCs w:val="21"/>
                                </w:rPr>
                              </w:pPr>
                              <w:r>
                                <w:rPr>
                                  <w:rFonts w:hint="eastAsia"/>
                                  <w:sz w:val="21"/>
                                  <w:szCs w:val="21"/>
                                </w:rPr>
                                <w:t>第三级防护措施</w:t>
                              </w:r>
                            </w:p>
                          </w:txbxContent>
                        </wps:txbx>
                        <wps:bodyPr lIns="0" tIns="0" rIns="0" bIns="0" upright="1"/>
                      </wps:wsp>
                      <wps:wsp>
                        <wps:cNvPr id="62" name="直接连接符 62"/>
                        <wps:cNvCnPr/>
                        <wps:spPr>
                          <a:xfrm flipV="1">
                            <a:off x="6089" y="2138"/>
                            <a:ext cx="1" cy="963"/>
                          </a:xfrm>
                          <a:prstGeom prst="line">
                            <a:avLst/>
                          </a:prstGeom>
                          <a:ln w="9525" cap="flat" cmpd="sng">
                            <a:solidFill>
                              <a:srgbClr val="000000"/>
                            </a:solidFill>
                            <a:prstDash val="solid"/>
                            <a:headEnd type="none" w="med" len="med"/>
                            <a:tailEnd type="triangle" w="med" len="med"/>
                          </a:ln>
                        </wps:spPr>
                        <wps:bodyPr upright="1"/>
                      </wps:wsp>
                      <wps:wsp>
                        <wps:cNvPr id="63" name="直接连接符 63"/>
                        <wps:cNvCnPr/>
                        <wps:spPr>
                          <a:xfrm flipV="1">
                            <a:off x="1343" y="392"/>
                            <a:ext cx="2253" cy="2"/>
                          </a:xfrm>
                          <a:prstGeom prst="line">
                            <a:avLst/>
                          </a:prstGeom>
                          <a:ln w="9525" cap="flat" cmpd="sng">
                            <a:solidFill>
                              <a:srgbClr val="000000"/>
                            </a:solidFill>
                            <a:prstDash val="solid"/>
                            <a:headEnd type="none" w="med" len="med"/>
                            <a:tailEnd type="none" w="med" len="med"/>
                          </a:ln>
                        </wps:spPr>
                        <wps:bodyPr upright="1"/>
                      </wps:wsp>
                      <wps:wsp>
                        <wps:cNvPr id="64" name="流程图: 对照 64"/>
                        <wps:cNvSpPr/>
                        <wps:spPr>
                          <a:xfrm rot="5400000">
                            <a:off x="1904" y="19"/>
                            <a:ext cx="200" cy="178"/>
                          </a:xfrm>
                          <a:prstGeom prst="flowChartCollate">
                            <a:avLst/>
                          </a:prstGeom>
                          <a:solidFill>
                            <a:srgbClr val="FFFFFF"/>
                          </a:solidFill>
                          <a:ln w="9525" cap="flat" cmpd="sng">
                            <a:solidFill>
                              <a:srgbClr val="000000"/>
                            </a:solidFill>
                            <a:prstDash val="solid"/>
                            <a:miter/>
                            <a:headEnd type="none" w="med" len="med"/>
                            <a:tailEnd type="none" w="med" len="med"/>
                          </a:ln>
                        </wps:spPr>
                        <wps:bodyPr upright="1"/>
                      </wps:wsp>
                      <wps:wsp>
                        <wps:cNvPr id="66" name="直接连接符 66"/>
                        <wps:cNvCnPr/>
                        <wps:spPr>
                          <a:xfrm>
                            <a:off x="2973" y="1190"/>
                            <a:ext cx="0" cy="85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7.05pt;margin-top:5pt;height:203.15pt;width:417.7pt;mso-wrap-distance-bottom:0pt;mso-wrap-distance-top:0pt;z-index:251669504;mso-width-relative:page;mso-height-relative:page;" coordsize="8701,4691" o:gfxdata="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">
                <o:lock v:ext="edit" aspectratio="f"/>
                <v:rect id="_x0000_s1026" o:spid="_x0000_s1026" o:spt="1" style="position:absolute;left:0;top:0;height:4691;width:8624;" filled="f" stroked="f" coordsize="21600,21600" o:gfxdata="UEsDBAoAAAAAAIdO4kAAAAAAAAAAAAAAAAAEAAAAZHJzL1BLAwQUAAAACACHTuJAW4r4cLsAAADb&#10;AAAADwAAAGRycy9kb3ducmV2LnhtbEVPTWvCQBC9C/6HZYReRDdpQU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r4cLsAAADb&#10;AAAADwAAAAAAAAABACAAAAAiAAAAZHJzL2Rvd25yZXYueG1sUEsBAhQAFAAAAAgAh07iQDMvBZ47&#10;AAAAOQAAABAAAAAAAAAAAQAgAAAACgEAAGRycy9zaGFwZXhtbC54bWxQSwUGAAAAAAYABgBbAQAA&#10;tAMAAAAA&#10;">
                  <v:fill on="f" focussize="0,0"/>
                  <v:stroke on="f"/>
                  <v:imagedata o:title=""/>
                  <o:lock v:ext="edit" aspectratio="f"/>
                </v:rect>
                <v:rect id="_x0000_s1026" o:spid="_x0000_s1026" o:spt="1" style="position:absolute;left:83;top:642;height:490;width:1428;" fillcolor="#FFFFFF" filled="t" stroked="f" coordsize="21600,21600" o:gfxdata="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iMdK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240" w:lineRule="auto"/>
                          <w:ind w:firstLine="0" w:firstLineChars="0"/>
                          <w:jc w:val="center"/>
                          <w:rPr>
                            <w:rFonts w:hint="eastAsia"/>
                            <w:sz w:val="21"/>
                            <w:szCs w:val="21"/>
                          </w:rPr>
                        </w:pPr>
                        <w:r>
                          <w:rPr>
                            <w:rFonts w:hint="eastAsia"/>
                            <w:sz w:val="21"/>
                            <w:szCs w:val="21"/>
                          </w:rPr>
                          <w:t>清净雨水</w:t>
                        </w:r>
                      </w:p>
                    </w:txbxContent>
                  </v:textbox>
                </v:rect>
                <v:rect id="_x0000_s1026" o:spid="_x0000_s1026" o:spt="1" style="position:absolute;left:187;top:1704;height:336;width:892;" fillcolor="#FFFFFF" filled="t" stroked="f" coordsize="21600,21600" o:gfxdata="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i9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事故废水</w:t>
                        </w:r>
                      </w:p>
                    </w:txbxContent>
                  </v:textbox>
                </v:rect>
                <v:rect id="_x0000_s1026" o:spid="_x0000_s1026" o:spt="1" style="position:absolute;left:1080;top:1864;height:331;width:712;" fillcolor="#FFFFFF" filled="t" stroked="t" coordsize="21600,21600" o:gfxdata="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1L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围堰</w:t>
                        </w:r>
                      </w:p>
                    </w:txbxContent>
                  </v:textbox>
                </v:rect>
                <v:line id="_x0000_s1026" o:spid="_x0000_s1026" o:spt="20" style="position:absolute;left:187;top:382;height:1;width:1156;"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844;top:1864;height:327;width:646;" fillcolor="#FFFFFF" filled="t" stroked="t" coordsize="21600,21600" o:gfxdata="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bwK/&#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rPr>
                          <w:t>调节池</w:t>
                        </w:r>
                      </w:p>
                    </w:txbxContent>
                  </v:textbox>
                </v:rect>
                <v:rect id="_x0000_s1026" o:spid="_x0000_s1026" o:spt="1" style="position:absolute;left:7070;top:1863;height:306;width:1631;" fillcolor="#FFFFFF" filled="t" stroked="t" coordsize="21600,21600" o:gfxdata="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8X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现有</w:t>
                        </w:r>
                        <w:r>
                          <w:rPr>
                            <w:rFonts w:hint="eastAsia"/>
                            <w:sz w:val="21"/>
                            <w:szCs w:val="21"/>
                          </w:rPr>
                          <w:t>污水</w:t>
                        </w:r>
                        <w:r>
                          <w:rPr>
                            <w:rFonts w:hint="eastAsia"/>
                            <w:sz w:val="21"/>
                            <w:szCs w:val="21"/>
                            <w:lang w:eastAsia="zh-CN"/>
                          </w:rPr>
                          <w:t>处理站</w:t>
                        </w:r>
                      </w:p>
                    </w:txbxContent>
                  </v:textbox>
                </v:rect>
                <v:shape id="_x0000_s1026" o:spid="_x0000_s1026" o:spt="32" type="#_x0000_t32" style="position:absolute;left:1792;top:2028;flip:y;height:3;width:4052;"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995;top:4131;height:346;width:1590;" fillcolor="#FFFFFF" filled="t" stroked="t" coordsize="21600,21600" o:gfxdata="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LwJ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sz w:val="21"/>
                            <w:szCs w:val="21"/>
                            <w:lang w:eastAsia="zh-CN"/>
                          </w:rPr>
                          <w:t>园区</w:t>
                        </w:r>
                        <w:r>
                          <w:rPr>
                            <w:rFonts w:hint="eastAsia"/>
                            <w:sz w:val="21"/>
                            <w:szCs w:val="21"/>
                          </w:rPr>
                          <w:t>污水厂</w:t>
                        </w:r>
                      </w:p>
                    </w:txbxContent>
                  </v:textbox>
                </v:rect>
                <v:rect id="_x0000_s1026" o:spid="_x0000_s1026" o:spt="1" style="position:absolute;left:3044;top:3338;height:326;width:1426;" fillcolor="#FFFFFF" filled="t" stroked="t" coordsize="21600,21600" o:gfxdata="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HZQ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line="240" w:lineRule="auto"/>
                          <w:ind w:firstLine="0" w:firstLineChars="0"/>
                          <w:jc w:val="center"/>
                          <w:rPr>
                            <w:sz w:val="21"/>
                            <w:szCs w:val="21"/>
                          </w:rPr>
                        </w:pPr>
                        <w:r>
                          <w:rPr>
                            <w:rFonts w:hint="eastAsia" w:ascii="Times New Roman" w:hAnsi="Times New Roman"/>
                            <w:sz w:val="21"/>
                            <w:szCs w:val="21"/>
                            <w:lang w:val="en-US" w:eastAsia="zh-CN"/>
                          </w:rPr>
                          <w:t>60</w:t>
                        </w:r>
                        <w:r>
                          <w:rPr>
                            <w:rFonts w:hint="eastAsia" w:ascii="Times New Roman" w:hAnsi="Times New Roman"/>
                            <w:sz w:val="21"/>
                            <w:szCs w:val="21"/>
                          </w:rPr>
                          <w:t>00m</w:t>
                        </w:r>
                        <w:r>
                          <w:rPr>
                            <w:rFonts w:hint="eastAsia" w:ascii="Times New Roman" w:hAnsi="Times New Roman"/>
                            <w:sz w:val="21"/>
                            <w:szCs w:val="21"/>
                            <w:vertAlign w:val="superscript"/>
                          </w:rPr>
                          <w:t>3</w:t>
                        </w:r>
                        <w:r>
                          <w:rPr>
                            <w:rFonts w:hint="eastAsia"/>
                            <w:sz w:val="21"/>
                            <w:szCs w:val="21"/>
                          </w:rPr>
                          <w:t>事故池</w:t>
                        </w:r>
                      </w:p>
                    </w:txbxContent>
                  </v:textbox>
                </v:rect>
                <v:shape id="_x0000_s1026" o:spid="_x0000_s1026" o:spt="32" type="#_x0000_t32" style="position:absolute;left:2507;top:2028;height:1473;width:1;"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line id="_x0000_s1026" o:spid="_x0000_s1026" o:spt="20" style="position:absolute;left:2508;top:3501;height:0;width:536;"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469;top:3501;height:0;width:358;"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824;top:2028;flip:y;height:1462;width:5;" filled="f" stroked="t" coordsize="21600,21600" o:gfxdata="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Tax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25" type="#_x0000_t125" style="position:absolute;left:2404;top:2520;height:172;width:180;" fillcolor="#FFFFFF" filled="t" stroked="t" coordsize="21600,21600" o:gfxdata="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AJsq/&#10;AAAA2w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_x0000_s1026" o:spid="_x0000_s1026" o:spt="125" type="#_x0000_t125" style="position:absolute;left:1258;top:872;height:169;width:177;" fillcolor="#FFFFFF" filled="t" stroked="t" coordsize="21600,21600" o:gfxdata="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yDU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_x0000_s1026" o:spid="_x0000_s1026" o:spt="32" type="#_x0000_t32" style="position:absolute;left:6689;top:2028;height:1;width:381;"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0;top:31;height:326;width:1246;" fillcolor="#FFFFFF" filled="t" stroked="f" coordsize="21600,21600" o:gfxdata="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4yE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雨  水</w:t>
                        </w:r>
                      </w:p>
                    </w:txbxContent>
                  </v:textbox>
                </v:rect>
                <v:shape id="_x0000_s1026" o:spid="_x0000_s1026" o:spt="125" type="#_x0000_t125" style="position:absolute;left:1880;top:1655;height:177;width:162;rotation:5898240f;" fillcolor="#FFFFFF" filled="t" stroked="t" coordsize="21600,21600" o:gfxdata="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jRqB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shape>
                <v:shape id="_x0000_s1026" o:spid="_x0000_s1026" o:spt="125" type="#_x0000_t125" style="position:absolute;left:2576;top:1262;height:179;width:199;rotation:5898240f;" fillcolor="#FFFFFF" filled="t" stroked="t" coordsize="21600,21600" o:gfxdata="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4z5+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_x0000_s1026" o:spid="_x0000_s1026" o:spt="125" type="#_x0000_t125" style="position:absolute;left:2415;top:3112;height:177;width:162;rotation:5898240f;" fillcolor="#FFFFFF" filled="t" stroked="t" coordsize="21600,21600" o:gfxdata="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vw3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shape>
                <v:shape id="_x0000_s1026" o:spid="_x0000_s1026" o:spt="32" type="#_x0000_t32" style="position:absolute;left:187;top:2032;height:1;width:892;"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7176;top:3099;height:297;width:661;rotation:5898240f;" fillcolor="#FFFFFF" filled="t" stroked="f" coordsize="21600,21600" o:gfxdata="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fIqi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line="240" w:lineRule="auto"/>
                          <w:ind w:firstLine="0" w:firstLineChars="0"/>
                          <w:jc w:val="center"/>
                          <w:rPr>
                            <w:rFonts w:hint="eastAsia"/>
                            <w:sz w:val="21"/>
                            <w:szCs w:val="21"/>
                          </w:rPr>
                        </w:pPr>
                        <w:r>
                          <w:rPr>
                            <w:rFonts w:hint="eastAsia"/>
                            <w:sz w:val="21"/>
                            <w:szCs w:val="21"/>
                          </w:rPr>
                          <w:t>合</w:t>
                        </w:r>
                      </w:p>
                      <w:p>
                        <w:pPr>
                          <w:spacing w:line="240" w:lineRule="auto"/>
                          <w:ind w:firstLine="0" w:firstLineChars="0"/>
                          <w:jc w:val="center"/>
                          <w:rPr>
                            <w:sz w:val="21"/>
                            <w:szCs w:val="21"/>
                          </w:rPr>
                        </w:pPr>
                        <w:r>
                          <w:rPr>
                            <w:rFonts w:hint="eastAsia"/>
                            <w:sz w:val="21"/>
                            <w:szCs w:val="21"/>
                          </w:rPr>
                          <w:t>格</w:t>
                        </w:r>
                      </w:p>
                    </w:txbxContent>
                  </v:textbox>
                </v:rect>
                <v:rect id="_x0000_s1026" o:spid="_x0000_s1026" o:spt="1" style="position:absolute;left:368;top:2356;height:327;width:1602;" fillcolor="#FFFFFF" filled="t" stroked="f" coordsize="21600,21600" o:gfxdata="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7yiz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第一级防护措施</w:t>
                        </w:r>
                      </w:p>
                    </w:txbxContent>
                  </v:textbox>
                </v:rect>
                <v:rect id="_x0000_s1026" o:spid="_x0000_s1026" o:spt="1" style="position:absolute;left:2863;top:3818;height:316;width:1958;" fillcolor="#FFFFFF" filled="t" stroked="f" coordsize="21600,21600" o:gfxdata="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U6u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第二级防护措施</w:t>
                        </w:r>
                      </w:p>
                    </w:txbxContent>
                  </v:textbox>
                </v:rect>
                <v:line id="_x0000_s1026" o:spid="_x0000_s1026" o:spt="20" style="position:absolute;left:3590;top:392;height:1648;width:1;"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89;top:3114;flip:x;height:2;width:1443;" filled="f" stroked="t" coordsize="21600,2160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25" type="#_x0000_t125" style="position:absolute;left:5356;top:1943;height:174;width:177;" fillcolor="#FFFFFF" filled="t" stroked="t" coordsize="21600,21600" o:gfxdata="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LLm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shape>
                <v:rect id="_x0000_s1026" o:spid="_x0000_s1026" o:spt="1" style="position:absolute;left:6715;top:2728;height:326;width:891;" fillcolor="#FFFFFF" filled="t" stroked="f" coordsize="21600,21600" o:gfxdata="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GDC+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不合格</w:t>
                        </w:r>
                      </w:p>
                    </w:txbxContent>
                  </v:textbox>
                </v:rect>
                <v:line id="_x0000_s1026" o:spid="_x0000_s1026" o:spt="20" style="position:absolute;left:1343;top:391;height:982;width: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592;top:2216;height:1872;width:1;" filled="f" stroked="t" coordsize="21600,21600"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_x0000_s1026" o:spid="_x0000_s1026" o:spt="1" style="position:absolute;left:5573;top:3562;height:480;width:1960;" fillcolor="#FFFFFF" filled="t" stroked="f" coordsize="21600,21600" o:gfxdata="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VrEZ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spacing w:line="240" w:lineRule="auto"/>
                          <w:ind w:firstLine="0" w:firstLineChars="0"/>
                          <w:jc w:val="center"/>
                          <w:rPr>
                            <w:sz w:val="21"/>
                            <w:szCs w:val="21"/>
                          </w:rPr>
                        </w:pPr>
                        <w:r>
                          <w:rPr>
                            <w:rFonts w:hint="eastAsia"/>
                            <w:sz w:val="21"/>
                            <w:szCs w:val="21"/>
                          </w:rPr>
                          <w:t>第三级防护措施</w:t>
                        </w:r>
                      </w:p>
                    </w:txbxContent>
                  </v:textbox>
                </v:rect>
                <v:line id="_x0000_s1026" o:spid="_x0000_s1026" o:spt="20" style="position:absolute;left:6089;top:2138;flip:y;height:963;width:1;" filled="f" stroked="t" coordsize="21600,21600" o:gfxdata="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u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43;top:392;flip:y;height:2;width:2253;" filled="f" stroked="t" coordsize="21600,21600" o:gfxdata="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YDi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_x0000_s1026" o:spid="_x0000_s1026" o:spt="125" type="#_x0000_t125" style="position:absolute;left:1904;top:19;height:178;width:200;rotation:5898240f;" fillcolor="#FFFFFF" filled="t" stroked="t" coordsize="21600,21600" o:gfxdata="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MPG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shape>
                <v:line id="_x0000_s1026" o:spid="_x0000_s1026" o:spt="20" style="position:absolute;left:2973;top:1190;height:850;width:0;" filled="f" stroked="t" coordsize="21600,21600"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topAndBottom"/>
              </v:group>
            </w:pict>
          </mc:Fallback>
        </mc:AlternateContent>
      </w:r>
      <w:r>
        <w:rPr>
          <w:rFonts w:hint="default"/>
          <w:color w:val="auto"/>
        </w:rPr>
        <w:t>图</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4</w:t>
      </w:r>
      <w:r>
        <w:rPr>
          <w:rFonts w:hint="default"/>
          <w:color w:val="auto"/>
        </w:rPr>
        <w:t xml:space="preserve">  事故废水截流、收集及处理的系统操作图</w:t>
      </w:r>
    </w:p>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消防及火灾报警系统</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项目消防及火灾报警系统建设情况见表</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9</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25</w:t>
      </w:r>
      <w:r>
        <w:rPr>
          <w:rFonts w:hint="default" w:ascii="Times New Roman" w:hAnsi="Times New Roman" w:eastAsia="宋体" w:cs="Times New Roman"/>
          <w:color w:val="auto"/>
        </w:rPr>
        <w:t>。</w:t>
      </w:r>
    </w:p>
    <w:p>
      <w:pPr>
        <w:pStyle w:val="20"/>
        <w:rPr>
          <w:rFonts w:hint="default"/>
          <w:color w:val="auto"/>
        </w:rPr>
      </w:pPr>
      <w:r>
        <w:rPr>
          <w:rFonts w:hint="default"/>
          <w:color w:val="auto"/>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25</w:t>
      </w:r>
      <w:r>
        <w:rPr>
          <w:rFonts w:hint="eastAsia"/>
          <w:color w:val="auto"/>
          <w:lang w:val="en-US" w:eastAsia="zh-CN"/>
        </w:rPr>
        <w:t xml:space="preserve"> </w:t>
      </w:r>
      <w:r>
        <w:rPr>
          <w:rFonts w:hint="default"/>
          <w:color w:val="auto"/>
        </w:rPr>
        <w:t xml:space="preserve"> 消防及火灾报警系统</w:t>
      </w:r>
    </w:p>
    <w:tbl>
      <w:tblPr>
        <w:tblStyle w:val="80"/>
        <w:tblW w:w="9172"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9"/>
        <w:gridCol w:w="76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539" w:type="dxa"/>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消防给水</w:t>
            </w:r>
          </w:p>
        </w:tc>
        <w:tc>
          <w:tcPr>
            <w:tcW w:w="7633" w:type="dxa"/>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根据《消防给水及消火栓系统技术规范》（</w:t>
            </w:r>
            <w:r>
              <w:rPr>
                <w:rFonts w:hint="default" w:ascii="Times New Roman" w:hAnsi="Times New Roman" w:eastAsia="宋体" w:cs="Times New Roman"/>
                <w:bCs/>
                <w:color w:val="auto"/>
                <w:sz w:val="21"/>
                <w:szCs w:val="21"/>
              </w:rPr>
              <w:t>GB50974</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rPr>
              <w:t>2014</w:t>
            </w:r>
            <w:r>
              <w:rPr>
                <w:rFonts w:hint="default" w:ascii="Times New Roman" w:hAnsi="Times New Roman" w:eastAsia="宋体" w:cs="Times New Roman"/>
                <w:bCs/>
                <w:color w:val="auto"/>
                <w:sz w:val="21"/>
                <w:szCs w:val="21"/>
              </w:rPr>
              <w:t>）中规定，</w:t>
            </w:r>
            <w:r>
              <w:rPr>
                <w:rFonts w:hint="eastAsia" w:ascii="Times New Roman" w:hAnsi="Times New Roman" w:eastAsia="宋体" w:cs="Times New Roman"/>
                <w:bCs/>
                <w:color w:val="auto"/>
                <w:sz w:val="21"/>
                <w:szCs w:val="21"/>
                <w:lang w:eastAsia="zh-CN"/>
              </w:rPr>
              <w:t>项目</w:t>
            </w:r>
            <w:r>
              <w:rPr>
                <w:rFonts w:hint="default" w:ascii="Times New Roman" w:hAnsi="Times New Roman" w:eastAsia="宋体" w:cs="Times New Roman"/>
                <w:color w:val="auto"/>
                <w:sz w:val="21"/>
                <w:szCs w:val="21"/>
              </w:rPr>
              <w:t>消防管网环型布置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539"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消防水池</w:t>
            </w:r>
          </w:p>
        </w:tc>
        <w:tc>
          <w:tcPr>
            <w:tcW w:w="7633"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依托现有</w:t>
            </w:r>
            <w:r>
              <w:rPr>
                <w:rFonts w:hint="eastAsia" w:ascii="Times New Roman" w:hAnsi="Times New Roman" w:cs="Times New Roman"/>
                <w:color w:val="auto"/>
                <w:sz w:val="21"/>
                <w:szCs w:val="21"/>
                <w:lang w:val="en-US" w:eastAsia="zh-CN"/>
              </w:rPr>
              <w:t>3600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消防水</w:t>
            </w:r>
            <w:r>
              <w:rPr>
                <w:rFonts w:hint="default" w:ascii="Times New Roman" w:hAnsi="Times New Roman" w:eastAsia="宋体" w:cs="Times New Roman"/>
                <w:color w:val="auto"/>
                <w:sz w:val="21"/>
                <w:szCs w:val="21"/>
                <w:lang w:val="en-US" w:eastAsia="zh-CN"/>
              </w:rPr>
              <w:t>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539"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消防栓</w:t>
            </w:r>
          </w:p>
        </w:tc>
        <w:tc>
          <w:tcPr>
            <w:tcW w:w="7633"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工艺装置和储罐区设室外消防栓和消防水炮，厂室内按要求设置室内箱式消防栓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539"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可燃气体探头</w:t>
            </w:r>
          </w:p>
        </w:tc>
        <w:tc>
          <w:tcPr>
            <w:tcW w:w="7633"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在罐区按照相关要求安装可燃气体报警和检测仪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539"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消防车</w:t>
            </w:r>
          </w:p>
        </w:tc>
        <w:tc>
          <w:tcPr>
            <w:tcW w:w="7633"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依托</w:t>
            </w:r>
            <w:r>
              <w:rPr>
                <w:rFonts w:hint="eastAsia" w:ascii="Times New Roman" w:hAnsi="Times New Roman" w:cs="Times New Roman"/>
                <w:color w:val="auto"/>
                <w:sz w:val="21"/>
                <w:szCs w:val="21"/>
                <w:lang w:eastAsia="zh-CN"/>
              </w:rPr>
              <w:t>乌苏</w:t>
            </w:r>
            <w:r>
              <w:rPr>
                <w:rFonts w:hint="eastAsia" w:ascii="Times New Roman" w:hAnsi="Times New Roman" w:eastAsia="宋体" w:cs="Times New Roman"/>
                <w:color w:val="auto"/>
                <w:sz w:val="21"/>
                <w:szCs w:val="21"/>
                <w:lang w:eastAsia="zh-CN"/>
              </w:rPr>
              <w:t>市消防大队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539" w:type="dxa"/>
            <w:tcBorders>
              <w:top w:val="single" w:color="000000" w:sz="4" w:space="0"/>
              <w:left w:val="single" w:color="000000" w:sz="12" w:space="0"/>
              <w:bottom w:val="single" w:color="000000" w:sz="12"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火灾报警系统</w:t>
            </w:r>
          </w:p>
        </w:tc>
        <w:tc>
          <w:tcPr>
            <w:tcW w:w="7633" w:type="dxa"/>
            <w:tcBorders>
              <w:top w:val="single" w:color="000000" w:sz="4" w:space="0"/>
              <w:left w:val="single" w:color="000000" w:sz="4" w:space="0"/>
              <w:bottom w:val="single" w:color="000000" w:sz="12"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在主控室、配电室及主要厂房顶部设置等离子感温、感烟报警系统</w:t>
            </w:r>
          </w:p>
        </w:tc>
      </w:tr>
    </w:tbl>
    <w:p>
      <w:pPr>
        <w:pStyle w:val="6"/>
        <w:rPr>
          <w:rFonts w:hint="eastAsia"/>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人员培训管理制度</w:t>
      </w:r>
    </w:p>
    <w:p>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为减少由于职工操作错误引起的事故，根据生产工艺特点和岗位操作要求，对人员必须经过三级培训，达到合格后方可上岗，培训内容见表</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9</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26</w:t>
      </w:r>
      <w:r>
        <w:rPr>
          <w:rFonts w:hint="default" w:ascii="Times New Roman" w:hAnsi="Times New Roman" w:eastAsia="宋体" w:cs="Times New Roman"/>
          <w:color w:val="auto"/>
        </w:rPr>
        <w:t>。</w:t>
      </w:r>
    </w:p>
    <w:p>
      <w:pPr>
        <w:pStyle w:val="20"/>
        <w:rPr>
          <w:rFonts w:hint="default"/>
          <w:color w:val="auto"/>
        </w:rPr>
      </w:pPr>
      <w:r>
        <w:rPr>
          <w:rFonts w:hint="default"/>
          <w:color w:val="auto"/>
        </w:rPr>
        <w:t>表</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26</w:t>
      </w:r>
      <w:r>
        <w:rPr>
          <w:rFonts w:hint="default"/>
          <w:color w:val="auto"/>
        </w:rPr>
        <w:t xml:space="preserve">  员工三级培训计划</w:t>
      </w:r>
    </w:p>
    <w:tbl>
      <w:tblPr>
        <w:tblStyle w:val="80"/>
        <w:tblW w:w="917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86"/>
        <w:gridCol w:w="1006"/>
        <w:gridCol w:w="7186"/>
        <w:gridCol w:w="4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6" w:type="dxa"/>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06" w:type="dxa"/>
            <w:tcBorders>
              <w:top w:val="single" w:color="000000" w:sz="12"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级 别</w:t>
            </w:r>
          </w:p>
        </w:tc>
        <w:tc>
          <w:tcPr>
            <w:tcW w:w="7186" w:type="dxa"/>
            <w:tcBorders>
              <w:top w:val="single" w:color="000000" w:sz="12"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496" w:type="dxa"/>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6"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0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厂级</w:t>
            </w:r>
          </w:p>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教育</w:t>
            </w:r>
          </w:p>
        </w:tc>
        <w:tc>
          <w:tcPr>
            <w:tcW w:w="718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安全生产的重要性、方针、政策；公司介绍、厂规厂纪；工作概况、生产特点、安全规定；安全生产、消防方面的基础知识；公司安全生产的经验教训</w:t>
            </w:r>
          </w:p>
        </w:tc>
        <w:tc>
          <w:tcPr>
            <w:tcW w:w="49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6" w:type="dxa"/>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0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部门（车间）教育</w:t>
            </w:r>
          </w:p>
        </w:tc>
        <w:tc>
          <w:tcPr>
            <w:tcW w:w="718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部门）概况，生产特点及其在全厂生产中的地位和作用；车间工艺流程及工艺操作方面的安全要求与注意事项；车间设备和维修方面的要求与注意事项；车间安全生产规章制度及要求和安全方面的经验教训；车间概况、生产特点和重要作用</w:t>
            </w:r>
          </w:p>
        </w:tc>
        <w:tc>
          <w:tcPr>
            <w:tcW w:w="496"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86" w:type="dxa"/>
            <w:tcBorders>
              <w:top w:val="single" w:color="000000" w:sz="4" w:space="0"/>
              <w:left w:val="single" w:color="000000" w:sz="12" w:space="0"/>
              <w:bottom w:val="single" w:color="000000" w:sz="12"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06" w:type="dxa"/>
            <w:tcBorders>
              <w:top w:val="single" w:color="000000" w:sz="4" w:space="0"/>
              <w:left w:val="single" w:color="000000" w:sz="4" w:space="0"/>
              <w:bottom w:val="single" w:color="000000" w:sz="12"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车间（班组）教育</w:t>
            </w:r>
          </w:p>
        </w:tc>
        <w:tc>
          <w:tcPr>
            <w:tcW w:w="7186" w:type="dxa"/>
            <w:tcBorders>
              <w:top w:val="single" w:color="000000" w:sz="4" w:space="0"/>
              <w:left w:val="single" w:color="000000" w:sz="4" w:space="0"/>
              <w:bottom w:val="single" w:color="000000" w:sz="12"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岗位的任务和作用，生产特点，生产设备，安全装置；岗位安全管理制度，安全技术操作规程；岗位个人防护用品、工具、器具的具体使用方法及安全方面事故和经验教训</w:t>
            </w:r>
          </w:p>
        </w:tc>
        <w:tc>
          <w:tcPr>
            <w:tcW w:w="496" w:type="dxa"/>
            <w:tcBorders>
              <w:top w:val="single" w:color="000000" w:sz="4" w:space="0"/>
              <w:left w:val="single" w:color="000000" w:sz="4" w:space="0"/>
              <w:bottom w:val="single" w:color="000000" w:sz="12" w:space="0"/>
              <w:right w:val="single" w:color="000000" w:sz="12"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8</w:t>
            </w:r>
          </w:p>
        </w:tc>
      </w:tr>
    </w:tbl>
    <w:p>
      <w:pPr>
        <w:pStyle w:val="6"/>
        <w:rPr>
          <w:rFonts w:hint="default"/>
          <w:color w:val="auto"/>
          <w:lang w:val="en-US" w:eastAsia="zh-CN"/>
        </w:rPr>
      </w:pP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9</w:t>
      </w:r>
      <w:r>
        <w:rPr>
          <w:rFonts w:hint="eastAsia"/>
          <w:color w:val="auto"/>
          <w:lang w:val="en-US" w:eastAsia="zh-CN"/>
        </w:rPr>
        <w:t>.</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自动控制系统</w:t>
      </w:r>
    </w:p>
    <w:p>
      <w:pPr>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eastAsia" w:ascii="Times New Roman" w:hAnsi="Times New Roman" w:eastAsia="宋体" w:cs="Times New Roman"/>
          <w:color w:val="auto"/>
          <w:lang w:eastAsia="zh-CN"/>
        </w:rPr>
        <w:t>项目</w:t>
      </w:r>
      <w:r>
        <w:rPr>
          <w:rFonts w:hint="default" w:ascii="Times New Roman" w:hAnsi="Times New Roman" w:eastAsia="宋体" w:cs="Times New Roman"/>
          <w:color w:val="auto"/>
        </w:rPr>
        <w:t>工艺流程的特点及操作要求，</w:t>
      </w:r>
      <w:r>
        <w:rPr>
          <w:rFonts w:hint="eastAsia" w:ascii="Times New Roman" w:hAnsi="Times New Roman" w:cs="Times New Roman"/>
          <w:color w:val="auto"/>
          <w:lang w:eastAsia="zh-CN"/>
        </w:rPr>
        <w:t>厂内</w:t>
      </w:r>
      <w:r>
        <w:rPr>
          <w:rFonts w:hint="default" w:ascii="Times New Roman" w:hAnsi="Times New Roman" w:eastAsia="宋体" w:cs="Times New Roman"/>
          <w:color w:val="auto"/>
        </w:rPr>
        <w:t>采用</w:t>
      </w:r>
      <w:r>
        <w:rPr>
          <w:rFonts w:hint="eastAsia" w:ascii="Times New Roman" w:hAnsi="Times New Roman" w:cs="Times New Roman"/>
          <w:color w:val="auto"/>
          <w:lang w:val="en-US" w:eastAsia="zh-CN"/>
        </w:rPr>
        <w:t>DCS</w:t>
      </w:r>
      <w:r>
        <w:rPr>
          <w:rFonts w:hint="default" w:ascii="Times New Roman" w:hAnsi="Times New Roman" w:eastAsia="宋体" w:cs="Times New Roman"/>
          <w:color w:val="auto"/>
        </w:rPr>
        <w:t>控制系统，负责对工艺参数、机泵运行状态及其它参数的采集、控制、报警和联锁；在控制室设置重要参数的报警和紧急停车联锁按钮。</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7</w:t>
      </w:r>
      <w:r>
        <w:rPr>
          <w:rFonts w:hint="eastAsia"/>
          <w:lang w:val="en-US" w:eastAsia="zh-CN"/>
        </w:rPr>
        <w:t>应急监测</w:t>
      </w:r>
    </w:p>
    <w:p>
      <w:pPr>
        <w:bidi w:val="0"/>
      </w:pPr>
      <w:r>
        <w:rPr>
          <w:rFonts w:hint="eastAsia"/>
          <w:lang w:eastAsia="zh-CN"/>
        </w:rPr>
        <w:t>①</w:t>
      </w:r>
      <w:r>
        <w:t>监测项目</w:t>
      </w:r>
    </w:p>
    <w:p>
      <w:pPr>
        <w:bidi w:val="0"/>
      </w:pPr>
      <w:r>
        <w:t>环境空气监测：</w:t>
      </w:r>
      <w:r>
        <w:rPr>
          <w:rFonts w:hint="eastAsia" w:ascii="Times New Roman" w:hAnsi="Times New Roman"/>
          <w:lang w:val="en-US" w:eastAsia="zh-CN"/>
        </w:rPr>
        <w:t>NMHC</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、颗粒物、</w:t>
      </w:r>
      <w:r>
        <w:rPr>
          <w:rFonts w:hint="eastAsia" w:ascii="Times New Roman" w:hAnsi="Times New Roman"/>
          <w:lang w:val="en-US" w:eastAsia="zh-CN"/>
        </w:rPr>
        <w:t>CO</w:t>
      </w:r>
      <w:r>
        <w:t>。</w:t>
      </w:r>
    </w:p>
    <w:p>
      <w:pPr>
        <w:bidi w:val="0"/>
      </w:pPr>
      <w:r>
        <w:rPr>
          <w:rFonts w:hint="eastAsia"/>
          <w:lang w:eastAsia="zh-CN"/>
        </w:rPr>
        <w:t>②</w:t>
      </w:r>
      <w:r>
        <w:t>监测频次</w:t>
      </w:r>
    </w:p>
    <w:p>
      <w:pPr>
        <w:bidi w:val="0"/>
      </w:pPr>
      <w:r>
        <w:t>事故发生后尽快进行监测，事故发生</w:t>
      </w:r>
      <w:r>
        <w:rPr>
          <w:rFonts w:ascii="Times New Roman" w:hAnsi="Times New Roman"/>
        </w:rPr>
        <w:t>1</w:t>
      </w:r>
      <w:r>
        <w:t>小时内每</w:t>
      </w:r>
      <w:r>
        <w:rPr>
          <w:rFonts w:ascii="Times New Roman" w:hAnsi="Times New Roman"/>
        </w:rPr>
        <w:t>15</w:t>
      </w:r>
      <w:r>
        <w:t>分钟取样进行监测，事故后</w:t>
      </w:r>
      <w:r>
        <w:rPr>
          <w:rFonts w:ascii="Times New Roman" w:hAnsi="Times New Roman"/>
        </w:rPr>
        <w:t>4</w:t>
      </w:r>
      <w:r>
        <w:t>小时、</w:t>
      </w:r>
      <w:r>
        <w:rPr>
          <w:rFonts w:ascii="Times New Roman" w:hAnsi="Times New Roman"/>
        </w:rPr>
        <w:t>10</w:t>
      </w:r>
      <w:r>
        <w:t>小时、</w:t>
      </w:r>
      <w:r>
        <w:rPr>
          <w:rFonts w:ascii="Times New Roman" w:hAnsi="Times New Roman"/>
        </w:rPr>
        <w:t>24</w:t>
      </w:r>
      <w:r>
        <w:t>小时各监测一次。</w:t>
      </w:r>
    </w:p>
    <w:p>
      <w:pPr>
        <w:bidi w:val="0"/>
      </w:pPr>
      <w:r>
        <w:rPr>
          <w:rFonts w:hint="eastAsia"/>
          <w:lang w:eastAsia="zh-CN"/>
        </w:rPr>
        <w:t>③</w:t>
      </w:r>
      <w:r>
        <w:t>监测点位</w:t>
      </w:r>
    </w:p>
    <w:p>
      <w:pPr>
        <w:bidi w:val="0"/>
      </w:pPr>
      <w:r>
        <w:t>根据事故严重程度和泄漏量大小，分别在距离事故源</w:t>
      </w:r>
      <w:r>
        <w:rPr>
          <w:rFonts w:ascii="Times New Roman" w:hAnsi="Times New Roman"/>
        </w:rPr>
        <w:t>0m</w:t>
      </w:r>
      <w:r>
        <w:t>、</w:t>
      </w:r>
      <w:r>
        <w:rPr>
          <w:rFonts w:ascii="Times New Roman" w:hAnsi="Times New Roman"/>
        </w:rPr>
        <w:t>100m</w:t>
      </w:r>
      <w:r>
        <w:t>、</w:t>
      </w:r>
      <w:r>
        <w:rPr>
          <w:rFonts w:ascii="Times New Roman" w:hAnsi="Times New Roman"/>
        </w:rPr>
        <w:t>200m</w:t>
      </w:r>
      <w:r>
        <w:t>、</w:t>
      </w:r>
      <w:r>
        <w:rPr>
          <w:rFonts w:ascii="Times New Roman" w:hAnsi="Times New Roman"/>
        </w:rPr>
        <w:t>400m</w:t>
      </w:r>
      <w:r>
        <w:t>不等距设点，设在下风向。</w:t>
      </w:r>
    </w:p>
    <w:p>
      <w:pPr>
        <w:bidi w:val="0"/>
      </w:pPr>
      <w:r>
        <w:rPr>
          <w:rFonts w:hint="eastAsia"/>
          <w:lang w:eastAsia="zh-CN"/>
        </w:rPr>
        <w:t>④</w:t>
      </w:r>
      <w:r>
        <w:t>监测方法</w:t>
      </w:r>
    </w:p>
    <w:p>
      <w:pPr>
        <w:bidi w:val="0"/>
      </w:pPr>
      <w:r>
        <w:t>参考《空气中有害物质测定方法》(第二版)中相关标准执行。</w:t>
      </w:r>
    </w:p>
    <w:p>
      <w:pPr>
        <w:bidi w:val="0"/>
      </w:pPr>
      <w:r>
        <w:rPr>
          <w:rFonts w:hint="eastAsia"/>
          <w:lang w:eastAsia="zh-CN"/>
        </w:rPr>
        <w:t>⑥</w:t>
      </w:r>
      <w:r>
        <w:t>监测仪器</w:t>
      </w:r>
    </w:p>
    <w:p>
      <w:pPr>
        <w:bidi w:val="0"/>
      </w:pPr>
      <w:r>
        <w:t>应急监测</w:t>
      </w:r>
      <w:r>
        <w:rPr>
          <w:rFonts w:hint="eastAsia"/>
          <w:lang w:eastAsia="zh-CN"/>
        </w:rPr>
        <w:t>依据</w:t>
      </w:r>
      <w:r>
        <w:t>见表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27</w:t>
      </w:r>
      <w:r>
        <w:t>。</w:t>
      </w:r>
    </w:p>
    <w:p>
      <w:pPr>
        <w:pStyle w:val="20"/>
        <w:bidi w:val="0"/>
        <w:rPr>
          <w:rFonts w:hint="eastAsia" w:eastAsia="宋体"/>
          <w:lang w:eastAsia="zh-CN"/>
        </w:rPr>
      </w:pPr>
      <w:r>
        <w:t>表</w:t>
      </w:r>
      <w:r>
        <w:rPr>
          <w:rFonts w:hint="eastAsia" w:ascii="Times New Roman" w:hAnsi="Times New Roman"/>
          <w:lang w:val="en-US" w:eastAsia="zh-CN"/>
        </w:rPr>
        <w:t>6</w:t>
      </w:r>
      <w:r>
        <w:rPr>
          <w:rFonts w:hint="eastAsia" w:ascii="Times New Roman" w:hAnsi="Times New Roman"/>
          <w:lang w:val="en-US" w:eastAsia="zh-CN"/>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27</w:t>
      </w:r>
      <w:r>
        <w:t xml:space="preserve">  应急监测</w:t>
      </w:r>
      <w:r>
        <w:rPr>
          <w:rFonts w:hint="eastAsia"/>
          <w:lang w:eastAsia="zh-CN"/>
        </w:rPr>
        <w:t>分析方法及方法来源</w:t>
      </w:r>
    </w:p>
    <w:tbl>
      <w:tblPr>
        <w:tblStyle w:val="80"/>
        <w:tblW w:w="52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9"/>
        <w:gridCol w:w="985"/>
        <w:gridCol w:w="5646"/>
        <w:gridCol w:w="1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98" w:type="pct"/>
            <w:tcBorders>
              <w:top w:val="single" w:color="000000" w:sz="12" w:space="0"/>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1"/>
                <w:lang w:eastAsia="zh-CN"/>
              </w:rPr>
            </w:pPr>
            <w:r>
              <w:rPr>
                <w:rFonts w:hint="eastAsia"/>
                <w:sz w:val="21"/>
                <w:szCs w:val="21"/>
                <w:lang w:eastAsia="zh-CN"/>
              </w:rPr>
              <w:t>污染物类别</w:t>
            </w:r>
          </w:p>
        </w:tc>
        <w:tc>
          <w:tcPr>
            <w:tcW w:w="522" w:type="pct"/>
            <w:tcBorders>
              <w:top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21"/>
                <w:lang w:eastAsia="zh-CN"/>
              </w:rPr>
            </w:pPr>
            <w:r>
              <w:rPr>
                <w:rFonts w:hint="eastAsia"/>
                <w:sz w:val="21"/>
                <w:szCs w:val="21"/>
                <w:lang w:eastAsia="zh-CN"/>
              </w:rPr>
              <w:t>监测项目</w:t>
            </w:r>
          </w:p>
        </w:tc>
        <w:tc>
          <w:tcPr>
            <w:tcW w:w="2991" w:type="pct"/>
            <w:tcBorders>
              <w:top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名称</w:t>
            </w:r>
          </w:p>
        </w:tc>
        <w:tc>
          <w:tcPr>
            <w:tcW w:w="888" w:type="pct"/>
            <w:tcBorders>
              <w:top w:val="single" w:color="000000" w:sz="12"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1"/>
                <w:lang w:eastAsia="zh-CN"/>
              </w:rPr>
            </w:pPr>
            <w:r>
              <w:rPr>
                <w:rFonts w:hint="eastAsia"/>
                <w:sz w:val="21"/>
                <w:szCs w:val="21"/>
                <w:lang w:eastAsia="zh-CN"/>
              </w:rPr>
              <w:t>方法来源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98" w:type="pct"/>
            <w:vMerge w:val="restart"/>
            <w:tcBorders>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1"/>
                <w:lang w:eastAsia="zh-CN"/>
              </w:rPr>
            </w:pPr>
            <w:r>
              <w:rPr>
                <w:rFonts w:hint="eastAsia"/>
                <w:sz w:val="21"/>
                <w:szCs w:val="21"/>
                <w:lang w:eastAsia="zh-CN"/>
              </w:rPr>
              <w:t>废气</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1"/>
                <w:lang w:val="en-US" w:eastAsia="zh-CN"/>
              </w:rPr>
            </w:pPr>
            <w:r>
              <w:rPr>
                <w:rFonts w:hint="eastAsia" w:ascii="Times New Roman" w:hAnsi="Times New Roman"/>
                <w:sz w:val="21"/>
                <w:szCs w:val="21"/>
                <w:lang w:val="en-US" w:eastAsia="zh-CN"/>
              </w:rPr>
              <w:t>NMHC</w:t>
            </w:r>
          </w:p>
        </w:tc>
        <w:tc>
          <w:tcPr>
            <w:tcW w:w="29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r>
              <w:rPr>
                <w:sz w:val="21"/>
                <w:szCs w:val="21"/>
              </w:rPr>
              <w:t>便携式</w:t>
            </w:r>
            <w:r>
              <w:rPr>
                <w:rFonts w:hint="eastAsia" w:ascii="Times New Roman" w:hAnsi="Times New Roman"/>
                <w:sz w:val="21"/>
                <w:szCs w:val="21"/>
                <w:lang w:val="en-US" w:eastAsia="zh-CN"/>
              </w:rPr>
              <w:t>PID</w:t>
            </w:r>
            <w:r>
              <w:rPr>
                <w:rFonts w:hint="eastAsia"/>
                <w:sz w:val="21"/>
                <w:szCs w:val="21"/>
                <w:lang w:val="en-US" w:eastAsia="zh-CN"/>
              </w:rPr>
              <w:t>传感器配气相色谱法</w:t>
            </w:r>
          </w:p>
        </w:tc>
        <w:tc>
          <w:tcPr>
            <w:tcW w:w="888"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1"/>
                <w:lang w:val="en-US" w:eastAsia="zh-CN"/>
              </w:rPr>
            </w:pPr>
            <w:r>
              <w:rPr>
                <w:rFonts w:hint="eastAsia" w:ascii="Times New Roman" w:hAnsi="Times New Roman"/>
                <w:sz w:val="21"/>
                <w:szCs w:val="21"/>
                <w:lang w:val="en-US" w:eastAsia="zh-CN"/>
              </w:rPr>
              <w:t>GB18582</w:t>
            </w:r>
            <w:r>
              <w:rPr>
                <w:rFonts w:hint="eastAsia"/>
                <w:sz w:val="21"/>
                <w:szCs w:val="21"/>
                <w:lang w:val="en-US" w:eastAsia="zh-CN"/>
              </w:rPr>
              <w:t>-</w:t>
            </w:r>
            <w:r>
              <w:rPr>
                <w:rFonts w:hint="eastAsia" w:ascii="Times New Roman" w:hAnsi="Times New Roman"/>
                <w:sz w:val="21"/>
                <w:szCs w:val="21"/>
                <w:lang w:val="en-US" w:eastAsia="zh-CN"/>
              </w:rPr>
              <w:t>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98" w:type="pct"/>
            <w:vMerge w:val="continue"/>
            <w:tcBorders>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21"/>
                <w:lang w:eastAsia="zh-CN"/>
              </w:rPr>
            </w:pPr>
            <w:r>
              <w:rPr>
                <w:rFonts w:hint="eastAsia"/>
                <w:sz w:val="21"/>
                <w:szCs w:val="21"/>
                <w:lang w:eastAsia="zh-CN"/>
              </w:rPr>
              <w:t>颗粒物</w:t>
            </w:r>
          </w:p>
        </w:tc>
        <w:tc>
          <w:tcPr>
            <w:tcW w:w="29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1"/>
                <w:lang w:val="en-US" w:eastAsia="zh-CN"/>
              </w:rPr>
            </w:pPr>
            <w:r>
              <w:rPr>
                <w:rFonts w:hint="eastAsia"/>
                <w:sz w:val="21"/>
                <w:szCs w:val="21"/>
                <w:lang w:eastAsia="zh-CN"/>
              </w:rPr>
              <w:t>总悬浮颗粒物的测定</w:t>
            </w:r>
            <w:r>
              <w:rPr>
                <w:rFonts w:hint="eastAsia"/>
                <w:sz w:val="21"/>
                <w:szCs w:val="21"/>
                <w:lang w:val="en-US" w:eastAsia="zh-CN"/>
              </w:rPr>
              <w:t xml:space="preserve"> 重量法</w:t>
            </w:r>
          </w:p>
        </w:tc>
        <w:tc>
          <w:tcPr>
            <w:tcW w:w="888"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21"/>
                <w:lang w:val="en-US" w:eastAsia="zh-CN"/>
              </w:rPr>
            </w:pPr>
            <w:r>
              <w:rPr>
                <w:rFonts w:hint="eastAsia" w:ascii="Times New Roman" w:hAnsi="Times New Roman"/>
                <w:sz w:val="21"/>
                <w:szCs w:val="21"/>
                <w:lang w:val="en-US" w:eastAsia="zh-CN"/>
              </w:rPr>
              <w:t>GB</w:t>
            </w:r>
            <w:r>
              <w:rPr>
                <w:rFonts w:hint="eastAsia"/>
                <w:sz w:val="21"/>
                <w:szCs w:val="21"/>
                <w:lang w:val="en-US" w:eastAsia="zh-CN"/>
              </w:rPr>
              <w:t>/</w:t>
            </w:r>
            <w:r>
              <w:rPr>
                <w:rFonts w:hint="eastAsia" w:ascii="Times New Roman" w:hAnsi="Times New Roman"/>
                <w:sz w:val="21"/>
                <w:szCs w:val="21"/>
                <w:lang w:val="en-US" w:eastAsia="zh-CN"/>
              </w:rPr>
              <w:t>T15432</w:t>
            </w:r>
            <w:r>
              <w:rPr>
                <w:rFonts w:hint="eastAsia"/>
                <w:sz w:val="21"/>
                <w:szCs w:val="21"/>
                <w:lang w:val="en-US" w:eastAsia="zh-CN"/>
              </w:rPr>
              <w:t>-</w:t>
            </w:r>
            <w:r>
              <w:rPr>
                <w:rFonts w:hint="eastAsia" w:ascii="Times New Roman" w:hAnsi="Times New Roman"/>
                <w:sz w:val="21"/>
                <w:szCs w:val="21"/>
                <w:lang w:val="en-US" w:eastAsia="zh-CN"/>
              </w:rPr>
              <w:t>1995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98" w:type="pct"/>
            <w:vMerge w:val="continue"/>
            <w:tcBorders>
              <w:lef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1"/>
                <w:lang w:val="en-US" w:eastAsia="zh-CN"/>
              </w:rPr>
            </w:pPr>
            <w:r>
              <w:rPr>
                <w:rFonts w:hint="eastAsia" w:ascii="Times New Roman" w:hAnsi="Times New Roman"/>
                <w:sz w:val="21"/>
                <w:szCs w:val="21"/>
                <w:lang w:val="en-US" w:eastAsia="zh-CN"/>
              </w:rPr>
              <w:t>NH</w:t>
            </w:r>
            <w:r>
              <w:rPr>
                <w:rFonts w:hint="eastAsia" w:ascii="Times New Roman" w:hAnsi="Times New Roman"/>
                <w:sz w:val="21"/>
                <w:szCs w:val="21"/>
                <w:vertAlign w:val="subscript"/>
                <w:lang w:val="en-US" w:eastAsia="zh-CN"/>
              </w:rPr>
              <w:t>3</w:t>
            </w:r>
          </w:p>
        </w:tc>
        <w:tc>
          <w:tcPr>
            <w:tcW w:w="29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1"/>
                <w:lang w:val="en-US" w:eastAsia="zh-CN"/>
              </w:rPr>
            </w:pPr>
            <w:r>
              <w:rPr>
                <w:rFonts w:hint="eastAsia"/>
                <w:sz w:val="21"/>
                <w:szCs w:val="21"/>
                <w:lang w:eastAsia="zh-CN"/>
              </w:rPr>
              <w:t>环境空气和废气</w:t>
            </w:r>
            <w:r>
              <w:rPr>
                <w:rFonts w:hint="eastAsia"/>
                <w:sz w:val="21"/>
                <w:szCs w:val="21"/>
                <w:lang w:val="en-US" w:eastAsia="zh-CN"/>
              </w:rPr>
              <w:t xml:space="preserve"> 氨的测定纳氏试剂分光光度法</w:t>
            </w:r>
          </w:p>
        </w:tc>
        <w:tc>
          <w:tcPr>
            <w:tcW w:w="888" w:type="pct"/>
            <w:tcBorders>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HJ533</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98" w:type="pct"/>
            <w:vMerge w:val="continue"/>
            <w:tcBorders>
              <w:left w:val="single" w:color="000000" w:sz="12" w:space="0"/>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21"/>
              </w:rPr>
            </w:pPr>
          </w:p>
        </w:tc>
        <w:tc>
          <w:tcPr>
            <w:tcW w:w="522"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1"/>
                <w:lang w:val="en-US" w:eastAsia="zh-CN"/>
              </w:rPr>
            </w:pPr>
            <w:r>
              <w:rPr>
                <w:rFonts w:hint="eastAsia" w:ascii="Times New Roman" w:hAnsi="Times New Roman"/>
                <w:sz w:val="21"/>
                <w:szCs w:val="21"/>
                <w:lang w:val="en-US" w:eastAsia="zh-CN"/>
              </w:rPr>
              <w:t>CO</w:t>
            </w:r>
          </w:p>
        </w:tc>
        <w:tc>
          <w:tcPr>
            <w:tcW w:w="2991"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21"/>
                <w:lang w:val="en-US" w:eastAsia="zh-CN"/>
              </w:rPr>
            </w:pPr>
            <w:r>
              <w:rPr>
                <w:rFonts w:hint="eastAsia"/>
                <w:sz w:val="21"/>
                <w:szCs w:val="21"/>
                <w:lang w:eastAsia="zh-CN"/>
              </w:rPr>
              <w:t>空气质量</w:t>
            </w:r>
            <w:r>
              <w:rPr>
                <w:rFonts w:hint="eastAsia"/>
                <w:sz w:val="21"/>
                <w:szCs w:val="21"/>
                <w:lang w:val="en-US" w:eastAsia="zh-CN"/>
              </w:rPr>
              <w:t xml:space="preserve"> 一氧化碳的测定非分散红外法</w:t>
            </w:r>
          </w:p>
        </w:tc>
        <w:tc>
          <w:tcPr>
            <w:tcW w:w="888" w:type="pct"/>
            <w:tcBorders>
              <w:bottom w:val="single" w:color="000000" w:sz="12"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sz w:val="21"/>
                <w:szCs w:val="21"/>
                <w:lang w:val="en-US" w:eastAsia="zh-CN"/>
              </w:rPr>
            </w:pPr>
            <w:r>
              <w:rPr>
                <w:rFonts w:hint="eastAsia" w:ascii="Times New Roman" w:hAnsi="Times New Roman"/>
                <w:sz w:val="21"/>
                <w:szCs w:val="21"/>
                <w:lang w:val="en-US" w:eastAsia="zh-CN"/>
              </w:rPr>
              <w:t>GB</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T9801</w:t>
            </w:r>
            <w:r>
              <w:rPr>
                <w:rFonts w:hint="eastAsia" w:ascii="Times New Roman" w:hAnsi="Times New Roman"/>
                <w:sz w:val="21"/>
                <w:szCs w:val="21"/>
                <w:lang w:val="en-US" w:eastAsia="zh-CN"/>
              </w:rPr>
              <w:t>-</w:t>
            </w:r>
            <w:r>
              <w:rPr>
                <w:rFonts w:hint="eastAsia" w:ascii="Times New Roman" w:hAnsi="Times New Roman"/>
                <w:sz w:val="21"/>
                <w:szCs w:val="21"/>
                <w:lang w:val="en-US" w:eastAsia="zh-CN"/>
              </w:rPr>
              <w:t>88</w:t>
            </w:r>
          </w:p>
        </w:tc>
      </w:tr>
    </w:tbl>
    <w:p>
      <w:pPr>
        <w:bidi w:val="0"/>
      </w:pPr>
      <w:r>
        <w:t>应急监测人员进入事故现场警戒区域时，必须根据现场情况和环境污染事故应急救援指挥部的要求进行自身防护。</w:t>
      </w:r>
    </w:p>
    <w:p>
      <w:pPr>
        <w:bidi w:val="0"/>
      </w:pPr>
      <w:r>
        <w:rPr>
          <w:rFonts w:hint="eastAsia"/>
          <w:lang w:eastAsia="zh-CN"/>
        </w:rPr>
        <w:t>（</w:t>
      </w:r>
      <w:r>
        <w:rPr>
          <w:rFonts w:hint="eastAsia" w:ascii="Times New Roman" w:hAnsi="Times New Roman"/>
          <w:lang w:val="en-US" w:eastAsia="zh-CN"/>
        </w:rPr>
        <w:t>3</w:t>
      </w:r>
      <w:r>
        <w:rPr>
          <w:rFonts w:hint="eastAsia"/>
          <w:lang w:eastAsia="zh-CN"/>
        </w:rPr>
        <w:t>）</w:t>
      </w:r>
      <w:r>
        <w:t>应急监测报告</w:t>
      </w:r>
    </w:p>
    <w:p>
      <w:pPr>
        <w:bidi w:val="0"/>
      </w:pPr>
      <w:r>
        <w:rPr>
          <w:rFonts w:hint="eastAsia"/>
          <w:lang w:eastAsia="zh-CN"/>
        </w:rPr>
        <w:t>①</w:t>
      </w:r>
      <w:r>
        <w:t>样品分析结束后，质量保证组对监测数据进行汇总审核，编写应急监测报告。应急监测报告要对应急监测结果、污染事故发生地点、发生时间、污染范围、污染程度进行必要的分析评价和说明，并提出消除或减轻污染危害的措施和建议。</w:t>
      </w:r>
    </w:p>
    <w:p>
      <w:pPr>
        <w:bidi w:val="0"/>
      </w:pPr>
      <w:r>
        <w:rPr>
          <w:rFonts w:hint="eastAsia"/>
          <w:lang w:eastAsia="zh-CN"/>
        </w:rPr>
        <w:t>②</w:t>
      </w:r>
      <w:r>
        <w:t>报告</w:t>
      </w:r>
      <w:r>
        <w:rPr>
          <w:rFonts w:hint="eastAsia"/>
          <w:lang w:eastAsia="zh-CN"/>
        </w:rPr>
        <w:t>复核后</w:t>
      </w:r>
      <w:r>
        <w:t>上报环境污染事故应急救援指挥部。</w:t>
      </w:r>
    </w:p>
    <w:p>
      <w:pPr>
        <w:bidi w:val="0"/>
      </w:pPr>
      <w:r>
        <w:rPr>
          <w:rFonts w:hint="eastAsia"/>
          <w:lang w:eastAsia="zh-CN"/>
        </w:rPr>
        <w:t>（</w:t>
      </w:r>
      <w:r>
        <w:rPr>
          <w:rFonts w:hint="eastAsia" w:ascii="Times New Roman" w:hAnsi="Times New Roman"/>
          <w:lang w:val="en-US" w:eastAsia="zh-CN"/>
        </w:rPr>
        <w:t>4</w:t>
      </w:r>
      <w:r>
        <w:rPr>
          <w:rFonts w:hint="eastAsia"/>
          <w:lang w:val="en-US" w:eastAsia="zh-CN"/>
        </w:rPr>
        <w:t>）</w:t>
      </w:r>
      <w:r>
        <w:t>应急监测终止</w:t>
      </w:r>
    </w:p>
    <w:p>
      <w:pPr>
        <w:bidi w:val="0"/>
      </w:pPr>
      <w:r>
        <w:t>接到环境污染事故应急救援指挥部应急终止的指令后，由应急监测对队长宣布应急监测终止，并根据事故现场情况安排正常的环境监测或跟踪监测。</w:t>
      </w:r>
    </w:p>
    <w:p>
      <w:pPr>
        <w:bidi w:val="0"/>
        <w:rPr>
          <w:rFonts w:hint="eastAsia"/>
          <w:lang w:val="en-US" w:eastAsia="zh-CN"/>
        </w:rPr>
      </w:pPr>
      <w:r>
        <w:t>现场应急监测终止后，由质量保证组评价所有的应急监测记录和相关信息，评价应急监测期间的监测行为，总结应急监测的经验教训，提出完善应急监测预案的建议。</w:t>
      </w:r>
    </w:p>
    <w:p>
      <w:pPr>
        <w:pStyle w:val="5"/>
        <w:spacing w:before="165"/>
        <w:rPr>
          <w:rFonts w:hint="eastAsia" w:eastAsia="华文楷体"/>
          <w:lang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8</w:t>
      </w:r>
      <w:r>
        <w:rPr>
          <w:rFonts w:hint="eastAsia"/>
        </w:rPr>
        <w:t>环境风险</w:t>
      </w:r>
      <w:r>
        <w:rPr>
          <w:rFonts w:hint="eastAsia"/>
          <w:lang w:eastAsia="zh-CN"/>
        </w:rPr>
        <w:t>防范应急预案</w:t>
      </w:r>
    </w:p>
    <w:p>
      <w:pPr>
        <w:ind w:firstLine="480"/>
        <w:rPr>
          <w:rFonts w:hint="eastAsia"/>
          <w:color w:val="auto"/>
        </w:rPr>
      </w:pPr>
      <w:r>
        <w:rPr>
          <w:rFonts w:hint="eastAsia"/>
          <w:color w:val="auto"/>
        </w:rPr>
        <w:t>根据《建设项目环境风险评价技术导则》（</w:t>
      </w:r>
      <w:r>
        <w:rPr>
          <w:rFonts w:hint="eastAsia" w:ascii="Times New Roman" w:hAnsi="Times New Roman"/>
          <w:color w:val="auto"/>
        </w:rPr>
        <w:t>HJ169</w:t>
      </w:r>
      <w:r>
        <w:rPr>
          <w:rFonts w:hint="eastAsia"/>
          <w:color w:val="auto"/>
        </w:rPr>
        <w:t>-</w:t>
      </w:r>
      <w:r>
        <w:rPr>
          <w:rFonts w:hint="eastAsia" w:ascii="Times New Roman" w:hAnsi="Times New Roman"/>
          <w:color w:val="auto"/>
        </w:rPr>
        <w:t>2018</w:t>
      </w:r>
      <w:r>
        <w:rPr>
          <w:rFonts w:hint="eastAsia"/>
          <w:color w:val="auto"/>
        </w:rPr>
        <w:t>）要求，</w:t>
      </w:r>
      <w:r>
        <w:rPr>
          <w:rFonts w:hint="eastAsia"/>
          <w:color w:val="auto"/>
          <w:lang w:eastAsia="zh-CN"/>
        </w:rPr>
        <w:t>本项目建成后需要对企业现有的应急预案进行修编。</w:t>
      </w:r>
    </w:p>
    <w:p>
      <w:pPr>
        <w:pStyle w:val="5"/>
        <w:bidi w:val="0"/>
        <w:rPr>
          <w:rFonts w:hint="eastAsia"/>
        </w:rPr>
      </w:pPr>
      <w:bookmarkStart w:id="233" w:name="_Toc24035"/>
      <w:bookmarkStart w:id="234" w:name="_Toc13965"/>
      <w:r>
        <w:rPr>
          <w:rFonts w:hint="eastAsia" w:ascii="Times New Roman" w:hAnsi="Times New Roman"/>
          <w:lang w:val="en-US" w:eastAsia="zh-CN"/>
        </w:rPr>
        <w:t>6</w:t>
      </w:r>
      <w:r>
        <w:rPr>
          <w:rFonts w:hint="eastAsia"/>
        </w:rPr>
        <w:t>.</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9</w:t>
      </w:r>
      <w:r>
        <w:rPr>
          <w:rFonts w:hint="eastAsia"/>
        </w:rPr>
        <w:t>环境风险评价结论</w:t>
      </w:r>
      <w:bookmarkEnd w:id="233"/>
      <w:bookmarkEnd w:id="234"/>
    </w:p>
    <w:p>
      <w:pPr>
        <w:rPr>
          <w:rFonts w:hint="default" w:eastAsia="宋体"/>
          <w:lang w:val="en-US" w:eastAsia="zh-CN"/>
        </w:rPr>
      </w:pPr>
      <w:r>
        <w:rPr>
          <w:rFonts w:hint="eastAsia"/>
          <w:lang w:eastAsia="zh-CN"/>
        </w:rPr>
        <w:t>根据《建设项目环境风险评价技术导则》（</w:t>
      </w:r>
      <w:r>
        <w:rPr>
          <w:rFonts w:hint="eastAsia" w:ascii="Times New Roman" w:hAnsi="Times New Roman"/>
          <w:lang w:val="en-US" w:eastAsia="zh-CN"/>
        </w:rPr>
        <w:t>HJ169</w:t>
      </w:r>
      <w:r>
        <w:rPr>
          <w:rFonts w:hint="eastAsia"/>
          <w:lang w:val="en-US" w:eastAsia="zh-CN"/>
        </w:rPr>
        <w:t>-</w:t>
      </w:r>
      <w:r>
        <w:rPr>
          <w:rFonts w:hint="eastAsia" w:ascii="Times New Roman" w:hAnsi="Times New Roman"/>
          <w:lang w:val="en-US" w:eastAsia="zh-CN"/>
        </w:rPr>
        <w:t>2018</w:t>
      </w:r>
      <w:r>
        <w:rPr>
          <w:rFonts w:hint="eastAsia"/>
          <w:lang w:eastAsia="zh-CN"/>
        </w:rPr>
        <w:t>）附录</w:t>
      </w:r>
      <w:r>
        <w:rPr>
          <w:rFonts w:hint="eastAsia" w:ascii="Times New Roman" w:hAnsi="Times New Roman"/>
          <w:lang w:val="en-US" w:eastAsia="zh-CN"/>
        </w:rPr>
        <w:t>B</w:t>
      </w:r>
      <w:r>
        <w:rPr>
          <w:rFonts w:hint="eastAsia"/>
          <w:lang w:val="en-US" w:eastAsia="zh-CN"/>
        </w:rPr>
        <w:t>，本项目识别的主要危险物质为</w:t>
      </w:r>
      <w:r>
        <w:rPr>
          <w:rFonts w:hint="eastAsia" w:ascii="Times New Roman" w:hAnsi="Times New Roman"/>
          <w:lang w:val="en-US" w:eastAsia="zh-CN"/>
        </w:rPr>
        <w:t>PD</w:t>
      </w:r>
      <w:r>
        <w:rPr>
          <w:rFonts w:hint="eastAsia"/>
          <w:lang w:val="en-US" w:eastAsia="zh-CN"/>
        </w:rPr>
        <w:t>和氨水（浓度≥</w:t>
      </w:r>
      <w:r>
        <w:rPr>
          <w:rFonts w:hint="eastAsia" w:ascii="Times New Roman" w:hAnsi="Times New Roman"/>
          <w:lang w:val="en-US" w:eastAsia="zh-CN"/>
        </w:rPr>
        <w:t>20</w:t>
      </w:r>
      <w:r>
        <w:rPr>
          <w:rFonts w:hint="eastAsia"/>
          <w:lang w:val="en-US" w:eastAsia="zh-CN"/>
        </w:rPr>
        <w:t>%）</w:t>
      </w:r>
      <w:r>
        <w:rPr>
          <w:rFonts w:hint="eastAsia"/>
        </w:rPr>
        <w:t>。</w:t>
      </w:r>
      <w:r>
        <w:rPr>
          <w:rFonts w:hint="eastAsia" w:ascii="Times New Roman" w:hAnsi="Times New Roman"/>
          <w:lang w:eastAsia="zh-CN"/>
        </w:rPr>
        <w:t>PD</w:t>
      </w:r>
      <w:r>
        <w:rPr>
          <w:rFonts w:hint="eastAsia"/>
          <w:lang w:eastAsia="zh-CN"/>
        </w:rPr>
        <w:t>作为产品储存于厂内</w:t>
      </w:r>
      <w:r>
        <w:rPr>
          <w:rFonts w:hint="eastAsia" w:ascii="Times New Roman" w:hAnsi="Times New Roman"/>
          <w:lang w:val="en-US" w:eastAsia="zh-CN"/>
        </w:rPr>
        <w:t>831m</w:t>
      </w:r>
      <w:r>
        <w:rPr>
          <w:rFonts w:hint="eastAsia"/>
          <w:lang w:val="en-US" w:eastAsia="zh-CN"/>
        </w:rPr>
        <w:t>³专用储罐和醋</w:t>
      </w:r>
      <w:r>
        <w:rPr>
          <w:rFonts w:hint="eastAsia" w:ascii="Times New Roman" w:hAnsi="Times New Roman"/>
          <w:lang w:val="en-US" w:eastAsia="zh-CN"/>
        </w:rPr>
        <w:t>PD</w:t>
      </w:r>
      <w:r>
        <w:rPr>
          <w:rFonts w:hint="eastAsia"/>
          <w:lang w:val="en-US" w:eastAsia="zh-CN"/>
        </w:rPr>
        <w:t>储罐；氨水为吸收塔吸收液，位于一级水吸收塔底部。本项目生产装置和储罐均整体密闭，正常工况下不存在</w:t>
      </w:r>
      <w:r>
        <w:rPr>
          <w:rFonts w:hint="eastAsia" w:ascii="Times New Roman" w:hAnsi="Times New Roman"/>
          <w:lang w:val="en-US" w:eastAsia="zh-CN"/>
        </w:rPr>
        <w:t>PD</w:t>
      </w:r>
      <w:r>
        <w:rPr>
          <w:rFonts w:hint="eastAsia"/>
          <w:lang w:val="en-US" w:eastAsia="zh-CN"/>
        </w:rPr>
        <w:t>和氨气直接挥发的可能。非正常工况下，氨有明显刺激性气味，</w:t>
      </w:r>
      <w:r>
        <w:rPr>
          <w:rFonts w:hint="eastAsia" w:ascii="Times New Roman" w:hAnsi="Times New Roman"/>
          <w:lang w:val="en-US" w:eastAsia="zh-CN"/>
        </w:rPr>
        <w:t>PD</w:t>
      </w:r>
      <w:r>
        <w:rPr>
          <w:rFonts w:hint="eastAsia"/>
          <w:lang w:val="en-US" w:eastAsia="zh-CN"/>
        </w:rPr>
        <w:t>具有明显胡椒气味，发生泄漏易于发现并进行及时处理，不存在长期泄漏未被发现的可能。事故状态下，</w:t>
      </w:r>
      <w:r>
        <w:rPr>
          <w:rFonts w:hint="eastAsia" w:ascii="Times New Roman" w:hAnsi="Times New Roman"/>
          <w:lang w:val="en-US" w:eastAsia="zh-CN"/>
        </w:rPr>
        <w:t>PD</w:t>
      </w:r>
      <w:r>
        <w:rPr>
          <w:rFonts w:hint="eastAsia"/>
          <w:lang w:val="en-US" w:eastAsia="zh-CN"/>
        </w:rPr>
        <w:t>本身易燃，伴随储罐泄漏和</w:t>
      </w:r>
      <w:r>
        <w:rPr>
          <w:rFonts w:hint="eastAsia" w:ascii="Times New Roman" w:hAnsi="Times New Roman"/>
          <w:lang w:val="en-US" w:eastAsia="zh-CN"/>
        </w:rPr>
        <w:t>PD</w:t>
      </w:r>
      <w:r>
        <w:rPr>
          <w:rFonts w:hint="eastAsia"/>
          <w:lang w:val="en-US" w:eastAsia="zh-CN"/>
        </w:rPr>
        <w:t>的大量挥发，可能导致火灾爆炸事故，会对周边环境造成影响。本项目主体工程所在装置区进行分区防渗硬化，周边设置有截水沟；罐区基础防渗并设置围堰，可收集事故废水。正常工况下，事故泄漏对土壤和地下水环境造成污染的可能较小，地下水环境风险是可控的。</w:t>
      </w:r>
    </w:p>
    <w:p>
      <w:pPr>
        <w:rPr>
          <w:rFonts w:hint="eastAsia" w:hAnsi="宋体"/>
        </w:rPr>
      </w:pPr>
      <w:r>
        <w:rPr>
          <w:rFonts w:hint="eastAsia" w:hAnsi="宋体"/>
        </w:rPr>
        <w:t>建设单位应予以高度重视，采取有效的防范和减缓措施，强化安全管理，避免事故的发生。</w:t>
      </w:r>
    </w:p>
    <w:p>
      <w:pPr>
        <w:pStyle w:val="5"/>
        <w:bidi w:val="0"/>
        <w:rPr>
          <w:rFonts w:hint="default"/>
          <w:lang w:val="en-US" w:eastAsia="zh-CN"/>
        </w:rPr>
      </w:pP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10</w:t>
      </w:r>
      <w:r>
        <w:rPr>
          <w:rFonts w:hint="eastAsia"/>
          <w:lang w:val="en-US" w:eastAsia="zh-CN"/>
        </w:rPr>
        <w:t>环境风险评价自查表</w:t>
      </w:r>
    </w:p>
    <w:p>
      <w:r>
        <w:rPr>
          <w:rFonts w:hint="eastAsia"/>
        </w:rPr>
        <w:t>本项目环境风险评价自查表见表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28</w:t>
      </w:r>
      <w:r>
        <w:rPr>
          <w:rFonts w:hint="eastAsia"/>
        </w:rPr>
        <w:t>。</w:t>
      </w:r>
    </w:p>
    <w:p>
      <w:pPr>
        <w:pStyle w:val="20"/>
        <w:spacing w:before="165"/>
      </w:pPr>
      <w:r>
        <w:rPr>
          <w:rFonts w:hint="eastAsia"/>
        </w:rPr>
        <w:t>表</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28</w:t>
      </w:r>
      <w:r>
        <w:rPr>
          <w:rFonts w:hint="eastAsia"/>
        </w:rPr>
        <w:t xml:space="preserve">  环境风险评价自查表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6"/>
        <w:gridCol w:w="1400"/>
        <w:gridCol w:w="773"/>
        <w:gridCol w:w="519"/>
        <w:gridCol w:w="314"/>
        <w:gridCol w:w="69"/>
        <w:gridCol w:w="639"/>
        <w:gridCol w:w="125"/>
        <w:gridCol w:w="386"/>
        <w:gridCol w:w="24"/>
        <w:gridCol w:w="423"/>
        <w:gridCol w:w="319"/>
        <w:gridCol w:w="515"/>
        <w:gridCol w:w="252"/>
        <w:gridCol w:w="511"/>
        <w:gridCol w:w="71"/>
        <w:gridCol w:w="571"/>
        <w:gridCol w:w="206"/>
        <w:gridCol w:w="57"/>
        <w:gridCol w:w="117"/>
        <w:gridCol w:w="15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noWrap w:val="0"/>
            <w:vAlign w:val="center"/>
          </w:tcPr>
          <w:p>
            <w:pPr>
              <w:spacing w:line="240" w:lineRule="auto"/>
              <w:ind w:firstLine="0"/>
              <w:jc w:val="center"/>
              <w:rPr>
                <w:rFonts w:hint="eastAsia"/>
                <w:sz w:val="18"/>
                <w:szCs w:val="18"/>
              </w:rPr>
            </w:pPr>
            <w:r>
              <w:rPr>
                <w:rFonts w:hint="eastAsia"/>
                <w:sz w:val="18"/>
                <w:szCs w:val="18"/>
              </w:rPr>
              <w:t>工作内容</w:t>
            </w:r>
          </w:p>
        </w:tc>
        <w:tc>
          <w:tcPr>
            <w:tcW w:w="7429" w:type="dxa"/>
            <w:gridSpan w:val="19"/>
            <w:noWrap w:val="0"/>
            <w:vAlign w:val="center"/>
          </w:tcPr>
          <w:p>
            <w:pPr>
              <w:spacing w:line="240" w:lineRule="auto"/>
              <w:ind w:firstLine="0"/>
              <w:jc w:val="center"/>
              <w:rPr>
                <w:rFonts w:hint="eastAsia"/>
                <w:sz w:val="18"/>
                <w:szCs w:val="18"/>
              </w:rPr>
            </w:pPr>
            <w:r>
              <w:rPr>
                <w:rFonts w:hint="eastAsia"/>
                <w:sz w:val="18"/>
                <w:szCs w:val="18"/>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restart"/>
            <w:noWrap w:val="0"/>
            <w:vAlign w:val="center"/>
          </w:tcPr>
          <w:p>
            <w:pPr>
              <w:spacing w:line="240" w:lineRule="auto"/>
              <w:ind w:firstLine="0"/>
              <w:jc w:val="center"/>
              <w:rPr>
                <w:rFonts w:hint="eastAsia"/>
                <w:sz w:val="18"/>
                <w:szCs w:val="18"/>
              </w:rPr>
            </w:pPr>
            <w:r>
              <w:rPr>
                <w:rFonts w:hint="eastAsia"/>
                <w:sz w:val="18"/>
                <w:szCs w:val="18"/>
              </w:rPr>
              <w:t>风险调查</w:t>
            </w:r>
          </w:p>
        </w:tc>
        <w:tc>
          <w:tcPr>
            <w:tcW w:w="1400" w:type="dxa"/>
            <w:vMerge w:val="restart"/>
            <w:noWrap w:val="0"/>
            <w:vAlign w:val="center"/>
          </w:tcPr>
          <w:p>
            <w:pPr>
              <w:spacing w:line="240" w:lineRule="auto"/>
              <w:ind w:firstLine="0"/>
              <w:jc w:val="center"/>
              <w:rPr>
                <w:rFonts w:hint="eastAsia"/>
                <w:sz w:val="18"/>
                <w:szCs w:val="18"/>
              </w:rPr>
            </w:pPr>
            <w:r>
              <w:rPr>
                <w:rFonts w:hint="eastAsia"/>
                <w:sz w:val="18"/>
                <w:szCs w:val="18"/>
              </w:rPr>
              <w:t>危险物质</w:t>
            </w:r>
          </w:p>
        </w:tc>
        <w:tc>
          <w:tcPr>
            <w:tcW w:w="1606" w:type="dxa"/>
            <w:gridSpan w:val="3"/>
            <w:noWrap w:val="0"/>
            <w:vAlign w:val="center"/>
          </w:tcPr>
          <w:p>
            <w:pPr>
              <w:spacing w:line="240" w:lineRule="auto"/>
              <w:ind w:firstLine="0"/>
              <w:jc w:val="center"/>
              <w:rPr>
                <w:rFonts w:hint="eastAsia" w:eastAsia="宋体"/>
                <w:sz w:val="18"/>
                <w:szCs w:val="18"/>
                <w:lang w:eastAsia="zh-CN"/>
              </w:rPr>
            </w:pPr>
            <w:r>
              <w:rPr>
                <w:rFonts w:hint="eastAsia"/>
                <w:sz w:val="18"/>
                <w:szCs w:val="18"/>
              </w:rPr>
              <w:t>名称</w:t>
            </w:r>
          </w:p>
        </w:tc>
        <w:tc>
          <w:tcPr>
            <w:tcW w:w="1243" w:type="dxa"/>
            <w:gridSpan w:val="5"/>
            <w:noWrap w:val="0"/>
            <w:vAlign w:val="center"/>
          </w:tcPr>
          <w:p>
            <w:pPr>
              <w:spacing w:line="240" w:lineRule="auto"/>
              <w:ind w:firstLine="0" w:firstLineChars="0"/>
              <w:jc w:val="center"/>
              <w:rPr>
                <w:rFonts w:hint="default" w:ascii="宋体" w:hAnsi="宋体" w:eastAsia="宋体" w:cs="Times New Roman"/>
                <w:sz w:val="18"/>
                <w:szCs w:val="18"/>
                <w:lang w:val="en-US" w:eastAsia="zh-CN" w:bidi="ar-SA"/>
              </w:rPr>
            </w:pPr>
            <w:r>
              <w:rPr>
                <w:rFonts w:hint="eastAsia" w:ascii="Times New Roman" w:hAnsi="Times New Roman"/>
                <w:sz w:val="18"/>
                <w:szCs w:val="18"/>
                <w:lang w:eastAsia="zh-CN"/>
              </w:rPr>
              <w:t>PD</w:t>
            </w:r>
          </w:p>
        </w:tc>
        <w:tc>
          <w:tcPr>
            <w:tcW w:w="1257" w:type="dxa"/>
            <w:gridSpan w:val="3"/>
            <w:noWrap w:val="0"/>
            <w:vAlign w:val="center"/>
          </w:tcPr>
          <w:p>
            <w:pPr>
              <w:spacing w:line="240" w:lineRule="auto"/>
              <w:ind w:firstLine="0" w:firstLineChars="0"/>
              <w:jc w:val="center"/>
              <w:rPr>
                <w:rFonts w:hint="eastAsia"/>
                <w:sz w:val="18"/>
                <w:szCs w:val="18"/>
                <w:lang w:eastAsia="zh-CN"/>
              </w:rPr>
            </w:pPr>
            <w:r>
              <w:rPr>
                <w:rFonts w:hint="eastAsia"/>
                <w:sz w:val="18"/>
                <w:szCs w:val="18"/>
                <w:lang w:eastAsia="zh-CN"/>
              </w:rPr>
              <w:t>硫酸铵</w:t>
            </w:r>
          </w:p>
        </w:tc>
        <w:tc>
          <w:tcPr>
            <w:tcW w:w="1611" w:type="dxa"/>
            <w:gridSpan w:val="5"/>
            <w:noWrap w:val="0"/>
            <w:vAlign w:val="center"/>
          </w:tcPr>
          <w:p>
            <w:pPr>
              <w:spacing w:line="240" w:lineRule="auto"/>
              <w:ind w:firstLine="0"/>
              <w:jc w:val="center"/>
              <w:rPr>
                <w:rFonts w:hint="eastAsia"/>
                <w:sz w:val="18"/>
                <w:szCs w:val="18"/>
              </w:rPr>
            </w:pPr>
            <w:r>
              <w:rPr>
                <w:rFonts w:hint="eastAsia"/>
                <w:sz w:val="18"/>
                <w:szCs w:val="18"/>
                <w:lang w:eastAsia="zh-CN"/>
              </w:rPr>
              <w:t>氨水（浓度≥</w:t>
            </w:r>
            <w:r>
              <w:rPr>
                <w:rFonts w:hint="eastAsia" w:ascii="Times New Roman" w:hAnsi="Times New Roman"/>
                <w:sz w:val="18"/>
                <w:szCs w:val="18"/>
                <w:lang w:val="en-US" w:eastAsia="zh-CN"/>
              </w:rPr>
              <w:t>20</w:t>
            </w:r>
            <w:r>
              <w:rPr>
                <w:rFonts w:hint="eastAsia"/>
                <w:sz w:val="18"/>
                <w:szCs w:val="18"/>
                <w:lang w:val="en-US" w:eastAsia="zh-CN"/>
              </w:rPr>
              <w:t>%</w:t>
            </w:r>
            <w:r>
              <w:rPr>
                <w:rFonts w:hint="eastAsia"/>
                <w:sz w:val="18"/>
                <w:szCs w:val="18"/>
                <w:lang w:eastAsia="zh-CN"/>
              </w:rPr>
              <w:t>）</w:t>
            </w:r>
          </w:p>
        </w:tc>
        <w:tc>
          <w:tcPr>
            <w:tcW w:w="1712" w:type="dxa"/>
            <w:gridSpan w:val="3"/>
            <w:noWrap w:val="0"/>
            <w:vAlign w:val="center"/>
          </w:tcPr>
          <w:p>
            <w:pPr>
              <w:spacing w:line="240" w:lineRule="auto"/>
              <w:ind w:firstLine="0"/>
              <w:jc w:val="center"/>
              <w:rPr>
                <w:rFonts w:hint="eastAsia"/>
                <w:sz w:val="18"/>
                <w:szCs w:val="18"/>
                <w:lang w:eastAsia="zh-CN"/>
              </w:rPr>
            </w:pPr>
            <w:r>
              <w:rPr>
                <w:rFonts w:hint="eastAsia"/>
                <w:sz w:val="18"/>
                <w:szCs w:val="18"/>
                <w:lang w:eastAsia="zh-CN"/>
              </w:rPr>
              <w:t>氨气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1606" w:type="dxa"/>
            <w:gridSpan w:val="3"/>
            <w:noWrap w:val="0"/>
            <w:vAlign w:val="center"/>
          </w:tcPr>
          <w:p>
            <w:pPr>
              <w:spacing w:line="240" w:lineRule="auto"/>
              <w:ind w:firstLine="0"/>
              <w:jc w:val="center"/>
              <w:rPr>
                <w:rFonts w:hint="default" w:eastAsia="宋体"/>
                <w:sz w:val="18"/>
                <w:szCs w:val="18"/>
                <w:lang w:val="en-US" w:eastAsia="zh-CN"/>
              </w:rPr>
            </w:pPr>
            <w:r>
              <w:rPr>
                <w:rFonts w:hint="eastAsia"/>
                <w:sz w:val="18"/>
                <w:szCs w:val="18"/>
              </w:rPr>
              <w:t>存在总量/</w:t>
            </w:r>
            <w:r>
              <w:rPr>
                <w:rFonts w:hint="eastAsia" w:ascii="Times New Roman" w:hAnsi="Times New Roman"/>
                <w:sz w:val="18"/>
                <w:szCs w:val="18"/>
              </w:rPr>
              <w:t>t</w:t>
            </w:r>
          </w:p>
        </w:tc>
        <w:tc>
          <w:tcPr>
            <w:tcW w:w="1243" w:type="dxa"/>
            <w:gridSpan w:val="5"/>
            <w:noWrap w:val="0"/>
            <w:vAlign w:val="center"/>
          </w:tcPr>
          <w:p>
            <w:pPr>
              <w:spacing w:line="240" w:lineRule="auto"/>
              <w:ind w:firstLine="0" w:firstLineChars="0"/>
              <w:jc w:val="center"/>
              <w:rPr>
                <w:rFonts w:hint="default" w:ascii="宋体" w:hAnsi="宋体" w:eastAsia="宋体" w:cs="Times New Roman"/>
                <w:sz w:val="18"/>
                <w:szCs w:val="18"/>
                <w:lang w:val="en-US" w:eastAsia="zh-CN" w:bidi="ar-SA"/>
              </w:rPr>
            </w:pPr>
            <w:r>
              <w:rPr>
                <w:rFonts w:hint="eastAsia" w:ascii="Times New Roman" w:hAnsi="Times New Roman"/>
                <w:sz w:val="18"/>
                <w:szCs w:val="18"/>
                <w:lang w:val="en-US" w:eastAsia="zh-CN"/>
              </w:rPr>
              <w:t>729</w:t>
            </w:r>
            <w:r>
              <w:rPr>
                <w:rFonts w:hint="eastAsia" w:ascii="Times New Roman" w:hAnsi="Times New Roman"/>
                <w:sz w:val="18"/>
                <w:szCs w:val="18"/>
                <w:lang w:val="en-US" w:eastAsia="zh-CN"/>
              </w:rPr>
              <w:t>.</w:t>
            </w:r>
            <w:r>
              <w:rPr>
                <w:rFonts w:hint="eastAsia" w:ascii="Times New Roman" w:hAnsi="Times New Roman"/>
                <w:sz w:val="18"/>
                <w:szCs w:val="18"/>
                <w:lang w:val="en-US" w:eastAsia="zh-CN"/>
              </w:rPr>
              <w:t>2</w:t>
            </w:r>
          </w:p>
        </w:tc>
        <w:tc>
          <w:tcPr>
            <w:tcW w:w="1257" w:type="dxa"/>
            <w:gridSpan w:val="3"/>
            <w:noWrap w:val="0"/>
            <w:vAlign w:val="center"/>
          </w:tcPr>
          <w:p>
            <w:pPr>
              <w:spacing w:line="240" w:lineRule="auto"/>
              <w:ind w:firstLine="0" w:firstLineChars="0"/>
              <w:jc w:val="center"/>
              <w:rPr>
                <w:rFonts w:hint="default" w:ascii="Times New Roman" w:hAnsi="Times New Roman"/>
                <w:sz w:val="18"/>
                <w:szCs w:val="18"/>
                <w:lang w:val="en-US" w:eastAsia="zh-CN"/>
              </w:rPr>
            </w:pPr>
            <w:r>
              <w:rPr>
                <w:rFonts w:hint="eastAsia" w:ascii="Times New Roman" w:hAnsi="Times New Roman"/>
                <w:sz w:val="18"/>
                <w:szCs w:val="18"/>
                <w:lang w:val="en-US" w:eastAsia="zh-CN"/>
              </w:rPr>
              <w:t>15</w:t>
            </w:r>
          </w:p>
        </w:tc>
        <w:tc>
          <w:tcPr>
            <w:tcW w:w="1611" w:type="dxa"/>
            <w:gridSpan w:val="5"/>
            <w:noWrap w:val="0"/>
            <w:vAlign w:val="center"/>
          </w:tcPr>
          <w:p>
            <w:pPr>
              <w:spacing w:line="240" w:lineRule="auto"/>
              <w:ind w:firstLine="0"/>
              <w:jc w:val="center"/>
              <w:rPr>
                <w:rFonts w:hint="eastAsia"/>
                <w:sz w:val="18"/>
                <w:szCs w:val="18"/>
              </w:rPr>
            </w:pPr>
            <w:r>
              <w:rPr>
                <w:rFonts w:hint="eastAsia" w:ascii="Times New Roman" w:hAnsi="Times New Roman" w:cs="Times New Roman"/>
                <w:sz w:val="18"/>
                <w:szCs w:val="18"/>
                <w:lang w:val="en-US" w:eastAsia="zh-CN" w:bidi="ar-SA"/>
              </w:rPr>
              <w:t>293</w:t>
            </w:r>
          </w:p>
        </w:tc>
        <w:tc>
          <w:tcPr>
            <w:tcW w:w="1712" w:type="dxa"/>
            <w:gridSpan w:val="3"/>
            <w:noWrap w:val="0"/>
            <w:vAlign w:val="center"/>
          </w:tcPr>
          <w:p>
            <w:pPr>
              <w:spacing w:line="240" w:lineRule="auto"/>
              <w:ind w:firstLine="0"/>
              <w:jc w:val="center"/>
              <w:rPr>
                <w:rFonts w:hint="default" w:ascii="Times New Roman" w:hAnsi="Times New Roman" w:cs="Times New Roman"/>
                <w:sz w:val="18"/>
                <w:szCs w:val="18"/>
                <w:lang w:val="en-US" w:eastAsia="zh-CN" w:bidi="ar-SA"/>
              </w:rPr>
            </w:pPr>
            <w:r>
              <w:rPr>
                <w:rFonts w:hint="eastAsia" w:ascii="Times New Roman" w:hAnsi="Times New Roman" w:cs="Times New Roman"/>
                <w:sz w:val="18"/>
                <w:szCs w:val="18"/>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restart"/>
            <w:noWrap w:val="0"/>
            <w:vAlign w:val="center"/>
          </w:tcPr>
          <w:p>
            <w:pPr>
              <w:spacing w:line="240" w:lineRule="auto"/>
              <w:ind w:firstLine="0"/>
              <w:jc w:val="center"/>
              <w:rPr>
                <w:sz w:val="18"/>
                <w:szCs w:val="18"/>
              </w:rPr>
            </w:pPr>
            <w:r>
              <w:rPr>
                <w:rFonts w:hint="eastAsia"/>
                <w:sz w:val="18"/>
                <w:szCs w:val="18"/>
              </w:rPr>
              <w:t>环境敏感性</w:t>
            </w:r>
          </w:p>
        </w:tc>
        <w:tc>
          <w:tcPr>
            <w:tcW w:w="773" w:type="dxa"/>
            <w:vMerge w:val="restart"/>
            <w:noWrap w:val="0"/>
            <w:vAlign w:val="center"/>
          </w:tcPr>
          <w:p>
            <w:pPr>
              <w:spacing w:line="240" w:lineRule="auto"/>
              <w:ind w:firstLine="0"/>
              <w:jc w:val="center"/>
              <w:rPr>
                <w:rFonts w:hint="eastAsia"/>
                <w:sz w:val="18"/>
                <w:szCs w:val="18"/>
              </w:rPr>
            </w:pPr>
            <w:r>
              <w:rPr>
                <w:rFonts w:hint="eastAsia"/>
                <w:sz w:val="18"/>
                <w:szCs w:val="18"/>
              </w:rPr>
              <w:t>大气</w:t>
            </w:r>
          </w:p>
        </w:tc>
        <w:tc>
          <w:tcPr>
            <w:tcW w:w="3333" w:type="dxa"/>
            <w:gridSpan w:val="10"/>
            <w:noWrap w:val="0"/>
            <w:vAlign w:val="center"/>
          </w:tcPr>
          <w:p>
            <w:pPr>
              <w:spacing w:line="240" w:lineRule="auto"/>
              <w:ind w:firstLine="0"/>
              <w:jc w:val="center"/>
              <w:rPr>
                <w:sz w:val="18"/>
                <w:szCs w:val="18"/>
              </w:rPr>
            </w:pPr>
            <w:r>
              <w:rPr>
                <w:rFonts w:hint="eastAsia" w:ascii="Times New Roman" w:hAnsi="Times New Roman"/>
                <w:sz w:val="18"/>
                <w:szCs w:val="18"/>
              </w:rPr>
              <w:t>500m</w:t>
            </w:r>
            <w:r>
              <w:rPr>
                <w:rFonts w:hint="eastAsia"/>
                <w:sz w:val="18"/>
                <w:szCs w:val="18"/>
              </w:rPr>
              <w:t>范围内人口数</w:t>
            </w:r>
            <w:r>
              <w:rPr>
                <w:rFonts w:hint="eastAsia"/>
                <w:sz w:val="18"/>
                <w:szCs w:val="18"/>
                <w:u w:val="single"/>
              </w:rPr>
              <w:t xml:space="preserve"> </w:t>
            </w:r>
            <w:r>
              <w:rPr>
                <w:rFonts w:hint="eastAsia" w:ascii="Times New Roman" w:hAnsi="Times New Roman"/>
                <w:sz w:val="18"/>
                <w:szCs w:val="18"/>
                <w:u w:val="single"/>
                <w:lang w:val="en-US" w:eastAsia="zh-CN"/>
              </w:rPr>
              <w:t>68</w:t>
            </w:r>
            <w:r>
              <w:rPr>
                <w:rFonts w:hint="eastAsia"/>
                <w:sz w:val="18"/>
                <w:szCs w:val="18"/>
                <w:u w:val="single"/>
              </w:rPr>
              <w:t xml:space="preserve">  </w:t>
            </w:r>
            <w:r>
              <w:rPr>
                <w:rFonts w:hint="eastAsia"/>
                <w:sz w:val="18"/>
                <w:szCs w:val="18"/>
              </w:rPr>
              <w:t>人</w:t>
            </w:r>
          </w:p>
        </w:tc>
        <w:tc>
          <w:tcPr>
            <w:tcW w:w="3323" w:type="dxa"/>
            <w:gridSpan w:val="8"/>
            <w:noWrap w:val="0"/>
            <w:vAlign w:val="center"/>
          </w:tcPr>
          <w:p>
            <w:pPr>
              <w:spacing w:line="240" w:lineRule="auto"/>
              <w:ind w:firstLine="0"/>
              <w:jc w:val="center"/>
              <w:rPr>
                <w:rFonts w:hint="eastAsia"/>
                <w:sz w:val="18"/>
                <w:szCs w:val="18"/>
              </w:rPr>
            </w:pPr>
            <w:r>
              <w:rPr>
                <w:rFonts w:hint="eastAsia" w:ascii="Times New Roman" w:hAnsi="Times New Roman"/>
                <w:sz w:val="18"/>
                <w:szCs w:val="18"/>
              </w:rPr>
              <w:t>5km</w:t>
            </w:r>
            <w:r>
              <w:rPr>
                <w:rFonts w:hint="eastAsia"/>
                <w:sz w:val="18"/>
                <w:szCs w:val="18"/>
              </w:rPr>
              <w:t>范围内人口数</w:t>
            </w:r>
            <w:r>
              <w:rPr>
                <w:rFonts w:hint="eastAsia"/>
                <w:sz w:val="18"/>
                <w:szCs w:val="18"/>
                <w:u w:val="single"/>
              </w:rPr>
              <w:t xml:space="preserve"> </w:t>
            </w:r>
            <w:r>
              <w:rPr>
                <w:rFonts w:hint="eastAsia" w:ascii="Times New Roman" w:hAnsi="Times New Roman"/>
                <w:sz w:val="18"/>
                <w:szCs w:val="18"/>
                <w:u w:val="single"/>
                <w:lang w:val="en-US" w:eastAsia="zh-CN"/>
              </w:rPr>
              <w:t>600</w:t>
            </w:r>
            <w:r>
              <w:rPr>
                <w:rFonts w:hint="eastAsia"/>
                <w:sz w:val="18"/>
                <w:szCs w:val="18"/>
                <w:u w:val="single"/>
              </w:rPr>
              <w:t xml:space="preserve"> </w:t>
            </w:r>
            <w:r>
              <w:rPr>
                <w:rFonts w:hint="eastAsia"/>
                <w:sz w:val="18"/>
                <w:szCs w:val="18"/>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773" w:type="dxa"/>
            <w:vMerge w:val="continue"/>
            <w:noWrap w:val="0"/>
            <w:vAlign w:val="center"/>
          </w:tcPr>
          <w:p>
            <w:pPr>
              <w:spacing w:line="240" w:lineRule="auto"/>
              <w:ind w:firstLine="0"/>
              <w:jc w:val="center"/>
              <w:rPr>
                <w:rFonts w:hint="eastAsia"/>
                <w:sz w:val="18"/>
                <w:szCs w:val="18"/>
              </w:rPr>
            </w:pPr>
          </w:p>
        </w:tc>
        <w:tc>
          <w:tcPr>
            <w:tcW w:w="5001" w:type="dxa"/>
            <w:gridSpan w:val="16"/>
            <w:noWrap w:val="0"/>
            <w:vAlign w:val="center"/>
          </w:tcPr>
          <w:p>
            <w:pPr>
              <w:spacing w:line="240" w:lineRule="auto"/>
              <w:ind w:firstLine="0"/>
              <w:jc w:val="center"/>
              <w:rPr>
                <w:sz w:val="18"/>
                <w:szCs w:val="18"/>
              </w:rPr>
            </w:pPr>
            <w:r>
              <w:rPr>
                <w:rFonts w:hint="eastAsia"/>
                <w:sz w:val="18"/>
                <w:szCs w:val="18"/>
              </w:rPr>
              <w:t>每公里管段周边</w:t>
            </w:r>
            <w:r>
              <w:rPr>
                <w:rFonts w:hint="eastAsia" w:ascii="Times New Roman" w:hAnsi="Times New Roman"/>
                <w:sz w:val="18"/>
                <w:szCs w:val="18"/>
              </w:rPr>
              <w:t>200m</w:t>
            </w:r>
            <w:r>
              <w:rPr>
                <w:rFonts w:hint="eastAsia"/>
                <w:sz w:val="18"/>
                <w:szCs w:val="18"/>
              </w:rPr>
              <w:t>范围内人口数（最大）</w:t>
            </w:r>
          </w:p>
        </w:tc>
        <w:tc>
          <w:tcPr>
            <w:tcW w:w="1655" w:type="dxa"/>
            <w:gridSpan w:val="2"/>
            <w:noWrap w:val="0"/>
            <w:vAlign w:val="center"/>
          </w:tcPr>
          <w:p>
            <w:pPr>
              <w:spacing w:line="240" w:lineRule="auto"/>
              <w:ind w:firstLine="0"/>
              <w:jc w:val="center"/>
              <w:rPr>
                <w:rFonts w:hint="eastAsia"/>
                <w:sz w:val="18"/>
                <w:szCs w:val="18"/>
              </w:rPr>
            </w:pPr>
            <w:r>
              <w:rPr>
                <w:rFonts w:hint="eastAsia"/>
                <w:sz w:val="18"/>
                <w:szCs w:val="18"/>
                <w:u w:val="single"/>
              </w:rPr>
              <w:t xml:space="preserve">      </w:t>
            </w:r>
            <w:r>
              <w:rPr>
                <w:rFonts w:hint="eastAsia"/>
                <w:sz w:val="18"/>
                <w:szCs w:val="18"/>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773" w:type="dxa"/>
            <w:vMerge w:val="restart"/>
            <w:noWrap w:val="0"/>
            <w:vAlign w:val="center"/>
          </w:tcPr>
          <w:p>
            <w:pPr>
              <w:spacing w:line="240" w:lineRule="auto"/>
              <w:ind w:firstLine="0"/>
              <w:jc w:val="center"/>
              <w:rPr>
                <w:rFonts w:hint="eastAsia"/>
                <w:sz w:val="18"/>
                <w:szCs w:val="18"/>
              </w:rPr>
            </w:pPr>
            <w:r>
              <w:rPr>
                <w:rFonts w:hint="eastAsia"/>
                <w:sz w:val="18"/>
                <w:szCs w:val="18"/>
              </w:rPr>
              <w:t>地表水</w:t>
            </w:r>
          </w:p>
        </w:tc>
        <w:tc>
          <w:tcPr>
            <w:tcW w:w="1666" w:type="dxa"/>
            <w:gridSpan w:val="5"/>
            <w:noWrap w:val="0"/>
            <w:vAlign w:val="center"/>
          </w:tcPr>
          <w:p>
            <w:pPr>
              <w:spacing w:line="240" w:lineRule="auto"/>
              <w:ind w:firstLine="0"/>
              <w:jc w:val="center"/>
              <w:rPr>
                <w:rFonts w:hint="eastAsia"/>
                <w:sz w:val="18"/>
                <w:szCs w:val="18"/>
              </w:rPr>
            </w:pPr>
            <w:r>
              <w:rPr>
                <w:rFonts w:hint="eastAsia"/>
                <w:sz w:val="18"/>
                <w:szCs w:val="18"/>
              </w:rPr>
              <w:t>地表水功能敏感性</w:t>
            </w:r>
          </w:p>
        </w:tc>
        <w:tc>
          <w:tcPr>
            <w:tcW w:w="1667" w:type="dxa"/>
            <w:gridSpan w:val="5"/>
            <w:noWrap w:val="0"/>
            <w:vAlign w:val="center"/>
          </w:tcPr>
          <w:p>
            <w:pPr>
              <w:spacing w:line="240" w:lineRule="auto"/>
              <w:ind w:firstLine="0"/>
              <w:jc w:val="center"/>
              <w:rPr>
                <w:rFonts w:hint="eastAsia"/>
                <w:sz w:val="18"/>
                <w:szCs w:val="18"/>
              </w:rPr>
            </w:pPr>
            <w:r>
              <w:rPr>
                <w:rFonts w:hint="eastAsia" w:ascii="Times New Roman" w:hAnsi="Times New Roman"/>
                <w:sz w:val="18"/>
                <w:szCs w:val="18"/>
              </w:rPr>
              <w:t>F1</w:t>
            </w:r>
            <w:r>
              <w:rPr>
                <w:rFonts w:hint="eastAsia" w:hAnsi="宋体"/>
                <w:sz w:val="16"/>
                <w:szCs w:val="16"/>
              </w:rPr>
              <w:sym w:font="Wingdings 2" w:char="00A3"/>
            </w:r>
          </w:p>
        </w:tc>
        <w:tc>
          <w:tcPr>
            <w:tcW w:w="1668" w:type="dxa"/>
            <w:gridSpan w:val="6"/>
            <w:noWrap w:val="0"/>
            <w:vAlign w:val="center"/>
          </w:tcPr>
          <w:p>
            <w:pPr>
              <w:spacing w:line="240" w:lineRule="auto"/>
              <w:ind w:firstLine="0"/>
              <w:jc w:val="center"/>
              <w:rPr>
                <w:sz w:val="18"/>
                <w:szCs w:val="18"/>
              </w:rPr>
            </w:pPr>
            <w:r>
              <w:rPr>
                <w:rFonts w:hint="eastAsia" w:ascii="Times New Roman" w:hAnsi="Times New Roman"/>
                <w:sz w:val="18"/>
                <w:szCs w:val="18"/>
              </w:rPr>
              <w:t>F2</w:t>
            </w:r>
            <w:r>
              <w:rPr>
                <w:rFonts w:hint="eastAsia" w:hAnsi="宋体"/>
                <w:sz w:val="16"/>
                <w:szCs w:val="16"/>
              </w:rPr>
              <w:sym w:font="Wingdings 2" w:char="00A3"/>
            </w:r>
          </w:p>
        </w:tc>
        <w:tc>
          <w:tcPr>
            <w:tcW w:w="1655" w:type="dxa"/>
            <w:gridSpan w:val="2"/>
            <w:noWrap w:val="0"/>
            <w:vAlign w:val="center"/>
          </w:tcPr>
          <w:p>
            <w:pPr>
              <w:spacing w:line="240" w:lineRule="auto"/>
              <w:ind w:firstLine="0"/>
              <w:jc w:val="center"/>
              <w:rPr>
                <w:sz w:val="18"/>
                <w:szCs w:val="18"/>
              </w:rPr>
            </w:pPr>
            <w:r>
              <w:rPr>
                <w:rFonts w:hint="eastAsia" w:ascii="Times New Roman" w:hAnsi="Times New Roman"/>
                <w:sz w:val="18"/>
                <w:szCs w:val="18"/>
              </w:rPr>
              <w:t>F3</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773" w:type="dxa"/>
            <w:vMerge w:val="continue"/>
            <w:noWrap w:val="0"/>
            <w:vAlign w:val="center"/>
          </w:tcPr>
          <w:p>
            <w:pPr>
              <w:spacing w:line="240" w:lineRule="auto"/>
              <w:ind w:firstLine="0"/>
              <w:jc w:val="center"/>
              <w:rPr>
                <w:rFonts w:hint="eastAsia"/>
                <w:sz w:val="18"/>
                <w:szCs w:val="18"/>
              </w:rPr>
            </w:pPr>
          </w:p>
        </w:tc>
        <w:tc>
          <w:tcPr>
            <w:tcW w:w="1666" w:type="dxa"/>
            <w:gridSpan w:val="5"/>
            <w:noWrap w:val="0"/>
            <w:vAlign w:val="center"/>
          </w:tcPr>
          <w:p>
            <w:pPr>
              <w:spacing w:line="240" w:lineRule="auto"/>
              <w:ind w:firstLine="0"/>
              <w:jc w:val="center"/>
              <w:rPr>
                <w:rFonts w:hint="eastAsia"/>
                <w:sz w:val="18"/>
                <w:szCs w:val="18"/>
              </w:rPr>
            </w:pPr>
            <w:r>
              <w:rPr>
                <w:rFonts w:hint="eastAsia"/>
                <w:sz w:val="18"/>
                <w:szCs w:val="18"/>
              </w:rPr>
              <w:t>环境敏感目标分级</w:t>
            </w:r>
          </w:p>
        </w:tc>
        <w:tc>
          <w:tcPr>
            <w:tcW w:w="1667"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S1</w:t>
            </w:r>
            <w:r>
              <w:rPr>
                <w:rFonts w:hint="eastAsia" w:hAnsi="宋体"/>
                <w:sz w:val="16"/>
                <w:szCs w:val="16"/>
              </w:rPr>
              <w:sym w:font="Wingdings 2" w:char="00A3"/>
            </w:r>
          </w:p>
        </w:tc>
        <w:tc>
          <w:tcPr>
            <w:tcW w:w="1668" w:type="dxa"/>
            <w:gridSpan w:val="6"/>
            <w:noWrap w:val="0"/>
            <w:vAlign w:val="center"/>
          </w:tcPr>
          <w:p>
            <w:pPr>
              <w:spacing w:line="240" w:lineRule="auto"/>
              <w:ind w:firstLine="0"/>
              <w:jc w:val="center"/>
              <w:rPr>
                <w:sz w:val="18"/>
                <w:szCs w:val="18"/>
              </w:rPr>
            </w:pPr>
            <w:r>
              <w:rPr>
                <w:rFonts w:hint="eastAsia" w:ascii="Times New Roman" w:hAnsi="Times New Roman"/>
                <w:sz w:val="18"/>
                <w:szCs w:val="18"/>
              </w:rPr>
              <w:t>S2</w:t>
            </w:r>
            <w:r>
              <w:rPr>
                <w:rFonts w:hint="eastAsia" w:hAnsi="宋体"/>
                <w:sz w:val="16"/>
                <w:szCs w:val="16"/>
              </w:rPr>
              <w:sym w:font="Wingdings 2" w:char="00A3"/>
            </w:r>
          </w:p>
        </w:tc>
        <w:tc>
          <w:tcPr>
            <w:tcW w:w="1655" w:type="dxa"/>
            <w:gridSpan w:val="2"/>
            <w:noWrap w:val="0"/>
            <w:vAlign w:val="center"/>
          </w:tcPr>
          <w:p>
            <w:pPr>
              <w:spacing w:line="240" w:lineRule="auto"/>
              <w:ind w:firstLine="0"/>
              <w:jc w:val="center"/>
              <w:rPr>
                <w:sz w:val="18"/>
                <w:szCs w:val="18"/>
              </w:rPr>
            </w:pPr>
            <w:r>
              <w:rPr>
                <w:rFonts w:hint="eastAsia" w:ascii="Times New Roman" w:hAnsi="Times New Roman"/>
                <w:sz w:val="18"/>
                <w:szCs w:val="18"/>
              </w:rPr>
              <w:t>S3</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773" w:type="dxa"/>
            <w:vMerge w:val="restart"/>
            <w:noWrap w:val="0"/>
            <w:vAlign w:val="center"/>
          </w:tcPr>
          <w:p>
            <w:pPr>
              <w:spacing w:line="240" w:lineRule="auto"/>
              <w:ind w:firstLine="0"/>
              <w:jc w:val="center"/>
              <w:rPr>
                <w:rFonts w:hint="eastAsia"/>
                <w:sz w:val="18"/>
                <w:szCs w:val="18"/>
              </w:rPr>
            </w:pPr>
            <w:r>
              <w:rPr>
                <w:rFonts w:hint="eastAsia"/>
                <w:sz w:val="18"/>
                <w:szCs w:val="18"/>
              </w:rPr>
              <w:t>地下水</w:t>
            </w:r>
          </w:p>
        </w:tc>
        <w:tc>
          <w:tcPr>
            <w:tcW w:w="1666" w:type="dxa"/>
            <w:gridSpan w:val="5"/>
            <w:noWrap w:val="0"/>
            <w:vAlign w:val="center"/>
          </w:tcPr>
          <w:p>
            <w:pPr>
              <w:spacing w:line="240" w:lineRule="auto"/>
              <w:ind w:firstLine="0"/>
              <w:jc w:val="center"/>
              <w:rPr>
                <w:rFonts w:hint="eastAsia"/>
                <w:sz w:val="18"/>
                <w:szCs w:val="18"/>
              </w:rPr>
            </w:pPr>
            <w:r>
              <w:rPr>
                <w:rFonts w:hint="eastAsia"/>
                <w:sz w:val="18"/>
                <w:szCs w:val="18"/>
              </w:rPr>
              <w:t>地下水功能敏感性</w:t>
            </w:r>
          </w:p>
        </w:tc>
        <w:tc>
          <w:tcPr>
            <w:tcW w:w="1667"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G1</w:t>
            </w:r>
            <w:r>
              <w:rPr>
                <w:rFonts w:hint="eastAsia" w:hAnsi="宋体"/>
                <w:sz w:val="16"/>
                <w:szCs w:val="16"/>
              </w:rPr>
              <w:sym w:font="Wingdings 2" w:char="00A3"/>
            </w:r>
          </w:p>
        </w:tc>
        <w:tc>
          <w:tcPr>
            <w:tcW w:w="1668" w:type="dxa"/>
            <w:gridSpan w:val="6"/>
            <w:noWrap w:val="0"/>
            <w:vAlign w:val="center"/>
          </w:tcPr>
          <w:p>
            <w:pPr>
              <w:spacing w:line="240" w:lineRule="auto"/>
              <w:ind w:firstLine="0"/>
              <w:jc w:val="center"/>
              <w:rPr>
                <w:sz w:val="18"/>
                <w:szCs w:val="18"/>
              </w:rPr>
            </w:pPr>
            <w:r>
              <w:rPr>
                <w:rFonts w:hint="eastAsia" w:ascii="Times New Roman" w:hAnsi="Times New Roman"/>
                <w:sz w:val="18"/>
                <w:szCs w:val="18"/>
              </w:rPr>
              <w:t>G2</w:t>
            </w:r>
            <w:r>
              <w:rPr>
                <w:rFonts w:hint="eastAsia" w:hAnsi="宋体"/>
                <w:sz w:val="16"/>
                <w:szCs w:val="16"/>
              </w:rPr>
              <w:sym w:font="Wingdings 2" w:char="00A3"/>
            </w:r>
          </w:p>
        </w:tc>
        <w:tc>
          <w:tcPr>
            <w:tcW w:w="1655" w:type="dxa"/>
            <w:gridSpan w:val="2"/>
            <w:noWrap w:val="0"/>
            <w:vAlign w:val="center"/>
          </w:tcPr>
          <w:p>
            <w:pPr>
              <w:spacing w:line="240" w:lineRule="auto"/>
              <w:ind w:firstLine="0"/>
              <w:jc w:val="center"/>
              <w:rPr>
                <w:sz w:val="18"/>
                <w:szCs w:val="18"/>
              </w:rPr>
            </w:pPr>
            <w:r>
              <w:rPr>
                <w:rFonts w:hint="eastAsia" w:ascii="Times New Roman" w:hAnsi="Times New Roman"/>
                <w:sz w:val="18"/>
                <w:szCs w:val="18"/>
              </w:rPr>
              <w:t>G3</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773" w:type="dxa"/>
            <w:vMerge w:val="continue"/>
            <w:noWrap w:val="0"/>
            <w:vAlign w:val="center"/>
          </w:tcPr>
          <w:p>
            <w:pPr>
              <w:spacing w:line="240" w:lineRule="auto"/>
              <w:ind w:firstLine="0"/>
              <w:jc w:val="center"/>
              <w:rPr>
                <w:rFonts w:hint="eastAsia"/>
                <w:sz w:val="18"/>
                <w:szCs w:val="18"/>
              </w:rPr>
            </w:pPr>
          </w:p>
        </w:tc>
        <w:tc>
          <w:tcPr>
            <w:tcW w:w="1666" w:type="dxa"/>
            <w:gridSpan w:val="5"/>
            <w:noWrap w:val="0"/>
            <w:vAlign w:val="center"/>
          </w:tcPr>
          <w:p>
            <w:pPr>
              <w:spacing w:line="240" w:lineRule="auto"/>
              <w:ind w:firstLine="0"/>
              <w:jc w:val="center"/>
              <w:rPr>
                <w:rFonts w:hint="eastAsia"/>
                <w:sz w:val="18"/>
                <w:szCs w:val="18"/>
              </w:rPr>
            </w:pPr>
            <w:r>
              <w:rPr>
                <w:rFonts w:hint="eastAsia"/>
                <w:sz w:val="18"/>
                <w:szCs w:val="18"/>
              </w:rPr>
              <w:t>包气带防污性能</w:t>
            </w:r>
          </w:p>
        </w:tc>
        <w:tc>
          <w:tcPr>
            <w:tcW w:w="1667"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D1</w:t>
            </w:r>
            <w:r>
              <w:rPr>
                <w:rFonts w:hint="eastAsia" w:hAnsi="宋体"/>
                <w:sz w:val="16"/>
                <w:szCs w:val="16"/>
              </w:rPr>
              <w:sym w:font="Wingdings 2" w:char="00A3"/>
            </w:r>
          </w:p>
        </w:tc>
        <w:tc>
          <w:tcPr>
            <w:tcW w:w="1668" w:type="dxa"/>
            <w:gridSpan w:val="6"/>
            <w:noWrap w:val="0"/>
            <w:vAlign w:val="center"/>
          </w:tcPr>
          <w:p>
            <w:pPr>
              <w:spacing w:line="240" w:lineRule="auto"/>
              <w:ind w:firstLine="0"/>
              <w:jc w:val="center"/>
              <w:rPr>
                <w:sz w:val="18"/>
                <w:szCs w:val="18"/>
              </w:rPr>
            </w:pPr>
            <w:r>
              <w:rPr>
                <w:rFonts w:hint="eastAsia" w:ascii="Times New Roman" w:hAnsi="Times New Roman"/>
                <w:sz w:val="18"/>
                <w:szCs w:val="18"/>
              </w:rPr>
              <w:t>D2</w:t>
            </w:r>
            <w:r>
              <w:rPr>
                <w:rFonts w:hint="eastAsia" w:hAnsi="宋体"/>
                <w:sz w:val="16"/>
                <w:szCs w:val="16"/>
              </w:rPr>
              <w:sym w:font="Wingdings 2" w:char="00A3"/>
            </w:r>
          </w:p>
        </w:tc>
        <w:tc>
          <w:tcPr>
            <w:tcW w:w="1655" w:type="dxa"/>
            <w:gridSpan w:val="2"/>
            <w:noWrap w:val="0"/>
            <w:vAlign w:val="center"/>
          </w:tcPr>
          <w:p>
            <w:pPr>
              <w:spacing w:line="240" w:lineRule="auto"/>
              <w:ind w:firstLine="0"/>
              <w:jc w:val="center"/>
              <w:rPr>
                <w:sz w:val="18"/>
                <w:szCs w:val="18"/>
              </w:rPr>
            </w:pPr>
            <w:r>
              <w:rPr>
                <w:rFonts w:hint="eastAsia" w:ascii="Times New Roman" w:hAnsi="Times New Roman"/>
                <w:sz w:val="18"/>
                <w:szCs w:val="18"/>
              </w:rPr>
              <w:t>D3</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restart"/>
            <w:noWrap w:val="0"/>
            <w:vAlign w:val="center"/>
          </w:tcPr>
          <w:p>
            <w:pPr>
              <w:spacing w:line="240" w:lineRule="auto"/>
              <w:ind w:firstLine="0"/>
              <w:jc w:val="center"/>
              <w:rPr>
                <w:rFonts w:hint="eastAsia"/>
                <w:sz w:val="18"/>
                <w:szCs w:val="18"/>
              </w:rPr>
            </w:pPr>
            <w:r>
              <w:rPr>
                <w:rFonts w:hint="eastAsia"/>
                <w:sz w:val="18"/>
                <w:szCs w:val="18"/>
              </w:rPr>
              <w:t>物质及工艺系统危险性</w:t>
            </w:r>
          </w:p>
        </w:tc>
        <w:tc>
          <w:tcPr>
            <w:tcW w:w="773" w:type="dxa"/>
            <w:noWrap w:val="0"/>
            <w:vAlign w:val="center"/>
          </w:tcPr>
          <w:p>
            <w:pPr>
              <w:spacing w:line="240" w:lineRule="auto"/>
              <w:ind w:firstLine="0"/>
              <w:jc w:val="center"/>
              <w:rPr>
                <w:rFonts w:hint="eastAsia"/>
                <w:sz w:val="18"/>
                <w:szCs w:val="18"/>
              </w:rPr>
            </w:pPr>
            <w:r>
              <w:rPr>
                <w:rFonts w:hint="eastAsia" w:ascii="Times New Roman" w:hAnsi="Times New Roman"/>
                <w:sz w:val="18"/>
                <w:szCs w:val="18"/>
              </w:rPr>
              <w:t>Q</w:t>
            </w:r>
            <w:r>
              <w:rPr>
                <w:rFonts w:hint="eastAsia"/>
                <w:sz w:val="18"/>
                <w:szCs w:val="18"/>
              </w:rPr>
              <w:t>值</w:t>
            </w:r>
          </w:p>
        </w:tc>
        <w:tc>
          <w:tcPr>
            <w:tcW w:w="1666"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Q</w:t>
            </w:r>
            <w:r>
              <w:rPr>
                <w:rFonts w:hint="eastAsia"/>
                <w:sz w:val="18"/>
                <w:szCs w:val="18"/>
              </w:rPr>
              <w:t>＜</w:t>
            </w:r>
            <w:r>
              <w:rPr>
                <w:rFonts w:hint="eastAsia" w:ascii="Times New Roman" w:hAnsi="Times New Roman"/>
                <w:sz w:val="18"/>
                <w:szCs w:val="18"/>
              </w:rPr>
              <w:t>1</w:t>
            </w:r>
            <w:r>
              <w:rPr>
                <w:rFonts w:hint="eastAsia" w:hAnsi="宋体"/>
                <w:sz w:val="16"/>
                <w:szCs w:val="16"/>
              </w:rPr>
              <w:sym w:font="Wingdings 2" w:char="00A3"/>
            </w:r>
          </w:p>
        </w:tc>
        <w:tc>
          <w:tcPr>
            <w:tcW w:w="1667"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1</w:t>
            </w:r>
            <w:r>
              <w:rPr>
                <w:rFonts w:hint="eastAsia"/>
                <w:sz w:val="18"/>
                <w:szCs w:val="18"/>
              </w:rPr>
              <w:t>≤</w:t>
            </w:r>
            <w:r>
              <w:rPr>
                <w:rFonts w:hint="eastAsia" w:ascii="Times New Roman" w:hAnsi="Times New Roman"/>
                <w:sz w:val="18"/>
                <w:szCs w:val="18"/>
              </w:rPr>
              <w:t>Q</w:t>
            </w:r>
            <w:r>
              <w:rPr>
                <w:rFonts w:hint="eastAsia"/>
                <w:sz w:val="18"/>
                <w:szCs w:val="18"/>
              </w:rPr>
              <w:t>＜</w:t>
            </w:r>
            <w:r>
              <w:rPr>
                <w:rFonts w:hint="eastAsia" w:ascii="Times New Roman" w:hAnsi="Times New Roman"/>
                <w:sz w:val="18"/>
                <w:szCs w:val="18"/>
              </w:rPr>
              <w:t>10</w:t>
            </w:r>
            <w:r>
              <w:rPr>
                <w:rFonts w:hint="eastAsia" w:hAnsi="宋体"/>
                <w:sz w:val="16"/>
                <w:szCs w:val="16"/>
              </w:rPr>
              <w:sym w:font="Wingdings 2" w:char="00A3"/>
            </w:r>
          </w:p>
        </w:tc>
        <w:tc>
          <w:tcPr>
            <w:tcW w:w="1668" w:type="dxa"/>
            <w:gridSpan w:val="6"/>
            <w:noWrap w:val="0"/>
            <w:vAlign w:val="center"/>
          </w:tcPr>
          <w:p>
            <w:pPr>
              <w:spacing w:line="240" w:lineRule="auto"/>
              <w:ind w:firstLine="0"/>
              <w:jc w:val="center"/>
              <w:rPr>
                <w:rFonts w:hint="eastAsia"/>
                <w:sz w:val="18"/>
                <w:szCs w:val="18"/>
              </w:rPr>
            </w:pPr>
            <w:r>
              <w:rPr>
                <w:rFonts w:hint="eastAsia" w:ascii="Times New Roman" w:hAnsi="Times New Roman"/>
                <w:sz w:val="18"/>
                <w:szCs w:val="18"/>
              </w:rPr>
              <w:t>1</w:t>
            </w:r>
            <w:r>
              <w:rPr>
                <w:rFonts w:hint="eastAsia" w:ascii="Times New Roman" w:hAnsi="Times New Roman"/>
                <w:sz w:val="18"/>
                <w:szCs w:val="18"/>
                <w:lang w:val="en-US" w:eastAsia="zh-CN"/>
              </w:rPr>
              <w:t>0</w:t>
            </w:r>
            <w:r>
              <w:rPr>
                <w:rFonts w:hint="eastAsia"/>
                <w:sz w:val="18"/>
                <w:szCs w:val="18"/>
              </w:rPr>
              <w:t>≤</w:t>
            </w:r>
            <w:r>
              <w:rPr>
                <w:rFonts w:hint="eastAsia" w:ascii="Times New Roman" w:hAnsi="Times New Roman"/>
                <w:sz w:val="18"/>
                <w:szCs w:val="18"/>
              </w:rPr>
              <w:t>Q</w:t>
            </w:r>
            <w:r>
              <w:rPr>
                <w:rFonts w:hint="eastAsia"/>
                <w:sz w:val="18"/>
                <w:szCs w:val="18"/>
              </w:rPr>
              <w:t>＜</w:t>
            </w:r>
            <w:r>
              <w:rPr>
                <w:rFonts w:hint="eastAsia" w:ascii="Times New Roman" w:hAnsi="Times New Roman"/>
                <w:sz w:val="18"/>
                <w:szCs w:val="18"/>
              </w:rPr>
              <w:t>1</w:t>
            </w:r>
            <w:r>
              <w:rPr>
                <w:rFonts w:hint="eastAsia" w:ascii="Times New Roman" w:hAnsi="Times New Roman"/>
                <w:sz w:val="18"/>
                <w:szCs w:val="18"/>
                <w:lang w:val="en-US" w:eastAsia="zh-CN"/>
              </w:rPr>
              <w:t>0</w:t>
            </w:r>
            <w:r>
              <w:rPr>
                <w:rFonts w:hint="eastAsia" w:ascii="Times New Roman" w:hAnsi="Times New Roman"/>
                <w:sz w:val="18"/>
                <w:szCs w:val="18"/>
              </w:rPr>
              <w:t>0</w:t>
            </w:r>
            <w:r>
              <w:rPr>
                <w:rFonts w:hint="eastAsia" w:hAnsi="宋体"/>
                <w:sz w:val="16"/>
                <w:szCs w:val="16"/>
              </w:rPr>
              <w:sym w:font="Wingdings 2" w:char="00A3"/>
            </w:r>
          </w:p>
        </w:tc>
        <w:tc>
          <w:tcPr>
            <w:tcW w:w="1655" w:type="dxa"/>
            <w:gridSpan w:val="2"/>
            <w:noWrap w:val="0"/>
            <w:vAlign w:val="center"/>
          </w:tcPr>
          <w:p>
            <w:pPr>
              <w:spacing w:line="240" w:lineRule="auto"/>
              <w:ind w:firstLine="0"/>
              <w:jc w:val="center"/>
              <w:rPr>
                <w:sz w:val="18"/>
                <w:szCs w:val="18"/>
              </w:rPr>
            </w:pPr>
            <w:r>
              <w:rPr>
                <w:rFonts w:hint="eastAsia" w:ascii="Times New Roman" w:hAnsi="Times New Roman"/>
                <w:sz w:val="18"/>
                <w:szCs w:val="18"/>
              </w:rPr>
              <w:t>Q</w:t>
            </w:r>
            <w:r>
              <w:rPr>
                <w:rFonts w:hint="eastAsia"/>
                <w:sz w:val="18"/>
                <w:szCs w:val="18"/>
              </w:rPr>
              <w:t>≥</w:t>
            </w:r>
            <w:r>
              <w:rPr>
                <w:rFonts w:hint="eastAsia" w:ascii="Times New Roman" w:hAnsi="Times New Roman"/>
                <w:sz w:val="18"/>
                <w:szCs w:val="18"/>
              </w:rPr>
              <w:t>100</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continue"/>
            <w:noWrap w:val="0"/>
            <w:vAlign w:val="center"/>
          </w:tcPr>
          <w:p>
            <w:pPr>
              <w:spacing w:line="240" w:lineRule="auto"/>
              <w:ind w:firstLine="0"/>
              <w:jc w:val="center"/>
              <w:rPr>
                <w:rFonts w:hint="eastAsia"/>
                <w:sz w:val="18"/>
                <w:szCs w:val="18"/>
              </w:rPr>
            </w:pPr>
          </w:p>
        </w:tc>
        <w:tc>
          <w:tcPr>
            <w:tcW w:w="773" w:type="dxa"/>
            <w:noWrap w:val="0"/>
            <w:vAlign w:val="center"/>
          </w:tcPr>
          <w:p>
            <w:pPr>
              <w:spacing w:line="240" w:lineRule="auto"/>
              <w:ind w:firstLine="0"/>
              <w:jc w:val="center"/>
              <w:rPr>
                <w:rFonts w:hint="eastAsia"/>
                <w:sz w:val="18"/>
                <w:szCs w:val="18"/>
              </w:rPr>
            </w:pPr>
            <w:r>
              <w:rPr>
                <w:rFonts w:hint="eastAsia" w:ascii="Times New Roman" w:hAnsi="Times New Roman"/>
                <w:sz w:val="18"/>
                <w:szCs w:val="18"/>
              </w:rPr>
              <w:t>M</w:t>
            </w:r>
            <w:r>
              <w:rPr>
                <w:rFonts w:hint="eastAsia"/>
                <w:sz w:val="18"/>
                <w:szCs w:val="18"/>
              </w:rPr>
              <w:t>值</w:t>
            </w:r>
          </w:p>
        </w:tc>
        <w:tc>
          <w:tcPr>
            <w:tcW w:w="1666"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M1</w:t>
            </w:r>
            <w:r>
              <w:rPr>
                <w:rFonts w:hint="eastAsia" w:hAnsi="宋体"/>
                <w:sz w:val="16"/>
                <w:szCs w:val="16"/>
              </w:rPr>
              <w:sym w:font="Wingdings 2" w:char="00A3"/>
            </w:r>
          </w:p>
        </w:tc>
        <w:tc>
          <w:tcPr>
            <w:tcW w:w="1667"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M2</w:t>
            </w:r>
            <w:r>
              <w:rPr>
                <w:rFonts w:hint="eastAsia" w:hAnsi="宋体"/>
                <w:sz w:val="16"/>
                <w:szCs w:val="16"/>
              </w:rPr>
              <w:sym w:font="Wingdings 2" w:char="00A3"/>
            </w:r>
          </w:p>
        </w:tc>
        <w:tc>
          <w:tcPr>
            <w:tcW w:w="1668" w:type="dxa"/>
            <w:gridSpan w:val="6"/>
            <w:noWrap w:val="0"/>
            <w:vAlign w:val="center"/>
          </w:tcPr>
          <w:p>
            <w:pPr>
              <w:spacing w:line="240" w:lineRule="auto"/>
              <w:ind w:firstLine="0"/>
              <w:jc w:val="center"/>
              <w:rPr>
                <w:sz w:val="18"/>
                <w:szCs w:val="18"/>
              </w:rPr>
            </w:pPr>
            <w:r>
              <w:rPr>
                <w:rFonts w:hint="eastAsia" w:ascii="Times New Roman" w:hAnsi="Times New Roman"/>
                <w:sz w:val="18"/>
                <w:szCs w:val="18"/>
              </w:rPr>
              <w:t>M3</w:t>
            </w:r>
            <w:r>
              <w:rPr>
                <w:rFonts w:hint="eastAsia" w:hAnsi="宋体"/>
                <w:sz w:val="16"/>
                <w:szCs w:val="16"/>
              </w:rPr>
              <w:sym w:font="Wingdings 2" w:char="00A3"/>
            </w:r>
          </w:p>
        </w:tc>
        <w:tc>
          <w:tcPr>
            <w:tcW w:w="1655" w:type="dxa"/>
            <w:gridSpan w:val="2"/>
            <w:noWrap w:val="0"/>
            <w:vAlign w:val="center"/>
          </w:tcPr>
          <w:p>
            <w:pPr>
              <w:spacing w:line="240" w:lineRule="auto"/>
              <w:ind w:firstLine="0"/>
              <w:jc w:val="center"/>
              <w:rPr>
                <w:sz w:val="18"/>
                <w:szCs w:val="18"/>
              </w:rPr>
            </w:pPr>
            <w:r>
              <w:rPr>
                <w:rFonts w:hint="eastAsia" w:ascii="Times New Roman" w:hAnsi="Times New Roman"/>
                <w:sz w:val="18"/>
                <w:szCs w:val="18"/>
              </w:rPr>
              <w:t>M4</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continue"/>
            <w:noWrap w:val="0"/>
            <w:vAlign w:val="center"/>
          </w:tcPr>
          <w:p>
            <w:pPr>
              <w:spacing w:line="240" w:lineRule="auto"/>
              <w:ind w:firstLine="0"/>
              <w:jc w:val="center"/>
              <w:rPr>
                <w:rFonts w:hint="eastAsia"/>
                <w:sz w:val="18"/>
                <w:szCs w:val="18"/>
              </w:rPr>
            </w:pPr>
          </w:p>
        </w:tc>
        <w:tc>
          <w:tcPr>
            <w:tcW w:w="773" w:type="dxa"/>
            <w:noWrap w:val="0"/>
            <w:vAlign w:val="center"/>
          </w:tcPr>
          <w:p>
            <w:pPr>
              <w:spacing w:line="240" w:lineRule="auto"/>
              <w:ind w:firstLine="0"/>
              <w:jc w:val="center"/>
              <w:rPr>
                <w:rFonts w:hint="eastAsia"/>
                <w:sz w:val="18"/>
                <w:szCs w:val="18"/>
              </w:rPr>
            </w:pPr>
            <w:r>
              <w:rPr>
                <w:rFonts w:hint="eastAsia" w:ascii="Times New Roman" w:hAnsi="Times New Roman"/>
                <w:sz w:val="18"/>
                <w:szCs w:val="18"/>
              </w:rPr>
              <w:t>P</w:t>
            </w:r>
            <w:r>
              <w:rPr>
                <w:rFonts w:hint="eastAsia"/>
                <w:sz w:val="18"/>
                <w:szCs w:val="18"/>
              </w:rPr>
              <w:t>值</w:t>
            </w:r>
          </w:p>
        </w:tc>
        <w:tc>
          <w:tcPr>
            <w:tcW w:w="1666"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P1</w:t>
            </w:r>
            <w:r>
              <w:rPr>
                <w:rFonts w:hint="eastAsia" w:hAnsi="宋体"/>
                <w:sz w:val="16"/>
                <w:szCs w:val="16"/>
              </w:rPr>
              <w:sym w:font="Wingdings 2" w:char="00A3"/>
            </w:r>
          </w:p>
        </w:tc>
        <w:tc>
          <w:tcPr>
            <w:tcW w:w="1667"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P2</w:t>
            </w:r>
            <w:r>
              <w:rPr>
                <w:rFonts w:hint="eastAsia" w:hAnsi="宋体"/>
                <w:sz w:val="16"/>
                <w:szCs w:val="16"/>
              </w:rPr>
              <w:sym w:font="Wingdings 2" w:char="00A3"/>
            </w:r>
          </w:p>
        </w:tc>
        <w:tc>
          <w:tcPr>
            <w:tcW w:w="1668" w:type="dxa"/>
            <w:gridSpan w:val="6"/>
            <w:noWrap w:val="0"/>
            <w:vAlign w:val="center"/>
          </w:tcPr>
          <w:p>
            <w:pPr>
              <w:spacing w:line="240" w:lineRule="auto"/>
              <w:ind w:firstLine="0"/>
              <w:jc w:val="center"/>
              <w:rPr>
                <w:sz w:val="18"/>
                <w:szCs w:val="18"/>
              </w:rPr>
            </w:pPr>
            <w:r>
              <w:rPr>
                <w:rFonts w:hint="eastAsia" w:ascii="Times New Roman" w:hAnsi="Times New Roman"/>
                <w:sz w:val="18"/>
                <w:szCs w:val="18"/>
              </w:rPr>
              <w:t>P3</w:t>
            </w:r>
            <w:r>
              <w:rPr>
                <w:rFonts w:hint="eastAsia" w:hAnsi="宋体"/>
                <w:sz w:val="16"/>
                <w:szCs w:val="16"/>
              </w:rPr>
              <w:sym w:font="Wingdings 2" w:char="0052"/>
            </w:r>
          </w:p>
        </w:tc>
        <w:tc>
          <w:tcPr>
            <w:tcW w:w="1655" w:type="dxa"/>
            <w:gridSpan w:val="2"/>
            <w:noWrap w:val="0"/>
            <w:vAlign w:val="center"/>
          </w:tcPr>
          <w:p>
            <w:pPr>
              <w:spacing w:line="240" w:lineRule="auto"/>
              <w:ind w:firstLine="0"/>
              <w:jc w:val="center"/>
              <w:rPr>
                <w:sz w:val="18"/>
                <w:szCs w:val="18"/>
              </w:rPr>
            </w:pPr>
            <w:r>
              <w:rPr>
                <w:rFonts w:hint="eastAsia" w:ascii="Times New Roman" w:hAnsi="Times New Roman"/>
                <w:sz w:val="18"/>
                <w:szCs w:val="18"/>
              </w:rPr>
              <w:t>P4</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restart"/>
            <w:noWrap w:val="0"/>
            <w:vAlign w:val="center"/>
          </w:tcPr>
          <w:p>
            <w:pPr>
              <w:spacing w:line="240" w:lineRule="auto"/>
              <w:ind w:firstLine="0"/>
              <w:jc w:val="center"/>
              <w:rPr>
                <w:rFonts w:hint="eastAsia"/>
                <w:sz w:val="18"/>
                <w:szCs w:val="18"/>
              </w:rPr>
            </w:pPr>
            <w:r>
              <w:rPr>
                <w:rFonts w:hint="eastAsia"/>
                <w:sz w:val="18"/>
                <w:szCs w:val="18"/>
              </w:rPr>
              <w:t>环境敏感程度</w:t>
            </w:r>
          </w:p>
        </w:tc>
        <w:tc>
          <w:tcPr>
            <w:tcW w:w="773" w:type="dxa"/>
            <w:noWrap w:val="0"/>
            <w:vAlign w:val="center"/>
          </w:tcPr>
          <w:p>
            <w:pPr>
              <w:spacing w:line="240" w:lineRule="auto"/>
              <w:ind w:firstLine="0"/>
              <w:jc w:val="center"/>
              <w:rPr>
                <w:rFonts w:hint="eastAsia"/>
                <w:sz w:val="18"/>
                <w:szCs w:val="18"/>
              </w:rPr>
            </w:pPr>
            <w:r>
              <w:rPr>
                <w:rFonts w:hint="eastAsia"/>
                <w:sz w:val="18"/>
                <w:szCs w:val="18"/>
              </w:rPr>
              <w:t>大气</w:t>
            </w:r>
          </w:p>
        </w:tc>
        <w:tc>
          <w:tcPr>
            <w:tcW w:w="1666"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E1</w:t>
            </w:r>
            <w:r>
              <w:rPr>
                <w:rFonts w:hint="eastAsia" w:hAnsi="宋体"/>
                <w:sz w:val="16"/>
                <w:szCs w:val="16"/>
              </w:rPr>
              <w:sym w:font="Wingdings 2" w:char="00A3"/>
            </w:r>
          </w:p>
        </w:tc>
        <w:tc>
          <w:tcPr>
            <w:tcW w:w="2501" w:type="dxa"/>
            <w:gridSpan w:val="8"/>
            <w:noWrap w:val="0"/>
            <w:vAlign w:val="center"/>
          </w:tcPr>
          <w:p>
            <w:pPr>
              <w:spacing w:line="240" w:lineRule="auto"/>
              <w:ind w:firstLine="0"/>
              <w:jc w:val="center"/>
              <w:rPr>
                <w:sz w:val="18"/>
                <w:szCs w:val="18"/>
              </w:rPr>
            </w:pPr>
            <w:r>
              <w:rPr>
                <w:rFonts w:hint="eastAsia" w:ascii="Times New Roman" w:hAnsi="Times New Roman"/>
                <w:sz w:val="18"/>
                <w:szCs w:val="18"/>
              </w:rPr>
              <w:t>E2</w:t>
            </w:r>
            <w:r>
              <w:rPr>
                <w:rFonts w:hint="eastAsia" w:hAnsi="宋体"/>
                <w:sz w:val="16"/>
                <w:szCs w:val="16"/>
              </w:rPr>
              <w:sym w:font="Wingdings 2" w:char="00A3"/>
            </w:r>
          </w:p>
        </w:tc>
        <w:tc>
          <w:tcPr>
            <w:tcW w:w="2489"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E3</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continue"/>
            <w:noWrap w:val="0"/>
            <w:vAlign w:val="center"/>
          </w:tcPr>
          <w:p>
            <w:pPr>
              <w:spacing w:line="240" w:lineRule="auto"/>
              <w:ind w:firstLine="0"/>
              <w:jc w:val="center"/>
              <w:rPr>
                <w:rFonts w:hint="eastAsia"/>
                <w:sz w:val="18"/>
                <w:szCs w:val="18"/>
              </w:rPr>
            </w:pPr>
          </w:p>
        </w:tc>
        <w:tc>
          <w:tcPr>
            <w:tcW w:w="773" w:type="dxa"/>
            <w:noWrap w:val="0"/>
            <w:vAlign w:val="center"/>
          </w:tcPr>
          <w:p>
            <w:pPr>
              <w:spacing w:line="240" w:lineRule="auto"/>
              <w:ind w:firstLine="0"/>
              <w:jc w:val="center"/>
              <w:rPr>
                <w:rFonts w:hint="eastAsia"/>
                <w:sz w:val="18"/>
                <w:szCs w:val="18"/>
              </w:rPr>
            </w:pPr>
            <w:r>
              <w:rPr>
                <w:rFonts w:hint="eastAsia"/>
                <w:sz w:val="18"/>
                <w:szCs w:val="18"/>
              </w:rPr>
              <w:t>地表水</w:t>
            </w:r>
          </w:p>
        </w:tc>
        <w:tc>
          <w:tcPr>
            <w:tcW w:w="1666" w:type="dxa"/>
            <w:gridSpan w:val="5"/>
            <w:noWrap w:val="0"/>
            <w:vAlign w:val="center"/>
          </w:tcPr>
          <w:p>
            <w:pPr>
              <w:spacing w:line="240" w:lineRule="auto"/>
              <w:ind w:firstLine="0"/>
              <w:jc w:val="center"/>
              <w:rPr>
                <w:rFonts w:hint="eastAsia"/>
                <w:sz w:val="18"/>
                <w:szCs w:val="18"/>
              </w:rPr>
            </w:pPr>
            <w:r>
              <w:rPr>
                <w:rFonts w:hint="eastAsia" w:ascii="Times New Roman" w:hAnsi="Times New Roman"/>
                <w:sz w:val="18"/>
                <w:szCs w:val="18"/>
              </w:rPr>
              <w:t>E1</w:t>
            </w:r>
            <w:r>
              <w:rPr>
                <w:rFonts w:hint="eastAsia" w:hAnsi="宋体"/>
                <w:sz w:val="16"/>
                <w:szCs w:val="16"/>
              </w:rPr>
              <w:sym w:font="Wingdings 2" w:char="00A3"/>
            </w:r>
          </w:p>
        </w:tc>
        <w:tc>
          <w:tcPr>
            <w:tcW w:w="2501" w:type="dxa"/>
            <w:gridSpan w:val="8"/>
            <w:noWrap w:val="0"/>
            <w:vAlign w:val="center"/>
          </w:tcPr>
          <w:p>
            <w:pPr>
              <w:spacing w:line="240" w:lineRule="auto"/>
              <w:ind w:firstLine="0"/>
              <w:jc w:val="center"/>
              <w:rPr>
                <w:rFonts w:hint="eastAsia"/>
                <w:sz w:val="18"/>
                <w:szCs w:val="18"/>
              </w:rPr>
            </w:pPr>
            <w:r>
              <w:rPr>
                <w:rFonts w:hint="eastAsia" w:ascii="Times New Roman" w:hAnsi="Times New Roman"/>
                <w:sz w:val="18"/>
                <w:szCs w:val="18"/>
              </w:rPr>
              <w:t>E2</w:t>
            </w:r>
            <w:r>
              <w:rPr>
                <w:rFonts w:hint="eastAsia" w:hAnsi="宋体"/>
                <w:sz w:val="16"/>
                <w:szCs w:val="16"/>
              </w:rPr>
              <w:sym w:font="Wingdings 2" w:char="00A3"/>
            </w:r>
          </w:p>
        </w:tc>
        <w:tc>
          <w:tcPr>
            <w:tcW w:w="2489" w:type="dxa"/>
            <w:gridSpan w:val="5"/>
            <w:noWrap w:val="0"/>
            <w:vAlign w:val="center"/>
          </w:tcPr>
          <w:p>
            <w:pPr>
              <w:spacing w:line="240" w:lineRule="auto"/>
              <w:ind w:firstLine="0"/>
              <w:jc w:val="center"/>
              <w:rPr>
                <w:rFonts w:hint="eastAsia"/>
                <w:sz w:val="18"/>
                <w:szCs w:val="18"/>
              </w:rPr>
            </w:pPr>
            <w:r>
              <w:rPr>
                <w:rFonts w:hint="eastAsia" w:ascii="Times New Roman" w:hAnsi="Times New Roman"/>
                <w:sz w:val="18"/>
                <w:szCs w:val="18"/>
              </w:rPr>
              <w:t>E3</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vMerge w:val="continue"/>
            <w:noWrap w:val="0"/>
            <w:vAlign w:val="center"/>
          </w:tcPr>
          <w:p>
            <w:pPr>
              <w:spacing w:line="240" w:lineRule="auto"/>
              <w:ind w:firstLine="0"/>
              <w:jc w:val="center"/>
              <w:rPr>
                <w:rFonts w:hint="eastAsia"/>
                <w:sz w:val="18"/>
                <w:szCs w:val="18"/>
              </w:rPr>
            </w:pPr>
          </w:p>
        </w:tc>
        <w:tc>
          <w:tcPr>
            <w:tcW w:w="773" w:type="dxa"/>
            <w:noWrap w:val="0"/>
            <w:vAlign w:val="center"/>
          </w:tcPr>
          <w:p>
            <w:pPr>
              <w:spacing w:line="240" w:lineRule="auto"/>
              <w:ind w:firstLine="0"/>
              <w:jc w:val="center"/>
              <w:rPr>
                <w:rFonts w:hint="eastAsia"/>
                <w:sz w:val="18"/>
                <w:szCs w:val="18"/>
              </w:rPr>
            </w:pPr>
            <w:r>
              <w:rPr>
                <w:rFonts w:hint="eastAsia"/>
                <w:sz w:val="18"/>
                <w:szCs w:val="18"/>
              </w:rPr>
              <w:t>地下水</w:t>
            </w:r>
          </w:p>
        </w:tc>
        <w:tc>
          <w:tcPr>
            <w:tcW w:w="1666" w:type="dxa"/>
            <w:gridSpan w:val="5"/>
            <w:noWrap w:val="0"/>
            <w:vAlign w:val="center"/>
          </w:tcPr>
          <w:p>
            <w:pPr>
              <w:spacing w:line="240" w:lineRule="auto"/>
              <w:ind w:firstLine="0"/>
              <w:jc w:val="center"/>
              <w:rPr>
                <w:rFonts w:hint="eastAsia"/>
                <w:sz w:val="18"/>
                <w:szCs w:val="18"/>
              </w:rPr>
            </w:pPr>
            <w:r>
              <w:rPr>
                <w:rFonts w:hint="eastAsia" w:ascii="Times New Roman" w:hAnsi="Times New Roman"/>
                <w:sz w:val="18"/>
                <w:szCs w:val="18"/>
              </w:rPr>
              <w:t>E1</w:t>
            </w:r>
            <w:r>
              <w:rPr>
                <w:rFonts w:hint="eastAsia" w:hAnsi="宋体"/>
                <w:sz w:val="16"/>
                <w:szCs w:val="16"/>
              </w:rPr>
              <w:sym w:font="Wingdings 2" w:char="00A3"/>
            </w:r>
          </w:p>
        </w:tc>
        <w:tc>
          <w:tcPr>
            <w:tcW w:w="2501" w:type="dxa"/>
            <w:gridSpan w:val="8"/>
            <w:noWrap w:val="0"/>
            <w:vAlign w:val="center"/>
          </w:tcPr>
          <w:p>
            <w:pPr>
              <w:spacing w:line="240" w:lineRule="auto"/>
              <w:ind w:firstLine="0"/>
              <w:jc w:val="center"/>
              <w:rPr>
                <w:rFonts w:hint="eastAsia"/>
                <w:sz w:val="18"/>
                <w:szCs w:val="18"/>
              </w:rPr>
            </w:pPr>
            <w:r>
              <w:rPr>
                <w:rFonts w:hint="eastAsia" w:ascii="Times New Roman" w:hAnsi="Times New Roman"/>
                <w:sz w:val="18"/>
                <w:szCs w:val="18"/>
              </w:rPr>
              <w:t>E2</w:t>
            </w:r>
            <w:r>
              <w:rPr>
                <w:rFonts w:hint="eastAsia" w:hAnsi="宋体"/>
                <w:sz w:val="16"/>
                <w:szCs w:val="16"/>
              </w:rPr>
              <w:sym w:font="Wingdings 2" w:char="00A3"/>
            </w:r>
          </w:p>
        </w:tc>
        <w:tc>
          <w:tcPr>
            <w:tcW w:w="2489" w:type="dxa"/>
            <w:gridSpan w:val="5"/>
            <w:noWrap w:val="0"/>
            <w:vAlign w:val="center"/>
          </w:tcPr>
          <w:p>
            <w:pPr>
              <w:spacing w:line="240" w:lineRule="auto"/>
              <w:ind w:firstLine="0"/>
              <w:jc w:val="center"/>
              <w:rPr>
                <w:rFonts w:hint="eastAsia"/>
                <w:sz w:val="18"/>
                <w:szCs w:val="18"/>
              </w:rPr>
            </w:pPr>
            <w:r>
              <w:rPr>
                <w:rFonts w:hint="eastAsia" w:ascii="Times New Roman" w:hAnsi="Times New Roman"/>
                <w:sz w:val="18"/>
                <w:szCs w:val="18"/>
              </w:rPr>
              <w:t>E3</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noWrap w:val="0"/>
            <w:vAlign w:val="center"/>
          </w:tcPr>
          <w:p>
            <w:pPr>
              <w:spacing w:line="240" w:lineRule="auto"/>
              <w:ind w:firstLine="0"/>
              <w:jc w:val="center"/>
              <w:rPr>
                <w:rFonts w:hint="eastAsia"/>
                <w:sz w:val="18"/>
                <w:szCs w:val="18"/>
              </w:rPr>
            </w:pPr>
            <w:r>
              <w:rPr>
                <w:rFonts w:hint="eastAsia"/>
                <w:sz w:val="18"/>
                <w:szCs w:val="18"/>
              </w:rPr>
              <w:t>环境风险潜势</w:t>
            </w:r>
          </w:p>
        </w:tc>
        <w:tc>
          <w:tcPr>
            <w:tcW w:w="1292" w:type="dxa"/>
            <w:gridSpan w:val="2"/>
            <w:noWrap w:val="0"/>
            <w:vAlign w:val="center"/>
          </w:tcPr>
          <w:p>
            <w:pPr>
              <w:spacing w:line="240" w:lineRule="auto"/>
              <w:ind w:firstLine="0"/>
              <w:jc w:val="center"/>
              <w:rPr>
                <w:rFonts w:hint="eastAsia"/>
                <w:sz w:val="18"/>
                <w:szCs w:val="18"/>
              </w:rPr>
            </w:pPr>
            <w:r>
              <w:rPr>
                <w:rFonts w:hint="eastAsia"/>
                <w:sz w:val="18"/>
                <w:szCs w:val="18"/>
              </w:rPr>
              <w:t>Ⅳ</w:t>
            </w:r>
            <w:r>
              <w:rPr>
                <w:rFonts w:hint="eastAsia"/>
                <w:sz w:val="18"/>
                <w:szCs w:val="18"/>
                <w:vertAlign w:val="superscript"/>
              </w:rPr>
              <w:t>+</w:t>
            </w:r>
            <w:r>
              <w:rPr>
                <w:rFonts w:hint="eastAsia" w:hAnsi="宋体"/>
                <w:sz w:val="16"/>
                <w:szCs w:val="16"/>
              </w:rPr>
              <w:sym w:font="Wingdings 2" w:char="00A3"/>
            </w:r>
          </w:p>
        </w:tc>
        <w:tc>
          <w:tcPr>
            <w:tcW w:w="1533" w:type="dxa"/>
            <w:gridSpan w:val="5"/>
            <w:noWrap w:val="0"/>
            <w:vAlign w:val="center"/>
          </w:tcPr>
          <w:p>
            <w:pPr>
              <w:spacing w:line="240" w:lineRule="auto"/>
              <w:ind w:firstLine="0"/>
              <w:jc w:val="center"/>
              <w:rPr>
                <w:rFonts w:hint="eastAsia"/>
                <w:sz w:val="18"/>
                <w:szCs w:val="18"/>
              </w:rPr>
            </w:pPr>
            <w:r>
              <w:rPr>
                <w:rFonts w:hint="eastAsia"/>
                <w:sz w:val="18"/>
                <w:szCs w:val="18"/>
              </w:rPr>
              <w:t>Ⅳ</w:t>
            </w:r>
            <w:r>
              <w:rPr>
                <w:rFonts w:hint="eastAsia" w:hAnsi="宋体"/>
                <w:sz w:val="16"/>
                <w:szCs w:val="16"/>
              </w:rPr>
              <w:sym w:font="Wingdings 2" w:char="00A3"/>
            </w:r>
          </w:p>
        </w:tc>
        <w:tc>
          <w:tcPr>
            <w:tcW w:w="1533" w:type="dxa"/>
            <w:gridSpan w:val="5"/>
            <w:noWrap w:val="0"/>
            <w:vAlign w:val="center"/>
          </w:tcPr>
          <w:p>
            <w:pPr>
              <w:spacing w:line="240" w:lineRule="auto"/>
              <w:ind w:firstLine="0"/>
              <w:jc w:val="center"/>
              <w:rPr>
                <w:rFonts w:hint="eastAsia"/>
                <w:sz w:val="18"/>
                <w:szCs w:val="18"/>
              </w:rPr>
            </w:pPr>
            <w:r>
              <w:rPr>
                <w:rFonts w:hint="eastAsia"/>
                <w:sz w:val="18"/>
                <w:szCs w:val="18"/>
              </w:rPr>
              <w:t>Ⅲ</w:t>
            </w:r>
            <w:r>
              <w:rPr>
                <w:rFonts w:hint="eastAsia" w:hAnsi="宋体"/>
                <w:sz w:val="16"/>
                <w:szCs w:val="16"/>
              </w:rPr>
              <w:sym w:font="Wingdings 2" w:char="00A3"/>
            </w:r>
          </w:p>
        </w:tc>
        <w:tc>
          <w:tcPr>
            <w:tcW w:w="1533" w:type="dxa"/>
            <w:gridSpan w:val="6"/>
            <w:noWrap w:val="0"/>
            <w:vAlign w:val="center"/>
          </w:tcPr>
          <w:p>
            <w:pPr>
              <w:spacing w:line="240" w:lineRule="auto"/>
              <w:ind w:firstLine="0"/>
              <w:jc w:val="center"/>
              <w:rPr>
                <w:rFonts w:hint="eastAsia"/>
                <w:sz w:val="18"/>
                <w:szCs w:val="18"/>
              </w:rPr>
            </w:pPr>
            <w:r>
              <w:rPr>
                <w:rFonts w:hint="eastAsia"/>
                <w:sz w:val="18"/>
                <w:szCs w:val="18"/>
              </w:rPr>
              <w:t>Ⅱ</w:t>
            </w:r>
            <w:r>
              <w:rPr>
                <w:rFonts w:hint="eastAsia" w:hAnsi="宋体"/>
                <w:sz w:val="16"/>
                <w:szCs w:val="16"/>
              </w:rPr>
              <w:sym w:font="Wingdings 2" w:char="0052"/>
            </w:r>
          </w:p>
        </w:tc>
        <w:tc>
          <w:tcPr>
            <w:tcW w:w="1538" w:type="dxa"/>
            <w:noWrap w:val="0"/>
            <w:vAlign w:val="center"/>
          </w:tcPr>
          <w:p>
            <w:pPr>
              <w:spacing w:line="240" w:lineRule="auto"/>
              <w:ind w:firstLine="0"/>
              <w:jc w:val="center"/>
              <w:rPr>
                <w:rFonts w:hint="eastAsia"/>
                <w:sz w:val="18"/>
                <w:szCs w:val="18"/>
              </w:rPr>
            </w:pPr>
            <w:r>
              <w:rPr>
                <w:rFonts w:hint="eastAsia"/>
                <w:sz w:val="18"/>
                <w:szCs w:val="18"/>
              </w:rPr>
              <w:t>Ⅰ</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noWrap w:val="0"/>
            <w:vAlign w:val="center"/>
          </w:tcPr>
          <w:p>
            <w:pPr>
              <w:spacing w:line="240" w:lineRule="auto"/>
              <w:ind w:firstLine="0"/>
              <w:jc w:val="center"/>
              <w:rPr>
                <w:rFonts w:hint="eastAsia"/>
                <w:sz w:val="18"/>
                <w:szCs w:val="18"/>
              </w:rPr>
            </w:pPr>
            <w:r>
              <w:rPr>
                <w:rFonts w:hint="eastAsia"/>
                <w:sz w:val="18"/>
                <w:szCs w:val="18"/>
              </w:rPr>
              <w:t>评价等级</w:t>
            </w:r>
          </w:p>
        </w:tc>
        <w:tc>
          <w:tcPr>
            <w:tcW w:w="1675" w:type="dxa"/>
            <w:gridSpan w:val="4"/>
            <w:noWrap w:val="0"/>
            <w:vAlign w:val="center"/>
          </w:tcPr>
          <w:p>
            <w:pPr>
              <w:spacing w:line="240" w:lineRule="auto"/>
              <w:ind w:firstLine="0"/>
              <w:jc w:val="center"/>
              <w:rPr>
                <w:rFonts w:hint="eastAsia"/>
                <w:sz w:val="18"/>
                <w:szCs w:val="18"/>
              </w:rPr>
            </w:pPr>
            <w:r>
              <w:rPr>
                <w:rFonts w:hint="eastAsia"/>
                <w:sz w:val="18"/>
                <w:szCs w:val="18"/>
              </w:rPr>
              <w:t>一级</w:t>
            </w:r>
            <w:r>
              <w:rPr>
                <w:rFonts w:hint="eastAsia" w:hAnsi="宋体"/>
                <w:sz w:val="16"/>
                <w:szCs w:val="16"/>
              </w:rPr>
              <w:sym w:font="Wingdings 2" w:char="00A3"/>
            </w:r>
          </w:p>
        </w:tc>
        <w:tc>
          <w:tcPr>
            <w:tcW w:w="1916" w:type="dxa"/>
            <w:gridSpan w:val="6"/>
            <w:noWrap w:val="0"/>
            <w:vAlign w:val="center"/>
          </w:tcPr>
          <w:p>
            <w:pPr>
              <w:spacing w:line="240" w:lineRule="auto"/>
              <w:ind w:firstLine="0"/>
              <w:jc w:val="center"/>
              <w:rPr>
                <w:rFonts w:hint="eastAsia"/>
                <w:sz w:val="18"/>
                <w:szCs w:val="18"/>
              </w:rPr>
            </w:pPr>
            <w:r>
              <w:rPr>
                <w:rFonts w:hint="eastAsia"/>
                <w:sz w:val="18"/>
                <w:szCs w:val="18"/>
              </w:rPr>
              <w:t>二级</w:t>
            </w:r>
            <w:r>
              <w:rPr>
                <w:rFonts w:hint="eastAsia" w:hAnsi="宋体"/>
                <w:sz w:val="16"/>
                <w:szCs w:val="16"/>
              </w:rPr>
              <w:sym w:font="Wingdings 2" w:char="00A3"/>
            </w:r>
          </w:p>
        </w:tc>
        <w:tc>
          <w:tcPr>
            <w:tcW w:w="1920" w:type="dxa"/>
            <w:gridSpan w:val="5"/>
            <w:noWrap w:val="0"/>
            <w:vAlign w:val="center"/>
          </w:tcPr>
          <w:p>
            <w:pPr>
              <w:spacing w:line="240" w:lineRule="auto"/>
              <w:ind w:firstLine="0"/>
              <w:jc w:val="center"/>
              <w:rPr>
                <w:rFonts w:hint="eastAsia"/>
                <w:sz w:val="18"/>
                <w:szCs w:val="18"/>
              </w:rPr>
            </w:pPr>
            <w:r>
              <w:rPr>
                <w:rFonts w:hint="eastAsia"/>
                <w:sz w:val="18"/>
                <w:szCs w:val="18"/>
              </w:rPr>
              <w:t>三级</w:t>
            </w:r>
            <w:r>
              <w:rPr>
                <w:rFonts w:hint="eastAsia" w:hAnsi="宋体"/>
                <w:sz w:val="16"/>
                <w:szCs w:val="16"/>
              </w:rPr>
              <w:sym w:font="Wingdings 2" w:char="0052"/>
            </w:r>
          </w:p>
        </w:tc>
        <w:tc>
          <w:tcPr>
            <w:tcW w:w="1918" w:type="dxa"/>
            <w:gridSpan w:val="4"/>
            <w:noWrap w:val="0"/>
            <w:vAlign w:val="center"/>
          </w:tcPr>
          <w:p>
            <w:pPr>
              <w:spacing w:line="240" w:lineRule="auto"/>
              <w:ind w:firstLine="0"/>
              <w:jc w:val="center"/>
              <w:rPr>
                <w:rFonts w:hint="eastAsia"/>
                <w:sz w:val="18"/>
                <w:szCs w:val="18"/>
              </w:rPr>
            </w:pPr>
            <w:r>
              <w:rPr>
                <w:rFonts w:hint="eastAsia"/>
                <w:sz w:val="18"/>
                <w:szCs w:val="18"/>
              </w:rPr>
              <w:t>简单分析</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restart"/>
            <w:noWrap w:val="0"/>
            <w:vAlign w:val="center"/>
          </w:tcPr>
          <w:p>
            <w:pPr>
              <w:spacing w:line="240" w:lineRule="auto"/>
              <w:ind w:firstLine="0"/>
              <w:jc w:val="center"/>
              <w:rPr>
                <w:rFonts w:hint="eastAsia"/>
                <w:sz w:val="18"/>
                <w:szCs w:val="18"/>
              </w:rPr>
            </w:pPr>
            <w:r>
              <w:rPr>
                <w:rFonts w:hint="eastAsia"/>
                <w:sz w:val="18"/>
                <w:szCs w:val="18"/>
              </w:rPr>
              <w:t>风险识别</w:t>
            </w:r>
          </w:p>
        </w:tc>
        <w:tc>
          <w:tcPr>
            <w:tcW w:w="1400" w:type="dxa"/>
            <w:noWrap w:val="0"/>
            <w:vAlign w:val="center"/>
          </w:tcPr>
          <w:p>
            <w:pPr>
              <w:spacing w:line="240" w:lineRule="auto"/>
              <w:ind w:firstLine="0"/>
              <w:jc w:val="center"/>
              <w:rPr>
                <w:rFonts w:hint="eastAsia"/>
                <w:sz w:val="18"/>
                <w:szCs w:val="18"/>
              </w:rPr>
            </w:pPr>
            <w:r>
              <w:rPr>
                <w:rFonts w:hint="eastAsia"/>
                <w:sz w:val="18"/>
                <w:szCs w:val="18"/>
              </w:rPr>
              <w:t>物质危险性</w:t>
            </w:r>
          </w:p>
        </w:tc>
        <w:tc>
          <w:tcPr>
            <w:tcW w:w="3272" w:type="dxa"/>
            <w:gridSpan w:val="9"/>
            <w:noWrap w:val="0"/>
            <w:vAlign w:val="center"/>
          </w:tcPr>
          <w:p>
            <w:pPr>
              <w:spacing w:line="240" w:lineRule="auto"/>
              <w:ind w:firstLine="0"/>
              <w:jc w:val="center"/>
              <w:rPr>
                <w:rFonts w:hint="eastAsia"/>
                <w:sz w:val="18"/>
                <w:szCs w:val="18"/>
              </w:rPr>
            </w:pPr>
            <w:r>
              <w:rPr>
                <w:rFonts w:hint="eastAsia"/>
                <w:sz w:val="18"/>
                <w:szCs w:val="18"/>
              </w:rPr>
              <w:t>有毒有害</w:t>
            </w:r>
            <w:r>
              <w:rPr>
                <w:rFonts w:hint="eastAsia" w:hAnsi="宋体"/>
                <w:sz w:val="16"/>
                <w:szCs w:val="16"/>
              </w:rPr>
              <w:sym w:font="Wingdings 2" w:char="0052"/>
            </w:r>
          </w:p>
        </w:tc>
        <w:tc>
          <w:tcPr>
            <w:tcW w:w="4157" w:type="dxa"/>
            <w:gridSpan w:val="10"/>
            <w:noWrap w:val="0"/>
            <w:vAlign w:val="center"/>
          </w:tcPr>
          <w:p>
            <w:pPr>
              <w:spacing w:line="240" w:lineRule="auto"/>
              <w:ind w:firstLine="0"/>
              <w:jc w:val="center"/>
              <w:rPr>
                <w:rFonts w:hint="eastAsia"/>
                <w:sz w:val="18"/>
                <w:szCs w:val="18"/>
              </w:rPr>
            </w:pPr>
            <w:r>
              <w:rPr>
                <w:rFonts w:hint="eastAsia"/>
                <w:sz w:val="18"/>
                <w:szCs w:val="18"/>
              </w:rPr>
              <w:t>易燃易爆</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noWrap w:val="0"/>
            <w:vAlign w:val="center"/>
          </w:tcPr>
          <w:p>
            <w:pPr>
              <w:spacing w:line="240" w:lineRule="auto"/>
              <w:ind w:firstLine="0"/>
              <w:jc w:val="center"/>
              <w:rPr>
                <w:rFonts w:hint="eastAsia"/>
                <w:sz w:val="18"/>
                <w:szCs w:val="18"/>
              </w:rPr>
            </w:pPr>
            <w:r>
              <w:rPr>
                <w:rFonts w:hint="eastAsia"/>
                <w:sz w:val="18"/>
                <w:szCs w:val="18"/>
              </w:rPr>
              <w:t>环境风险类型</w:t>
            </w:r>
          </w:p>
        </w:tc>
        <w:tc>
          <w:tcPr>
            <w:tcW w:w="2439" w:type="dxa"/>
            <w:gridSpan w:val="6"/>
            <w:noWrap w:val="0"/>
            <w:vAlign w:val="center"/>
          </w:tcPr>
          <w:p>
            <w:pPr>
              <w:spacing w:line="240" w:lineRule="auto"/>
              <w:ind w:firstLine="0"/>
              <w:jc w:val="center"/>
              <w:rPr>
                <w:rFonts w:hint="eastAsia"/>
                <w:sz w:val="18"/>
                <w:szCs w:val="18"/>
              </w:rPr>
            </w:pPr>
            <w:r>
              <w:rPr>
                <w:rFonts w:hint="eastAsia"/>
                <w:sz w:val="18"/>
                <w:szCs w:val="18"/>
                <w:lang w:eastAsia="zh-CN"/>
              </w:rPr>
              <w:t>泄漏</w:t>
            </w:r>
            <w:r>
              <w:rPr>
                <w:rFonts w:hint="eastAsia" w:hAnsi="宋体"/>
                <w:sz w:val="16"/>
                <w:szCs w:val="16"/>
              </w:rPr>
              <w:sym w:font="Wingdings 2" w:char="0052"/>
            </w:r>
          </w:p>
        </w:tc>
        <w:tc>
          <w:tcPr>
            <w:tcW w:w="4990" w:type="dxa"/>
            <w:gridSpan w:val="13"/>
            <w:noWrap w:val="0"/>
            <w:vAlign w:val="center"/>
          </w:tcPr>
          <w:p>
            <w:pPr>
              <w:spacing w:line="240" w:lineRule="auto"/>
              <w:ind w:firstLine="0"/>
              <w:jc w:val="center"/>
              <w:rPr>
                <w:sz w:val="18"/>
                <w:szCs w:val="18"/>
              </w:rPr>
            </w:pPr>
            <w:r>
              <w:rPr>
                <w:rFonts w:hint="eastAsia"/>
                <w:sz w:val="18"/>
                <w:szCs w:val="18"/>
              </w:rPr>
              <w:t>火灾、爆炸引发伴生/次生污染物排放</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noWrap w:val="0"/>
            <w:vAlign w:val="center"/>
          </w:tcPr>
          <w:p>
            <w:pPr>
              <w:spacing w:line="240" w:lineRule="auto"/>
              <w:ind w:firstLine="0"/>
              <w:jc w:val="center"/>
              <w:rPr>
                <w:rFonts w:hint="eastAsia"/>
                <w:sz w:val="18"/>
                <w:szCs w:val="18"/>
              </w:rPr>
            </w:pPr>
            <w:r>
              <w:rPr>
                <w:rFonts w:hint="eastAsia"/>
                <w:sz w:val="18"/>
                <w:szCs w:val="18"/>
              </w:rPr>
              <w:t>影响途径</w:t>
            </w:r>
          </w:p>
        </w:tc>
        <w:tc>
          <w:tcPr>
            <w:tcW w:w="2314" w:type="dxa"/>
            <w:gridSpan w:val="5"/>
            <w:noWrap w:val="0"/>
            <w:vAlign w:val="center"/>
          </w:tcPr>
          <w:p>
            <w:pPr>
              <w:spacing w:line="240" w:lineRule="auto"/>
              <w:ind w:firstLine="0"/>
              <w:jc w:val="center"/>
              <w:rPr>
                <w:rFonts w:hint="eastAsia"/>
                <w:sz w:val="18"/>
                <w:szCs w:val="18"/>
              </w:rPr>
            </w:pPr>
            <w:r>
              <w:rPr>
                <w:rFonts w:hint="eastAsia"/>
                <w:sz w:val="18"/>
                <w:szCs w:val="18"/>
              </w:rPr>
              <w:t>大气</w:t>
            </w:r>
            <w:r>
              <w:rPr>
                <w:rFonts w:hint="eastAsia" w:hAnsi="宋体"/>
                <w:sz w:val="16"/>
                <w:szCs w:val="16"/>
              </w:rPr>
              <w:sym w:font="Wingdings 2" w:char="00A3"/>
            </w:r>
          </w:p>
        </w:tc>
        <w:tc>
          <w:tcPr>
            <w:tcW w:w="2555" w:type="dxa"/>
            <w:gridSpan w:val="8"/>
            <w:noWrap w:val="0"/>
            <w:vAlign w:val="center"/>
          </w:tcPr>
          <w:p>
            <w:pPr>
              <w:spacing w:line="240" w:lineRule="auto"/>
              <w:ind w:firstLine="0"/>
              <w:jc w:val="center"/>
              <w:rPr>
                <w:rFonts w:hint="eastAsia"/>
                <w:sz w:val="18"/>
                <w:szCs w:val="18"/>
              </w:rPr>
            </w:pPr>
            <w:r>
              <w:rPr>
                <w:rFonts w:hint="eastAsia"/>
                <w:sz w:val="18"/>
                <w:szCs w:val="18"/>
              </w:rPr>
              <w:t>地表水</w:t>
            </w:r>
            <w:r>
              <w:rPr>
                <w:rFonts w:hint="eastAsia" w:hAnsi="宋体"/>
                <w:sz w:val="16"/>
                <w:szCs w:val="16"/>
              </w:rPr>
              <w:sym w:font="Wingdings 2" w:char="00A3"/>
            </w:r>
          </w:p>
        </w:tc>
        <w:tc>
          <w:tcPr>
            <w:tcW w:w="2560" w:type="dxa"/>
            <w:gridSpan w:val="6"/>
            <w:noWrap w:val="0"/>
            <w:vAlign w:val="center"/>
          </w:tcPr>
          <w:p>
            <w:pPr>
              <w:spacing w:line="240" w:lineRule="auto"/>
              <w:ind w:firstLine="0"/>
              <w:jc w:val="center"/>
              <w:rPr>
                <w:rFonts w:hint="eastAsia"/>
                <w:sz w:val="18"/>
                <w:szCs w:val="18"/>
              </w:rPr>
            </w:pPr>
            <w:r>
              <w:rPr>
                <w:rFonts w:hint="eastAsia"/>
                <w:sz w:val="18"/>
                <w:szCs w:val="18"/>
              </w:rPr>
              <w:t>地下水</w:t>
            </w:r>
            <w:r>
              <w:rPr>
                <w:rFonts w:hint="eastAsia" w:hAnsi="宋体"/>
                <w:sz w:val="16"/>
                <w:szCs w:val="16"/>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noWrap w:val="0"/>
            <w:vAlign w:val="center"/>
          </w:tcPr>
          <w:p>
            <w:pPr>
              <w:spacing w:line="240" w:lineRule="auto"/>
              <w:ind w:firstLine="0"/>
              <w:jc w:val="center"/>
              <w:rPr>
                <w:rFonts w:hint="eastAsia"/>
                <w:sz w:val="18"/>
                <w:szCs w:val="18"/>
              </w:rPr>
            </w:pPr>
            <w:r>
              <w:rPr>
                <w:rFonts w:hint="eastAsia"/>
                <w:sz w:val="18"/>
                <w:szCs w:val="18"/>
              </w:rPr>
              <w:t>事故情形分析</w:t>
            </w:r>
          </w:p>
        </w:tc>
        <w:tc>
          <w:tcPr>
            <w:tcW w:w="1606" w:type="dxa"/>
            <w:gridSpan w:val="3"/>
            <w:noWrap w:val="0"/>
            <w:vAlign w:val="center"/>
          </w:tcPr>
          <w:p>
            <w:pPr>
              <w:spacing w:line="240" w:lineRule="auto"/>
              <w:ind w:firstLine="0"/>
              <w:jc w:val="center"/>
              <w:rPr>
                <w:rFonts w:hint="eastAsia"/>
                <w:sz w:val="18"/>
                <w:szCs w:val="18"/>
              </w:rPr>
            </w:pPr>
            <w:r>
              <w:rPr>
                <w:rFonts w:hint="eastAsia"/>
                <w:sz w:val="18"/>
                <w:szCs w:val="18"/>
              </w:rPr>
              <w:t>源强设定方法</w:t>
            </w:r>
          </w:p>
        </w:tc>
        <w:tc>
          <w:tcPr>
            <w:tcW w:w="1985" w:type="dxa"/>
            <w:gridSpan w:val="7"/>
            <w:noWrap w:val="0"/>
            <w:vAlign w:val="center"/>
          </w:tcPr>
          <w:p>
            <w:pPr>
              <w:spacing w:line="240" w:lineRule="auto"/>
              <w:ind w:firstLine="0"/>
              <w:jc w:val="center"/>
              <w:rPr>
                <w:rFonts w:hint="eastAsia"/>
                <w:sz w:val="18"/>
                <w:szCs w:val="18"/>
              </w:rPr>
            </w:pPr>
            <w:r>
              <w:rPr>
                <w:rFonts w:hint="eastAsia"/>
                <w:sz w:val="18"/>
                <w:szCs w:val="18"/>
              </w:rPr>
              <w:t>计算法</w:t>
            </w:r>
            <w:r>
              <w:rPr>
                <w:rFonts w:hint="eastAsia" w:hAnsi="宋体"/>
                <w:sz w:val="16"/>
                <w:szCs w:val="16"/>
              </w:rPr>
              <w:sym w:font="Wingdings 2" w:char="00A3"/>
            </w:r>
          </w:p>
        </w:tc>
        <w:tc>
          <w:tcPr>
            <w:tcW w:w="1920" w:type="dxa"/>
            <w:gridSpan w:val="5"/>
            <w:noWrap w:val="0"/>
            <w:vAlign w:val="center"/>
          </w:tcPr>
          <w:p>
            <w:pPr>
              <w:spacing w:line="240" w:lineRule="auto"/>
              <w:ind w:firstLine="0"/>
              <w:jc w:val="center"/>
              <w:rPr>
                <w:rFonts w:hint="eastAsia"/>
                <w:sz w:val="18"/>
                <w:szCs w:val="18"/>
              </w:rPr>
            </w:pPr>
            <w:r>
              <w:rPr>
                <w:rFonts w:hint="eastAsia"/>
                <w:sz w:val="18"/>
                <w:szCs w:val="18"/>
              </w:rPr>
              <w:t>经验估算法</w:t>
            </w:r>
            <w:r>
              <w:rPr>
                <w:rFonts w:hint="eastAsia" w:hAnsi="宋体"/>
                <w:sz w:val="16"/>
                <w:szCs w:val="16"/>
              </w:rPr>
              <w:sym w:font="Wingdings 2" w:char="00A3"/>
            </w:r>
          </w:p>
        </w:tc>
        <w:tc>
          <w:tcPr>
            <w:tcW w:w="1918" w:type="dxa"/>
            <w:gridSpan w:val="4"/>
            <w:noWrap w:val="0"/>
            <w:vAlign w:val="center"/>
          </w:tcPr>
          <w:p>
            <w:pPr>
              <w:spacing w:line="240" w:lineRule="auto"/>
              <w:ind w:firstLine="0"/>
              <w:jc w:val="center"/>
              <w:rPr>
                <w:rFonts w:hint="eastAsia"/>
                <w:sz w:val="18"/>
                <w:szCs w:val="18"/>
              </w:rPr>
            </w:pPr>
            <w:r>
              <w:rPr>
                <w:rFonts w:hint="eastAsia"/>
                <w:sz w:val="18"/>
                <w:szCs w:val="18"/>
              </w:rPr>
              <w:t>其他估算法</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restart"/>
            <w:noWrap w:val="0"/>
            <w:vAlign w:val="center"/>
          </w:tcPr>
          <w:p>
            <w:pPr>
              <w:spacing w:line="240" w:lineRule="auto"/>
              <w:ind w:firstLine="0"/>
              <w:jc w:val="center"/>
              <w:rPr>
                <w:rFonts w:hint="eastAsia"/>
                <w:sz w:val="18"/>
                <w:szCs w:val="18"/>
              </w:rPr>
            </w:pPr>
            <w:r>
              <w:rPr>
                <w:rFonts w:hint="eastAsia"/>
                <w:sz w:val="18"/>
                <w:szCs w:val="18"/>
              </w:rPr>
              <w:t>风险预测评价</w:t>
            </w:r>
          </w:p>
        </w:tc>
        <w:tc>
          <w:tcPr>
            <w:tcW w:w="1400" w:type="dxa"/>
            <w:vMerge w:val="restart"/>
            <w:noWrap w:val="0"/>
            <w:vAlign w:val="center"/>
          </w:tcPr>
          <w:p>
            <w:pPr>
              <w:spacing w:line="240" w:lineRule="auto"/>
              <w:ind w:firstLine="0"/>
              <w:jc w:val="center"/>
              <w:rPr>
                <w:rFonts w:hint="eastAsia"/>
                <w:sz w:val="18"/>
                <w:szCs w:val="18"/>
              </w:rPr>
            </w:pPr>
            <w:r>
              <w:rPr>
                <w:rFonts w:hint="eastAsia"/>
                <w:sz w:val="18"/>
                <w:szCs w:val="18"/>
              </w:rPr>
              <w:t>大气</w:t>
            </w:r>
          </w:p>
        </w:tc>
        <w:tc>
          <w:tcPr>
            <w:tcW w:w="1606" w:type="dxa"/>
            <w:gridSpan w:val="3"/>
            <w:noWrap w:val="0"/>
            <w:vAlign w:val="center"/>
          </w:tcPr>
          <w:p>
            <w:pPr>
              <w:spacing w:line="240" w:lineRule="auto"/>
              <w:ind w:firstLine="0"/>
              <w:jc w:val="center"/>
              <w:rPr>
                <w:sz w:val="18"/>
                <w:szCs w:val="18"/>
              </w:rPr>
            </w:pPr>
            <w:r>
              <w:rPr>
                <w:rFonts w:hint="eastAsia"/>
                <w:sz w:val="18"/>
                <w:szCs w:val="18"/>
              </w:rPr>
              <w:t>预测模型</w:t>
            </w:r>
          </w:p>
        </w:tc>
        <w:tc>
          <w:tcPr>
            <w:tcW w:w="1985" w:type="dxa"/>
            <w:gridSpan w:val="7"/>
            <w:noWrap w:val="0"/>
            <w:vAlign w:val="center"/>
          </w:tcPr>
          <w:p>
            <w:pPr>
              <w:spacing w:line="240" w:lineRule="auto"/>
              <w:ind w:firstLine="0"/>
              <w:jc w:val="center"/>
              <w:rPr>
                <w:sz w:val="18"/>
                <w:szCs w:val="18"/>
              </w:rPr>
            </w:pPr>
            <w:r>
              <w:rPr>
                <w:rFonts w:hint="eastAsia" w:ascii="Times New Roman" w:hAnsi="Times New Roman"/>
                <w:sz w:val="18"/>
                <w:szCs w:val="18"/>
              </w:rPr>
              <w:t>SLAB</w:t>
            </w:r>
            <w:r>
              <w:rPr>
                <w:rFonts w:hint="eastAsia" w:hAnsi="宋体"/>
                <w:sz w:val="16"/>
                <w:szCs w:val="16"/>
              </w:rPr>
              <w:sym w:font="Wingdings 2" w:char="00A3"/>
            </w:r>
          </w:p>
        </w:tc>
        <w:tc>
          <w:tcPr>
            <w:tcW w:w="1920" w:type="dxa"/>
            <w:gridSpan w:val="5"/>
            <w:noWrap w:val="0"/>
            <w:vAlign w:val="center"/>
          </w:tcPr>
          <w:p>
            <w:pPr>
              <w:spacing w:line="240" w:lineRule="auto"/>
              <w:ind w:firstLine="0"/>
              <w:jc w:val="center"/>
              <w:rPr>
                <w:sz w:val="18"/>
                <w:szCs w:val="18"/>
              </w:rPr>
            </w:pPr>
            <w:r>
              <w:rPr>
                <w:rFonts w:hint="eastAsia" w:ascii="Times New Roman" w:hAnsi="Times New Roman"/>
                <w:sz w:val="18"/>
                <w:szCs w:val="18"/>
              </w:rPr>
              <w:t>AFTOX</w:t>
            </w:r>
            <w:r>
              <w:rPr>
                <w:rFonts w:hint="eastAsia" w:hAnsi="宋体"/>
                <w:sz w:val="16"/>
                <w:szCs w:val="16"/>
              </w:rPr>
              <w:sym w:font="Wingdings 2" w:char="00A3"/>
            </w:r>
          </w:p>
        </w:tc>
        <w:tc>
          <w:tcPr>
            <w:tcW w:w="1918" w:type="dxa"/>
            <w:gridSpan w:val="4"/>
            <w:noWrap w:val="0"/>
            <w:vAlign w:val="center"/>
          </w:tcPr>
          <w:p>
            <w:pPr>
              <w:spacing w:line="240" w:lineRule="auto"/>
              <w:ind w:firstLine="0"/>
              <w:jc w:val="center"/>
              <w:rPr>
                <w:rFonts w:hint="eastAsia"/>
                <w:sz w:val="18"/>
                <w:szCs w:val="18"/>
              </w:rPr>
            </w:pPr>
            <w:r>
              <w:rPr>
                <w:rFonts w:hint="eastAsia"/>
                <w:sz w:val="18"/>
                <w:szCs w:val="18"/>
              </w:rPr>
              <w:t>其他</w:t>
            </w:r>
            <w:r>
              <w:rPr>
                <w:rFonts w:hint="eastAsia" w:hAnsi="宋体"/>
                <w:sz w:val="16"/>
                <w:szCs w:val="16"/>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1606" w:type="dxa"/>
            <w:gridSpan w:val="3"/>
            <w:vMerge w:val="restart"/>
            <w:noWrap w:val="0"/>
            <w:vAlign w:val="center"/>
          </w:tcPr>
          <w:p>
            <w:pPr>
              <w:spacing w:line="240" w:lineRule="auto"/>
              <w:ind w:firstLine="0"/>
              <w:jc w:val="center"/>
              <w:rPr>
                <w:rFonts w:hint="eastAsia"/>
                <w:sz w:val="18"/>
                <w:szCs w:val="18"/>
              </w:rPr>
            </w:pPr>
            <w:r>
              <w:rPr>
                <w:rFonts w:hint="eastAsia"/>
                <w:sz w:val="18"/>
                <w:szCs w:val="18"/>
              </w:rPr>
              <w:t>预测结果</w:t>
            </w:r>
          </w:p>
        </w:tc>
        <w:tc>
          <w:tcPr>
            <w:tcW w:w="5823" w:type="dxa"/>
            <w:gridSpan w:val="16"/>
            <w:noWrap w:val="0"/>
            <w:vAlign w:val="center"/>
          </w:tcPr>
          <w:p>
            <w:pPr>
              <w:spacing w:line="240" w:lineRule="auto"/>
              <w:ind w:firstLine="0"/>
              <w:jc w:val="center"/>
              <w:rPr>
                <w:color w:val="auto"/>
                <w:sz w:val="18"/>
                <w:szCs w:val="18"/>
              </w:rPr>
            </w:pPr>
            <w:r>
              <w:rPr>
                <w:rFonts w:hint="eastAsia"/>
                <w:color w:val="auto"/>
                <w:sz w:val="18"/>
                <w:szCs w:val="18"/>
              </w:rPr>
              <w:t>大气毒性终点浓度-</w:t>
            </w:r>
            <w:r>
              <w:rPr>
                <w:rFonts w:hint="eastAsia" w:ascii="Times New Roman" w:hAnsi="Times New Roman"/>
                <w:color w:val="auto"/>
                <w:sz w:val="18"/>
                <w:szCs w:val="18"/>
              </w:rPr>
              <w:t>1</w:t>
            </w:r>
            <w:r>
              <w:rPr>
                <w:rFonts w:hint="eastAsia"/>
                <w:color w:val="auto"/>
                <w:sz w:val="18"/>
                <w:szCs w:val="18"/>
              </w:rPr>
              <w:t>最大影响范围</w:t>
            </w:r>
            <w:r>
              <w:rPr>
                <w:rFonts w:hint="eastAsia"/>
                <w:color w:val="auto"/>
                <w:sz w:val="18"/>
                <w:szCs w:val="18"/>
                <w:u w:val="single"/>
              </w:rPr>
              <w:t xml:space="preserve"> </w:t>
            </w:r>
            <w:r>
              <w:rPr>
                <w:rFonts w:hint="eastAsia"/>
                <w:color w:val="auto"/>
                <w:sz w:val="18"/>
                <w:szCs w:val="18"/>
                <w:u w:val="single"/>
                <w:lang w:val="en-US" w:eastAsia="zh-CN"/>
              </w:rPr>
              <w:t xml:space="preserve"> </w:t>
            </w:r>
            <w:r>
              <w:rPr>
                <w:rFonts w:hint="eastAsia"/>
                <w:color w:val="auto"/>
                <w:sz w:val="18"/>
                <w:szCs w:val="18"/>
                <w:u w:val="single"/>
              </w:rPr>
              <w:t xml:space="preserve"> </w:t>
            </w:r>
            <w:r>
              <w:rPr>
                <w:rFonts w:hint="eastAsia" w:ascii="Times New Roman" w:hAnsi="Times New Roman"/>
                <w:color w:val="auto"/>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1606" w:type="dxa"/>
            <w:gridSpan w:val="3"/>
            <w:vMerge w:val="continue"/>
            <w:noWrap w:val="0"/>
            <w:vAlign w:val="center"/>
          </w:tcPr>
          <w:p>
            <w:pPr>
              <w:spacing w:line="240" w:lineRule="auto"/>
              <w:ind w:firstLine="0"/>
              <w:jc w:val="center"/>
              <w:rPr>
                <w:rFonts w:hint="eastAsia"/>
                <w:sz w:val="18"/>
                <w:szCs w:val="18"/>
              </w:rPr>
            </w:pPr>
          </w:p>
        </w:tc>
        <w:tc>
          <w:tcPr>
            <w:tcW w:w="5823" w:type="dxa"/>
            <w:gridSpan w:val="16"/>
            <w:noWrap w:val="0"/>
            <w:vAlign w:val="center"/>
          </w:tcPr>
          <w:p>
            <w:pPr>
              <w:spacing w:line="240" w:lineRule="auto"/>
              <w:ind w:firstLine="0"/>
              <w:jc w:val="center"/>
              <w:rPr>
                <w:rFonts w:hint="eastAsia"/>
                <w:color w:val="auto"/>
                <w:sz w:val="18"/>
                <w:szCs w:val="18"/>
              </w:rPr>
            </w:pPr>
            <w:r>
              <w:rPr>
                <w:rFonts w:hint="eastAsia"/>
                <w:color w:val="auto"/>
                <w:sz w:val="18"/>
                <w:szCs w:val="18"/>
              </w:rPr>
              <w:t>大气毒性终点浓度-</w:t>
            </w:r>
            <w:r>
              <w:rPr>
                <w:rFonts w:hint="eastAsia" w:ascii="Times New Roman" w:hAnsi="Times New Roman"/>
                <w:color w:val="auto"/>
                <w:sz w:val="18"/>
                <w:szCs w:val="18"/>
              </w:rPr>
              <w:t>2</w:t>
            </w:r>
            <w:r>
              <w:rPr>
                <w:rFonts w:hint="eastAsia"/>
                <w:color w:val="auto"/>
                <w:sz w:val="18"/>
                <w:szCs w:val="18"/>
              </w:rPr>
              <w:t>最大影响范围</w:t>
            </w:r>
            <w:r>
              <w:rPr>
                <w:rFonts w:hint="eastAsia"/>
                <w:color w:val="auto"/>
                <w:sz w:val="18"/>
                <w:szCs w:val="18"/>
                <w:u w:val="single"/>
              </w:rPr>
              <w:t xml:space="preserve">      </w:t>
            </w:r>
            <w:r>
              <w:rPr>
                <w:rFonts w:hint="eastAsia" w:ascii="Times New Roman" w:hAnsi="Times New Roman"/>
                <w:color w:val="auto"/>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noWrap w:val="0"/>
            <w:vAlign w:val="center"/>
          </w:tcPr>
          <w:p>
            <w:pPr>
              <w:spacing w:line="240" w:lineRule="auto"/>
              <w:ind w:firstLine="0"/>
              <w:jc w:val="center"/>
              <w:rPr>
                <w:rFonts w:hint="eastAsia"/>
                <w:sz w:val="18"/>
                <w:szCs w:val="18"/>
              </w:rPr>
            </w:pPr>
            <w:r>
              <w:rPr>
                <w:rFonts w:hint="eastAsia"/>
                <w:sz w:val="18"/>
                <w:szCs w:val="18"/>
              </w:rPr>
              <w:t>地表水</w:t>
            </w:r>
          </w:p>
        </w:tc>
        <w:tc>
          <w:tcPr>
            <w:tcW w:w="7429" w:type="dxa"/>
            <w:gridSpan w:val="19"/>
            <w:noWrap w:val="0"/>
            <w:vAlign w:val="center"/>
          </w:tcPr>
          <w:p>
            <w:pPr>
              <w:spacing w:line="240" w:lineRule="auto"/>
              <w:ind w:firstLine="0"/>
              <w:jc w:val="center"/>
              <w:rPr>
                <w:sz w:val="18"/>
                <w:szCs w:val="18"/>
              </w:rPr>
            </w:pPr>
            <w:r>
              <w:rPr>
                <w:rFonts w:hint="eastAsia"/>
                <w:sz w:val="18"/>
                <w:szCs w:val="18"/>
              </w:rPr>
              <w:t>最近环境敏感目标</w:t>
            </w:r>
            <w:r>
              <w:rPr>
                <w:rFonts w:hint="eastAsia"/>
                <w:sz w:val="18"/>
                <w:szCs w:val="18"/>
                <w:u w:val="single"/>
              </w:rPr>
              <w:t xml:space="preserve">       </w:t>
            </w:r>
            <w:r>
              <w:rPr>
                <w:rFonts w:hint="eastAsia"/>
                <w:sz w:val="18"/>
                <w:szCs w:val="18"/>
              </w:rPr>
              <w:t>，到达时间</w:t>
            </w:r>
            <w:r>
              <w:rPr>
                <w:rFonts w:hint="eastAsia"/>
                <w:sz w:val="18"/>
                <w:szCs w:val="18"/>
                <w:u w:val="single"/>
              </w:rPr>
              <w:t xml:space="preserve">       </w:t>
            </w:r>
            <w:r>
              <w:rPr>
                <w:rFonts w:hint="eastAsia" w:ascii="Times New Roman" w:hAnsi="Times New Roman"/>
                <w:sz w:val="18"/>
                <w:szCs w:val="18"/>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restart"/>
            <w:noWrap w:val="0"/>
            <w:vAlign w:val="center"/>
          </w:tcPr>
          <w:p>
            <w:pPr>
              <w:spacing w:line="240" w:lineRule="auto"/>
              <w:ind w:firstLine="0"/>
              <w:jc w:val="center"/>
              <w:rPr>
                <w:rFonts w:hint="eastAsia"/>
                <w:sz w:val="18"/>
                <w:szCs w:val="18"/>
              </w:rPr>
            </w:pPr>
            <w:r>
              <w:rPr>
                <w:rFonts w:hint="eastAsia"/>
                <w:sz w:val="18"/>
                <w:szCs w:val="18"/>
              </w:rPr>
              <w:t>地下水</w:t>
            </w:r>
          </w:p>
        </w:tc>
        <w:tc>
          <w:tcPr>
            <w:tcW w:w="7429" w:type="dxa"/>
            <w:gridSpan w:val="19"/>
            <w:noWrap w:val="0"/>
            <w:vAlign w:val="center"/>
          </w:tcPr>
          <w:p>
            <w:pPr>
              <w:spacing w:line="240" w:lineRule="auto"/>
              <w:ind w:firstLine="0"/>
              <w:jc w:val="center"/>
              <w:rPr>
                <w:sz w:val="18"/>
                <w:szCs w:val="18"/>
              </w:rPr>
            </w:pPr>
            <w:r>
              <w:rPr>
                <w:rFonts w:hint="eastAsia"/>
                <w:sz w:val="18"/>
                <w:szCs w:val="18"/>
              </w:rPr>
              <w:t>下游厂区边界到达时间</w:t>
            </w:r>
            <w:r>
              <w:rPr>
                <w:rFonts w:hint="eastAsia"/>
                <w:sz w:val="18"/>
                <w:szCs w:val="18"/>
                <w:u w:val="single"/>
              </w:rPr>
              <w:t xml:space="preserve">    </w:t>
            </w:r>
            <w:r>
              <w:rPr>
                <w:rFonts w:hint="eastAsia" w:ascii="Times New Roman" w:hAnsi="Times New Roman"/>
                <w:sz w:val="18"/>
                <w:szCs w:val="18"/>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6" w:type="dxa"/>
            <w:vMerge w:val="continue"/>
            <w:noWrap w:val="0"/>
            <w:vAlign w:val="center"/>
          </w:tcPr>
          <w:p>
            <w:pPr>
              <w:spacing w:line="240" w:lineRule="auto"/>
              <w:ind w:firstLine="0"/>
              <w:jc w:val="center"/>
              <w:rPr>
                <w:rFonts w:hint="eastAsia"/>
                <w:sz w:val="18"/>
                <w:szCs w:val="18"/>
              </w:rPr>
            </w:pPr>
          </w:p>
        </w:tc>
        <w:tc>
          <w:tcPr>
            <w:tcW w:w="1400" w:type="dxa"/>
            <w:vMerge w:val="continue"/>
            <w:noWrap w:val="0"/>
            <w:vAlign w:val="center"/>
          </w:tcPr>
          <w:p>
            <w:pPr>
              <w:spacing w:line="240" w:lineRule="auto"/>
              <w:ind w:firstLine="0"/>
              <w:jc w:val="center"/>
              <w:rPr>
                <w:rFonts w:hint="eastAsia"/>
                <w:sz w:val="18"/>
                <w:szCs w:val="18"/>
              </w:rPr>
            </w:pPr>
          </w:p>
        </w:tc>
        <w:tc>
          <w:tcPr>
            <w:tcW w:w="7429" w:type="dxa"/>
            <w:gridSpan w:val="19"/>
            <w:noWrap w:val="0"/>
            <w:vAlign w:val="center"/>
          </w:tcPr>
          <w:p>
            <w:pPr>
              <w:spacing w:line="240" w:lineRule="auto"/>
              <w:ind w:firstLine="0"/>
              <w:jc w:val="center"/>
              <w:rPr>
                <w:sz w:val="18"/>
                <w:szCs w:val="18"/>
              </w:rPr>
            </w:pPr>
            <w:r>
              <w:rPr>
                <w:rFonts w:hint="eastAsia"/>
                <w:sz w:val="18"/>
                <w:szCs w:val="18"/>
              </w:rPr>
              <w:t>最近环境敏感目标</w:t>
            </w:r>
            <w:r>
              <w:rPr>
                <w:rFonts w:hint="eastAsia"/>
                <w:sz w:val="18"/>
                <w:szCs w:val="18"/>
                <w:u w:val="single"/>
              </w:rPr>
              <w:t xml:space="preserve">       </w:t>
            </w:r>
            <w:r>
              <w:rPr>
                <w:rFonts w:hint="eastAsia"/>
                <w:sz w:val="18"/>
                <w:szCs w:val="18"/>
              </w:rPr>
              <w:t>，到达时间</w:t>
            </w:r>
            <w:r>
              <w:rPr>
                <w:rFonts w:hint="eastAsia"/>
                <w:sz w:val="18"/>
                <w:szCs w:val="18"/>
                <w:u w:val="single"/>
              </w:rPr>
              <w:t xml:space="preserve">       </w:t>
            </w:r>
            <w:r>
              <w:rPr>
                <w:rFonts w:hint="eastAsia" w:ascii="Times New Roman" w:hAnsi="Times New Roman"/>
                <w:sz w:val="18"/>
                <w:szCs w:val="18"/>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noWrap w:val="0"/>
            <w:vAlign w:val="center"/>
          </w:tcPr>
          <w:p>
            <w:pPr>
              <w:spacing w:line="240" w:lineRule="auto"/>
              <w:ind w:firstLine="0"/>
              <w:jc w:val="center"/>
              <w:rPr>
                <w:rFonts w:hint="eastAsia"/>
                <w:sz w:val="18"/>
                <w:szCs w:val="18"/>
              </w:rPr>
            </w:pPr>
            <w:r>
              <w:rPr>
                <w:rFonts w:hint="eastAsia"/>
                <w:sz w:val="18"/>
                <w:szCs w:val="18"/>
              </w:rPr>
              <w:t>重点风险防范措施</w:t>
            </w:r>
          </w:p>
        </w:tc>
        <w:tc>
          <w:tcPr>
            <w:tcW w:w="7429" w:type="dxa"/>
            <w:gridSpan w:val="19"/>
            <w:noWrap w:val="0"/>
            <w:vAlign w:val="center"/>
          </w:tcPr>
          <w:p>
            <w:pPr>
              <w:spacing w:line="240" w:lineRule="auto"/>
              <w:ind w:firstLine="0"/>
              <w:rPr>
                <w:rFonts w:hint="eastAsia"/>
                <w:sz w:val="18"/>
                <w:szCs w:val="18"/>
              </w:rPr>
            </w:pPr>
            <w:r>
              <w:rPr>
                <w:rFonts w:hint="eastAsia"/>
                <w:sz w:val="18"/>
                <w:szCs w:val="18"/>
              </w:rPr>
              <w:t>厂区分区防渗，</w:t>
            </w:r>
            <w:r>
              <w:rPr>
                <w:rFonts w:hint="eastAsia"/>
                <w:sz w:val="18"/>
                <w:szCs w:val="18"/>
                <w:lang w:eastAsia="zh-CN"/>
              </w:rPr>
              <w:t>储罐设置围堰，车间周边设置截水沟，</w:t>
            </w:r>
            <w:r>
              <w:rPr>
                <w:rFonts w:hint="eastAsia"/>
                <w:sz w:val="18"/>
                <w:szCs w:val="18"/>
              </w:rPr>
              <w:t>设置事故池，车间设置洗眼器等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6" w:type="dxa"/>
            <w:gridSpan w:val="2"/>
            <w:noWrap w:val="0"/>
            <w:vAlign w:val="center"/>
          </w:tcPr>
          <w:p>
            <w:pPr>
              <w:spacing w:line="240" w:lineRule="auto"/>
              <w:ind w:firstLine="0"/>
              <w:jc w:val="center"/>
              <w:rPr>
                <w:rFonts w:hint="eastAsia"/>
                <w:sz w:val="18"/>
                <w:szCs w:val="18"/>
              </w:rPr>
            </w:pPr>
            <w:r>
              <w:rPr>
                <w:rFonts w:hint="eastAsia"/>
                <w:sz w:val="18"/>
                <w:szCs w:val="18"/>
              </w:rPr>
              <w:t>评价结论与建议</w:t>
            </w:r>
          </w:p>
        </w:tc>
        <w:tc>
          <w:tcPr>
            <w:tcW w:w="7429" w:type="dxa"/>
            <w:gridSpan w:val="19"/>
            <w:noWrap w:val="0"/>
            <w:vAlign w:val="center"/>
          </w:tcPr>
          <w:p>
            <w:pPr>
              <w:spacing w:line="240" w:lineRule="auto"/>
              <w:ind w:firstLine="0"/>
              <w:jc w:val="center"/>
              <w:rPr>
                <w:rFonts w:hint="eastAsia"/>
                <w:sz w:val="18"/>
                <w:szCs w:val="18"/>
              </w:rPr>
            </w:pPr>
            <w:r>
              <w:rPr>
                <w:rFonts w:hint="eastAsia"/>
                <w:sz w:val="18"/>
                <w:szCs w:val="18"/>
              </w:rPr>
              <w:t>环境风险在可控范围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155" w:type="dxa"/>
            <w:gridSpan w:val="21"/>
            <w:noWrap w:val="0"/>
            <w:vAlign w:val="center"/>
          </w:tcPr>
          <w:p>
            <w:pPr>
              <w:spacing w:line="240" w:lineRule="auto"/>
              <w:ind w:firstLine="0"/>
              <w:jc w:val="left"/>
              <w:rPr>
                <w:rFonts w:hint="eastAsia"/>
                <w:sz w:val="18"/>
                <w:szCs w:val="18"/>
              </w:rPr>
            </w:pPr>
            <w:r>
              <w:rPr>
                <w:rFonts w:hint="eastAsia"/>
                <w:sz w:val="18"/>
                <w:szCs w:val="18"/>
              </w:rPr>
              <w:t>注：“</w:t>
            </w:r>
            <w:r>
              <w:rPr>
                <w:rFonts w:hint="eastAsia" w:hAnsi="宋体"/>
                <w:sz w:val="16"/>
                <w:szCs w:val="16"/>
              </w:rPr>
              <w:sym w:font="Wingdings 2" w:char="00A3"/>
            </w:r>
            <w:r>
              <w:rPr>
                <w:rFonts w:hint="eastAsia"/>
                <w:sz w:val="18"/>
                <w:szCs w:val="18"/>
              </w:rPr>
              <w:t>”为勾选项，“</w:t>
            </w:r>
            <w:r>
              <w:rPr>
                <w:rFonts w:hint="eastAsia"/>
                <w:sz w:val="18"/>
                <w:szCs w:val="18"/>
                <w:u w:val="single"/>
              </w:rPr>
              <w:t xml:space="preserve">      </w:t>
            </w:r>
            <w:r>
              <w:rPr>
                <w:rFonts w:hint="eastAsia"/>
                <w:sz w:val="18"/>
                <w:szCs w:val="18"/>
              </w:rPr>
              <w:t>”为填写项。</w:t>
            </w:r>
          </w:p>
        </w:tc>
      </w:tr>
    </w:tbl>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0"/>
        </w:numPr>
      </w:pPr>
      <w:r>
        <w:rPr>
          <w:rFonts w:hint="eastAsia"/>
        </w:rPr>
        <w:br w:type="page"/>
      </w:r>
      <w:bookmarkStart w:id="235" w:name="_Toc30161"/>
      <w:bookmarkStart w:id="236" w:name="_Toc12985"/>
      <w:r>
        <w:rPr>
          <w:rFonts w:hint="eastAsia" w:ascii="Times New Roman" w:hAnsi="Times New Roman"/>
          <w:kern w:val="0"/>
          <w:lang w:val="en-US" w:eastAsia="zh-CN"/>
        </w:rPr>
        <w:t>7</w:t>
      </w:r>
      <w:r>
        <w:rPr>
          <w:rFonts w:hint="eastAsia"/>
          <w:kern w:val="0"/>
        </w:rPr>
        <w:t>环境保护措施及可行性论证</w:t>
      </w:r>
      <w:bookmarkEnd w:id="235"/>
      <w:bookmarkEnd w:id="236"/>
    </w:p>
    <w:p>
      <w:pPr>
        <w:pStyle w:val="4"/>
        <w:bidi w:val="0"/>
        <w:rPr>
          <w:rFonts w:hint="eastAsia"/>
        </w:rPr>
      </w:pPr>
      <w:bookmarkStart w:id="237" w:name="_Toc19000"/>
      <w:bookmarkStart w:id="238" w:name="_Toc23921"/>
      <w:bookmarkStart w:id="239" w:name="_Toc5632"/>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rPr>
        <w:t xml:space="preserve"> 运营期废气防治措施</w:t>
      </w:r>
      <w:bookmarkEnd w:id="237"/>
      <w:bookmarkEnd w:id="238"/>
      <w:bookmarkEnd w:id="239"/>
    </w:p>
    <w:p>
      <w:pPr>
        <w:pStyle w:val="5"/>
        <w:bidi w:val="0"/>
        <w:rPr>
          <w:rFonts w:hint="default"/>
          <w:lang w:val="en-US" w:eastAsia="zh-CN"/>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有组织废气防治措施</w:t>
      </w:r>
    </w:p>
    <w:p>
      <w:pPr>
        <w:ind w:firstLine="480"/>
        <w:rPr>
          <w:rFonts w:hint="eastAsia"/>
          <w:lang w:val="en-US" w:eastAsia="zh-CN"/>
        </w:rPr>
      </w:pPr>
      <w:r>
        <w:rPr>
          <w:rFonts w:hint="eastAsia"/>
        </w:rPr>
        <w:t>本项目</w:t>
      </w:r>
      <w:r>
        <w:rPr>
          <w:rFonts w:hint="eastAsia"/>
          <w:lang w:eastAsia="zh-CN"/>
        </w:rPr>
        <w:t>生产装置整体密闭，采用氮气作为装置物料氮封气，生产过程的废气采用真空泵抽出后，经一级水吸收</w:t>
      </w:r>
      <w:r>
        <w:rPr>
          <w:rFonts w:hint="eastAsia"/>
          <w:lang w:val="en-US" w:eastAsia="zh-CN"/>
        </w:rPr>
        <w:t>+二级酸吸收处理后，通过</w:t>
      </w:r>
      <w:r>
        <w:rPr>
          <w:rFonts w:hint="eastAsia" w:ascii="Times New Roman" w:hAnsi="Times New Roman"/>
          <w:lang w:val="en-US" w:eastAsia="zh-CN"/>
        </w:rPr>
        <w:t>15m</w:t>
      </w:r>
      <w:r>
        <w:rPr>
          <w:rFonts w:hint="eastAsia"/>
          <w:lang w:val="en-US" w:eastAsia="zh-CN"/>
        </w:rPr>
        <w:t>高排气筒排放，该</w:t>
      </w:r>
      <w:r>
        <w:rPr>
          <w:rFonts w:hint="eastAsia"/>
        </w:rPr>
        <w:t>有组织废气</w:t>
      </w:r>
      <w:r>
        <w:rPr>
          <w:rFonts w:hint="eastAsia"/>
          <w:lang w:eastAsia="zh-CN"/>
        </w:rPr>
        <w:t>主要污染物为</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和</w:t>
      </w:r>
      <w:r>
        <w:rPr>
          <w:rFonts w:hint="eastAsia" w:ascii="Times New Roman" w:hAnsi="Times New Roman"/>
          <w:lang w:val="en-US" w:eastAsia="zh-CN"/>
        </w:rPr>
        <w:t>NMHC</w:t>
      </w:r>
      <w:r>
        <w:rPr>
          <w:rFonts w:hint="eastAsia"/>
          <w:lang w:val="en-US" w:eastAsia="zh-CN"/>
        </w:rPr>
        <w:t>。</w:t>
      </w:r>
      <w:r>
        <w:rPr>
          <w:rFonts w:hint="eastAsia" w:ascii="Times New Roman" w:hAnsi="Times New Roman"/>
          <w:lang w:val="en-US" w:eastAsia="zh-CN"/>
        </w:rPr>
        <w:t>NMHC</w:t>
      </w:r>
      <w:r>
        <w:rPr>
          <w:rFonts w:hint="eastAsia"/>
          <w:lang w:val="en-US" w:eastAsia="zh-CN"/>
        </w:rPr>
        <w:t>（主要成份</w:t>
      </w:r>
      <w:r>
        <w:rPr>
          <w:rFonts w:hint="eastAsia" w:ascii="Times New Roman" w:hAnsi="Times New Roman"/>
          <w:lang w:val="en-US" w:eastAsia="zh-CN"/>
        </w:rPr>
        <w:t>PD</w:t>
      </w:r>
      <w:r>
        <w:rPr>
          <w:rFonts w:hint="eastAsia"/>
          <w:lang w:val="en-US" w:eastAsia="zh-CN"/>
        </w:rPr>
        <w:t>）</w:t>
      </w:r>
      <w:r>
        <w:rPr>
          <w:rFonts w:hint="eastAsia"/>
          <w:lang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均易溶于水</w:t>
      </w:r>
      <w:r>
        <w:rPr>
          <w:rFonts w:hint="eastAsia"/>
        </w:rPr>
        <w:t>，根据《大气污染治理工程技术导则》（</w:t>
      </w:r>
      <w:r>
        <w:rPr>
          <w:rFonts w:hint="eastAsia" w:ascii="Times New Roman" w:hAnsi="Times New Roman"/>
        </w:rPr>
        <w:t>HJ2000</w:t>
      </w:r>
      <w:r>
        <w:rPr>
          <w:rFonts w:hint="eastAsia"/>
        </w:rPr>
        <w:t>-</w:t>
      </w:r>
      <w:r>
        <w:rPr>
          <w:rFonts w:hint="eastAsia" w:ascii="Times New Roman" w:hAnsi="Times New Roman"/>
        </w:rPr>
        <w:t>2010</w:t>
      </w:r>
      <w:r>
        <w:rPr>
          <w:rFonts w:hint="eastAsia"/>
        </w:rPr>
        <w:t>）</w:t>
      </w:r>
      <w:r>
        <w:rPr>
          <w:rFonts w:hint="eastAsia" w:ascii="Times New Roman" w:hAnsi="Times New Roman"/>
        </w:rPr>
        <w:t>6</w:t>
      </w:r>
      <w:r>
        <w:rPr>
          <w:rFonts w:hint="eastAsia"/>
        </w:rPr>
        <w:t>.</w:t>
      </w:r>
      <w:r>
        <w:rPr>
          <w:rFonts w:hint="eastAsia" w:ascii="Times New Roman" w:hAnsi="Times New Roman"/>
        </w:rPr>
        <w:t>2</w:t>
      </w:r>
      <w:r>
        <w:rPr>
          <w:rFonts w:hint="eastAsia"/>
        </w:rPr>
        <w:t>中的相关要求，吸收法适用于吸收效率和速率较高的有毒、有害气体的净化</w:t>
      </w:r>
      <w:r>
        <w:rPr>
          <w:rFonts w:hint="eastAsia"/>
          <w:lang w:eastAsia="zh-CN"/>
        </w:rPr>
        <w:t>，</w:t>
      </w:r>
      <w:r>
        <w:rPr>
          <w:rFonts w:hint="eastAsia"/>
        </w:rPr>
        <w:t>具有反应吸收快、可同时处理少量固体悬浮物、处理气体量大的优点</w:t>
      </w:r>
      <w:r>
        <w:rPr>
          <w:rFonts w:hint="eastAsia"/>
          <w:lang w:eastAsia="zh-CN"/>
        </w:rPr>
        <w:t>。废气经水洗后</w:t>
      </w:r>
      <w:r>
        <w:rPr>
          <w:rFonts w:hint="eastAsia"/>
          <w:lang w:val="en-US" w:eastAsia="zh-CN"/>
        </w:rPr>
        <w:t>，产生的氨水回用于动力锅炉配置脱硫剂使用，主要发生以下反应：</w:t>
      </w:r>
    </w:p>
    <w:p>
      <w:pPr>
        <w:ind w:firstLine="480"/>
        <w:jc w:val="center"/>
        <w:rPr>
          <w:rFonts w:hint="eastAsia"/>
          <w:lang w:val="en-US" w:eastAsia="zh-CN"/>
        </w:rPr>
      </w:pPr>
      <w:r>
        <w:rPr>
          <w:rFonts w:hint="eastAsia"/>
          <w:position w:val="-12"/>
          <w:lang w:val="en-US" w:eastAsia="zh-CN"/>
        </w:rPr>
        <w:object>
          <v:shape id="_x0000_i1042" o:spt="75" type="#_x0000_t75" style="height:18pt;width:123pt;" o:ole="t" filled="f" o:preferrelative="t" stroked="f" coordsize="21600,21600">
            <v:path/>
            <v:fill on="f" focussize="0,0"/>
            <v:stroke on="f"/>
            <v:imagedata r:id="rId55" o:title=""/>
            <o:lock v:ext="edit" aspectratio="t"/>
            <w10:wrap type="none"/>
            <w10:anchorlock/>
          </v:shape>
          <o:OLEObject Type="Embed" ProgID="Equation.KSEE3" ShapeID="_x0000_i1042" DrawAspect="Content" ObjectID="_1468075751" r:id="rId96">
            <o:LockedField>false</o:LockedField>
          </o:OLEObject>
        </w:object>
      </w:r>
    </w:p>
    <w:p>
      <w:pPr>
        <w:ind w:firstLine="480"/>
        <w:rPr>
          <w:rFonts w:hint="eastAsia"/>
          <w:lang w:val="en-US" w:eastAsia="zh-CN"/>
        </w:rPr>
      </w:pPr>
      <w:r>
        <w:rPr>
          <w:rFonts w:hint="eastAsia"/>
          <w:lang w:val="en-US" w:eastAsia="zh-CN"/>
        </w:rPr>
        <w:t>含氨尾气采用水吸收处理，在生产实践中被广泛应用，措施成熟可行。</w:t>
      </w:r>
    </w:p>
    <w:p>
      <w:pPr>
        <w:ind w:firstLine="480"/>
        <w:rPr>
          <w:rFonts w:hint="eastAsia"/>
          <w:lang w:eastAsia="zh-CN"/>
        </w:rPr>
      </w:pPr>
      <w:r>
        <w:rPr>
          <w:rFonts w:hint="eastAsia"/>
          <w:lang w:val="en-US" w:eastAsia="zh-CN"/>
        </w:rPr>
        <w:t>两级酸吸收</w:t>
      </w:r>
      <w:r>
        <w:rPr>
          <w:rFonts w:hint="eastAsia"/>
          <w:lang w:eastAsia="zh-CN"/>
        </w:rPr>
        <w:t>可回收废气中剩余</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eastAsia="zh-CN"/>
        </w:rPr>
        <w:t>，主要发生下列反应：</w:t>
      </w:r>
    </w:p>
    <w:p>
      <w:pPr>
        <w:ind w:firstLine="480"/>
        <w:rPr>
          <w:rFonts w:hint="default"/>
          <w:lang w:val="en-US" w:eastAsia="zh-CN"/>
        </w:rPr>
      </w:pPr>
      <m:oMathPara>
        <m:oMath>
          <m:r>
            <m:rPr>
              <m:sty m:val="p"/>
            </m:rPr>
            <w:rPr>
              <w:rFonts w:hint="default" w:ascii="Cambria Math" w:hAnsi="Cambria Math" w:cs="Times New Roman"/>
              <w:sz w:val="24"/>
              <w:lang w:val="en-US" w:eastAsia="zh-CN" w:bidi="ar-SA"/>
            </w:rPr>
            <m:t>2N</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H</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3</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H</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2</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S</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O</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4</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m:t>
          </m:r>
          <m:sSub>
            <m:sSubPr>
              <m:ctrlPr>
                <w:rPr>
                  <w:rFonts w:hint="default" w:ascii="Cambria Math" w:hAnsi="Cambria Math" w:cs="Times New Roman"/>
                  <w:sz w:val="24"/>
                  <w:lang w:val="en-US" w:eastAsia="zh-CN" w:bidi="ar-SA"/>
                </w:rPr>
              </m:ctrlPr>
            </m:sSubPr>
            <m:e>
              <m:d>
                <m:dPr>
                  <m:ctrlPr>
                    <w:rPr>
                      <w:rFonts w:hint="default" w:ascii="Cambria Math" w:hAnsi="Cambria Math" w:cs="Times New Roman"/>
                      <w:sz w:val="24"/>
                      <w:lang w:val="en-US" w:eastAsia="zh-CN" w:bidi="ar-SA"/>
                    </w:rPr>
                  </m:ctrlPr>
                </m:dPr>
                <m:e>
                  <m:r>
                    <m:rPr>
                      <m:sty m:val="p"/>
                    </m:rPr>
                    <w:rPr>
                      <w:rFonts w:hint="default" w:ascii="Cambria Math" w:hAnsi="Cambria Math" w:cs="Times New Roman"/>
                      <w:sz w:val="24"/>
                      <w:lang w:val="en-US" w:eastAsia="zh-CN" w:bidi="ar-SA"/>
                    </w:rPr>
                    <m:t>N</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H</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4</m:t>
                      </m:r>
                      <m:ctrlPr>
                        <w:rPr>
                          <w:rFonts w:hint="default" w:ascii="Cambria Math" w:hAnsi="Cambria Math" w:cs="Times New Roman"/>
                          <w:sz w:val="24"/>
                          <w:lang w:val="en-US" w:eastAsia="zh-CN" w:bidi="ar-SA"/>
                        </w:rPr>
                      </m:ctrlPr>
                    </m:sub>
                  </m:sSub>
                  <m:ctrlPr>
                    <w:rPr>
                      <w:rFonts w:hint="default" w:ascii="Cambria Math" w:hAnsi="Cambria Math" w:cs="Times New Roman"/>
                      <w:sz w:val="24"/>
                      <w:lang w:val="en-US" w:eastAsia="zh-CN" w:bidi="ar-SA"/>
                    </w:rPr>
                  </m:ctrlPr>
                </m:e>
              </m:d>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2</m:t>
              </m:r>
              <m:ctrlPr>
                <w:rPr>
                  <w:rFonts w:hint="default" w:ascii="Cambria Math" w:hAnsi="Cambria Math" w:cs="Times New Roman"/>
                  <w:sz w:val="24"/>
                  <w:lang w:val="en-US" w:eastAsia="zh-CN" w:bidi="ar-SA"/>
                </w:rPr>
              </m:ctrlPr>
            </m:sub>
          </m:sSub>
          <m:r>
            <m:rPr>
              <m:sty m:val="p"/>
            </m:rPr>
            <w:rPr>
              <w:rFonts w:hint="default" w:ascii="Cambria Math" w:hAnsi="Cambria Math" w:cs="Times New Roman"/>
              <w:sz w:val="24"/>
              <w:lang w:val="en-US" w:eastAsia="zh-CN" w:bidi="ar-SA"/>
            </w:rPr>
            <m:t>S</m:t>
          </m:r>
          <m:sSub>
            <m:sSubPr>
              <m:ctrlPr>
                <w:rPr>
                  <w:rFonts w:hint="default" w:ascii="Cambria Math" w:hAnsi="Cambria Math" w:cs="Times New Roman"/>
                  <w:sz w:val="24"/>
                  <w:lang w:val="en-US" w:eastAsia="zh-CN" w:bidi="ar-SA"/>
                </w:rPr>
              </m:ctrlPr>
            </m:sSubPr>
            <m:e>
              <m:r>
                <m:rPr>
                  <m:sty m:val="p"/>
                </m:rPr>
                <w:rPr>
                  <w:rFonts w:hint="default" w:ascii="Cambria Math" w:hAnsi="Cambria Math" w:cs="Times New Roman"/>
                  <w:sz w:val="24"/>
                  <w:lang w:val="en-US" w:eastAsia="zh-CN" w:bidi="ar-SA"/>
                </w:rPr>
                <m:t>O</m:t>
              </m:r>
              <m:ctrlPr>
                <w:rPr>
                  <w:rFonts w:hint="default" w:ascii="Cambria Math" w:hAnsi="Cambria Math" w:cs="Times New Roman"/>
                  <w:sz w:val="24"/>
                  <w:lang w:val="en-US" w:eastAsia="zh-CN" w:bidi="ar-SA"/>
                </w:rPr>
              </m:ctrlPr>
            </m:e>
            <m:sub>
              <m:r>
                <m:rPr>
                  <m:sty m:val="p"/>
                </m:rPr>
                <w:rPr>
                  <w:rFonts w:hint="default" w:ascii="Cambria Math" w:hAnsi="Cambria Math" w:cs="Times New Roman"/>
                  <w:sz w:val="24"/>
                  <w:lang w:val="en-US" w:eastAsia="zh-CN" w:bidi="ar-SA"/>
                </w:rPr>
                <m:t>4</m:t>
              </m:r>
              <m:ctrlPr>
                <w:rPr>
                  <w:rFonts w:hint="default" w:ascii="Cambria Math" w:hAnsi="Cambria Math" w:cs="Times New Roman"/>
                  <w:sz w:val="24"/>
                  <w:lang w:val="en-US" w:eastAsia="zh-CN" w:bidi="ar-SA"/>
                </w:rPr>
              </m:ctrlPr>
            </m:sub>
          </m:sSub>
        </m:oMath>
      </m:oMathPara>
    </w:p>
    <w:p>
      <w:pPr>
        <w:ind w:firstLine="480"/>
        <w:rPr>
          <w:rFonts w:hint="eastAsia"/>
          <w:lang w:eastAsia="zh-CN"/>
        </w:rPr>
      </w:pPr>
      <w:r>
        <w:rPr>
          <w:rFonts w:hint="eastAsia"/>
          <w:lang w:eastAsia="zh-CN"/>
        </w:rPr>
        <w:t>硫酸铵易溶于水，生成硫酸铵溶液可回用于现有工程发酵车间使用。</w:t>
      </w:r>
    </w:p>
    <w:p>
      <w:pPr>
        <w:ind w:firstLine="480"/>
      </w:pPr>
      <w:r>
        <w:rPr>
          <w:rFonts w:hint="eastAsia"/>
          <w:lang w:eastAsia="zh-CN"/>
        </w:rPr>
        <w:t>一级水吸收</w:t>
      </w:r>
      <w:r>
        <w:rPr>
          <w:rFonts w:hint="eastAsia"/>
          <w:lang w:val="en-US" w:eastAsia="zh-CN"/>
        </w:rPr>
        <w:t>+</w:t>
      </w:r>
      <w:r>
        <w:rPr>
          <w:rFonts w:hint="eastAsia"/>
        </w:rPr>
        <w:t>二级</w:t>
      </w:r>
      <w:r>
        <w:rPr>
          <w:rFonts w:hint="eastAsia"/>
          <w:lang w:eastAsia="zh-CN"/>
        </w:rPr>
        <w:t>酸吸收</w:t>
      </w:r>
      <w:r>
        <w:rPr>
          <w:rFonts w:hint="eastAsia"/>
        </w:rPr>
        <w:t>工艺流程示意图见图</w:t>
      </w:r>
      <w:r>
        <w:rPr>
          <w:rFonts w:hint="eastAsia" w:ascii="Times New Roman" w:hAnsi="Times New Roman"/>
          <w:lang w:val="en-US" w:eastAsia="zh-CN"/>
        </w:rPr>
        <w:t>7</w:t>
      </w:r>
      <w:r>
        <w:rPr>
          <w:rFonts w:hint="eastAsia"/>
        </w:rPr>
        <w:t>.</w:t>
      </w:r>
      <w:r>
        <w:rPr>
          <w:rFonts w:hint="eastAsia" w:ascii="Times New Roman" w:hAnsi="Times New Roman"/>
        </w:rPr>
        <w:t>1</w:t>
      </w:r>
      <w:r>
        <w:rPr>
          <w:rFonts w:hint="eastAsia"/>
        </w:rPr>
        <w:t>-</w:t>
      </w:r>
      <w:r>
        <w:rPr>
          <w:rFonts w:hint="eastAsia" w:ascii="Times New Roman" w:hAnsi="Times New Roman"/>
        </w:rPr>
        <w:t>1</w:t>
      </w:r>
      <w:r>
        <w:rPr>
          <w:rFonts w:hint="eastAsia"/>
        </w:rPr>
        <w:t>。</w:t>
      </w:r>
    </w:p>
    <w:p>
      <w:pPr>
        <w:pStyle w:val="20"/>
        <w:spacing w:before="165"/>
        <w:rPr>
          <w:rFonts w:ascii="Times New Roman" w:hAnsi="Times New Roman"/>
        </w:rPr>
      </w:pPr>
      <w:r>
        <w:rPr>
          <w:rFonts w:hint="eastAsia" w:ascii="Times New Roman"/>
        </w:rPr>
        <w:object>
          <v:shape id="_x0000_i1043" o:spt="75" type="#_x0000_t75" style="height:165.35pt;width:447.85pt;" o:ole="t" filled="f" o:preferrelative="t" stroked="f" coordsize="21600,21600">
            <v:path/>
            <v:fill on="f" focussize="0,0"/>
            <v:stroke on="f"/>
            <v:imagedata r:id="rId98" o:title=""/>
            <o:lock v:ext="edit" aspectratio="f"/>
            <w10:wrap type="none"/>
            <w10:anchorlock/>
          </v:shape>
          <o:OLEObject Type="Embed" ProgID="Visio.Drawing.11" ShapeID="_x0000_i1043" DrawAspect="Content" ObjectID="_1468075752" r:id="rId97">
            <o:LockedField>false</o:LockedField>
          </o:OLEObject>
        </w:object>
      </w:r>
      <w:r>
        <w:rPr>
          <w:rFonts w:hint="eastAsia" w:ascii="Times New Roman"/>
        </w:rPr>
        <w:t>图</w:t>
      </w:r>
      <w:r>
        <w:rPr>
          <w:rFonts w:hint="eastAsia" w:ascii="Times New Roman" w:hAnsi="Times New Roman"/>
          <w:lang w:val="en-US" w:eastAsia="zh-CN"/>
        </w:rPr>
        <w:t>7</w:t>
      </w:r>
      <w:r>
        <w:rPr>
          <w:rFonts w:hint="eastAsia" w:ascii="Times New Roman"/>
        </w:rPr>
        <w:t>.</w:t>
      </w:r>
      <w:r>
        <w:rPr>
          <w:rFonts w:hint="eastAsia" w:ascii="Times New Roman" w:hAnsi="Times New Roman"/>
        </w:rPr>
        <w:t>1</w:t>
      </w:r>
      <w:r>
        <w:rPr>
          <w:rFonts w:hint="eastAsia" w:ascii="Times New Roman"/>
        </w:rPr>
        <w:t>-</w:t>
      </w:r>
      <w:r>
        <w:rPr>
          <w:rFonts w:hint="eastAsia" w:ascii="Times New Roman" w:hAnsi="Times New Roman"/>
        </w:rPr>
        <w:t>1</w:t>
      </w:r>
      <w:r>
        <w:rPr>
          <w:rFonts w:hint="eastAsia" w:ascii="Times New Roman"/>
        </w:rPr>
        <w:t xml:space="preserve">  </w:t>
      </w:r>
      <w:r>
        <w:rPr>
          <w:rFonts w:hint="eastAsia" w:ascii="Times New Roman"/>
          <w:lang w:eastAsia="zh-CN"/>
        </w:rPr>
        <w:t>一级水吸收</w:t>
      </w:r>
      <w:r>
        <w:rPr>
          <w:rFonts w:hint="eastAsia" w:ascii="Times New Roman"/>
          <w:lang w:val="en-US" w:eastAsia="zh-CN"/>
        </w:rPr>
        <w:t>+</w:t>
      </w:r>
      <w:r>
        <w:rPr>
          <w:rFonts w:hint="eastAsia" w:ascii="Times New Roman"/>
        </w:rPr>
        <w:t>二级</w:t>
      </w:r>
      <w:r>
        <w:rPr>
          <w:rFonts w:hint="eastAsia" w:ascii="Times New Roman"/>
          <w:lang w:eastAsia="zh-CN"/>
        </w:rPr>
        <w:t>酸吸收</w:t>
      </w:r>
      <w:r>
        <w:rPr>
          <w:rFonts w:hint="eastAsia" w:ascii="Times New Roman"/>
        </w:rPr>
        <w:t>工艺流程示意图</w:t>
      </w:r>
    </w:p>
    <w:p>
      <w:pPr>
        <w:ind w:firstLine="480"/>
        <w:rPr>
          <w:rFonts w:hint="eastAsia"/>
          <w:lang w:val="en-US" w:eastAsia="zh-CN"/>
        </w:rPr>
      </w:pPr>
      <w:r>
        <w:rPr>
          <w:rFonts w:hint="eastAsia"/>
          <w:lang w:eastAsia="zh-CN"/>
        </w:rPr>
        <w:t>经预测，本项目工艺废气经一级水吸收</w:t>
      </w:r>
      <w:r>
        <w:rPr>
          <w:rFonts w:hint="eastAsia"/>
          <w:lang w:val="en-US" w:eastAsia="zh-CN"/>
        </w:rPr>
        <w:t>+二级酸吸收处理后，通过</w:t>
      </w:r>
      <w:r>
        <w:rPr>
          <w:rFonts w:hint="eastAsia" w:ascii="Times New Roman" w:hAnsi="Times New Roman"/>
          <w:lang w:val="en-US" w:eastAsia="zh-CN"/>
        </w:rPr>
        <w:t>15m</w:t>
      </w:r>
      <w:r>
        <w:rPr>
          <w:rFonts w:hint="eastAsia"/>
          <w:lang w:val="en-US" w:eastAsia="zh-CN"/>
        </w:rPr>
        <w:t>高排气筒排放，主要污染物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排放满足《恶臭污染物排放标准》（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标准限值，</w:t>
      </w:r>
      <w:r>
        <w:rPr>
          <w:rFonts w:hint="eastAsia" w:ascii="Times New Roman" w:hAnsi="Times New Roman"/>
          <w:lang w:val="en-US" w:eastAsia="zh-CN"/>
        </w:rPr>
        <w:t>NMHC</w:t>
      </w:r>
      <w:r>
        <w:rPr>
          <w:rFonts w:hint="eastAsia"/>
          <w:lang w:val="en-US" w:eastAsia="zh-CN"/>
        </w:rPr>
        <w:t>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限值。</w:t>
      </w:r>
    </w:p>
    <w:p>
      <w:pPr>
        <w:rPr>
          <w:rFonts w:hint="eastAsia"/>
        </w:rPr>
      </w:pPr>
      <w:r>
        <w:rPr>
          <w:rFonts w:hint="eastAsia"/>
        </w:rPr>
        <w:t>本项目</w:t>
      </w:r>
      <w:r>
        <w:rPr>
          <w:rFonts w:hint="eastAsia"/>
          <w:lang w:eastAsia="zh-CN"/>
        </w:rPr>
        <w:t>废气经处理后满足达标排放要求</w:t>
      </w:r>
      <w:r>
        <w:rPr>
          <w:rFonts w:hint="eastAsia"/>
        </w:rPr>
        <w:t>。建设方应维护设备的良好运行状态，平稳操作，确保污染物</w:t>
      </w:r>
      <w:r>
        <w:rPr>
          <w:rFonts w:hint="eastAsia"/>
          <w:lang w:eastAsia="zh-CN"/>
        </w:rPr>
        <w:t>达标排放</w:t>
      </w:r>
      <w:r>
        <w:rPr>
          <w:rFonts w:hint="eastAsia"/>
        </w:rPr>
        <w:t>。本项目采取的大气污染防治措施总体是成熟，可行的。</w:t>
      </w:r>
    </w:p>
    <w:p>
      <w:pPr>
        <w:pStyle w:val="5"/>
        <w:bidi w:val="0"/>
        <w:rPr>
          <w:rFonts w:hint="eastAsia" w:ascii="Times New Roman" w:hAnsi="Times New Roman" w:eastAsia="华文楷体"/>
          <w:lang w:eastAsia="zh-CN"/>
        </w:rPr>
      </w:pP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1</w:t>
      </w:r>
      <w:r>
        <w:rPr>
          <w:rFonts w:hint="eastAsia"/>
        </w:rPr>
        <w:t>.</w:t>
      </w:r>
      <w:r>
        <w:rPr>
          <w:rFonts w:hint="eastAsia" w:ascii="Times New Roman" w:hAnsi="Times New Roman"/>
        </w:rPr>
        <w:t>2</w:t>
      </w:r>
      <w:r>
        <w:rPr>
          <w:rFonts w:hint="eastAsia" w:hAnsi="Times New Roman"/>
          <w:lang w:eastAsia="zh-CN"/>
        </w:rPr>
        <w:t>无组织废气防治措施</w:t>
      </w:r>
    </w:p>
    <w:p>
      <w:pPr>
        <w:rPr>
          <w:color w:val="auto"/>
        </w:rPr>
      </w:pPr>
      <w:r>
        <w:rPr>
          <w:rFonts w:hint="default"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无组织废气主要</w:t>
      </w:r>
      <w:r>
        <w:rPr>
          <w:rFonts w:hint="eastAsia" w:ascii="Times New Roman" w:eastAsia="宋体" w:cs="Times New Roman"/>
          <w:color w:val="auto"/>
          <w:lang w:eastAsia="zh-CN"/>
        </w:rPr>
        <w:t>来自罐区废气（包括储罐</w:t>
      </w:r>
      <w:r>
        <w:rPr>
          <w:rFonts w:hint="eastAsia" w:ascii="Times New Roman" w:cs="Times New Roman"/>
          <w:color w:val="auto"/>
          <w:lang w:eastAsia="zh-CN"/>
        </w:rPr>
        <w:t>区工作损失和静置损失</w:t>
      </w:r>
      <w:r>
        <w:rPr>
          <w:rFonts w:hint="eastAsia" w:ascii="Times New Roman" w:eastAsia="宋体" w:cs="Times New Roman"/>
          <w:color w:val="auto"/>
          <w:lang w:eastAsia="zh-CN"/>
        </w:rPr>
        <w:t>）。</w:t>
      </w:r>
      <w:r>
        <w:rPr>
          <w:rFonts w:hint="eastAsia" w:ascii="Times New Roman" w:cs="Times New Roman"/>
          <w:color w:val="auto"/>
          <w:lang w:eastAsia="zh-CN"/>
        </w:rPr>
        <w:t>本项目</w:t>
      </w:r>
      <w:r>
        <w:rPr>
          <w:rFonts w:hint="eastAsia" w:ascii="Times New Roman" w:hAnsi="Times New Roman" w:cs="Times New Roman"/>
          <w:color w:val="auto"/>
          <w:lang w:eastAsia="zh-CN"/>
        </w:rPr>
        <w:t>PD</w:t>
      </w:r>
      <w:r>
        <w:rPr>
          <w:rFonts w:hint="eastAsia" w:ascii="Times New Roman" w:cs="Times New Roman"/>
          <w:color w:val="auto"/>
          <w:lang w:eastAsia="zh-CN"/>
        </w:rPr>
        <w:t>属于挥发性有机液体，在厂内储罐存放过程会产生静置损失（由于温差造成的损失）和工作损失（由于装卸转运过程造成的损失）</w:t>
      </w:r>
      <w:r>
        <w:rPr>
          <w:rFonts w:hint="eastAsia"/>
          <w:color w:val="auto"/>
          <w:lang w:val="en-US" w:eastAsia="zh-CN"/>
        </w:rPr>
        <w:t>。本项目储罐采用固定顶储罐并严加密闭，装车过程采用双鹤管保持储罐与槽车的气相平衡，对挥发性有机物的治理符合《挥发性有机物无组织排放控制标准》（</w:t>
      </w:r>
      <w:r>
        <w:rPr>
          <w:rFonts w:hint="eastAsia" w:ascii="Times New Roman" w:hAnsi="Times New Roman"/>
          <w:color w:val="auto"/>
          <w:lang w:val="en-US" w:eastAsia="zh-CN"/>
        </w:rPr>
        <w:t>GB37822</w:t>
      </w:r>
      <w:r>
        <w:rPr>
          <w:rFonts w:hint="eastAsia"/>
          <w:color w:val="auto"/>
          <w:lang w:val="en-US" w:eastAsia="zh-CN"/>
        </w:rPr>
        <w:t>-</w:t>
      </w:r>
      <w:r>
        <w:rPr>
          <w:rFonts w:hint="eastAsia" w:ascii="Times New Roman" w:hAnsi="Times New Roman"/>
          <w:color w:val="auto"/>
          <w:lang w:val="en-US" w:eastAsia="zh-CN"/>
        </w:rPr>
        <w:t>2019</w:t>
      </w:r>
      <w:r>
        <w:rPr>
          <w:rFonts w:hint="eastAsia"/>
          <w:color w:val="auto"/>
          <w:lang w:val="en-US" w:eastAsia="zh-CN"/>
        </w:rPr>
        <w:t>）相关要求</w:t>
      </w:r>
      <w:r>
        <w:rPr>
          <w:rFonts w:hint="eastAsia" w:ascii="Times New Roman" w:hAnsi="Times New Roman" w:cs="Times New Roman"/>
          <w:color w:val="auto"/>
          <w:lang w:eastAsia="zh-CN"/>
        </w:rPr>
        <w:t>。</w:t>
      </w:r>
      <w:r>
        <w:rPr>
          <w:color w:val="auto"/>
        </w:rPr>
        <w:t>废气无组织排放的治理和控制关键是对密封点的管理。为进一步减少</w:t>
      </w:r>
      <w:r>
        <w:rPr>
          <w:rFonts w:hint="eastAsia"/>
          <w:color w:val="auto"/>
          <w:lang w:eastAsia="zh-CN"/>
        </w:rPr>
        <w:t>挥发性有机物排放</w:t>
      </w:r>
      <w:r>
        <w:rPr>
          <w:color w:val="auto"/>
        </w:rPr>
        <w:t>，除了以上措施外，</w:t>
      </w:r>
      <w:r>
        <w:rPr>
          <w:rFonts w:hint="eastAsia"/>
          <w:color w:val="auto"/>
          <w:lang w:eastAsia="zh-CN"/>
        </w:rPr>
        <w:t>本次</w:t>
      </w:r>
      <w:r>
        <w:rPr>
          <w:color w:val="auto"/>
        </w:rPr>
        <w:t>评价特提出：</w:t>
      </w:r>
    </w:p>
    <w:p>
      <w:pPr>
        <w:pStyle w:val="477"/>
        <w:spacing w:before="0" w:after="0"/>
        <w:rPr>
          <w:color w:val="auto"/>
        </w:rPr>
      </w:pPr>
      <w:r>
        <w:rPr>
          <w:color w:val="auto"/>
        </w:rPr>
        <w:t>（</w:t>
      </w:r>
      <w:r>
        <w:rPr>
          <w:rFonts w:ascii="Times New Roman" w:hAnsi="Times New Roman"/>
          <w:color w:val="auto"/>
        </w:rPr>
        <w:t>1</w:t>
      </w:r>
      <w:r>
        <w:rPr>
          <w:color w:val="auto"/>
        </w:rPr>
        <w:t>）在硬件上加强新型密封技术和密封材料的引进和投入的同时，加强</w:t>
      </w:r>
      <w:r>
        <w:rPr>
          <w:rFonts w:hint="eastAsia"/>
          <w:color w:val="auto"/>
          <w:lang w:eastAsia="zh-CN"/>
        </w:rPr>
        <w:t>设备的</w:t>
      </w:r>
      <w:r>
        <w:rPr>
          <w:color w:val="auto"/>
        </w:rPr>
        <w:t>密封管理。</w:t>
      </w:r>
    </w:p>
    <w:p>
      <w:pPr>
        <w:pStyle w:val="477"/>
        <w:spacing w:before="0" w:after="0"/>
        <w:rPr>
          <w:color w:val="auto"/>
        </w:rPr>
      </w:pPr>
      <w:r>
        <w:rPr>
          <w:color w:val="auto"/>
        </w:rPr>
        <w:t>（</w:t>
      </w:r>
      <w:r>
        <w:rPr>
          <w:rFonts w:ascii="Times New Roman" w:hAnsi="Times New Roman"/>
          <w:color w:val="auto"/>
        </w:rPr>
        <w:t>2</w:t>
      </w:r>
      <w:r>
        <w:rPr>
          <w:color w:val="auto"/>
        </w:rPr>
        <w:t>）密封管理制度应体现全过程管理，从设计、选型、制造、采购、安装、交付使用、维修、改造直至报废全过程，都应有明确的规定。</w:t>
      </w:r>
    </w:p>
    <w:p>
      <w:pPr>
        <w:pStyle w:val="477"/>
        <w:spacing w:before="0" w:after="0"/>
        <w:rPr>
          <w:color w:val="auto"/>
        </w:rPr>
      </w:pPr>
      <w:r>
        <w:rPr>
          <w:color w:val="auto"/>
        </w:rPr>
        <w:t>（</w:t>
      </w:r>
      <w:r>
        <w:rPr>
          <w:rFonts w:ascii="Times New Roman" w:hAnsi="Times New Roman"/>
          <w:color w:val="auto"/>
        </w:rPr>
        <w:t>3</w:t>
      </w:r>
      <w:r>
        <w:rPr>
          <w:color w:val="auto"/>
        </w:rPr>
        <w:t>）加强</w:t>
      </w:r>
      <w:r>
        <w:rPr>
          <w:rFonts w:hint="eastAsia"/>
          <w:color w:val="auto"/>
          <w:lang w:eastAsia="zh-CN"/>
        </w:rPr>
        <w:t>储罐</w:t>
      </w:r>
      <w:r>
        <w:rPr>
          <w:color w:val="auto"/>
        </w:rPr>
        <w:t>附属设备的维修</w:t>
      </w:r>
      <w:r>
        <w:rPr>
          <w:rFonts w:hint="eastAsia"/>
          <w:color w:val="auto"/>
          <w:lang w:eastAsia="zh-CN"/>
        </w:rPr>
        <w:t>保养，</w:t>
      </w:r>
      <w:r>
        <w:rPr>
          <w:color w:val="auto"/>
        </w:rPr>
        <w:t>保持</w:t>
      </w:r>
      <w:r>
        <w:rPr>
          <w:rFonts w:hint="eastAsia"/>
          <w:color w:val="auto"/>
          <w:lang w:eastAsia="zh-CN"/>
        </w:rPr>
        <w:t>储罐</w:t>
      </w:r>
      <w:r>
        <w:rPr>
          <w:color w:val="auto"/>
        </w:rPr>
        <w:t>严密性；合理进行</w:t>
      </w:r>
      <w:r>
        <w:rPr>
          <w:rFonts w:hint="eastAsia"/>
          <w:color w:val="auto"/>
          <w:lang w:eastAsia="zh-CN"/>
        </w:rPr>
        <w:t>产品装车的</w:t>
      </w:r>
      <w:r>
        <w:rPr>
          <w:color w:val="auto"/>
        </w:rPr>
        <w:t>调度，尽可能降低油罐留空高度；改进收发操作，尽可能减少油品周转次数。</w:t>
      </w:r>
    </w:p>
    <w:p>
      <w:pPr>
        <w:bidi w:val="0"/>
        <w:rPr>
          <w:rFonts w:hint="eastAsia"/>
        </w:rPr>
      </w:pPr>
      <w:r>
        <w:rPr>
          <w:rFonts w:hint="default" w:ascii="Times New Roman" w:hAnsi="Times New Roman" w:cs="Times New Roman"/>
          <w:color w:val="auto"/>
        </w:rPr>
        <w:t>（</w:t>
      </w:r>
      <w:r>
        <w:rPr>
          <w:rFonts w:hint="default" w:ascii="Times New Roman" w:hAnsi="Times New Roman" w:cs="Times New Roman"/>
          <w:color w:val="auto"/>
        </w:rPr>
        <w:t>4</w:t>
      </w:r>
      <w:r>
        <w:rPr>
          <w:rFonts w:hint="default" w:ascii="Times New Roman" w:hAnsi="Times New Roman" w:cs="Times New Roman"/>
          <w:color w:val="auto"/>
        </w:rPr>
        <w:t>）公司建立巡回检查、无组织排放源控制台帐和信息反馈制度，通过定时、定点进行巡回检查及时发现和消除泄漏点。</w:t>
      </w:r>
    </w:p>
    <w:p>
      <w:pPr>
        <w:pStyle w:val="5"/>
        <w:spacing w:before="165"/>
        <w:rPr>
          <w:rFonts w:hint="eastAsia"/>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1</w:t>
      </w:r>
      <w:r>
        <w:rPr>
          <w:rFonts w:hint="eastAsia"/>
        </w:rPr>
        <w:t>.</w:t>
      </w:r>
      <w:r>
        <w:rPr>
          <w:rFonts w:hint="eastAsia" w:ascii="Times New Roman" w:hAnsi="Times New Roman"/>
        </w:rPr>
        <w:t>3</w:t>
      </w:r>
      <w:r>
        <w:rPr>
          <w:rFonts w:hint="eastAsia"/>
        </w:rPr>
        <w:t>非正常工况废气防治措施</w:t>
      </w:r>
    </w:p>
    <w:p>
      <w:r>
        <w:rPr>
          <w:rFonts w:hint="eastAsia"/>
        </w:rPr>
        <w:t>本项目针对车间内，装置开停车，检修等状态下产生的废气，</w:t>
      </w:r>
      <w:r>
        <w:rPr>
          <w:rFonts w:hint="eastAsia"/>
          <w:lang w:eastAsia="zh-CN"/>
        </w:rPr>
        <w:t>应提前开启废气处理设施，包括一级水吸收塔</w:t>
      </w:r>
      <w:r>
        <w:rPr>
          <w:rFonts w:hint="eastAsia"/>
          <w:lang w:val="en-US" w:eastAsia="zh-CN"/>
        </w:rPr>
        <w:t>+</w:t>
      </w:r>
      <w:r>
        <w:rPr>
          <w:rFonts w:hint="eastAsia"/>
          <w:lang w:eastAsia="zh-CN"/>
        </w:rPr>
        <w:t>二级酸吸收塔</w:t>
      </w:r>
      <w:r>
        <w:rPr>
          <w:rFonts w:hint="eastAsia"/>
          <w:lang w:val="en-US" w:eastAsia="zh-CN"/>
        </w:rPr>
        <w:t>,</w:t>
      </w:r>
      <w:r>
        <w:rPr>
          <w:rFonts w:hint="eastAsia"/>
          <w:lang w:eastAsia="zh-CN"/>
        </w:rPr>
        <w:t>确保废气污染物得到妥善处理</w:t>
      </w:r>
      <w:r>
        <w:rPr>
          <w:rFonts w:hint="eastAsia"/>
        </w:rPr>
        <w:t>。</w:t>
      </w:r>
    </w:p>
    <w:p>
      <w:pPr>
        <w:pStyle w:val="4"/>
        <w:bidi w:val="0"/>
        <w:rPr>
          <w:rFonts w:hint="eastAsia"/>
        </w:rPr>
      </w:pPr>
      <w:bookmarkStart w:id="240" w:name="_Toc10879"/>
      <w:bookmarkStart w:id="241" w:name="_Toc17155"/>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2</w:t>
      </w:r>
      <w:r>
        <w:rPr>
          <w:rFonts w:hint="eastAsia" w:ascii="Times New Roman" w:hAnsi="Times New Roman"/>
          <w:lang w:eastAsia="zh-CN"/>
        </w:rPr>
        <w:t>水环境保护措施及</w:t>
      </w:r>
      <w:r>
        <w:rPr>
          <w:rFonts w:hint="eastAsia"/>
        </w:rPr>
        <w:t>可行性论证</w:t>
      </w:r>
      <w:bookmarkEnd w:id="240"/>
      <w:bookmarkEnd w:id="241"/>
    </w:p>
    <w:p>
      <w:pPr>
        <w:pStyle w:val="5"/>
        <w:bidi w:val="0"/>
      </w:pP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2</w:t>
      </w:r>
      <w:r>
        <w:rPr>
          <w:rFonts w:hint="eastAsia"/>
        </w:rPr>
        <w:t>.</w:t>
      </w:r>
      <w:r>
        <w:rPr>
          <w:rFonts w:hint="eastAsia" w:ascii="Times New Roman" w:hAnsi="Times New Roman"/>
        </w:rPr>
        <w:t>1</w:t>
      </w:r>
      <w:r>
        <w:rPr>
          <w:rFonts w:hint="eastAsia" w:hAnsi="Times New Roman"/>
          <w:lang w:eastAsia="zh-CN"/>
        </w:rPr>
        <w:t>废水</w:t>
      </w:r>
      <w:r>
        <w:rPr>
          <w:rFonts w:hint="eastAsia"/>
        </w:rPr>
        <w:t>处理</w:t>
      </w:r>
      <w:r>
        <w:rPr>
          <w:rFonts w:hint="eastAsia"/>
          <w:lang w:eastAsia="zh-CN"/>
        </w:rPr>
        <w:t>措施及可行性论证</w:t>
      </w:r>
    </w:p>
    <w:p>
      <w:pPr>
        <w:rPr>
          <w:rFonts w:hint="eastAsia" w:ascii="Arial" w:hAnsi="Arial" w:cs="Arial"/>
          <w:lang w:eastAsia="zh-CN"/>
        </w:rPr>
      </w:pPr>
      <w:r>
        <w:rPr>
          <w:rFonts w:hint="eastAsia" w:ascii="Arial" w:hAnsi="Arial" w:cs="Arial"/>
          <w:lang w:eastAsia="zh-CN"/>
        </w:rPr>
        <w:t>（</w:t>
      </w:r>
      <w:r>
        <w:rPr>
          <w:rFonts w:hint="eastAsia" w:ascii="Times New Roman" w:hAnsi="Times New Roman" w:cs="Arial"/>
          <w:lang w:val="en-US" w:eastAsia="zh-CN"/>
        </w:rPr>
        <w:t>1</w:t>
      </w:r>
      <w:r>
        <w:rPr>
          <w:rFonts w:hint="eastAsia" w:ascii="Arial" w:hAnsi="Arial" w:cs="Arial"/>
          <w:lang w:eastAsia="zh-CN"/>
        </w:rPr>
        <w:t>）处理规模</w:t>
      </w:r>
    </w:p>
    <w:p>
      <w:pPr>
        <w:rPr>
          <w:rFonts w:hint="eastAsia" w:ascii="Arial" w:hAnsi="Arial" w:cs="Arial"/>
        </w:rPr>
      </w:pPr>
      <w:r>
        <w:rPr>
          <w:rFonts w:hint="eastAsia" w:ascii="Arial" w:hAnsi="Arial" w:cs="Arial"/>
          <w:lang w:eastAsia="zh-CN"/>
        </w:rPr>
        <w:t>本项目生产工艺本身不耗水也不产生废水。本项目废水主要来自装置地面冲洗废水和新增员工生活污水，产生量很小（</w:t>
      </w:r>
      <w:r>
        <w:rPr>
          <w:rFonts w:hint="eastAsia" w:ascii="Times New Roman" w:hAnsi="Times New Roman" w:cs="Arial"/>
          <w:lang w:val="en-US" w:eastAsia="zh-CN"/>
        </w:rPr>
        <w:t>479</w:t>
      </w:r>
      <w:r>
        <w:rPr>
          <w:rFonts w:hint="eastAsia" w:ascii="Arial" w:hAnsi="Arial" w:cs="Arial"/>
          <w:lang w:val="en-US" w:eastAsia="zh-CN"/>
        </w:rPr>
        <w:t>.</w:t>
      </w:r>
      <w:r>
        <w:rPr>
          <w:rFonts w:hint="eastAsia" w:ascii="Times New Roman" w:hAnsi="Times New Roman" w:cs="Arial"/>
          <w:lang w:val="en-US" w:eastAsia="zh-CN"/>
        </w:rPr>
        <w:t>14m</w:t>
      </w:r>
      <w:r>
        <w:rPr>
          <w:rFonts w:hint="eastAsia" w:ascii="Arial" w:hAnsi="Arial" w:cs="Arial"/>
          <w:lang w:val="en-US" w:eastAsia="zh-CN"/>
        </w:rPr>
        <w:t>³/</w:t>
      </w:r>
      <w:r>
        <w:rPr>
          <w:rFonts w:hint="eastAsia" w:ascii="Times New Roman" w:hAnsi="Times New Roman" w:cs="Arial"/>
          <w:lang w:val="en-US" w:eastAsia="zh-CN"/>
        </w:rPr>
        <w:t>a</w:t>
      </w:r>
      <w:r>
        <w:rPr>
          <w:rFonts w:hint="eastAsia" w:ascii="Arial" w:hAnsi="Arial" w:cs="Arial"/>
          <w:lang w:eastAsia="zh-CN"/>
        </w:rPr>
        <w:t>），现有工程满负荷情况下污水处理量为</w:t>
      </w:r>
      <w:r>
        <w:rPr>
          <w:rFonts w:hint="eastAsia" w:ascii="Times New Roman" w:hAnsi="Times New Roman" w:cs="Arial"/>
          <w:lang w:val="en-US" w:eastAsia="zh-CN"/>
        </w:rPr>
        <w:t>153</w:t>
      </w:r>
      <w:r>
        <w:rPr>
          <w:rFonts w:hint="eastAsia" w:ascii="Arial" w:hAnsi="Arial" w:cs="Arial"/>
          <w:lang w:val="en-US" w:eastAsia="zh-CN"/>
        </w:rPr>
        <w:t>.</w:t>
      </w:r>
      <w:r>
        <w:rPr>
          <w:rFonts w:hint="eastAsia" w:ascii="Times New Roman" w:hAnsi="Times New Roman" w:cs="Arial"/>
          <w:lang w:val="en-US" w:eastAsia="zh-CN"/>
        </w:rPr>
        <w:t>08t</w:t>
      </w:r>
      <w:r>
        <w:rPr>
          <w:rFonts w:hint="eastAsia" w:ascii="Arial" w:hAnsi="Arial" w:cs="Arial"/>
          <w:lang w:val="en-US" w:eastAsia="zh-CN"/>
        </w:rPr>
        <w:t>/</w:t>
      </w:r>
      <w:r>
        <w:rPr>
          <w:rFonts w:hint="eastAsia" w:ascii="Times New Roman" w:hAnsi="Times New Roman" w:cs="Arial"/>
          <w:lang w:val="en-US" w:eastAsia="zh-CN"/>
        </w:rPr>
        <w:t>h</w:t>
      </w:r>
      <w:r>
        <w:rPr>
          <w:rFonts w:hint="eastAsia" w:ascii="Arial" w:hAnsi="Arial" w:cs="Arial"/>
          <w:lang w:val="en-US" w:eastAsia="zh-CN"/>
        </w:rPr>
        <w:t>（</w:t>
      </w:r>
      <w:r>
        <w:rPr>
          <w:rFonts w:hint="eastAsia" w:ascii="Times New Roman" w:hAnsi="Times New Roman" w:cs="Arial"/>
          <w:lang w:val="en-US" w:eastAsia="zh-CN"/>
        </w:rPr>
        <w:t>3673</w:t>
      </w:r>
      <w:r>
        <w:rPr>
          <w:rFonts w:hint="eastAsia" w:ascii="Arial" w:hAnsi="Arial" w:cs="Arial"/>
          <w:lang w:val="en-US" w:eastAsia="zh-CN"/>
        </w:rPr>
        <w:t>.</w:t>
      </w:r>
      <w:r>
        <w:rPr>
          <w:rFonts w:hint="eastAsia" w:ascii="Times New Roman" w:hAnsi="Times New Roman" w:cs="Arial"/>
          <w:lang w:val="en-US" w:eastAsia="zh-CN"/>
        </w:rPr>
        <w:t>92m</w:t>
      </w:r>
      <w:r>
        <w:rPr>
          <w:rFonts w:hint="eastAsia" w:ascii="Arial" w:hAnsi="Arial" w:cs="Arial"/>
          <w:lang w:val="en-US" w:eastAsia="zh-CN"/>
        </w:rPr>
        <w:t>³/</w:t>
      </w:r>
      <w:r>
        <w:rPr>
          <w:rFonts w:hint="eastAsia" w:ascii="Times New Roman" w:hAnsi="Times New Roman" w:cs="Arial"/>
          <w:lang w:val="en-US" w:eastAsia="zh-CN"/>
        </w:rPr>
        <w:t>d</w:t>
      </w:r>
      <w:r>
        <w:rPr>
          <w:rFonts w:hint="eastAsia" w:ascii="Arial" w:hAnsi="Arial" w:cs="Arial"/>
          <w:lang w:val="en-US" w:eastAsia="zh-CN"/>
        </w:rPr>
        <w:t>），污水站富余量</w:t>
      </w:r>
      <w:r>
        <w:rPr>
          <w:rFonts w:hint="eastAsia" w:ascii="Times New Roman" w:hAnsi="Times New Roman" w:cs="Arial"/>
          <w:lang w:val="en-US" w:eastAsia="zh-CN"/>
        </w:rPr>
        <w:t>7326</w:t>
      </w:r>
      <w:r>
        <w:rPr>
          <w:rFonts w:hint="eastAsia" w:ascii="Arial" w:hAnsi="Arial" w:cs="Arial"/>
          <w:lang w:val="en-US" w:eastAsia="zh-CN"/>
        </w:rPr>
        <w:t>.</w:t>
      </w:r>
      <w:r>
        <w:rPr>
          <w:rFonts w:hint="eastAsia" w:ascii="Times New Roman" w:hAnsi="Times New Roman" w:cs="Arial"/>
          <w:lang w:val="en-US" w:eastAsia="zh-CN"/>
        </w:rPr>
        <w:t>08m</w:t>
      </w:r>
      <w:r>
        <w:rPr>
          <w:rFonts w:hint="eastAsia" w:ascii="Arial" w:hAnsi="Arial" w:cs="Arial"/>
          <w:lang w:val="en-US" w:eastAsia="zh-CN"/>
        </w:rPr>
        <w:t>³/</w:t>
      </w:r>
      <w:r>
        <w:rPr>
          <w:rFonts w:hint="eastAsia" w:ascii="Times New Roman" w:hAnsi="Times New Roman" w:cs="Arial"/>
          <w:lang w:val="en-US" w:eastAsia="zh-CN"/>
        </w:rPr>
        <w:t>d</w:t>
      </w:r>
      <w:r>
        <w:rPr>
          <w:rFonts w:hint="eastAsia" w:ascii="Arial" w:hAnsi="Arial" w:cs="Arial"/>
          <w:lang w:val="en-US" w:eastAsia="zh-CN"/>
        </w:rPr>
        <w:t>，因此</w:t>
      </w:r>
      <w:r>
        <w:rPr>
          <w:rFonts w:hint="eastAsia" w:ascii="Arial" w:hAnsi="Arial" w:cs="Arial"/>
          <w:lang w:eastAsia="zh-CN"/>
        </w:rPr>
        <w:t>依托厂内现有</w:t>
      </w:r>
      <w:r>
        <w:rPr>
          <w:rFonts w:hint="eastAsia" w:ascii="Times New Roman" w:hAnsi="Times New Roman" w:cs="Arial"/>
          <w:lang w:val="en-US" w:eastAsia="zh-CN"/>
        </w:rPr>
        <w:t>1</w:t>
      </w:r>
      <w:r>
        <w:rPr>
          <w:rFonts w:hint="eastAsia" w:ascii="Arial" w:hAnsi="Arial" w:cs="Arial"/>
          <w:lang w:val="en-US" w:eastAsia="zh-CN"/>
        </w:rPr>
        <w:t>.</w:t>
      </w:r>
      <w:r>
        <w:rPr>
          <w:rFonts w:hint="eastAsia" w:ascii="Times New Roman" w:hAnsi="Times New Roman" w:cs="Arial"/>
          <w:lang w:val="en-US" w:eastAsia="zh-CN"/>
        </w:rPr>
        <w:t>1</w:t>
      </w:r>
      <w:r>
        <w:rPr>
          <w:rFonts w:hint="eastAsia" w:ascii="Arial" w:hAnsi="Arial" w:cs="Arial"/>
          <w:lang w:val="en-US" w:eastAsia="zh-CN"/>
        </w:rPr>
        <w:t>万</w:t>
      </w:r>
      <w:r>
        <w:rPr>
          <w:rFonts w:hint="eastAsia" w:ascii="Times New Roman" w:hAnsi="Times New Roman" w:cs="Arial"/>
          <w:lang w:val="en-US" w:eastAsia="zh-CN"/>
        </w:rPr>
        <w:t>m</w:t>
      </w:r>
      <w:r>
        <w:rPr>
          <w:rFonts w:hint="eastAsia" w:ascii="Arial" w:hAnsi="Arial" w:cs="Arial"/>
          <w:lang w:val="en-US" w:eastAsia="zh-CN"/>
        </w:rPr>
        <w:t>³/</w:t>
      </w:r>
      <w:r>
        <w:rPr>
          <w:rFonts w:hint="eastAsia" w:ascii="Times New Roman" w:hAnsi="Times New Roman" w:cs="Arial"/>
          <w:lang w:val="en-US" w:eastAsia="zh-CN"/>
        </w:rPr>
        <w:t>d</w:t>
      </w:r>
      <w:r>
        <w:rPr>
          <w:rFonts w:hint="eastAsia" w:ascii="Arial" w:hAnsi="Arial" w:cs="Arial"/>
        </w:rPr>
        <w:t>污水处理站</w:t>
      </w:r>
      <w:r>
        <w:rPr>
          <w:rFonts w:hint="eastAsia" w:ascii="Arial" w:hAnsi="Arial" w:cs="Arial"/>
          <w:lang w:eastAsia="zh-CN"/>
        </w:rPr>
        <w:t>处理，从处理规模上可以满足本项目废水处理的需求。</w:t>
      </w:r>
    </w:p>
    <w:p>
      <w:pPr>
        <w:rPr>
          <w:rFonts w:hint="eastAsia"/>
          <w:color w:val="auto"/>
          <w:lang w:eastAsia="zh-CN"/>
        </w:rPr>
      </w:pPr>
      <w:r>
        <w:rPr>
          <w:rFonts w:hint="eastAsia"/>
          <w:color w:val="auto"/>
          <w:lang w:eastAsia="zh-CN"/>
        </w:rPr>
        <w:t>（</w:t>
      </w:r>
      <w:r>
        <w:rPr>
          <w:rFonts w:hint="eastAsia" w:ascii="Times New Roman" w:hAnsi="Times New Roman"/>
          <w:color w:val="auto"/>
          <w:lang w:val="en-US" w:eastAsia="zh-CN"/>
        </w:rPr>
        <w:t>2</w:t>
      </w:r>
      <w:r>
        <w:rPr>
          <w:rFonts w:hint="eastAsia"/>
          <w:color w:val="auto"/>
          <w:lang w:eastAsia="zh-CN"/>
        </w:rPr>
        <w:t>）水质负荷</w:t>
      </w:r>
    </w:p>
    <w:p>
      <w:pPr>
        <w:rPr>
          <w:rFonts w:hint="default" w:ascii="Times New Roman" w:eastAsia="宋体"/>
          <w:color w:val="auto"/>
          <w:lang w:val="en-US" w:eastAsia="zh-CN"/>
        </w:rPr>
      </w:pPr>
      <w:r>
        <w:rPr>
          <w:rFonts w:hint="eastAsia"/>
          <w:color w:val="auto"/>
          <w:lang w:eastAsia="zh-CN"/>
        </w:rPr>
        <w:t>本项目装置地面冲洗废水和新增员工生活污水主要污染物为：</w:t>
      </w:r>
      <w:r>
        <w:rPr>
          <w:rFonts w:hint="eastAsia" w:ascii="Times New Roman" w:hAnsi="Times New Roman"/>
          <w:color w:val="auto"/>
          <w:lang w:val="en-US" w:eastAsia="zh-CN"/>
        </w:rPr>
        <w:t>COD</w:t>
      </w:r>
      <w:r>
        <w:rPr>
          <w:rFonts w:hint="eastAsia"/>
          <w:color w:val="auto"/>
          <w:lang w:val="en-US" w:eastAsia="zh-CN"/>
        </w:rPr>
        <w:t>、</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color w:val="auto"/>
          <w:lang w:val="en-US" w:eastAsia="zh-CN"/>
        </w:rPr>
        <w:t>、</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color w:val="auto"/>
          <w:lang w:val="en-US" w:eastAsia="zh-CN"/>
        </w:rPr>
        <w:t>-</w:t>
      </w:r>
      <w:r>
        <w:rPr>
          <w:rFonts w:hint="eastAsia" w:ascii="Times New Roman" w:hAnsi="Times New Roman"/>
          <w:color w:val="auto"/>
          <w:lang w:val="en-US" w:eastAsia="zh-CN"/>
        </w:rPr>
        <w:t>N</w:t>
      </w:r>
      <w:r>
        <w:rPr>
          <w:rFonts w:hint="eastAsia"/>
          <w:color w:val="auto"/>
          <w:lang w:val="en-US" w:eastAsia="zh-CN"/>
        </w:rPr>
        <w:t>和</w:t>
      </w:r>
      <w:r>
        <w:rPr>
          <w:rFonts w:hint="eastAsia" w:ascii="Times New Roman" w:hAnsi="Times New Roman"/>
          <w:color w:val="auto"/>
          <w:lang w:val="en-US" w:eastAsia="zh-CN"/>
        </w:rPr>
        <w:t>SS</w:t>
      </w:r>
      <w:r>
        <w:rPr>
          <w:rFonts w:hint="eastAsia"/>
          <w:color w:val="auto"/>
          <w:lang w:val="en-US" w:eastAsia="zh-CN"/>
        </w:rPr>
        <w:t>等。现有工程污水站处理废水包括了现有工程废水和凯赛（乌苏）生物技术有限公司年产</w:t>
      </w:r>
      <w:r>
        <w:rPr>
          <w:rFonts w:hint="eastAsia" w:ascii="Times New Roman" w:hAnsi="Times New Roman"/>
          <w:color w:val="auto"/>
          <w:lang w:val="en-US" w:eastAsia="zh-CN"/>
        </w:rPr>
        <w:t>3</w:t>
      </w:r>
      <w:r>
        <w:rPr>
          <w:rFonts w:hint="eastAsia"/>
          <w:color w:val="auto"/>
          <w:lang w:val="en-US" w:eastAsia="zh-CN"/>
        </w:rPr>
        <w:t>万吨长链二元酸和</w:t>
      </w:r>
      <w:r>
        <w:rPr>
          <w:rFonts w:hint="eastAsia" w:ascii="Times New Roman" w:hAnsi="Times New Roman"/>
          <w:color w:val="auto"/>
          <w:lang w:val="en-US" w:eastAsia="zh-CN"/>
        </w:rPr>
        <w:t>2</w:t>
      </w:r>
      <w:r>
        <w:rPr>
          <w:rFonts w:hint="eastAsia"/>
          <w:color w:val="auto"/>
          <w:lang w:val="en-US" w:eastAsia="zh-CN"/>
        </w:rPr>
        <w:t>万吨长链聚酰胺项目生产废水，其中现有工程生产废水包括</w:t>
      </w:r>
      <w:r>
        <w:rPr>
          <w:rFonts w:hint="eastAsia"/>
          <w:lang w:eastAsia="zh-CN"/>
        </w:rPr>
        <w:t>糖化浓缩工段废水、精馏工段废水、聚合工段废水等生产工艺废水和装置区收集的雨雪水，主要污染物</w:t>
      </w:r>
      <w:r>
        <w:rPr>
          <w:rFonts w:hint="eastAsia" w:ascii="Times New Roman" w:hAnsi="Times New Roman"/>
          <w:lang w:val="en-US" w:eastAsia="zh-CN"/>
        </w:rPr>
        <w:t>COD</w:t>
      </w:r>
      <w:r>
        <w:rPr>
          <w:rFonts w:hint="eastAsia"/>
          <w:lang w:val="en-US" w:eastAsia="zh-CN"/>
        </w:rPr>
        <w:t>浓度范围在</w:t>
      </w:r>
      <w:r>
        <w:rPr>
          <w:rFonts w:hint="eastAsia" w:ascii="Times New Roman" w:hAnsi="Times New Roman"/>
          <w:lang w:val="en-US" w:eastAsia="zh-CN"/>
        </w:rPr>
        <w:t>300</w:t>
      </w:r>
      <w:r>
        <w:rPr>
          <w:rFonts w:hint="eastAsia"/>
          <w:lang w:val="en-US" w:eastAsia="zh-CN"/>
        </w:rPr>
        <w:t>～</w:t>
      </w:r>
      <w:r>
        <w:rPr>
          <w:rFonts w:hint="eastAsia" w:ascii="Times New Roman" w:hAnsi="Times New Roman"/>
          <w:lang w:val="en-US" w:eastAsia="zh-CN"/>
        </w:rPr>
        <w:t>12000mg</w:t>
      </w:r>
      <w:r>
        <w:rPr>
          <w:rFonts w:hint="eastAsia"/>
          <w:lang w:val="en-US" w:eastAsia="zh-CN"/>
        </w:rPr>
        <w:t>/</w:t>
      </w:r>
      <w:r>
        <w:rPr>
          <w:rFonts w:hint="eastAsia" w:ascii="Times New Roman" w:hAnsi="Times New Roman"/>
          <w:lang w:val="en-US" w:eastAsia="zh-CN"/>
        </w:rPr>
        <w:t>L</w:t>
      </w:r>
      <w:r>
        <w:rPr>
          <w:rFonts w:hint="eastAsia"/>
          <w:lang w:val="en-US" w:eastAsia="zh-CN"/>
        </w:rPr>
        <w:t>，</w:t>
      </w:r>
      <w:r>
        <w:rPr>
          <w:rFonts w:hint="eastAsia" w:ascii="Times New Roman" w:hAnsi="Times New Roman"/>
          <w:lang w:val="en-US" w:eastAsia="zh-CN"/>
        </w:rPr>
        <w:t>BOD</w:t>
      </w:r>
      <w:r>
        <w:rPr>
          <w:rFonts w:hint="eastAsia" w:ascii="Times New Roman" w:hAnsi="Times New Roman"/>
          <w:vertAlign w:val="subscript"/>
          <w:lang w:val="en-US" w:eastAsia="zh-CN"/>
        </w:rPr>
        <w:t>5</w:t>
      </w:r>
      <w:r>
        <w:rPr>
          <w:rFonts w:hint="eastAsia"/>
          <w:lang w:val="en-US" w:eastAsia="zh-CN"/>
        </w:rPr>
        <w:t>浓度范围在</w:t>
      </w:r>
      <w:r>
        <w:rPr>
          <w:rFonts w:hint="eastAsia" w:ascii="Times New Roman" w:hAnsi="Times New Roman"/>
          <w:lang w:val="en-US" w:eastAsia="zh-CN"/>
        </w:rPr>
        <w:t>120</w:t>
      </w:r>
      <w:r>
        <w:rPr>
          <w:rFonts w:hint="eastAsia"/>
          <w:lang w:val="en-US" w:eastAsia="zh-CN"/>
        </w:rPr>
        <w:t>～</w:t>
      </w:r>
      <w:r>
        <w:rPr>
          <w:rFonts w:hint="eastAsia" w:ascii="Times New Roman" w:hAnsi="Times New Roman"/>
          <w:lang w:val="en-US" w:eastAsia="zh-CN"/>
        </w:rPr>
        <w:t>4800mg</w:t>
      </w:r>
      <w:r>
        <w:rPr>
          <w:rFonts w:hint="eastAsia"/>
          <w:lang w:val="en-US" w:eastAsia="zh-CN"/>
        </w:rPr>
        <w:t>/</w:t>
      </w:r>
      <w:r>
        <w:rPr>
          <w:rFonts w:hint="eastAsia" w:ascii="Times New Roman" w:hAnsi="Times New Roman"/>
          <w:lang w:val="en-US" w:eastAsia="zh-CN"/>
        </w:rPr>
        <w:t>L</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w:t>
      </w:r>
      <w:r>
        <w:rPr>
          <w:rFonts w:hint="eastAsia"/>
          <w:lang w:val="en-US" w:eastAsia="zh-CN"/>
        </w:rPr>
        <w:t>浓度范围在</w:t>
      </w:r>
      <w:r>
        <w:rPr>
          <w:rFonts w:hint="eastAsia" w:ascii="Times New Roman" w:hAnsi="Times New Roman"/>
          <w:lang w:val="en-US" w:eastAsia="zh-CN"/>
        </w:rPr>
        <w:t>30</w:t>
      </w:r>
      <w:r>
        <w:rPr>
          <w:rFonts w:hint="eastAsia"/>
          <w:lang w:val="en-US" w:eastAsia="zh-CN"/>
        </w:rPr>
        <w:t>～</w:t>
      </w:r>
      <w:r>
        <w:rPr>
          <w:rFonts w:hint="eastAsia" w:ascii="Times New Roman" w:hAnsi="Times New Roman"/>
          <w:lang w:val="en-US" w:eastAsia="zh-CN"/>
        </w:rPr>
        <w:t>1000mg</w:t>
      </w:r>
      <w:r>
        <w:rPr>
          <w:rFonts w:hint="eastAsia"/>
          <w:lang w:val="en-US" w:eastAsia="zh-CN"/>
        </w:rPr>
        <w:t>/</w:t>
      </w:r>
      <w:r>
        <w:rPr>
          <w:rFonts w:hint="eastAsia" w:ascii="Times New Roman" w:hAnsi="Times New Roman"/>
          <w:lang w:val="en-US" w:eastAsia="zh-CN"/>
        </w:rPr>
        <w:t>L</w:t>
      </w:r>
      <w:r>
        <w:rPr>
          <w:rFonts w:hint="eastAsia"/>
          <w:lang w:val="en-US" w:eastAsia="zh-CN"/>
        </w:rPr>
        <w:t>。本项目废水主要污染物</w:t>
      </w:r>
      <w:r>
        <w:rPr>
          <w:rFonts w:hint="eastAsia" w:ascii="Times New Roman" w:hAnsi="Times New Roman"/>
          <w:lang w:val="en-US" w:eastAsia="zh-CN"/>
        </w:rPr>
        <w:t>COD</w:t>
      </w:r>
      <w:r>
        <w:rPr>
          <w:rFonts w:hint="eastAsia"/>
          <w:lang w:val="en-US" w:eastAsia="zh-CN"/>
        </w:rPr>
        <w:t>浓度范围在</w:t>
      </w:r>
      <w:r>
        <w:rPr>
          <w:rFonts w:hint="eastAsia" w:ascii="Times New Roman" w:hAnsi="Times New Roman"/>
          <w:lang w:val="en-US" w:eastAsia="zh-CN"/>
        </w:rPr>
        <w:t>300</w:t>
      </w:r>
      <w:r>
        <w:rPr>
          <w:rFonts w:hint="eastAsia"/>
          <w:lang w:val="en-US" w:eastAsia="zh-CN"/>
        </w:rPr>
        <w:t>～</w:t>
      </w:r>
      <w:r>
        <w:rPr>
          <w:rFonts w:hint="eastAsia" w:ascii="Times New Roman" w:hAnsi="Times New Roman"/>
          <w:lang w:val="en-US" w:eastAsia="zh-CN"/>
        </w:rPr>
        <w:t>600mg</w:t>
      </w:r>
      <w:r>
        <w:rPr>
          <w:rFonts w:hint="eastAsia"/>
          <w:lang w:val="en-US" w:eastAsia="zh-CN"/>
        </w:rPr>
        <w:t>/</w:t>
      </w:r>
      <w:r>
        <w:rPr>
          <w:rFonts w:hint="eastAsia" w:ascii="Times New Roman" w:hAnsi="Times New Roman"/>
          <w:lang w:val="en-US" w:eastAsia="zh-CN"/>
        </w:rPr>
        <w:t>L</w:t>
      </w:r>
      <w:r>
        <w:rPr>
          <w:rFonts w:hint="eastAsia"/>
          <w:lang w:val="en-US" w:eastAsia="zh-CN"/>
        </w:rPr>
        <w:t>，</w:t>
      </w:r>
      <w:r>
        <w:rPr>
          <w:rFonts w:hint="eastAsia" w:ascii="Times New Roman" w:hAnsi="Times New Roman"/>
          <w:lang w:val="en-US" w:eastAsia="zh-CN"/>
        </w:rPr>
        <w:t>BOD</w:t>
      </w:r>
      <w:r>
        <w:rPr>
          <w:rFonts w:hint="eastAsia" w:ascii="Times New Roman" w:hAnsi="Times New Roman"/>
          <w:vertAlign w:val="subscript"/>
          <w:lang w:val="en-US" w:eastAsia="zh-CN"/>
        </w:rPr>
        <w:t>5</w:t>
      </w:r>
      <w:r>
        <w:rPr>
          <w:rFonts w:hint="eastAsia"/>
          <w:lang w:val="en-US" w:eastAsia="zh-CN"/>
        </w:rPr>
        <w:t>浓度范围在</w:t>
      </w:r>
      <w:r>
        <w:rPr>
          <w:rFonts w:hint="eastAsia" w:ascii="Times New Roman" w:hAnsi="Times New Roman"/>
          <w:lang w:val="en-US" w:eastAsia="zh-CN"/>
        </w:rPr>
        <w:t>120</w:t>
      </w:r>
      <w:r>
        <w:rPr>
          <w:rFonts w:hint="eastAsia"/>
          <w:lang w:val="en-US" w:eastAsia="zh-CN"/>
        </w:rPr>
        <w:t>～</w:t>
      </w:r>
      <w:r>
        <w:rPr>
          <w:rFonts w:hint="eastAsia" w:ascii="Times New Roman" w:hAnsi="Times New Roman"/>
          <w:lang w:val="en-US" w:eastAsia="zh-CN"/>
        </w:rPr>
        <w:t>150mg</w:t>
      </w:r>
      <w:r>
        <w:rPr>
          <w:rFonts w:hint="eastAsia"/>
          <w:lang w:val="en-US" w:eastAsia="zh-CN"/>
        </w:rPr>
        <w:t>/</w:t>
      </w:r>
      <w:r>
        <w:rPr>
          <w:rFonts w:hint="eastAsia" w:ascii="Times New Roman" w:hAnsi="Times New Roman"/>
          <w:lang w:val="en-US" w:eastAsia="zh-CN"/>
        </w:rPr>
        <w:t>L</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w:t>
      </w:r>
      <w:r>
        <w:rPr>
          <w:rFonts w:hint="eastAsia"/>
          <w:lang w:val="en-US" w:eastAsia="zh-CN"/>
        </w:rPr>
        <w:t>浓度范围在</w:t>
      </w:r>
      <w:r>
        <w:rPr>
          <w:rFonts w:hint="eastAsia" w:ascii="Times New Roman" w:hAnsi="Times New Roman"/>
          <w:lang w:val="en-US" w:eastAsia="zh-CN"/>
        </w:rPr>
        <w:t>30</w:t>
      </w:r>
      <w:r>
        <w:rPr>
          <w:rFonts w:hint="eastAsia"/>
          <w:lang w:val="en-US" w:eastAsia="zh-CN"/>
        </w:rPr>
        <w:t>～</w:t>
      </w:r>
      <w:r>
        <w:rPr>
          <w:rFonts w:hint="eastAsia" w:ascii="Times New Roman" w:hAnsi="Times New Roman"/>
          <w:lang w:val="en-US" w:eastAsia="zh-CN"/>
        </w:rPr>
        <w:t>40mg</w:t>
      </w:r>
      <w:r>
        <w:rPr>
          <w:rFonts w:hint="eastAsia"/>
          <w:lang w:val="en-US" w:eastAsia="zh-CN"/>
        </w:rPr>
        <w:t>/</w:t>
      </w:r>
      <w:r>
        <w:rPr>
          <w:rFonts w:hint="eastAsia" w:ascii="Times New Roman" w:hAnsi="Times New Roman"/>
          <w:lang w:val="en-US" w:eastAsia="zh-CN"/>
        </w:rPr>
        <w:t>L</w:t>
      </w:r>
      <w:r>
        <w:rPr>
          <w:rFonts w:hint="eastAsia"/>
          <w:lang w:val="en-US" w:eastAsia="zh-CN"/>
        </w:rPr>
        <w:t>，均未超过现有工程废水最大浓度。因此本项目实施后，不会给现有污水站造成明显影响，依托现有污水站处理本项目废水是可行的。</w:t>
      </w:r>
    </w:p>
    <w:p>
      <w:pPr>
        <w:bidi w:val="0"/>
        <w:rPr>
          <w:rFonts w:hint="eastAsia"/>
        </w:rPr>
      </w:pPr>
      <w:r>
        <w:rPr>
          <w:rFonts w:hint="eastAsia"/>
          <w:lang w:eastAsia="zh-CN"/>
        </w:rPr>
        <w:t>本项目废水经污水站处理后，可</w:t>
      </w:r>
      <w:r>
        <w:rPr>
          <w:rFonts w:hint="eastAsia"/>
          <w:lang w:val="en-US" w:eastAsia="zh-CN"/>
        </w:rPr>
        <w:t>满足</w:t>
      </w:r>
      <w:r>
        <w:rPr>
          <w:rFonts w:hint="eastAsia"/>
          <w:lang w:eastAsia="zh-CN"/>
        </w:rPr>
        <w:t>《污水排入城镇下水道水质标准》（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2015</w:t>
      </w:r>
      <w:r>
        <w:rPr>
          <w:rFonts w:hint="eastAsia"/>
          <w:lang w:eastAsia="zh-CN"/>
        </w:rPr>
        <w:t>）表</w:t>
      </w:r>
      <w:r>
        <w:rPr>
          <w:rFonts w:hint="eastAsia" w:ascii="Times New Roman" w:hAnsi="Times New Roman"/>
          <w:lang w:val="en-US" w:eastAsia="zh-CN"/>
        </w:rPr>
        <w:t>1B</w:t>
      </w:r>
      <w:r>
        <w:rPr>
          <w:rFonts w:hint="eastAsia"/>
          <w:lang w:val="en-US" w:eastAsia="zh-CN"/>
        </w:rPr>
        <w:t>级。满足园区污水处理厂的进水水质要求。</w:t>
      </w:r>
    </w:p>
    <w:p>
      <w:pPr>
        <w:pStyle w:val="5"/>
        <w:spacing w:before="165"/>
        <w:rPr>
          <w:rFonts w:hint="eastAsia" w:eastAsia="华文楷体"/>
          <w:lang w:eastAsia="zh-CN"/>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rPr>
        <w:t>地下水</w:t>
      </w:r>
      <w:r>
        <w:rPr>
          <w:rFonts w:hint="eastAsia"/>
          <w:lang w:eastAsia="zh-CN"/>
        </w:rPr>
        <w:t>保护</w:t>
      </w:r>
      <w:r>
        <w:rPr>
          <w:rFonts w:hint="eastAsia"/>
        </w:rPr>
        <w:t>措施</w:t>
      </w:r>
      <w:r>
        <w:rPr>
          <w:rFonts w:hint="eastAsia"/>
          <w:lang w:eastAsia="zh-CN"/>
        </w:rPr>
        <w:t>及可行性论证</w:t>
      </w:r>
    </w:p>
    <w:p>
      <w:pPr>
        <w:rPr>
          <w:rFonts w:hint="default" w:eastAsia="宋体"/>
          <w:color w:val="auto"/>
          <w:lang w:val="en-US" w:eastAsia="zh-CN"/>
        </w:rPr>
      </w:pPr>
      <w:r>
        <w:rPr>
          <w:rFonts w:hint="eastAsia"/>
          <w:color w:val="auto"/>
          <w:lang w:eastAsia="zh-CN"/>
        </w:rPr>
        <w:t>本项目主体装置所在地面分区防渗硬化</w:t>
      </w:r>
      <w:r>
        <w:rPr>
          <w:rFonts w:hint="eastAsia"/>
          <w:color w:val="auto"/>
          <w:lang w:val="en-US" w:eastAsia="zh-CN"/>
        </w:rPr>
        <w:t>，周边设置了截水沟，可确保装置泄漏废水得到有效收集。</w:t>
      </w:r>
    </w:p>
    <w:p>
      <w:pPr>
        <w:rPr>
          <w:rFonts w:hint="eastAsia" w:eastAsia="宋体"/>
          <w:color w:val="auto"/>
          <w:lang w:eastAsia="zh-CN"/>
        </w:rPr>
      </w:pPr>
      <w:r>
        <w:rPr>
          <w:rFonts w:hint="eastAsia"/>
          <w:color w:val="auto"/>
          <w:lang w:eastAsia="zh-CN"/>
        </w:rPr>
        <w:t>本项目储罐或尾气吸收塔若发生底部基础泄漏，不易发现，可能导致污染物渗入地下，影响地下水环境。地下水环境保护措施按照“源头控制、分区防控、污染监控、应急响应”相结合的原则，从污染物的产生、入渗、扩散到应急响应进行控制。</w:t>
      </w:r>
    </w:p>
    <w:p>
      <w:pPr>
        <w:rPr>
          <w:rFonts w:hint="default"/>
          <w:color w:val="auto"/>
          <w:lang w:val="en-US" w:eastAsia="zh-CN"/>
        </w:rPr>
      </w:pP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）源头控制措施</w:t>
      </w:r>
    </w:p>
    <w:p>
      <w:pPr>
        <w:rPr>
          <w:rFonts w:hint="eastAsia"/>
          <w:color w:val="auto"/>
          <w:lang w:eastAsia="zh-CN"/>
        </w:rPr>
      </w:pPr>
      <w:r>
        <w:rPr>
          <w:rFonts w:hint="eastAsia"/>
          <w:color w:val="auto"/>
          <w:lang w:eastAsia="zh-CN"/>
        </w:rPr>
        <w:t>对仪表、阀门、泵机等进行定期维护保养，对管道定期检修和检测，确保各设备运行正常，</w:t>
      </w:r>
      <w:r>
        <w:rPr>
          <w:rFonts w:hint="eastAsia"/>
          <w:color w:val="auto"/>
        </w:rPr>
        <w:t>尽可能从源头上减少污染物产生</w:t>
      </w:r>
      <w:r>
        <w:rPr>
          <w:rFonts w:hint="eastAsia"/>
          <w:color w:val="auto"/>
          <w:lang w:eastAsia="zh-CN"/>
        </w:rPr>
        <w:t>，</w:t>
      </w:r>
      <w:r>
        <w:rPr>
          <w:rFonts w:hint="eastAsia"/>
          <w:color w:val="auto"/>
        </w:rPr>
        <w:t>降低可能污染物的跑、冒、滴、漏</w:t>
      </w:r>
      <w:r>
        <w:rPr>
          <w:rFonts w:hint="eastAsia"/>
          <w:color w:val="auto"/>
          <w:lang w:eastAsia="zh-CN"/>
        </w:rPr>
        <w:t>。</w:t>
      </w:r>
    </w:p>
    <w:p>
      <w:pPr>
        <w:rPr>
          <w:color w:val="auto"/>
        </w:rPr>
      </w:pPr>
      <w:r>
        <w:rPr>
          <w:rFonts w:hint="eastAsia"/>
          <w:color w:val="auto"/>
          <w:lang w:eastAsia="zh-CN"/>
        </w:rPr>
        <w:t>厂内</w:t>
      </w:r>
      <w:r>
        <w:rPr>
          <w:rFonts w:hint="eastAsia"/>
          <w:color w:val="auto"/>
        </w:rPr>
        <w:t>管线铺设尽量采用</w:t>
      </w:r>
      <w:r>
        <w:rPr>
          <w:rFonts w:hint="eastAsia"/>
          <w:color w:val="auto"/>
          <w:lang w:eastAsia="zh-CN"/>
        </w:rPr>
        <w:t>“</w:t>
      </w:r>
      <w:r>
        <w:rPr>
          <w:rFonts w:hint="eastAsia"/>
          <w:color w:val="auto"/>
        </w:rPr>
        <w:t>可视化</w:t>
      </w:r>
      <w:r>
        <w:rPr>
          <w:rFonts w:hint="eastAsia"/>
          <w:color w:val="auto"/>
          <w:lang w:eastAsia="zh-CN"/>
        </w:rPr>
        <w:t>”</w:t>
      </w:r>
      <w:r>
        <w:rPr>
          <w:rFonts w:hint="eastAsia"/>
          <w:color w:val="auto"/>
        </w:rPr>
        <w:t>原则，</w:t>
      </w:r>
      <w:r>
        <w:rPr>
          <w:rFonts w:hint="eastAsia"/>
          <w:color w:val="auto"/>
          <w:lang w:eastAsia="zh-CN"/>
        </w:rPr>
        <w:t>基本可</w:t>
      </w:r>
      <w:r>
        <w:rPr>
          <w:rFonts w:hint="eastAsia"/>
          <w:color w:val="auto"/>
        </w:rPr>
        <w:t>做到污染物</w:t>
      </w:r>
      <w:r>
        <w:rPr>
          <w:rFonts w:hint="eastAsia"/>
          <w:color w:val="auto"/>
          <w:lang w:eastAsia="zh-CN"/>
        </w:rPr>
        <w:t>泄漏“</w:t>
      </w:r>
      <w:r>
        <w:rPr>
          <w:rFonts w:hint="eastAsia"/>
          <w:color w:val="auto"/>
        </w:rPr>
        <w:t>早发现、早处理</w:t>
      </w:r>
      <w:r>
        <w:rPr>
          <w:rFonts w:hint="eastAsia"/>
          <w:color w:val="auto"/>
          <w:lang w:eastAsia="zh-CN"/>
        </w:rPr>
        <w:t>”，避免</w:t>
      </w:r>
      <w:r>
        <w:rPr>
          <w:rFonts w:hint="eastAsia"/>
          <w:color w:val="auto"/>
        </w:rPr>
        <w:t>可能造成的地下水污染。</w:t>
      </w:r>
    </w:p>
    <w:p>
      <w:pPr>
        <w:pStyle w:val="477"/>
        <w:rPr>
          <w:rFonts w:hint="eastAsia" w:eastAsia="宋体"/>
          <w:color w:val="auto"/>
          <w:lang w:eastAsia="zh-CN"/>
        </w:rPr>
      </w:pPr>
      <w:r>
        <w:rPr>
          <w:rFonts w:hint="eastAsia"/>
          <w:color w:val="auto"/>
          <w:lang w:eastAsia="zh-CN"/>
        </w:rPr>
        <w:t>（</w:t>
      </w:r>
      <w:r>
        <w:rPr>
          <w:rFonts w:hint="eastAsia" w:ascii="Times New Roman" w:hAnsi="Times New Roman"/>
          <w:color w:val="auto"/>
          <w:lang w:val="en-US" w:eastAsia="zh-CN"/>
        </w:rPr>
        <w:t>2</w:t>
      </w:r>
      <w:r>
        <w:rPr>
          <w:rFonts w:hint="eastAsia"/>
          <w:color w:val="auto"/>
          <w:lang w:eastAsia="zh-CN"/>
        </w:rPr>
        <w:t>）分区防渗</w:t>
      </w:r>
    </w:p>
    <w:p>
      <w:pPr>
        <w:spacing w:line="460" w:lineRule="exact"/>
      </w:pPr>
      <w:r>
        <w:rPr>
          <w:rFonts w:hint="eastAsia"/>
          <w:lang w:eastAsia="zh-CN"/>
        </w:rPr>
        <w:t>现有工程厂区内参照</w:t>
      </w:r>
      <w:r>
        <w:rPr>
          <w:rFonts w:hint="eastAsia"/>
        </w:rPr>
        <w:t>《</w:t>
      </w:r>
      <w:r>
        <w:rPr>
          <w:rFonts w:hint="eastAsia"/>
          <w:lang w:eastAsia="zh-CN"/>
        </w:rPr>
        <w:t>石油化工工程防渗技术规范</w:t>
      </w:r>
      <w:r>
        <w:rPr>
          <w:rFonts w:hint="eastAsia"/>
        </w:rPr>
        <w:t>》（</w:t>
      </w:r>
      <w:r>
        <w:rPr>
          <w:rFonts w:hint="eastAsia" w:ascii="Times New Roman" w:hAnsi="Times New Roman"/>
          <w:lang w:val="en-US" w:eastAsia="zh-CN"/>
        </w:rPr>
        <w:t>GB</w:t>
      </w:r>
      <w:r>
        <w:rPr>
          <w:rFonts w:hint="eastAsia" w:ascii="Times New Roman"/>
          <w:lang w:val="en-US" w:eastAsia="zh-CN"/>
        </w:rPr>
        <w:t>/</w:t>
      </w:r>
      <w:r>
        <w:rPr>
          <w:rFonts w:hint="eastAsia" w:ascii="Times New Roman" w:hAnsi="Times New Roman"/>
          <w:lang w:val="en-US" w:eastAsia="zh-CN"/>
        </w:rPr>
        <w:t>T50934</w:t>
      </w:r>
      <w:r>
        <w:rPr>
          <w:rFonts w:hint="eastAsia" w:ascii="Times New Roman"/>
          <w:lang w:val="en-US" w:eastAsia="zh-CN"/>
        </w:rPr>
        <w:t>-</w:t>
      </w:r>
      <w:r>
        <w:rPr>
          <w:rFonts w:hint="eastAsia" w:ascii="Times New Roman" w:hAnsi="Times New Roman"/>
          <w:lang w:val="en-US" w:eastAsia="zh-CN"/>
        </w:rPr>
        <w:t>2013</w:t>
      </w:r>
      <w:r>
        <w:rPr>
          <w:rFonts w:hint="eastAsia"/>
        </w:rPr>
        <w:t>）</w:t>
      </w:r>
      <w:r>
        <w:rPr>
          <w:rFonts w:hint="eastAsia"/>
          <w:lang w:eastAsia="zh-CN"/>
        </w:rPr>
        <w:t>执行</w:t>
      </w:r>
      <w:r>
        <w:rPr>
          <w:rFonts w:hint="eastAsia"/>
        </w:rPr>
        <w:t>，结合本项目的工程特点，本次评价提出</w:t>
      </w:r>
      <w:r>
        <w:rPr>
          <w:rFonts w:hint="eastAsia"/>
          <w:lang w:eastAsia="zh-CN"/>
        </w:rPr>
        <w:t>完善</w:t>
      </w:r>
      <w:r>
        <w:rPr>
          <w:rFonts w:hint="eastAsia"/>
        </w:rPr>
        <w:t>分区防渗的要求。</w:t>
      </w:r>
      <w:r>
        <w:t>本项目</w:t>
      </w:r>
      <w:r>
        <w:rPr>
          <w:rFonts w:hint="eastAsia"/>
          <w:lang w:eastAsia="zh-CN"/>
        </w:rPr>
        <w:t>污染</w:t>
      </w:r>
      <w:r>
        <w:rPr>
          <w:rFonts w:hint="eastAsia"/>
        </w:rPr>
        <w:t>防渗</w:t>
      </w:r>
      <w:r>
        <w:t>分区</w:t>
      </w:r>
      <w:r>
        <w:rPr>
          <w:rFonts w:hint="eastAsia"/>
        </w:rPr>
        <w:t>要求</w:t>
      </w:r>
      <w:r>
        <w:t>见表</w:t>
      </w:r>
      <w:r>
        <w:rPr>
          <w:rFonts w:hint="eastAsia" w:ascii="Times New Roman" w:hAnsi="Times New Roman"/>
          <w:lang w:val="en-US" w:eastAsia="zh-CN"/>
        </w:rPr>
        <w:t>7</w:t>
      </w:r>
      <w:r>
        <w:rPr>
          <w:rFonts w:hint="eastAsia" w:ascii="Times New Roman"/>
          <w:lang w:val="en-US" w:eastAsia="zh-CN"/>
        </w:rPr>
        <w:t>.</w:t>
      </w:r>
      <w:r>
        <w:rPr>
          <w:rFonts w:hint="eastAsia" w:ascii="Times New Roman" w:hAnsi="Times New Roman"/>
          <w:lang w:val="en-US" w:eastAsia="zh-CN"/>
        </w:rPr>
        <w:t>2</w:t>
      </w:r>
      <w:r>
        <w:rPr>
          <w:rFonts w:hint="eastAsia" w:ascii="Times New Roman"/>
          <w:lang w:val="en-US" w:eastAsia="zh-CN"/>
        </w:rPr>
        <w:t>-</w:t>
      </w:r>
      <w:r>
        <w:rPr>
          <w:rFonts w:hint="eastAsia" w:ascii="Times New Roman" w:hAnsi="Times New Roman"/>
          <w:lang w:val="en-US" w:eastAsia="zh-CN"/>
        </w:rPr>
        <w:t>1</w:t>
      </w:r>
      <w:r>
        <w:rPr>
          <w:color w:val="FF0000"/>
        </w:rPr>
        <w:t>。</w:t>
      </w:r>
    </w:p>
    <w:p>
      <w:pPr>
        <w:pStyle w:val="20"/>
        <w:spacing w:before="165"/>
      </w:pPr>
      <w:r>
        <w:rPr>
          <w:rFonts w:hint="eastAsia"/>
        </w:rPr>
        <w:t>表</w:t>
      </w:r>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2</w:t>
      </w:r>
      <w:r>
        <w:rPr>
          <w:rFonts w:hint="eastAsia" w:ascii="Times New Roman" w:hAnsi="Times New Roman"/>
          <w:lang w:val="en-US" w:eastAsia="zh-CN"/>
        </w:rPr>
        <w:t>-</w:t>
      </w:r>
      <w:r>
        <w:rPr>
          <w:rFonts w:hint="eastAsia" w:ascii="Times New Roman" w:hAnsi="Times New Roman"/>
          <w:lang w:val="en-US" w:eastAsia="zh-CN"/>
        </w:rPr>
        <w:t>1</w:t>
      </w:r>
      <w:r>
        <w:t xml:space="preserve"> </w:t>
      </w:r>
      <w:r>
        <w:rPr>
          <w:rFonts w:hint="eastAsia"/>
        </w:rPr>
        <w:t xml:space="preserve"> 厂内分区防渗一览</w:t>
      </w:r>
      <w:r>
        <w:t>表</w:t>
      </w:r>
    </w:p>
    <w:tbl>
      <w:tblPr>
        <w:tblStyle w:val="8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2367"/>
        <w:gridCol w:w="3547"/>
        <w:gridCol w:w="23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5" w:type="pct"/>
            <w:noWrap w:val="0"/>
            <w:vAlign w:val="center"/>
          </w:tcPr>
          <w:p>
            <w:pPr>
              <w:autoSpaceDE w:val="0"/>
              <w:autoSpaceDN w:val="0"/>
              <w:adjustRightInd w:val="0"/>
              <w:spacing w:line="280" w:lineRule="exact"/>
              <w:ind w:firstLine="0"/>
              <w:jc w:val="center"/>
              <w:rPr>
                <w:rFonts w:hint="eastAsia" w:hAnsi="宋体" w:cs="宋体"/>
                <w:sz w:val="21"/>
                <w:szCs w:val="21"/>
                <w:lang w:val="zh-CN"/>
              </w:rPr>
            </w:pPr>
            <w:r>
              <w:rPr>
                <w:rFonts w:hint="eastAsia" w:cs="宋体"/>
                <w:sz w:val="21"/>
                <w:szCs w:val="21"/>
                <w:lang w:val="zh-CN"/>
              </w:rPr>
              <w:t>序号</w:t>
            </w:r>
          </w:p>
        </w:tc>
        <w:tc>
          <w:tcPr>
            <w:tcW w:w="1290" w:type="pct"/>
            <w:noWrap w:val="0"/>
            <w:vAlign w:val="center"/>
          </w:tcPr>
          <w:p>
            <w:pPr>
              <w:autoSpaceDE w:val="0"/>
              <w:autoSpaceDN w:val="0"/>
              <w:adjustRightInd w:val="0"/>
              <w:spacing w:line="280" w:lineRule="exact"/>
              <w:ind w:firstLine="0"/>
              <w:jc w:val="center"/>
              <w:rPr>
                <w:rFonts w:hint="eastAsia" w:hAnsi="宋体" w:cs="宋体"/>
                <w:sz w:val="21"/>
                <w:szCs w:val="21"/>
                <w:lang w:val="zh-CN"/>
              </w:rPr>
            </w:pPr>
            <w:r>
              <w:rPr>
                <w:rFonts w:hint="eastAsia" w:hAnsi="宋体" w:cs="宋体"/>
                <w:sz w:val="21"/>
                <w:szCs w:val="21"/>
                <w:lang w:val="zh-CN"/>
              </w:rPr>
              <w:t>装置、单元名称</w:t>
            </w:r>
          </w:p>
        </w:tc>
        <w:tc>
          <w:tcPr>
            <w:tcW w:w="1933" w:type="pct"/>
            <w:noWrap w:val="0"/>
            <w:vAlign w:val="center"/>
          </w:tcPr>
          <w:p>
            <w:pPr>
              <w:autoSpaceDE w:val="0"/>
              <w:autoSpaceDN w:val="0"/>
              <w:adjustRightInd w:val="0"/>
              <w:spacing w:line="280" w:lineRule="exact"/>
              <w:ind w:firstLine="0"/>
              <w:jc w:val="center"/>
              <w:rPr>
                <w:rFonts w:hint="eastAsia" w:hAnsi="宋体" w:cs="宋体"/>
                <w:sz w:val="21"/>
                <w:szCs w:val="21"/>
                <w:lang w:val="zh-CN"/>
              </w:rPr>
            </w:pPr>
            <w:r>
              <w:rPr>
                <w:rFonts w:hint="eastAsia" w:hAnsi="宋体" w:cs="宋体"/>
                <w:sz w:val="21"/>
                <w:szCs w:val="21"/>
                <w:lang w:val="zh-CN"/>
              </w:rPr>
              <w:t>污染防治区域及部位</w:t>
            </w:r>
          </w:p>
        </w:tc>
        <w:tc>
          <w:tcPr>
            <w:tcW w:w="1290" w:type="pct"/>
            <w:noWrap w:val="0"/>
            <w:vAlign w:val="center"/>
          </w:tcPr>
          <w:p>
            <w:pPr>
              <w:autoSpaceDE w:val="0"/>
              <w:autoSpaceDN w:val="0"/>
              <w:adjustRightInd w:val="0"/>
              <w:spacing w:line="280" w:lineRule="exact"/>
              <w:ind w:firstLine="0"/>
              <w:jc w:val="center"/>
              <w:rPr>
                <w:rFonts w:hint="eastAsia" w:hAnsi="宋体" w:cs="宋体"/>
                <w:sz w:val="21"/>
                <w:szCs w:val="21"/>
                <w:lang w:val="zh-CN"/>
              </w:rPr>
            </w:pPr>
            <w:r>
              <w:rPr>
                <w:rFonts w:hint="eastAsia" w:hAnsi="宋体" w:cs="宋体"/>
                <w:sz w:val="21"/>
                <w:szCs w:val="21"/>
                <w:lang w:val="zh-CN"/>
              </w:rPr>
              <w:t>污染防治区类别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85" w:type="pct"/>
            <w:noWrap w:val="0"/>
            <w:vAlign w:val="center"/>
          </w:tcPr>
          <w:p>
            <w:pPr>
              <w:autoSpaceDE w:val="0"/>
              <w:autoSpaceDN w:val="0"/>
              <w:adjustRightInd w:val="0"/>
              <w:spacing w:line="280" w:lineRule="exact"/>
              <w:ind w:firstLine="0"/>
              <w:jc w:val="center"/>
              <w:rPr>
                <w:rFonts w:hint="default" w:cs="宋体"/>
                <w:color w:val="auto"/>
                <w:sz w:val="21"/>
                <w:szCs w:val="21"/>
                <w:lang w:val="en-US" w:eastAsia="zh-CN"/>
              </w:rPr>
            </w:pPr>
            <w:r>
              <w:rPr>
                <w:rFonts w:hint="eastAsia" w:ascii="Times New Roman" w:hAnsi="Times New Roman" w:cs="宋体"/>
                <w:color w:val="auto"/>
                <w:sz w:val="21"/>
                <w:szCs w:val="21"/>
                <w:lang w:val="en-US" w:eastAsia="zh-CN"/>
              </w:rPr>
              <w:t>1</w:t>
            </w:r>
          </w:p>
        </w:tc>
        <w:tc>
          <w:tcPr>
            <w:tcW w:w="1290" w:type="pct"/>
            <w:noWrap w:val="0"/>
            <w:vAlign w:val="center"/>
          </w:tcPr>
          <w:p>
            <w:pPr>
              <w:autoSpaceDE w:val="0"/>
              <w:autoSpaceDN w:val="0"/>
              <w:adjustRightInd w:val="0"/>
              <w:spacing w:line="280" w:lineRule="exact"/>
              <w:ind w:firstLine="0" w:firstLineChars="0"/>
              <w:jc w:val="center"/>
              <w:rPr>
                <w:rFonts w:hint="default" w:ascii="宋体" w:hAnsi="宋体" w:eastAsia="宋体" w:cs="宋体"/>
                <w:color w:val="auto"/>
                <w:sz w:val="21"/>
                <w:szCs w:val="21"/>
                <w:lang w:val="en-US" w:eastAsia="zh-CN" w:bidi="ar-SA"/>
              </w:rPr>
            </w:pPr>
            <w:r>
              <w:rPr>
                <w:rFonts w:hint="eastAsia" w:cs="宋体"/>
                <w:color w:val="auto"/>
                <w:sz w:val="21"/>
                <w:szCs w:val="21"/>
                <w:lang w:val="zh-CN"/>
              </w:rPr>
              <w:t>产品罐区</w:t>
            </w:r>
          </w:p>
        </w:tc>
        <w:tc>
          <w:tcPr>
            <w:tcW w:w="1933" w:type="pct"/>
            <w:noWrap w:val="0"/>
            <w:vAlign w:val="center"/>
          </w:tcPr>
          <w:p>
            <w:pPr>
              <w:autoSpaceDE w:val="0"/>
              <w:autoSpaceDN w:val="0"/>
              <w:adjustRightInd w:val="0"/>
              <w:spacing w:line="280" w:lineRule="exact"/>
              <w:ind w:firstLine="0" w:firstLineChars="0"/>
              <w:jc w:val="center"/>
              <w:rPr>
                <w:rFonts w:hint="eastAsia" w:ascii="宋体" w:hAnsi="宋体" w:eastAsia="宋体" w:cs="宋体"/>
                <w:color w:val="auto"/>
                <w:sz w:val="21"/>
                <w:szCs w:val="21"/>
                <w:lang w:val="en-US" w:eastAsia="zh-CN" w:bidi="ar-SA"/>
              </w:rPr>
            </w:pPr>
            <w:r>
              <w:rPr>
                <w:rFonts w:hint="eastAsia" w:ascii="Times New Roman" w:hAnsi="Times New Roman" w:cs="宋体"/>
                <w:color w:val="auto"/>
                <w:sz w:val="21"/>
                <w:szCs w:val="21"/>
                <w:lang w:eastAsia="zh-CN"/>
              </w:rPr>
              <w:t>PD</w:t>
            </w:r>
            <w:r>
              <w:rPr>
                <w:rFonts w:hint="eastAsia" w:cs="宋体"/>
                <w:color w:val="auto"/>
                <w:sz w:val="21"/>
                <w:szCs w:val="21"/>
                <w:lang w:eastAsia="zh-CN"/>
              </w:rPr>
              <w:t>储罐基础、粗</w:t>
            </w:r>
            <w:r>
              <w:rPr>
                <w:rFonts w:hint="eastAsia" w:ascii="Times New Roman" w:hAnsi="Times New Roman" w:cs="宋体"/>
                <w:color w:val="auto"/>
                <w:sz w:val="21"/>
                <w:szCs w:val="21"/>
                <w:lang w:eastAsia="zh-CN"/>
              </w:rPr>
              <w:t>PD</w:t>
            </w:r>
            <w:r>
              <w:rPr>
                <w:rFonts w:hint="eastAsia" w:cs="宋体"/>
                <w:color w:val="auto"/>
                <w:sz w:val="21"/>
                <w:szCs w:val="21"/>
                <w:lang w:eastAsia="zh-CN"/>
              </w:rPr>
              <w:t>储罐基础</w:t>
            </w:r>
          </w:p>
        </w:tc>
        <w:tc>
          <w:tcPr>
            <w:tcW w:w="1290" w:type="pct"/>
            <w:noWrap w:val="0"/>
            <w:vAlign w:val="center"/>
          </w:tcPr>
          <w:p>
            <w:pPr>
              <w:autoSpaceDE w:val="0"/>
              <w:autoSpaceDN w:val="0"/>
              <w:adjustRightInd w:val="0"/>
              <w:spacing w:line="280" w:lineRule="exact"/>
              <w:ind w:firstLine="0" w:firstLineChars="0"/>
              <w:jc w:val="center"/>
              <w:rPr>
                <w:rFonts w:hint="eastAsia" w:ascii="宋体" w:hAnsi="宋体" w:eastAsia="宋体" w:cs="宋体"/>
                <w:sz w:val="21"/>
                <w:szCs w:val="21"/>
                <w:lang w:val="zh-CN" w:eastAsia="zh-CN" w:bidi="ar-SA"/>
              </w:rPr>
            </w:pPr>
            <w:r>
              <w:rPr>
                <w:rFonts w:hint="eastAsia" w:cs="宋体"/>
                <w:sz w:val="21"/>
                <w:szCs w:val="21"/>
                <w:lang w:val="zh-CN"/>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85" w:type="pct"/>
            <w:noWrap w:val="0"/>
            <w:vAlign w:val="center"/>
          </w:tcPr>
          <w:p>
            <w:pPr>
              <w:autoSpaceDE w:val="0"/>
              <w:autoSpaceDN w:val="0"/>
              <w:adjustRightInd w:val="0"/>
              <w:spacing w:line="280" w:lineRule="exact"/>
              <w:ind w:firstLine="0"/>
              <w:jc w:val="center"/>
              <w:rPr>
                <w:rFonts w:hint="eastAsia" w:eastAsia="宋体" w:cs="宋体"/>
                <w:color w:val="auto"/>
                <w:sz w:val="21"/>
                <w:szCs w:val="21"/>
                <w:lang w:val="en-US" w:eastAsia="zh-CN"/>
              </w:rPr>
            </w:pPr>
            <w:r>
              <w:rPr>
                <w:rFonts w:hint="eastAsia" w:ascii="Times New Roman" w:hAnsi="Times New Roman" w:cs="宋体"/>
                <w:color w:val="auto"/>
                <w:sz w:val="21"/>
                <w:szCs w:val="21"/>
                <w:lang w:val="en-US" w:eastAsia="zh-CN"/>
              </w:rPr>
              <w:t>2</w:t>
            </w:r>
          </w:p>
        </w:tc>
        <w:tc>
          <w:tcPr>
            <w:tcW w:w="1290" w:type="pct"/>
            <w:noWrap w:val="0"/>
            <w:vAlign w:val="center"/>
          </w:tcPr>
          <w:p>
            <w:pPr>
              <w:autoSpaceDE w:val="0"/>
              <w:autoSpaceDN w:val="0"/>
              <w:adjustRightInd w:val="0"/>
              <w:spacing w:line="280" w:lineRule="exact"/>
              <w:ind w:firstLine="0" w:firstLineChars="0"/>
              <w:jc w:val="center"/>
              <w:rPr>
                <w:rFonts w:hint="eastAsia" w:ascii="宋体" w:hAnsi="宋体" w:eastAsia="宋体" w:cs="宋体"/>
                <w:color w:val="auto"/>
                <w:sz w:val="21"/>
                <w:szCs w:val="21"/>
                <w:lang w:val="zh-CN" w:eastAsia="zh-CN" w:bidi="ar-SA"/>
              </w:rPr>
            </w:pPr>
            <w:r>
              <w:rPr>
                <w:rFonts w:hint="eastAsia" w:cs="宋体"/>
                <w:color w:val="auto"/>
                <w:sz w:val="21"/>
                <w:szCs w:val="21"/>
                <w:lang w:val="zh-CN"/>
              </w:rPr>
              <w:t>产品罐区</w:t>
            </w:r>
          </w:p>
        </w:tc>
        <w:tc>
          <w:tcPr>
            <w:tcW w:w="1933" w:type="pct"/>
            <w:noWrap w:val="0"/>
            <w:vAlign w:val="center"/>
          </w:tcPr>
          <w:p>
            <w:pPr>
              <w:autoSpaceDE w:val="0"/>
              <w:autoSpaceDN w:val="0"/>
              <w:adjustRightInd w:val="0"/>
              <w:spacing w:line="280" w:lineRule="exact"/>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lang w:eastAsia="zh-CN"/>
              </w:rPr>
              <w:t>罐区地面</w:t>
            </w:r>
          </w:p>
        </w:tc>
        <w:tc>
          <w:tcPr>
            <w:tcW w:w="1290" w:type="pct"/>
            <w:noWrap w:val="0"/>
            <w:vAlign w:val="center"/>
          </w:tcPr>
          <w:p>
            <w:pPr>
              <w:autoSpaceDE w:val="0"/>
              <w:autoSpaceDN w:val="0"/>
              <w:adjustRightInd w:val="0"/>
              <w:spacing w:line="280" w:lineRule="exact"/>
              <w:ind w:firstLine="0" w:firstLineChars="0"/>
              <w:jc w:val="center"/>
              <w:rPr>
                <w:rFonts w:hint="eastAsia" w:ascii="宋体" w:hAnsi="宋体" w:eastAsia="宋体" w:cs="宋体"/>
                <w:sz w:val="21"/>
                <w:szCs w:val="21"/>
                <w:lang w:val="zh-CN" w:eastAsia="zh-CN" w:bidi="ar-SA"/>
              </w:rPr>
            </w:pPr>
            <w:r>
              <w:rPr>
                <w:rFonts w:hint="eastAsia" w:cs="宋体"/>
                <w:sz w:val="21"/>
                <w:szCs w:val="21"/>
                <w:lang w:val="zh-CN"/>
              </w:rPr>
              <w:t>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85" w:type="pct"/>
            <w:noWrap w:val="0"/>
            <w:vAlign w:val="center"/>
          </w:tcPr>
          <w:p>
            <w:pPr>
              <w:autoSpaceDE w:val="0"/>
              <w:autoSpaceDN w:val="0"/>
              <w:adjustRightInd w:val="0"/>
              <w:spacing w:line="280" w:lineRule="exact"/>
              <w:ind w:firstLine="0"/>
              <w:jc w:val="center"/>
              <w:rPr>
                <w:rFonts w:hint="eastAsia" w:eastAsia="宋体" w:cs="宋体"/>
                <w:color w:val="auto"/>
                <w:sz w:val="21"/>
                <w:szCs w:val="21"/>
                <w:lang w:val="en-US" w:eastAsia="zh-CN"/>
              </w:rPr>
            </w:pPr>
            <w:r>
              <w:rPr>
                <w:rFonts w:hint="eastAsia" w:ascii="Times New Roman" w:hAnsi="Times New Roman" w:cs="宋体"/>
                <w:color w:val="auto"/>
                <w:sz w:val="21"/>
                <w:szCs w:val="21"/>
                <w:lang w:val="en-US" w:eastAsia="zh-CN"/>
              </w:rPr>
              <w:t>3</w:t>
            </w:r>
          </w:p>
        </w:tc>
        <w:tc>
          <w:tcPr>
            <w:tcW w:w="1290" w:type="pct"/>
            <w:noWrap w:val="0"/>
            <w:vAlign w:val="center"/>
          </w:tcPr>
          <w:p>
            <w:pPr>
              <w:autoSpaceDE w:val="0"/>
              <w:autoSpaceDN w:val="0"/>
              <w:adjustRightInd w:val="0"/>
              <w:spacing w:line="280" w:lineRule="exact"/>
              <w:ind w:firstLine="0" w:firstLineChars="0"/>
              <w:jc w:val="center"/>
              <w:rPr>
                <w:rFonts w:hint="eastAsia" w:cs="宋体"/>
                <w:color w:val="auto"/>
                <w:sz w:val="21"/>
                <w:szCs w:val="21"/>
                <w:lang w:val="zh-CN"/>
              </w:rPr>
            </w:pPr>
            <w:r>
              <w:rPr>
                <w:rFonts w:hint="eastAsia" w:cs="宋体"/>
                <w:color w:val="auto"/>
                <w:sz w:val="21"/>
                <w:szCs w:val="21"/>
                <w:lang w:val="zh-CN"/>
              </w:rPr>
              <w:t>汽车装车栈台</w:t>
            </w:r>
          </w:p>
        </w:tc>
        <w:tc>
          <w:tcPr>
            <w:tcW w:w="1933" w:type="pct"/>
            <w:noWrap w:val="0"/>
            <w:vAlign w:val="center"/>
          </w:tcPr>
          <w:p>
            <w:pPr>
              <w:autoSpaceDE w:val="0"/>
              <w:autoSpaceDN w:val="0"/>
              <w:adjustRightInd w:val="0"/>
              <w:spacing w:line="280" w:lineRule="exact"/>
              <w:ind w:firstLine="0" w:firstLineChars="0"/>
              <w:jc w:val="center"/>
              <w:rPr>
                <w:rFonts w:hint="eastAsia" w:cs="宋体"/>
                <w:color w:val="auto"/>
                <w:sz w:val="21"/>
                <w:szCs w:val="21"/>
                <w:lang w:eastAsia="zh-CN"/>
              </w:rPr>
            </w:pPr>
            <w:r>
              <w:rPr>
                <w:rFonts w:hint="eastAsia" w:cs="宋体"/>
                <w:color w:val="auto"/>
                <w:sz w:val="21"/>
                <w:szCs w:val="21"/>
                <w:lang w:eastAsia="zh-CN"/>
              </w:rPr>
              <w:t>装卸车栈台界区地面</w:t>
            </w:r>
          </w:p>
        </w:tc>
        <w:tc>
          <w:tcPr>
            <w:tcW w:w="1290" w:type="pct"/>
            <w:noWrap w:val="0"/>
            <w:vAlign w:val="center"/>
          </w:tcPr>
          <w:p>
            <w:pPr>
              <w:autoSpaceDE w:val="0"/>
              <w:autoSpaceDN w:val="0"/>
              <w:adjustRightInd w:val="0"/>
              <w:spacing w:line="280" w:lineRule="exact"/>
              <w:ind w:firstLine="0" w:firstLineChars="0"/>
              <w:jc w:val="center"/>
              <w:rPr>
                <w:rFonts w:hint="eastAsia" w:cs="宋体"/>
                <w:sz w:val="21"/>
                <w:szCs w:val="21"/>
                <w:lang w:val="zh-CN"/>
              </w:rPr>
            </w:pPr>
            <w:r>
              <w:rPr>
                <w:rFonts w:hint="eastAsia" w:cs="宋体"/>
                <w:sz w:val="21"/>
                <w:szCs w:val="21"/>
                <w:lang w:val="zh-CN"/>
              </w:rPr>
              <w:t>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85" w:type="pct"/>
            <w:noWrap w:val="0"/>
            <w:vAlign w:val="center"/>
          </w:tcPr>
          <w:p>
            <w:pPr>
              <w:autoSpaceDE w:val="0"/>
              <w:autoSpaceDN w:val="0"/>
              <w:adjustRightInd w:val="0"/>
              <w:spacing w:line="280" w:lineRule="exact"/>
              <w:ind w:firstLine="0"/>
              <w:jc w:val="center"/>
              <w:rPr>
                <w:rFonts w:hint="eastAsia" w:eastAsia="宋体" w:cs="宋体"/>
                <w:color w:val="auto"/>
                <w:sz w:val="21"/>
                <w:szCs w:val="21"/>
                <w:lang w:val="en-US" w:eastAsia="zh-CN"/>
              </w:rPr>
            </w:pPr>
            <w:r>
              <w:rPr>
                <w:rFonts w:hint="eastAsia" w:ascii="Times New Roman" w:hAnsi="Times New Roman" w:cs="宋体"/>
                <w:color w:val="auto"/>
                <w:sz w:val="21"/>
                <w:szCs w:val="21"/>
                <w:lang w:val="en-US" w:eastAsia="zh-CN"/>
              </w:rPr>
              <w:t>4</w:t>
            </w:r>
          </w:p>
        </w:tc>
        <w:tc>
          <w:tcPr>
            <w:tcW w:w="1290" w:type="pct"/>
            <w:noWrap w:val="0"/>
            <w:vAlign w:val="center"/>
          </w:tcPr>
          <w:p>
            <w:pPr>
              <w:autoSpaceDE w:val="0"/>
              <w:autoSpaceDN w:val="0"/>
              <w:adjustRightInd w:val="0"/>
              <w:spacing w:line="280" w:lineRule="exact"/>
              <w:ind w:firstLine="0" w:firstLineChars="0"/>
              <w:jc w:val="center"/>
              <w:rPr>
                <w:rFonts w:hint="eastAsia" w:ascii="宋体" w:hAnsi="宋体" w:eastAsia="宋体" w:cs="宋体"/>
                <w:color w:val="auto"/>
                <w:sz w:val="21"/>
                <w:szCs w:val="21"/>
                <w:lang w:val="zh-CN" w:eastAsia="zh-CN" w:bidi="ar-SA"/>
              </w:rPr>
            </w:pPr>
            <w:r>
              <w:rPr>
                <w:rFonts w:hint="eastAsia" w:cs="宋体"/>
                <w:color w:val="auto"/>
                <w:sz w:val="21"/>
                <w:szCs w:val="21"/>
                <w:lang w:eastAsia="zh-CN"/>
              </w:rPr>
              <w:t>尾气吸收塔</w:t>
            </w:r>
          </w:p>
        </w:tc>
        <w:tc>
          <w:tcPr>
            <w:tcW w:w="1933" w:type="pct"/>
            <w:noWrap w:val="0"/>
            <w:vAlign w:val="center"/>
          </w:tcPr>
          <w:p>
            <w:pPr>
              <w:autoSpaceDE w:val="0"/>
              <w:autoSpaceDN w:val="0"/>
              <w:adjustRightInd w:val="0"/>
              <w:spacing w:line="280" w:lineRule="exact"/>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lang w:eastAsia="zh-CN"/>
              </w:rPr>
              <w:t>塔底池地板及壁板</w:t>
            </w:r>
          </w:p>
        </w:tc>
        <w:tc>
          <w:tcPr>
            <w:tcW w:w="1290" w:type="pct"/>
            <w:noWrap w:val="0"/>
            <w:vAlign w:val="center"/>
          </w:tcPr>
          <w:p>
            <w:pPr>
              <w:autoSpaceDE w:val="0"/>
              <w:autoSpaceDN w:val="0"/>
              <w:adjustRightInd w:val="0"/>
              <w:spacing w:line="280" w:lineRule="exact"/>
              <w:ind w:firstLine="0" w:firstLineChars="0"/>
              <w:jc w:val="center"/>
              <w:rPr>
                <w:rFonts w:hint="eastAsia" w:ascii="宋体" w:hAnsi="宋体" w:eastAsia="宋体" w:cs="宋体"/>
                <w:sz w:val="21"/>
                <w:szCs w:val="21"/>
                <w:lang w:val="zh-CN" w:eastAsia="zh-CN" w:bidi="ar-SA"/>
              </w:rPr>
            </w:pPr>
            <w:r>
              <w:rPr>
                <w:rFonts w:hint="eastAsia" w:hAnsi="宋体" w:cs="宋体"/>
                <w:sz w:val="21"/>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85" w:type="pct"/>
            <w:noWrap w:val="0"/>
            <w:vAlign w:val="center"/>
          </w:tcPr>
          <w:p>
            <w:pPr>
              <w:autoSpaceDE w:val="0"/>
              <w:autoSpaceDN w:val="0"/>
              <w:adjustRightInd w:val="0"/>
              <w:spacing w:line="280" w:lineRule="exact"/>
              <w:ind w:firstLine="0"/>
              <w:jc w:val="center"/>
              <w:rPr>
                <w:rFonts w:hint="default" w:cs="宋体"/>
                <w:color w:val="auto"/>
                <w:sz w:val="21"/>
                <w:szCs w:val="21"/>
                <w:lang w:val="en-US" w:eastAsia="zh-CN"/>
              </w:rPr>
            </w:pPr>
            <w:r>
              <w:rPr>
                <w:rFonts w:hint="eastAsia" w:ascii="Times New Roman" w:hAnsi="Times New Roman" w:cs="宋体"/>
                <w:color w:val="auto"/>
                <w:sz w:val="21"/>
                <w:szCs w:val="21"/>
                <w:lang w:val="en-US" w:eastAsia="zh-CN"/>
              </w:rPr>
              <w:t>5</w:t>
            </w:r>
          </w:p>
        </w:tc>
        <w:tc>
          <w:tcPr>
            <w:tcW w:w="1290" w:type="pct"/>
            <w:noWrap w:val="0"/>
            <w:vAlign w:val="center"/>
          </w:tcPr>
          <w:p>
            <w:pPr>
              <w:autoSpaceDE w:val="0"/>
              <w:autoSpaceDN w:val="0"/>
              <w:adjustRightInd w:val="0"/>
              <w:spacing w:line="280" w:lineRule="exact"/>
              <w:ind w:firstLine="0"/>
              <w:jc w:val="center"/>
              <w:rPr>
                <w:rFonts w:hint="eastAsia" w:hAnsi="宋体" w:eastAsia="宋体" w:cs="宋体"/>
                <w:color w:val="auto"/>
                <w:sz w:val="21"/>
                <w:szCs w:val="21"/>
                <w:lang w:eastAsia="zh-CN"/>
              </w:rPr>
            </w:pPr>
            <w:r>
              <w:rPr>
                <w:rFonts w:hint="eastAsia" w:cs="宋体"/>
                <w:color w:val="auto"/>
                <w:sz w:val="21"/>
                <w:szCs w:val="21"/>
                <w:lang w:eastAsia="zh-CN"/>
              </w:rPr>
              <w:t>其它地面</w:t>
            </w:r>
          </w:p>
        </w:tc>
        <w:tc>
          <w:tcPr>
            <w:tcW w:w="1933" w:type="pct"/>
            <w:noWrap w:val="0"/>
            <w:vAlign w:val="center"/>
          </w:tcPr>
          <w:p>
            <w:pPr>
              <w:autoSpaceDE w:val="0"/>
              <w:autoSpaceDN w:val="0"/>
              <w:adjustRightInd w:val="0"/>
              <w:spacing w:line="280" w:lineRule="exact"/>
              <w:ind w:firstLine="0"/>
              <w:jc w:val="center"/>
              <w:rPr>
                <w:rFonts w:hint="eastAsia" w:hAnsi="宋体" w:eastAsia="宋体" w:cs="宋体"/>
                <w:color w:val="auto"/>
                <w:sz w:val="21"/>
                <w:szCs w:val="21"/>
                <w:lang w:eastAsia="zh-CN"/>
              </w:rPr>
            </w:pPr>
          </w:p>
        </w:tc>
        <w:tc>
          <w:tcPr>
            <w:tcW w:w="1290" w:type="pct"/>
            <w:noWrap w:val="0"/>
            <w:vAlign w:val="center"/>
          </w:tcPr>
          <w:p>
            <w:pPr>
              <w:autoSpaceDE w:val="0"/>
              <w:autoSpaceDN w:val="0"/>
              <w:adjustRightInd w:val="0"/>
              <w:spacing w:line="280" w:lineRule="exact"/>
              <w:ind w:firstLine="0"/>
              <w:jc w:val="center"/>
              <w:rPr>
                <w:rFonts w:hint="eastAsia" w:hAnsi="宋体" w:eastAsia="宋体" w:cs="宋体"/>
                <w:sz w:val="21"/>
                <w:szCs w:val="21"/>
                <w:lang w:eastAsia="zh-CN"/>
              </w:rPr>
            </w:pPr>
            <w:r>
              <w:rPr>
                <w:rFonts w:hint="eastAsia" w:cs="宋体"/>
                <w:sz w:val="21"/>
                <w:szCs w:val="21"/>
                <w:lang w:eastAsia="zh-CN"/>
              </w:rPr>
              <w:t>一般</w:t>
            </w:r>
          </w:p>
        </w:tc>
      </w:tr>
    </w:tbl>
    <w:p>
      <w:pPr>
        <w:pStyle w:val="477"/>
        <w:spacing w:before="0" w:after="0"/>
        <w:rPr>
          <w:rFonts w:hint="default"/>
          <w:color w:val="auto"/>
          <w:lang w:val="en-US" w:eastAsia="zh-CN"/>
        </w:rPr>
      </w:pPr>
      <w:r>
        <w:rPr>
          <w:rFonts w:hint="eastAsia"/>
          <w:color w:val="auto"/>
          <w:lang w:eastAsia="zh-CN"/>
        </w:rPr>
        <w:t>化工设备、建筑物防渗的设计使用年限分别不应低于响应设备、地下管道或建、构筑物的设计使用年限。一般污染防治区的防渗性能应不低于</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5m</w:t>
      </w:r>
      <w:r>
        <w:rPr>
          <w:rFonts w:hint="eastAsia"/>
          <w:color w:val="auto"/>
          <w:lang w:val="en-US" w:eastAsia="zh-CN"/>
        </w:rPr>
        <w:t>厚渗透系数为</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10</w:t>
      </w:r>
      <w:r>
        <w:rPr>
          <w:rFonts w:hint="eastAsia"/>
          <w:color w:val="auto"/>
          <w:vertAlign w:val="superscript"/>
          <w:lang w:val="en-US" w:eastAsia="zh-CN"/>
        </w:rPr>
        <w:t>-</w:t>
      </w:r>
      <w:r>
        <w:rPr>
          <w:rFonts w:hint="eastAsia" w:ascii="Times New Roman" w:hAnsi="Times New Roman"/>
          <w:color w:val="auto"/>
          <w:vertAlign w:val="superscript"/>
          <w:lang w:val="en-US" w:eastAsia="zh-CN"/>
        </w:rPr>
        <w:t>7</w:t>
      </w:r>
      <w:r>
        <w:rPr>
          <w:rFonts w:hint="eastAsia" w:ascii="Times New Roman" w:hAnsi="Times New Roman"/>
          <w:color w:val="auto"/>
          <w:lang w:val="en-US" w:eastAsia="zh-CN"/>
        </w:rPr>
        <w:t>cm</w:t>
      </w:r>
      <w:r>
        <w:rPr>
          <w:rFonts w:hint="eastAsia"/>
          <w:color w:val="auto"/>
          <w:lang w:val="en-US" w:eastAsia="zh-CN"/>
        </w:rPr>
        <w:t>/</w:t>
      </w:r>
      <w:r>
        <w:rPr>
          <w:rFonts w:hint="eastAsia" w:ascii="Times New Roman" w:hAnsi="Times New Roman"/>
          <w:color w:val="auto"/>
          <w:lang w:val="en-US" w:eastAsia="zh-CN"/>
        </w:rPr>
        <w:t>s</w:t>
      </w:r>
      <w:r>
        <w:rPr>
          <w:rFonts w:hint="eastAsia"/>
          <w:color w:val="auto"/>
          <w:lang w:val="en-US" w:eastAsia="zh-CN"/>
        </w:rPr>
        <w:t>的粘土层的防渗性能；重点污染防治区防渗层的防渗性能应不低于</w:t>
      </w:r>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0m</w:t>
      </w:r>
      <w:r>
        <w:rPr>
          <w:rFonts w:hint="eastAsia"/>
          <w:color w:val="auto"/>
          <w:lang w:val="en-US" w:eastAsia="zh-CN"/>
        </w:rPr>
        <w:t>厚渗透系数为</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0</w:t>
      </w:r>
      <w:r>
        <w:rPr>
          <w:rFonts w:hint="eastAsia"/>
          <w:color w:val="auto"/>
          <w:lang w:val="en-US" w:eastAsia="zh-CN"/>
        </w:rPr>
        <w:t>×</w:t>
      </w:r>
      <w:r>
        <w:rPr>
          <w:rFonts w:hint="eastAsia" w:ascii="Times New Roman" w:hAnsi="Times New Roman"/>
          <w:color w:val="auto"/>
          <w:lang w:val="en-US" w:eastAsia="zh-CN"/>
        </w:rPr>
        <w:t>10</w:t>
      </w:r>
      <w:r>
        <w:rPr>
          <w:rFonts w:hint="eastAsia"/>
          <w:color w:val="auto"/>
          <w:vertAlign w:val="superscript"/>
          <w:lang w:val="en-US" w:eastAsia="zh-CN"/>
        </w:rPr>
        <w:t>-</w:t>
      </w:r>
      <w:r>
        <w:rPr>
          <w:rFonts w:hint="eastAsia" w:ascii="Times New Roman" w:hAnsi="Times New Roman"/>
          <w:color w:val="auto"/>
          <w:vertAlign w:val="superscript"/>
          <w:lang w:val="en-US" w:eastAsia="zh-CN"/>
        </w:rPr>
        <w:t>7</w:t>
      </w:r>
      <w:r>
        <w:rPr>
          <w:rFonts w:hint="eastAsia" w:ascii="Times New Roman" w:hAnsi="Times New Roman"/>
          <w:color w:val="auto"/>
          <w:lang w:val="en-US" w:eastAsia="zh-CN"/>
        </w:rPr>
        <w:t>cm</w:t>
      </w:r>
      <w:r>
        <w:rPr>
          <w:rFonts w:hint="eastAsia"/>
          <w:color w:val="auto"/>
          <w:lang w:val="en-US" w:eastAsia="zh-CN"/>
        </w:rPr>
        <w:t>/</w:t>
      </w:r>
      <w:r>
        <w:rPr>
          <w:rFonts w:hint="eastAsia" w:ascii="Times New Roman" w:hAnsi="Times New Roman"/>
          <w:color w:val="auto"/>
          <w:lang w:val="en-US" w:eastAsia="zh-CN"/>
        </w:rPr>
        <w:t>s</w:t>
      </w:r>
      <w:r>
        <w:rPr>
          <w:rFonts w:hint="eastAsia"/>
          <w:color w:val="auto"/>
          <w:lang w:val="en-US" w:eastAsia="zh-CN"/>
        </w:rPr>
        <w:t>的粘土层的防渗性能。</w:t>
      </w:r>
    </w:p>
    <w:p>
      <w:pPr>
        <w:pStyle w:val="477"/>
        <w:spacing w:before="0" w:after="0"/>
        <w:rPr>
          <w:rFonts w:hint="eastAsia"/>
          <w:color w:val="auto"/>
          <w:lang w:eastAsia="zh-CN"/>
        </w:rPr>
      </w:pPr>
      <w:r>
        <w:rPr>
          <w:rFonts w:hint="eastAsia"/>
          <w:color w:val="auto"/>
          <w:lang w:eastAsia="zh-CN"/>
        </w:rPr>
        <w:t>（</w:t>
      </w:r>
      <w:r>
        <w:rPr>
          <w:rFonts w:hint="eastAsia" w:ascii="Times New Roman" w:hAnsi="Times New Roman"/>
          <w:color w:val="auto"/>
          <w:lang w:val="en-US" w:eastAsia="zh-CN"/>
        </w:rPr>
        <w:t>3</w:t>
      </w:r>
      <w:r>
        <w:rPr>
          <w:rFonts w:hint="eastAsia"/>
          <w:color w:val="auto"/>
          <w:lang w:eastAsia="zh-CN"/>
        </w:rPr>
        <w:t>）地下水环境监测与管理</w:t>
      </w:r>
    </w:p>
    <w:p>
      <w:pPr>
        <w:rPr>
          <w:color w:val="auto"/>
        </w:rPr>
      </w:pPr>
      <w:r>
        <w:rPr>
          <w:rFonts w:hint="eastAsia"/>
          <w:color w:val="auto"/>
          <w:lang w:eastAsia="zh-CN"/>
        </w:rPr>
        <w:t>根据现有资料，厂内已具备上下游监测井</w:t>
      </w:r>
      <w:r>
        <w:rPr>
          <w:rFonts w:hint="eastAsia"/>
          <w:color w:val="auto"/>
        </w:rPr>
        <w:t>，</w:t>
      </w:r>
      <w:r>
        <w:rPr>
          <w:rFonts w:hint="eastAsia"/>
          <w:color w:val="auto"/>
          <w:lang w:eastAsia="zh-CN"/>
        </w:rPr>
        <w:t>本</w:t>
      </w:r>
      <w:r>
        <w:rPr>
          <w:rFonts w:hint="eastAsia"/>
          <w:color w:val="auto"/>
        </w:rPr>
        <w:t>项目</w:t>
      </w:r>
      <w:r>
        <w:rPr>
          <w:rFonts w:hint="eastAsia"/>
          <w:color w:val="auto"/>
          <w:lang w:eastAsia="zh-CN"/>
        </w:rPr>
        <w:t>不涉及新增地下水污染因子，因此本项目将纳入现有地下水监测计划</w:t>
      </w:r>
      <w:r>
        <w:rPr>
          <w:rFonts w:hint="eastAsia"/>
          <w:color w:val="auto"/>
        </w:rPr>
        <w:t>。</w:t>
      </w:r>
    </w:p>
    <w:p>
      <w:pPr>
        <w:widowControl w:val="0"/>
        <w:wordWrap/>
        <w:adjustRightInd/>
        <w:snapToGrid/>
        <w:spacing w:line="460" w:lineRule="exact"/>
        <w:ind w:firstLine="482"/>
        <w:textAlignment w:val="auto"/>
        <w:rPr>
          <w:rFonts w:hint="eastAsia"/>
          <w:color w:val="auto"/>
          <w:lang w:eastAsia="zh-CN"/>
        </w:rPr>
      </w:pPr>
      <w:r>
        <w:rPr>
          <w:rFonts w:hint="eastAsia"/>
          <w:color w:val="auto"/>
          <w:lang w:eastAsia="zh-CN"/>
        </w:rPr>
        <w:t>（</w:t>
      </w:r>
      <w:r>
        <w:rPr>
          <w:rFonts w:hint="eastAsia" w:ascii="Times New Roman" w:hAnsi="Times New Roman"/>
          <w:color w:val="auto"/>
          <w:lang w:val="en-US" w:eastAsia="zh-CN"/>
        </w:rPr>
        <w:t>4</w:t>
      </w:r>
      <w:r>
        <w:rPr>
          <w:rFonts w:hint="eastAsia"/>
          <w:color w:val="auto"/>
          <w:lang w:eastAsia="zh-CN"/>
        </w:rPr>
        <w:t>）地下水应急管理措施</w:t>
      </w:r>
    </w:p>
    <w:p>
      <w:pPr>
        <w:ind w:firstLine="480"/>
        <w:rPr>
          <w:rFonts w:hint="eastAsia"/>
          <w:lang w:eastAsia="zh-CN"/>
        </w:rPr>
      </w:pPr>
      <w:r>
        <w:rPr>
          <w:rFonts w:hint="eastAsia"/>
          <w:lang w:eastAsia="zh-CN"/>
        </w:rPr>
        <w:t>地下水污染具有不易发现和一旦污染很难治理的特点，因此地下水污染防治应遵循源头控制、防止渗漏、污染监测和事故应急处理结合的原则。当发生污染事故，应委托具有水文地质勘察资质的单位进行地下水污染勘察工作。</w:t>
      </w:r>
    </w:p>
    <w:p>
      <w:pPr>
        <w:widowControl w:val="0"/>
        <w:wordWrap/>
        <w:adjustRightInd/>
        <w:snapToGrid/>
        <w:spacing w:line="460" w:lineRule="exact"/>
        <w:ind w:firstLine="482"/>
        <w:textAlignment w:val="auto"/>
        <w:rPr>
          <w:rFonts w:hint="eastAsia"/>
          <w:color w:val="auto"/>
          <w:lang w:eastAsia="zh-CN"/>
        </w:rPr>
      </w:pPr>
      <w:r>
        <w:rPr>
          <w:rFonts w:hint="eastAsia"/>
          <w:lang w:eastAsia="zh-CN"/>
        </w:rPr>
        <w:t>当发现地下水水质异常，企业应按照应急预案确定的技术方案开展工作，迅速查明并切断污染源</w:t>
      </w:r>
      <w:r>
        <w:rPr>
          <w:rFonts w:hint="eastAsia"/>
        </w:rPr>
        <w:t>。</w:t>
      </w:r>
      <w:r>
        <w:rPr>
          <w:rFonts w:hint="eastAsia"/>
          <w:lang w:eastAsia="zh-CN"/>
        </w:rPr>
        <w:t>查明地下水污染的深度、范围和程度。在地下水污染范围合理布置浅井，并进行试抽水工作，抽出被污染的地下水并集中收集处理，当监测孔中的主要污染物浓度满足《地下水质量标准》（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T14848</w:t>
      </w:r>
      <w:r>
        <w:rPr>
          <w:rFonts w:hint="eastAsia"/>
          <w:lang w:val="en-US" w:eastAsia="zh-CN"/>
        </w:rPr>
        <w:t>-</w:t>
      </w:r>
      <w:r>
        <w:rPr>
          <w:rFonts w:hint="eastAsia" w:ascii="Times New Roman" w:hAnsi="Times New Roman"/>
          <w:lang w:val="en-US" w:eastAsia="zh-CN"/>
        </w:rPr>
        <w:t>2017</w:t>
      </w:r>
      <w:r>
        <w:rPr>
          <w:rFonts w:hint="eastAsia"/>
          <w:lang w:eastAsia="zh-CN"/>
        </w:rPr>
        <w:t>）相关级别标准后，逐步停止抽水，并进行土壤修复治理工作。</w:t>
      </w:r>
    </w:p>
    <w:p>
      <w:pPr>
        <w:pStyle w:val="5"/>
        <w:bidi w:val="0"/>
        <w:rPr>
          <w:rFonts w:hint="default"/>
          <w:color w:val="auto"/>
          <w:lang w:val="en-US" w:eastAsia="zh-CN"/>
        </w:rPr>
      </w:pPr>
      <w:r>
        <w:rPr>
          <w:rFonts w:hint="eastAsia" w:ascii="Times New Roman" w:hAnsi="Times New Roman" w:cs="Times New Roman"/>
          <w:color w:val="auto"/>
          <w:lang w:val="en-US" w:eastAsia="zh-CN"/>
        </w:rPr>
        <w:t>7</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eastAsia"/>
          <w:color w:val="auto"/>
          <w:lang w:val="en-US" w:eastAsia="zh-CN"/>
        </w:rPr>
        <w:t>小结</w:t>
      </w:r>
    </w:p>
    <w:p>
      <w:pPr>
        <w:rPr>
          <w:color w:val="auto"/>
        </w:rPr>
      </w:pPr>
      <w:r>
        <w:rPr>
          <w:rFonts w:hint="eastAsia"/>
          <w:color w:val="auto"/>
        </w:rPr>
        <w:t>地下水污染具有不易发现和一旦污染很难治理的特点，防止地下水污染应遵循源头控制、防止渗漏、污染监测及事故应急处理的主动</w:t>
      </w:r>
      <w:r>
        <w:rPr>
          <w:rFonts w:hint="eastAsia"/>
          <w:color w:val="auto"/>
          <w:lang w:eastAsia="zh-CN"/>
        </w:rPr>
        <w:t>预防</w:t>
      </w:r>
      <w:r>
        <w:rPr>
          <w:rFonts w:hint="eastAsia"/>
          <w:color w:val="auto"/>
        </w:rPr>
        <w:t>及被动防渗相结合的原则。</w:t>
      </w:r>
    </w:p>
    <w:p>
      <w:pPr>
        <w:rPr>
          <w:rFonts w:hint="eastAsia"/>
          <w:color w:val="auto"/>
          <w:lang w:eastAsia="zh-CN"/>
        </w:rPr>
      </w:pPr>
      <w:r>
        <w:rPr>
          <w:rFonts w:hint="eastAsia"/>
          <w:color w:val="auto"/>
        </w:rPr>
        <w:t>地下水污染勘察是一项专业性很强的工作，一旦发生污染事故，应委托具有水文地质勘察资质的单位查明地下水污染情况</w:t>
      </w:r>
      <w:r>
        <w:rPr>
          <w:rFonts w:hint="eastAsia"/>
          <w:color w:val="auto"/>
          <w:lang w:eastAsia="zh-CN"/>
        </w:rPr>
        <w:t>并及时采取补救措施</w:t>
      </w:r>
      <w:r>
        <w:rPr>
          <w:rFonts w:hint="eastAsia"/>
          <w:color w:val="auto"/>
        </w:rPr>
        <w:t>。</w:t>
      </w:r>
    </w:p>
    <w:p>
      <w:pPr>
        <w:rPr>
          <w:rFonts w:hint="eastAsia"/>
        </w:rPr>
      </w:pPr>
      <w:r>
        <w:rPr>
          <w:rFonts w:hint="eastAsia"/>
          <w:color w:val="auto"/>
        </w:rPr>
        <w:t>综上所述，</w:t>
      </w:r>
      <w:r>
        <w:rPr>
          <w:rFonts w:hint="eastAsia"/>
          <w:color w:val="auto"/>
          <w:lang w:eastAsia="zh-CN"/>
        </w:rPr>
        <w:t>厂内</w:t>
      </w:r>
      <w:r>
        <w:rPr>
          <w:rFonts w:hint="eastAsia"/>
          <w:color w:val="auto"/>
        </w:rPr>
        <w:t>采取</w:t>
      </w:r>
      <w:r>
        <w:rPr>
          <w:rFonts w:hint="eastAsia"/>
          <w:color w:val="auto"/>
          <w:lang w:eastAsia="zh-CN"/>
        </w:rPr>
        <w:t>了</w:t>
      </w:r>
      <w:r>
        <w:rPr>
          <w:rFonts w:hint="eastAsia"/>
          <w:color w:val="auto"/>
        </w:rPr>
        <w:t>地下水污染</w:t>
      </w:r>
      <w:r>
        <w:rPr>
          <w:rFonts w:hint="eastAsia"/>
          <w:color w:val="auto"/>
          <w:lang w:eastAsia="zh-CN"/>
        </w:rPr>
        <w:t>分区防渗</w:t>
      </w:r>
      <w:r>
        <w:rPr>
          <w:rFonts w:hint="eastAsia"/>
          <w:color w:val="auto"/>
        </w:rPr>
        <w:t>措施，</w:t>
      </w:r>
      <w:r>
        <w:rPr>
          <w:rFonts w:hint="eastAsia"/>
          <w:color w:val="auto"/>
          <w:lang w:eastAsia="zh-CN"/>
        </w:rPr>
        <w:t>对生产设备和存储设施严格管理，严防跑冒滴漏现象，项目</w:t>
      </w:r>
      <w:r>
        <w:rPr>
          <w:rFonts w:hint="eastAsia"/>
          <w:color w:val="auto"/>
        </w:rPr>
        <w:t>对地下水环境影响可接受。</w:t>
      </w:r>
    </w:p>
    <w:p>
      <w:pPr>
        <w:pStyle w:val="4"/>
        <w:spacing w:before="165" w:after="165"/>
        <w:rPr>
          <w:rFonts w:hint="eastAsia"/>
        </w:rPr>
      </w:pPr>
      <w:bookmarkStart w:id="242" w:name="_Toc13206"/>
      <w:bookmarkStart w:id="243" w:name="_Toc19022"/>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3</w:t>
      </w:r>
      <w:r>
        <w:rPr>
          <w:rFonts w:hint="eastAsia"/>
        </w:rPr>
        <w:t>噪</w:t>
      </w:r>
      <w:r>
        <w:rPr>
          <w:rFonts w:hint="eastAsia"/>
          <w:color w:val="auto"/>
        </w:rPr>
        <w:t>声污染防治</w:t>
      </w:r>
      <w:r>
        <w:rPr>
          <w:rFonts w:hint="eastAsia"/>
        </w:rPr>
        <w:t>措施</w:t>
      </w:r>
      <w:bookmarkEnd w:id="242"/>
      <w:bookmarkEnd w:id="243"/>
    </w:p>
    <w:p>
      <w:pPr>
        <w:rPr>
          <w:rFonts w:hint="eastAsia"/>
        </w:rPr>
      </w:pPr>
      <w:r>
        <w:rPr>
          <w:rFonts w:hint="eastAsia"/>
        </w:rPr>
        <w:t>本项目的噪声污染源</w:t>
      </w:r>
      <w:r>
        <w:rPr>
          <w:rFonts w:hint="eastAsia"/>
          <w:lang w:eastAsia="zh-CN"/>
        </w:rPr>
        <w:t>包括真空泵</w:t>
      </w:r>
      <w:r>
        <w:rPr>
          <w:rFonts w:hint="eastAsia"/>
        </w:rPr>
        <w:t>、泵机、</w:t>
      </w:r>
      <w:r>
        <w:rPr>
          <w:rFonts w:hint="eastAsia"/>
          <w:lang w:eastAsia="zh-CN"/>
        </w:rPr>
        <w:t>装车泵</w:t>
      </w:r>
      <w:r>
        <w:rPr>
          <w:rFonts w:hint="eastAsia"/>
        </w:rPr>
        <w:t>、</w:t>
      </w:r>
      <w:r>
        <w:rPr>
          <w:rFonts w:hint="eastAsia"/>
          <w:lang w:eastAsia="zh-CN"/>
        </w:rPr>
        <w:t>罗茨水环真空机组等</w:t>
      </w:r>
      <w:r>
        <w:rPr>
          <w:rFonts w:hint="eastAsia"/>
        </w:rPr>
        <w:t>设备运转时产生的噪声，声源噪声声压级在</w:t>
      </w:r>
      <w:r>
        <w:rPr>
          <w:rFonts w:hint="eastAsia" w:ascii="Times New Roman" w:hAnsi="Times New Roman"/>
          <w:lang w:val="en-US" w:eastAsia="zh-CN"/>
        </w:rPr>
        <w:t>7</w:t>
      </w:r>
      <w:r>
        <w:rPr>
          <w:rFonts w:hint="eastAsia" w:ascii="Times New Roman" w:hAnsi="Times New Roman"/>
        </w:rPr>
        <w:t>5</w:t>
      </w:r>
      <w:r>
        <w:rPr>
          <w:rFonts w:hint="eastAsia"/>
        </w:rPr>
        <w:t>～</w:t>
      </w:r>
      <w:r>
        <w:rPr>
          <w:rFonts w:hint="eastAsia" w:ascii="Times New Roman" w:hAnsi="Times New Roman"/>
          <w:lang w:val="en-US" w:eastAsia="zh-CN"/>
        </w:rPr>
        <w:t>9</w:t>
      </w:r>
      <w:r>
        <w:rPr>
          <w:rFonts w:hint="eastAsia" w:ascii="Times New Roman" w:hAnsi="Times New Roman"/>
        </w:rPr>
        <w:t>0dB</w:t>
      </w:r>
      <w:r>
        <w:rPr>
          <w:rFonts w:hint="eastAsia"/>
        </w:rPr>
        <w:t>（</w:t>
      </w:r>
      <w:r>
        <w:rPr>
          <w:rFonts w:hint="eastAsia" w:ascii="Times New Roman" w:hAnsi="Times New Roman"/>
        </w:rPr>
        <w:t>A</w:t>
      </w:r>
      <w:r>
        <w:rPr>
          <w:rFonts w:hint="eastAsia"/>
        </w:rPr>
        <w:t>）之间。噪声属物理性污染，其污染状况与噪声源、传播途径、接受者均有一定的关系。本项目主要考虑在噪声源和传播途径上采取措施，保障厂界噪声的达标排放。</w:t>
      </w:r>
    </w:p>
    <w:p>
      <w:pPr>
        <w:pStyle w:val="5"/>
        <w:spacing w:before="165"/>
        <w:rPr>
          <w:rFonts w:hint="eastAsia"/>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3</w:t>
      </w:r>
      <w:r>
        <w:rPr>
          <w:rFonts w:hint="eastAsia"/>
        </w:rPr>
        <w:t>.</w:t>
      </w:r>
      <w:r>
        <w:rPr>
          <w:rFonts w:hint="eastAsia" w:ascii="Times New Roman" w:hAnsi="Times New Roman"/>
        </w:rPr>
        <w:t>1</w:t>
      </w:r>
      <w:r>
        <w:rPr>
          <w:rFonts w:hint="eastAsia"/>
        </w:rPr>
        <w:t>控制噪声源</w:t>
      </w:r>
    </w:p>
    <w:p>
      <w:pPr>
        <w:ind w:firstLine="480"/>
        <w:rPr>
          <w:rFonts w:hint="eastAsia"/>
        </w:rPr>
      </w:pPr>
      <w:r>
        <w:rPr>
          <w:rFonts w:hint="eastAsia"/>
        </w:rPr>
        <w:t>对泵机等常用设备，应优选低噪设备，并加强设备的使用和日常维护管理，维持设备处于良好的运转状态，避免因设备运转不正常时噪声的增高；对于泵机等高噪声设备设置独立的机房，做好噪声设备的减振、隔声等措施，如装备防振垫、隔声罩等。本项目</w:t>
      </w:r>
      <w:r>
        <w:rPr>
          <w:rFonts w:hint="eastAsia"/>
          <w:lang w:eastAsia="zh-CN"/>
        </w:rPr>
        <w:t>设置专用的泵房，并根据</w:t>
      </w:r>
      <w:r>
        <w:rPr>
          <w:rFonts w:hint="eastAsia"/>
        </w:rPr>
        <w:t>现场具体情况实施噪声源的</w:t>
      </w:r>
      <w:r>
        <w:rPr>
          <w:rFonts w:hint="eastAsia"/>
          <w:lang w:eastAsia="zh-CN"/>
        </w:rPr>
        <w:t>基础</w:t>
      </w:r>
      <w:r>
        <w:rPr>
          <w:rFonts w:hint="eastAsia"/>
        </w:rPr>
        <w:t>减振措施。</w:t>
      </w:r>
    </w:p>
    <w:p>
      <w:pPr>
        <w:pStyle w:val="5"/>
        <w:spacing w:before="165"/>
        <w:rPr>
          <w:rFonts w:hint="eastAsia"/>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3</w:t>
      </w:r>
      <w:r>
        <w:rPr>
          <w:rFonts w:hint="eastAsia"/>
        </w:rPr>
        <w:t>.</w:t>
      </w:r>
      <w:r>
        <w:rPr>
          <w:rFonts w:hint="eastAsia" w:ascii="Times New Roman" w:hAnsi="Times New Roman"/>
        </w:rPr>
        <w:t>2</w:t>
      </w:r>
      <w:r>
        <w:rPr>
          <w:rFonts w:hint="eastAsia"/>
        </w:rPr>
        <w:t>控制噪声传播途径</w:t>
      </w:r>
    </w:p>
    <w:p>
      <w:pPr>
        <w:ind w:firstLine="480"/>
        <w:rPr>
          <w:rFonts w:hint="eastAsia"/>
        </w:rPr>
      </w:pPr>
      <w:r>
        <w:rPr>
          <w:rFonts w:hint="eastAsia"/>
          <w:lang w:eastAsia="zh-CN"/>
        </w:rPr>
        <w:t>对噪声传播途径的控制</w:t>
      </w:r>
      <w:r>
        <w:rPr>
          <w:rFonts w:hint="eastAsia"/>
        </w:rPr>
        <w:t>主要是利用</w:t>
      </w:r>
      <w:r>
        <w:rPr>
          <w:rFonts w:hint="eastAsia"/>
          <w:lang w:eastAsia="zh-CN"/>
        </w:rPr>
        <w:t>泵房</w:t>
      </w:r>
      <w:r>
        <w:rPr>
          <w:rFonts w:hint="eastAsia"/>
        </w:rPr>
        <w:t>的墙壁进行隔音，阻止厂房内的噪声向外传播，其次是将厂房与厂界设置合适的距离，利用自然的衰减的作用使厂界处的噪声值</w:t>
      </w:r>
      <w:r>
        <w:rPr>
          <w:rFonts w:hint="eastAsia"/>
          <w:lang w:eastAsia="zh-CN"/>
        </w:rPr>
        <w:t>满足</w:t>
      </w:r>
      <w:r>
        <w:rPr>
          <w:rFonts w:hint="eastAsia"/>
        </w:rPr>
        <w:t>标准</w:t>
      </w:r>
      <w:r>
        <w:rPr>
          <w:rFonts w:hint="eastAsia"/>
          <w:lang w:eastAsia="zh-CN"/>
        </w:rPr>
        <w:t>要求</w:t>
      </w:r>
      <w:r>
        <w:rPr>
          <w:rFonts w:hint="eastAsia"/>
        </w:rPr>
        <w:t>。</w:t>
      </w:r>
    </w:p>
    <w:p>
      <w:pPr>
        <w:ind w:firstLine="480"/>
        <w:rPr>
          <w:rFonts w:hint="eastAsia"/>
        </w:rPr>
      </w:pPr>
      <w:r>
        <w:rPr>
          <w:rFonts w:hint="eastAsia"/>
        </w:rPr>
        <w:t>通过采取上述减振、隔声措施，设备产生的噪声会大大削减，预测项目</w:t>
      </w:r>
      <w:r>
        <w:rPr>
          <w:rFonts w:hint="eastAsia"/>
          <w:lang w:eastAsia="zh-CN"/>
        </w:rPr>
        <w:t>实施后，</w:t>
      </w:r>
      <w:r>
        <w:rPr>
          <w:rFonts w:hint="eastAsia"/>
        </w:rPr>
        <w:t>厂区边界噪声可达到《工业企业厂界环境噪声排放标准》（</w:t>
      </w:r>
      <w:r>
        <w:rPr>
          <w:rFonts w:hint="eastAsia" w:ascii="Times New Roman" w:hAnsi="Times New Roman"/>
        </w:rPr>
        <w:t>GB12348</w:t>
      </w:r>
      <w:r>
        <w:rPr>
          <w:rFonts w:hint="eastAsia"/>
        </w:rPr>
        <w:t>-</w:t>
      </w:r>
      <w:r>
        <w:rPr>
          <w:rFonts w:hint="eastAsia" w:ascii="Times New Roman" w:hAnsi="Times New Roman"/>
        </w:rPr>
        <w:t>2008</w:t>
      </w:r>
      <w:r>
        <w:rPr>
          <w:rFonts w:hint="eastAsia"/>
        </w:rPr>
        <w:t>）</w:t>
      </w:r>
      <w:r>
        <w:rPr>
          <w:rFonts w:hint="eastAsia" w:ascii="Times New Roman" w:hAnsi="Times New Roman"/>
        </w:rPr>
        <w:t>3</w:t>
      </w:r>
      <w:r>
        <w:rPr>
          <w:rFonts w:hint="eastAsia"/>
        </w:rPr>
        <w:t>类标准，采取的噪声治理措施在技术上是合理可行的。</w:t>
      </w:r>
    </w:p>
    <w:p>
      <w:pPr>
        <w:pStyle w:val="4"/>
        <w:spacing w:before="165" w:after="165"/>
        <w:rPr>
          <w:rFonts w:hint="eastAsia"/>
        </w:rPr>
      </w:pPr>
      <w:bookmarkStart w:id="244" w:name="_Toc16319"/>
      <w:bookmarkStart w:id="245" w:name="_Toc9304"/>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4</w:t>
      </w:r>
      <w:r>
        <w:rPr>
          <w:rFonts w:hint="eastAsia"/>
        </w:rPr>
        <w:t>固体废物污染治理措施</w:t>
      </w:r>
      <w:bookmarkEnd w:id="244"/>
      <w:bookmarkEnd w:id="245"/>
    </w:p>
    <w:p>
      <w:pPr>
        <w:bidi w:val="0"/>
        <w:rPr>
          <w:rFonts w:hint="default"/>
          <w:lang w:val="en-US" w:eastAsia="zh-CN"/>
        </w:rPr>
      </w:pPr>
      <w:r>
        <w:rPr>
          <w:rFonts w:hint="eastAsia"/>
          <w:lang w:val="en-US" w:eastAsia="zh-CN"/>
        </w:rPr>
        <w:t>本项目固体废物收集和处理情况见表</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spacing w:before="156"/>
        <w:rPr>
          <w:rFonts w:hint="eastAsia"/>
          <w:color w:val="auto"/>
        </w:rPr>
      </w:pPr>
      <w:r>
        <w:rPr>
          <w:rFonts w:hint="eastAsia"/>
          <w:color w:val="auto"/>
        </w:rPr>
        <w:t>表</w:t>
      </w:r>
      <w:r>
        <w:rPr>
          <w:rFonts w:hint="eastAsia" w:ascii="Times New Roman" w:hAnsi="Times New Roman"/>
          <w:color w:val="auto"/>
          <w:lang w:val="en-US" w:eastAsia="zh-CN"/>
        </w:rPr>
        <w:t>7</w:t>
      </w:r>
      <w:r>
        <w:rPr>
          <w:rFonts w:hint="eastAsia" w:ascii="Times New Roman" w:hAnsi="Times New Roman"/>
          <w:color w:val="auto"/>
          <w:lang w:val="en-US" w:eastAsia="zh-CN"/>
        </w:rPr>
        <w:t>.</w:t>
      </w:r>
      <w:r>
        <w:rPr>
          <w:rFonts w:hint="eastAsia" w:ascii="Times New Roman" w:hAnsi="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olor w:val="auto"/>
          <w:lang w:val="en-US" w:eastAsia="zh-CN"/>
        </w:rPr>
        <w:t>1</w:t>
      </w:r>
      <w:r>
        <w:rPr>
          <w:rFonts w:hint="eastAsia"/>
          <w:color w:val="auto"/>
        </w:rPr>
        <w:t xml:space="preserve">  </w:t>
      </w:r>
      <w:r>
        <w:rPr>
          <w:rFonts w:hint="eastAsia"/>
          <w:color w:val="auto"/>
          <w:lang w:eastAsia="zh-CN"/>
        </w:rPr>
        <w:t>本项目</w:t>
      </w:r>
      <w:r>
        <w:rPr>
          <w:rFonts w:hint="eastAsia"/>
          <w:color w:val="auto"/>
        </w:rPr>
        <w:t>固体废物</w:t>
      </w:r>
      <w:r>
        <w:rPr>
          <w:rFonts w:hint="eastAsia"/>
          <w:color w:val="auto"/>
          <w:lang w:eastAsia="zh-CN"/>
        </w:rPr>
        <w:t>处理</w:t>
      </w:r>
      <w:r>
        <w:rPr>
          <w:rFonts w:hint="eastAsia"/>
          <w:color w:val="auto"/>
        </w:rPr>
        <w:t>情况一览表</w:t>
      </w:r>
    </w:p>
    <w:tbl>
      <w:tblPr>
        <w:tblStyle w:val="80"/>
        <w:tblW w:w="93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1"/>
        <w:gridCol w:w="1791"/>
        <w:gridCol w:w="1427"/>
        <w:gridCol w:w="2218"/>
        <w:gridCol w:w="24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1" w:type="dxa"/>
            <w:tcBorders>
              <w:tl2br w:val="nil"/>
              <w:tr2bl w:val="nil"/>
            </w:tcBorders>
            <w:vAlign w:val="center"/>
          </w:tcPr>
          <w:p>
            <w:pPr>
              <w:widowControl w:val="0"/>
              <w:wordWrap/>
              <w:adjustRightInd/>
              <w:snapToGrid/>
              <w:spacing w:line="240" w:lineRule="auto"/>
              <w:ind w:firstLine="0"/>
              <w:jc w:val="center"/>
              <w:textAlignment w:val="auto"/>
              <w:rPr>
                <w:rFonts w:hint="eastAsia" w:eastAsia="宋体"/>
                <w:color w:val="auto"/>
                <w:spacing w:val="-6"/>
                <w:w w:val="100"/>
                <w:sz w:val="21"/>
                <w:szCs w:val="21"/>
                <w:lang w:eastAsia="zh-CN"/>
              </w:rPr>
            </w:pPr>
            <w:r>
              <w:rPr>
                <w:rFonts w:hint="eastAsia"/>
                <w:color w:val="auto"/>
                <w:spacing w:val="-6"/>
                <w:w w:val="100"/>
                <w:sz w:val="21"/>
                <w:szCs w:val="21"/>
                <w:lang w:eastAsia="zh-CN"/>
              </w:rPr>
              <w:t>固废来源</w:t>
            </w:r>
          </w:p>
        </w:tc>
        <w:tc>
          <w:tcPr>
            <w:tcW w:w="1791" w:type="dxa"/>
            <w:tcBorders>
              <w:tl2br w:val="nil"/>
              <w:tr2bl w:val="nil"/>
            </w:tcBorders>
            <w:vAlign w:val="center"/>
          </w:tcPr>
          <w:p>
            <w:pPr>
              <w:widowControl w:val="0"/>
              <w:wordWrap/>
              <w:adjustRightInd/>
              <w:snapToGrid/>
              <w:spacing w:line="240" w:lineRule="auto"/>
              <w:ind w:firstLine="0"/>
              <w:jc w:val="center"/>
              <w:textAlignment w:val="auto"/>
              <w:rPr>
                <w:rFonts w:hint="eastAsia" w:eastAsia="宋体"/>
                <w:color w:val="auto"/>
                <w:spacing w:val="-6"/>
                <w:w w:val="100"/>
                <w:sz w:val="21"/>
                <w:szCs w:val="21"/>
                <w:lang w:eastAsia="zh-CN"/>
              </w:rPr>
            </w:pPr>
            <w:r>
              <w:rPr>
                <w:color w:val="auto"/>
                <w:spacing w:val="-6"/>
                <w:w w:val="100"/>
                <w:sz w:val="21"/>
                <w:szCs w:val="21"/>
              </w:rPr>
              <w:t>污染</w:t>
            </w:r>
            <w:r>
              <w:rPr>
                <w:rFonts w:hint="eastAsia"/>
                <w:color w:val="auto"/>
                <w:spacing w:val="-6"/>
                <w:w w:val="100"/>
                <w:sz w:val="21"/>
                <w:szCs w:val="21"/>
                <w:lang w:eastAsia="zh-CN"/>
              </w:rPr>
              <w:t>物</w:t>
            </w:r>
          </w:p>
        </w:tc>
        <w:tc>
          <w:tcPr>
            <w:tcW w:w="1427" w:type="dxa"/>
            <w:tcBorders>
              <w:tl2br w:val="nil"/>
              <w:tr2bl w:val="nil"/>
            </w:tcBorders>
            <w:vAlign w:val="center"/>
          </w:tcPr>
          <w:p>
            <w:pPr>
              <w:widowControl w:val="0"/>
              <w:wordWrap/>
              <w:adjustRightInd/>
              <w:snapToGrid/>
              <w:spacing w:line="240" w:lineRule="auto"/>
              <w:ind w:firstLine="0"/>
              <w:jc w:val="center"/>
              <w:textAlignment w:val="auto"/>
              <w:rPr>
                <w:rFonts w:hint="eastAsia" w:eastAsia="宋体"/>
                <w:color w:val="auto"/>
                <w:spacing w:val="-6"/>
                <w:w w:val="100"/>
                <w:sz w:val="21"/>
                <w:szCs w:val="21"/>
                <w:lang w:eastAsia="zh-CN"/>
              </w:rPr>
            </w:pPr>
            <w:r>
              <w:rPr>
                <w:rFonts w:hint="eastAsia"/>
                <w:color w:val="auto"/>
                <w:spacing w:val="-6"/>
                <w:w w:val="100"/>
                <w:sz w:val="21"/>
                <w:szCs w:val="21"/>
                <w:lang w:eastAsia="zh-CN"/>
              </w:rPr>
              <w:t>暂存位置</w:t>
            </w:r>
          </w:p>
        </w:tc>
        <w:tc>
          <w:tcPr>
            <w:tcW w:w="2218" w:type="dxa"/>
            <w:tcBorders>
              <w:tl2br w:val="nil"/>
              <w:tr2bl w:val="nil"/>
            </w:tcBorders>
            <w:vAlign w:val="center"/>
          </w:tcPr>
          <w:p>
            <w:pPr>
              <w:widowControl w:val="0"/>
              <w:wordWrap/>
              <w:adjustRightInd/>
              <w:snapToGrid/>
              <w:spacing w:line="240" w:lineRule="auto"/>
              <w:ind w:firstLine="0"/>
              <w:jc w:val="center"/>
              <w:textAlignment w:val="auto"/>
              <w:rPr>
                <w:rFonts w:hint="eastAsia" w:eastAsia="宋体"/>
                <w:color w:val="auto"/>
                <w:spacing w:val="-6"/>
                <w:w w:val="100"/>
                <w:sz w:val="21"/>
                <w:szCs w:val="21"/>
                <w:lang w:eastAsia="zh-CN"/>
              </w:rPr>
            </w:pPr>
            <w:r>
              <w:rPr>
                <w:rFonts w:hint="eastAsia"/>
                <w:color w:val="auto"/>
                <w:spacing w:val="-6"/>
                <w:w w:val="100"/>
                <w:sz w:val="21"/>
                <w:szCs w:val="21"/>
                <w:lang w:eastAsia="zh-CN"/>
              </w:rPr>
              <w:t>固废类别</w:t>
            </w:r>
          </w:p>
        </w:tc>
        <w:tc>
          <w:tcPr>
            <w:tcW w:w="2446" w:type="dxa"/>
            <w:tcBorders>
              <w:tl2br w:val="nil"/>
              <w:tr2bl w:val="nil"/>
            </w:tcBorders>
            <w:vAlign w:val="center"/>
          </w:tcPr>
          <w:p>
            <w:pPr>
              <w:widowControl w:val="0"/>
              <w:wordWrap/>
              <w:adjustRightInd/>
              <w:snapToGrid/>
              <w:spacing w:line="240" w:lineRule="auto"/>
              <w:ind w:firstLine="0"/>
              <w:jc w:val="center"/>
              <w:textAlignment w:val="auto"/>
              <w:rPr>
                <w:color w:val="auto"/>
                <w:spacing w:val="-6"/>
                <w:w w:val="100"/>
                <w:sz w:val="21"/>
                <w:szCs w:val="21"/>
              </w:rPr>
            </w:pPr>
            <w:r>
              <w:rPr>
                <w:color w:val="auto"/>
                <w:spacing w:val="-6"/>
                <w:w w:val="100"/>
                <w:sz w:val="21"/>
                <w:szCs w:val="21"/>
              </w:rPr>
              <w:t>处理措施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1" w:type="dxa"/>
            <w:tcBorders>
              <w:tl2br w:val="nil"/>
              <w:tr2bl w:val="nil"/>
            </w:tcBorders>
            <w:vAlign w:val="center"/>
          </w:tcPr>
          <w:p>
            <w:pPr>
              <w:widowControl w:val="0"/>
              <w:wordWrap/>
              <w:adjustRightInd/>
              <w:snapToGrid/>
              <w:spacing w:line="240" w:lineRule="auto"/>
              <w:ind w:firstLine="0"/>
              <w:jc w:val="center"/>
              <w:textAlignment w:val="auto"/>
              <w:rPr>
                <w:rFonts w:hint="eastAsia" w:eastAsia="宋体"/>
                <w:color w:val="auto"/>
                <w:spacing w:val="-6"/>
                <w:w w:val="100"/>
                <w:sz w:val="21"/>
                <w:szCs w:val="21"/>
                <w:lang w:eastAsia="zh-CN"/>
              </w:rPr>
            </w:pPr>
            <w:r>
              <w:rPr>
                <w:rFonts w:hint="eastAsia" w:ascii="Times New Roman" w:hAnsi="Times New Roman"/>
                <w:color w:val="auto"/>
                <w:spacing w:val="-6"/>
                <w:w w:val="100"/>
                <w:sz w:val="21"/>
                <w:szCs w:val="21"/>
                <w:lang w:eastAsia="zh-CN"/>
              </w:rPr>
              <w:t>PD</w:t>
            </w:r>
            <w:r>
              <w:rPr>
                <w:rFonts w:hint="eastAsia"/>
                <w:color w:val="auto"/>
                <w:spacing w:val="-6"/>
                <w:w w:val="100"/>
                <w:sz w:val="21"/>
                <w:szCs w:val="21"/>
                <w:lang w:eastAsia="zh-CN"/>
              </w:rPr>
              <w:t>反应器</w:t>
            </w:r>
          </w:p>
        </w:tc>
        <w:tc>
          <w:tcPr>
            <w:tcW w:w="1791" w:type="dxa"/>
            <w:tcBorders>
              <w:tl2br w:val="nil"/>
              <w:tr2bl w:val="nil"/>
            </w:tcBorders>
            <w:vAlign w:val="center"/>
          </w:tcPr>
          <w:p>
            <w:pPr>
              <w:widowControl w:val="0"/>
              <w:wordWrap/>
              <w:adjustRightInd/>
              <w:snapToGrid/>
              <w:spacing w:line="240" w:lineRule="auto"/>
              <w:ind w:firstLine="0"/>
              <w:jc w:val="center"/>
              <w:textAlignment w:val="auto"/>
              <w:rPr>
                <w:rFonts w:hint="eastAsia"/>
                <w:color w:val="auto"/>
                <w:spacing w:val="-6"/>
                <w:w w:val="100"/>
                <w:sz w:val="21"/>
                <w:szCs w:val="21"/>
                <w:lang w:val="en-US" w:eastAsia="zh-CN"/>
              </w:rPr>
            </w:pPr>
            <w:r>
              <w:rPr>
                <w:rFonts w:hint="eastAsia"/>
                <w:color w:val="auto"/>
                <w:spacing w:val="-6"/>
                <w:w w:val="100"/>
                <w:sz w:val="21"/>
                <w:szCs w:val="21"/>
                <w:lang w:val="en-US" w:eastAsia="zh-CN"/>
              </w:rPr>
              <w:t>废催化剂</w:t>
            </w:r>
          </w:p>
        </w:tc>
        <w:tc>
          <w:tcPr>
            <w:tcW w:w="1427" w:type="dxa"/>
            <w:tcBorders>
              <w:tl2br w:val="nil"/>
              <w:tr2bl w:val="nil"/>
            </w:tcBorders>
            <w:vAlign w:val="center"/>
          </w:tcPr>
          <w:p>
            <w:pPr>
              <w:widowControl w:val="0"/>
              <w:wordWrap/>
              <w:adjustRightInd/>
              <w:snapToGrid/>
              <w:spacing w:line="240" w:lineRule="auto"/>
              <w:ind w:firstLine="0"/>
              <w:jc w:val="center"/>
              <w:textAlignment w:val="auto"/>
              <w:rPr>
                <w:rFonts w:hint="eastAsia"/>
                <w:color w:val="auto"/>
                <w:spacing w:val="-6"/>
                <w:w w:val="100"/>
                <w:sz w:val="21"/>
                <w:szCs w:val="21"/>
                <w:lang w:val="en-US" w:eastAsia="zh-CN"/>
              </w:rPr>
            </w:pPr>
            <w:r>
              <w:rPr>
                <w:rFonts w:hint="eastAsia"/>
                <w:color w:val="auto"/>
                <w:spacing w:val="-6"/>
                <w:w w:val="100"/>
                <w:sz w:val="21"/>
                <w:szCs w:val="21"/>
                <w:lang w:val="en-US" w:eastAsia="zh-CN"/>
              </w:rPr>
              <w:t>危险废物贮存库</w:t>
            </w:r>
          </w:p>
        </w:tc>
        <w:tc>
          <w:tcPr>
            <w:tcW w:w="2218" w:type="dxa"/>
            <w:tcBorders>
              <w:tl2br w:val="nil"/>
              <w:tr2bl w:val="nil"/>
            </w:tcBorders>
            <w:vAlign w:val="center"/>
          </w:tcPr>
          <w:p>
            <w:pPr>
              <w:widowControl w:val="0"/>
              <w:wordWrap/>
              <w:adjustRightInd/>
              <w:snapToGrid/>
              <w:spacing w:line="240" w:lineRule="auto"/>
              <w:ind w:firstLine="0"/>
              <w:jc w:val="center"/>
              <w:textAlignment w:val="auto"/>
              <w:rPr>
                <w:rFonts w:hint="eastAsia" w:ascii="Times New Roman"/>
                <w:color w:val="auto"/>
                <w:spacing w:val="-6"/>
                <w:w w:val="100"/>
                <w:sz w:val="21"/>
                <w:szCs w:val="21"/>
                <w:lang w:val="en-US" w:eastAsia="zh-CN"/>
              </w:rPr>
            </w:pPr>
            <w:r>
              <w:rPr>
                <w:rFonts w:hint="eastAsia" w:ascii="Times New Roman"/>
                <w:color w:val="auto"/>
                <w:spacing w:val="-6"/>
                <w:w w:val="100"/>
                <w:sz w:val="21"/>
                <w:szCs w:val="21"/>
                <w:lang w:val="en-US" w:eastAsia="zh-CN"/>
              </w:rPr>
              <w:t>危险废物（</w:t>
            </w:r>
            <w:r>
              <w:rPr>
                <w:rFonts w:hint="eastAsia" w:ascii="Times New Roman" w:hAnsi="Times New Roman"/>
                <w:color w:val="auto"/>
                <w:spacing w:val="-6"/>
                <w:w w:val="100"/>
                <w:sz w:val="21"/>
                <w:szCs w:val="21"/>
                <w:lang w:val="en-US" w:eastAsia="zh-CN"/>
              </w:rPr>
              <w:t>276</w:t>
            </w:r>
            <w:r>
              <w:rPr>
                <w:rFonts w:hint="eastAsia" w:asci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006</w:t>
            </w:r>
            <w:r>
              <w:rPr>
                <w:rFonts w:hint="eastAsia" w:asci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50</w:t>
            </w:r>
            <w:r>
              <w:rPr>
                <w:rFonts w:hint="eastAsia" w:ascii="Times New Roman"/>
                <w:color w:val="auto"/>
                <w:spacing w:val="-6"/>
                <w:w w:val="100"/>
                <w:sz w:val="21"/>
                <w:szCs w:val="21"/>
                <w:lang w:val="en-US" w:eastAsia="zh-CN"/>
              </w:rPr>
              <w:t>）</w:t>
            </w:r>
          </w:p>
        </w:tc>
        <w:tc>
          <w:tcPr>
            <w:tcW w:w="2446" w:type="dxa"/>
            <w:tcBorders>
              <w:tl2br w:val="nil"/>
              <w:tr2bl w:val="nil"/>
            </w:tcBorders>
            <w:vAlign w:val="center"/>
          </w:tcPr>
          <w:p>
            <w:pPr>
              <w:widowControl w:val="0"/>
              <w:wordWrap/>
              <w:adjustRightInd/>
              <w:snapToGrid/>
              <w:spacing w:line="240" w:lineRule="auto"/>
              <w:ind w:firstLine="0"/>
              <w:jc w:val="center"/>
              <w:textAlignment w:val="auto"/>
              <w:rPr>
                <w:rFonts w:hint="eastAsia" w:ascii="Times New Roman"/>
                <w:color w:val="auto"/>
                <w:spacing w:val="-6"/>
                <w:w w:val="100"/>
                <w:sz w:val="21"/>
                <w:szCs w:val="21"/>
                <w:lang w:val="en-US" w:eastAsia="zh-CN"/>
              </w:rPr>
            </w:pPr>
            <w:r>
              <w:rPr>
                <w:rFonts w:hint="eastAsia" w:ascii="Times New Roman"/>
                <w:color w:val="auto"/>
                <w:spacing w:val="-6"/>
                <w:w w:val="100"/>
                <w:sz w:val="21"/>
                <w:szCs w:val="21"/>
                <w:lang w:val="en-US" w:eastAsia="zh-CN"/>
              </w:rPr>
              <w:t>纳入厂内危险废物管理，委托有资质的单位处理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1" w:type="dxa"/>
            <w:tcBorders>
              <w:tl2br w:val="nil"/>
              <w:tr2bl w:val="nil"/>
            </w:tcBorders>
            <w:vAlign w:val="center"/>
          </w:tcPr>
          <w:p>
            <w:pPr>
              <w:widowControl w:val="0"/>
              <w:wordWrap/>
              <w:adjustRightInd/>
              <w:snapToGrid/>
              <w:spacing w:line="240" w:lineRule="auto"/>
              <w:ind w:firstLine="0"/>
              <w:jc w:val="center"/>
              <w:textAlignment w:val="auto"/>
              <w:rPr>
                <w:rFonts w:hint="eastAsia" w:eastAsia="宋体"/>
                <w:color w:val="auto"/>
                <w:spacing w:val="-6"/>
                <w:w w:val="100"/>
                <w:sz w:val="21"/>
                <w:szCs w:val="21"/>
                <w:lang w:val="en-US" w:eastAsia="zh-CN"/>
              </w:rPr>
            </w:pPr>
            <w:r>
              <w:rPr>
                <w:rFonts w:hint="eastAsia"/>
                <w:color w:val="auto"/>
                <w:spacing w:val="-6"/>
                <w:w w:val="100"/>
                <w:sz w:val="21"/>
                <w:szCs w:val="21"/>
                <w:lang w:val="en-US" w:eastAsia="zh-CN"/>
              </w:rPr>
              <w:t>污水站</w:t>
            </w:r>
          </w:p>
        </w:tc>
        <w:tc>
          <w:tcPr>
            <w:tcW w:w="1791" w:type="dxa"/>
            <w:tcBorders>
              <w:tl2br w:val="nil"/>
              <w:tr2bl w:val="nil"/>
            </w:tcBorders>
            <w:vAlign w:val="center"/>
          </w:tcPr>
          <w:p>
            <w:pPr>
              <w:widowControl w:val="0"/>
              <w:wordWrap/>
              <w:adjustRightInd/>
              <w:snapToGrid/>
              <w:spacing w:line="240" w:lineRule="auto"/>
              <w:ind w:firstLine="0" w:firstLineChars="0"/>
              <w:jc w:val="center"/>
              <w:textAlignment w:val="auto"/>
              <w:rPr>
                <w:rFonts w:hint="eastAsia" w:ascii="宋体" w:hAnsi="宋体" w:eastAsia="宋体" w:cs="Times New Roman"/>
                <w:color w:val="auto"/>
                <w:spacing w:val="-6"/>
                <w:w w:val="100"/>
                <w:sz w:val="21"/>
                <w:szCs w:val="21"/>
                <w:lang w:val="en-US" w:eastAsia="zh-CN" w:bidi="ar-SA"/>
              </w:rPr>
            </w:pPr>
            <w:r>
              <w:rPr>
                <w:rFonts w:hint="eastAsia"/>
                <w:color w:val="auto"/>
                <w:spacing w:val="-6"/>
                <w:w w:val="100"/>
                <w:sz w:val="21"/>
                <w:szCs w:val="21"/>
                <w:lang w:val="en-US" w:eastAsia="zh-CN"/>
              </w:rPr>
              <w:t>污水站污泥</w:t>
            </w:r>
          </w:p>
        </w:tc>
        <w:tc>
          <w:tcPr>
            <w:tcW w:w="1427" w:type="dxa"/>
            <w:tcBorders>
              <w:tl2br w:val="nil"/>
              <w:tr2bl w:val="nil"/>
            </w:tcBorders>
            <w:vAlign w:val="center"/>
          </w:tcPr>
          <w:p>
            <w:pPr>
              <w:widowControl w:val="0"/>
              <w:wordWrap/>
              <w:adjustRightInd/>
              <w:snapToGrid/>
              <w:spacing w:line="240" w:lineRule="auto"/>
              <w:ind w:firstLine="0" w:firstLineChars="0"/>
              <w:jc w:val="center"/>
              <w:textAlignment w:val="auto"/>
              <w:rPr>
                <w:rFonts w:hint="default" w:ascii="宋体" w:hAnsi="宋体" w:eastAsia="宋体" w:cs="Times New Roman"/>
                <w:color w:val="auto"/>
                <w:spacing w:val="-6"/>
                <w:w w:val="100"/>
                <w:sz w:val="21"/>
                <w:szCs w:val="21"/>
                <w:lang w:val="en-US" w:eastAsia="zh-CN" w:bidi="ar-SA"/>
              </w:rPr>
            </w:pPr>
            <w:r>
              <w:rPr>
                <w:rFonts w:hint="eastAsia"/>
                <w:color w:val="auto"/>
                <w:spacing w:val="-6"/>
                <w:w w:val="100"/>
                <w:sz w:val="21"/>
                <w:szCs w:val="21"/>
                <w:lang w:val="en-US" w:eastAsia="zh-CN"/>
              </w:rPr>
              <w:t>污泥沉淀池</w:t>
            </w:r>
          </w:p>
        </w:tc>
        <w:tc>
          <w:tcPr>
            <w:tcW w:w="2218" w:type="dxa"/>
            <w:tcBorders>
              <w:tl2br w:val="nil"/>
              <w:tr2bl w:val="nil"/>
            </w:tcBorders>
            <w:vAlign w:val="center"/>
          </w:tcPr>
          <w:p>
            <w:pPr>
              <w:widowControl w:val="0"/>
              <w:wordWrap/>
              <w:adjustRightInd/>
              <w:snapToGrid/>
              <w:spacing w:line="240" w:lineRule="auto"/>
              <w:ind w:firstLine="0" w:firstLineChars="0"/>
              <w:jc w:val="center"/>
              <w:textAlignment w:val="auto"/>
              <w:rPr>
                <w:rFonts w:hint="default" w:ascii="Times New Roman" w:hAnsi="宋体" w:eastAsia="宋体" w:cs="Times New Roman"/>
                <w:color w:val="auto"/>
                <w:spacing w:val="-6"/>
                <w:w w:val="100"/>
                <w:sz w:val="21"/>
                <w:szCs w:val="21"/>
                <w:lang w:val="en-US" w:eastAsia="zh-CN" w:bidi="ar-SA"/>
              </w:rPr>
            </w:pPr>
            <w:r>
              <w:rPr>
                <w:rFonts w:hint="eastAsia" w:ascii="Times New Roman"/>
                <w:color w:val="auto"/>
                <w:spacing w:val="-6"/>
                <w:w w:val="100"/>
                <w:sz w:val="21"/>
                <w:szCs w:val="21"/>
                <w:lang w:val="en-US" w:eastAsia="zh-CN"/>
              </w:rPr>
              <w:t>一般固废（</w:t>
            </w:r>
            <w:r>
              <w:rPr>
                <w:rFonts w:hint="eastAsia" w:ascii="Times New Roman" w:hAnsi="Times New Roman"/>
                <w:color w:val="auto"/>
                <w:spacing w:val="-6"/>
                <w:w w:val="100"/>
                <w:sz w:val="21"/>
                <w:szCs w:val="21"/>
                <w:lang w:val="en-US" w:eastAsia="zh-CN"/>
              </w:rPr>
              <w:t>900</w:t>
            </w:r>
            <w:r>
              <w:rPr>
                <w:rFonts w:hint="eastAsia" w:asci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001</w:t>
            </w:r>
            <w:r>
              <w:rPr>
                <w:rFonts w:hint="eastAsia" w:asci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07</w:t>
            </w:r>
            <w:r>
              <w:rPr>
                <w:rFonts w:hint="eastAsia" w:ascii="Times New Roman"/>
                <w:color w:val="auto"/>
                <w:spacing w:val="-6"/>
                <w:w w:val="100"/>
                <w:sz w:val="21"/>
                <w:szCs w:val="21"/>
                <w:lang w:val="en-US" w:eastAsia="zh-CN"/>
              </w:rPr>
              <w:t>）</w:t>
            </w:r>
          </w:p>
        </w:tc>
        <w:tc>
          <w:tcPr>
            <w:tcW w:w="2446" w:type="dxa"/>
            <w:tcBorders>
              <w:tl2br w:val="nil"/>
              <w:tr2bl w:val="nil"/>
            </w:tcBorders>
            <w:vAlign w:val="center"/>
          </w:tcPr>
          <w:p>
            <w:pPr>
              <w:widowControl w:val="0"/>
              <w:wordWrap/>
              <w:adjustRightInd/>
              <w:snapToGrid/>
              <w:spacing w:line="240" w:lineRule="auto"/>
              <w:ind w:firstLine="0" w:firstLineChars="0"/>
              <w:jc w:val="center"/>
              <w:textAlignment w:val="auto"/>
              <w:rPr>
                <w:rFonts w:hint="eastAsia" w:ascii="Times New Roman"/>
                <w:color w:val="auto"/>
                <w:spacing w:val="-6"/>
                <w:w w:val="100"/>
                <w:sz w:val="21"/>
                <w:szCs w:val="21"/>
                <w:lang w:val="en-US" w:eastAsia="zh-CN"/>
              </w:rPr>
            </w:pPr>
            <w:r>
              <w:rPr>
                <w:rFonts w:hint="eastAsia" w:ascii="Times New Roman"/>
                <w:color w:val="auto"/>
                <w:spacing w:val="-6"/>
                <w:w w:val="100"/>
                <w:sz w:val="21"/>
                <w:szCs w:val="21"/>
                <w:lang w:val="en-US" w:eastAsia="zh-CN"/>
              </w:rPr>
              <w:t>纳入厂内一般固废管理，定期送一般工业固废填埋场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1" w:type="dxa"/>
            <w:tcBorders>
              <w:tl2br w:val="nil"/>
              <w:tr2bl w:val="nil"/>
            </w:tcBorders>
            <w:vAlign w:val="center"/>
          </w:tcPr>
          <w:p>
            <w:pPr>
              <w:widowControl w:val="0"/>
              <w:wordWrap/>
              <w:adjustRightInd/>
              <w:snapToGrid/>
              <w:spacing w:line="240" w:lineRule="auto"/>
              <w:ind w:firstLine="0"/>
              <w:jc w:val="center"/>
              <w:textAlignment w:val="auto"/>
              <w:rPr>
                <w:rFonts w:hint="eastAsia" w:eastAsia="宋体"/>
                <w:color w:val="auto"/>
                <w:spacing w:val="-6"/>
                <w:w w:val="100"/>
                <w:sz w:val="21"/>
                <w:szCs w:val="21"/>
                <w:lang w:val="en-US" w:eastAsia="zh-CN"/>
              </w:rPr>
            </w:pPr>
            <w:r>
              <w:rPr>
                <w:rFonts w:hint="eastAsia"/>
                <w:color w:val="auto"/>
                <w:spacing w:val="-6"/>
                <w:w w:val="100"/>
                <w:sz w:val="21"/>
                <w:szCs w:val="21"/>
                <w:lang w:val="en-US" w:eastAsia="zh-CN"/>
              </w:rPr>
              <w:t>生活区</w:t>
            </w:r>
          </w:p>
        </w:tc>
        <w:tc>
          <w:tcPr>
            <w:tcW w:w="1791" w:type="dxa"/>
            <w:tcBorders>
              <w:tl2br w:val="nil"/>
              <w:tr2bl w:val="nil"/>
            </w:tcBorders>
            <w:vAlign w:val="center"/>
          </w:tcPr>
          <w:p>
            <w:pPr>
              <w:widowControl w:val="0"/>
              <w:wordWrap/>
              <w:adjustRightInd/>
              <w:snapToGrid/>
              <w:spacing w:line="240" w:lineRule="auto"/>
              <w:ind w:firstLine="0"/>
              <w:jc w:val="center"/>
              <w:textAlignment w:val="auto"/>
              <w:rPr>
                <w:rFonts w:hint="eastAsia"/>
                <w:color w:val="auto"/>
                <w:spacing w:val="-6"/>
                <w:w w:val="100"/>
                <w:sz w:val="21"/>
                <w:szCs w:val="21"/>
                <w:lang w:val="en-US" w:eastAsia="zh-CN"/>
              </w:rPr>
            </w:pPr>
            <w:r>
              <w:rPr>
                <w:rFonts w:hint="eastAsia"/>
                <w:color w:val="auto"/>
                <w:spacing w:val="-6"/>
                <w:w w:val="100"/>
                <w:sz w:val="21"/>
                <w:szCs w:val="21"/>
                <w:lang w:val="en-US" w:eastAsia="zh-CN"/>
              </w:rPr>
              <w:t>生活垃圾</w:t>
            </w:r>
          </w:p>
        </w:tc>
        <w:tc>
          <w:tcPr>
            <w:tcW w:w="1427" w:type="dxa"/>
            <w:tcBorders>
              <w:tl2br w:val="nil"/>
              <w:tr2bl w:val="nil"/>
            </w:tcBorders>
            <w:vAlign w:val="center"/>
          </w:tcPr>
          <w:p>
            <w:pPr>
              <w:widowControl w:val="0"/>
              <w:wordWrap/>
              <w:adjustRightInd/>
              <w:snapToGrid/>
              <w:spacing w:line="240" w:lineRule="auto"/>
              <w:ind w:firstLine="0"/>
              <w:jc w:val="center"/>
              <w:textAlignment w:val="auto"/>
              <w:rPr>
                <w:rFonts w:hint="eastAsia"/>
                <w:color w:val="auto"/>
                <w:spacing w:val="-6"/>
                <w:w w:val="100"/>
                <w:sz w:val="21"/>
                <w:szCs w:val="21"/>
                <w:lang w:val="en-US" w:eastAsia="zh-CN"/>
              </w:rPr>
            </w:pPr>
            <w:r>
              <w:rPr>
                <w:rFonts w:hint="eastAsia"/>
                <w:color w:val="auto"/>
                <w:spacing w:val="-6"/>
                <w:w w:val="100"/>
                <w:sz w:val="21"/>
                <w:szCs w:val="21"/>
                <w:lang w:val="en-US" w:eastAsia="zh-CN"/>
              </w:rPr>
              <w:t>垃圾箱</w:t>
            </w:r>
          </w:p>
        </w:tc>
        <w:tc>
          <w:tcPr>
            <w:tcW w:w="2218" w:type="dxa"/>
            <w:tcBorders>
              <w:tl2br w:val="nil"/>
              <w:tr2bl w:val="nil"/>
            </w:tcBorders>
            <w:vAlign w:val="center"/>
          </w:tcPr>
          <w:p>
            <w:pPr>
              <w:widowControl w:val="0"/>
              <w:wordWrap/>
              <w:adjustRightInd/>
              <w:snapToGrid/>
              <w:spacing w:line="240" w:lineRule="auto"/>
              <w:ind w:firstLine="0"/>
              <w:jc w:val="center"/>
              <w:textAlignment w:val="auto"/>
              <w:rPr>
                <w:rFonts w:hint="eastAsia" w:ascii="Times New Roman"/>
                <w:color w:val="auto"/>
                <w:spacing w:val="-6"/>
                <w:w w:val="100"/>
                <w:sz w:val="21"/>
                <w:szCs w:val="21"/>
                <w:lang w:val="en-US" w:eastAsia="zh-CN"/>
              </w:rPr>
            </w:pPr>
            <w:r>
              <w:rPr>
                <w:rFonts w:hint="eastAsia" w:ascii="Times New Roman"/>
                <w:color w:val="auto"/>
                <w:spacing w:val="-6"/>
                <w:w w:val="100"/>
                <w:sz w:val="21"/>
                <w:szCs w:val="21"/>
                <w:lang w:val="en-US" w:eastAsia="zh-CN"/>
              </w:rPr>
              <w:t>一般固废（</w:t>
            </w:r>
            <w:r>
              <w:rPr>
                <w:rFonts w:hint="eastAsia" w:ascii="Times New Roman" w:hAnsi="Times New Roman"/>
                <w:color w:val="auto"/>
                <w:spacing w:val="-6"/>
                <w:w w:val="100"/>
                <w:sz w:val="21"/>
                <w:szCs w:val="21"/>
                <w:lang w:val="en-US" w:eastAsia="zh-CN"/>
              </w:rPr>
              <w:t>SW60</w:t>
            </w:r>
            <w:r>
              <w:rPr>
                <w:rFonts w:hint="eastAsia" w:ascii="Times New Roman"/>
                <w:color w:val="auto"/>
                <w:spacing w:val="-6"/>
                <w:w w:val="100"/>
                <w:sz w:val="21"/>
                <w:szCs w:val="21"/>
                <w:lang w:val="en-US" w:eastAsia="zh-CN"/>
              </w:rPr>
              <w:t>～</w:t>
            </w:r>
            <w:r>
              <w:rPr>
                <w:rFonts w:hint="eastAsia" w:ascii="Times New Roman" w:hAnsi="Times New Roman"/>
                <w:color w:val="auto"/>
                <w:spacing w:val="-6"/>
                <w:w w:val="100"/>
                <w:sz w:val="21"/>
                <w:szCs w:val="21"/>
                <w:lang w:val="en-US" w:eastAsia="zh-CN"/>
              </w:rPr>
              <w:t>SW63</w:t>
            </w:r>
            <w:r>
              <w:rPr>
                <w:rFonts w:hint="eastAsia" w:ascii="Times New Roman"/>
                <w:color w:val="auto"/>
                <w:spacing w:val="-6"/>
                <w:w w:val="100"/>
                <w:sz w:val="21"/>
                <w:szCs w:val="21"/>
                <w:lang w:val="en-US" w:eastAsia="zh-CN"/>
              </w:rPr>
              <w:t>）</w:t>
            </w:r>
          </w:p>
        </w:tc>
        <w:tc>
          <w:tcPr>
            <w:tcW w:w="2446" w:type="dxa"/>
            <w:tcBorders>
              <w:tl2br w:val="nil"/>
              <w:tr2bl w:val="nil"/>
            </w:tcBorders>
            <w:vAlign w:val="center"/>
          </w:tcPr>
          <w:p>
            <w:pPr>
              <w:widowControl w:val="0"/>
              <w:wordWrap/>
              <w:adjustRightInd/>
              <w:snapToGrid/>
              <w:spacing w:line="240" w:lineRule="auto"/>
              <w:ind w:firstLine="0"/>
              <w:jc w:val="center"/>
              <w:textAlignment w:val="auto"/>
              <w:rPr>
                <w:rFonts w:hint="eastAsia" w:ascii="Times New Roman" w:hAnsi="Times New Roman"/>
                <w:color w:val="auto"/>
                <w:spacing w:val="-6"/>
                <w:w w:val="100"/>
                <w:sz w:val="21"/>
                <w:szCs w:val="21"/>
                <w:lang w:val="en-US" w:eastAsia="zh-CN"/>
              </w:rPr>
            </w:pPr>
            <w:r>
              <w:rPr>
                <w:rFonts w:hint="eastAsia" w:ascii="Times New Roman" w:hAnsi="Times New Roman"/>
                <w:color w:val="auto"/>
                <w:spacing w:val="-6"/>
                <w:w w:val="100"/>
                <w:sz w:val="21"/>
                <w:szCs w:val="21"/>
                <w:lang w:val="en-US" w:eastAsia="zh-CN"/>
              </w:rPr>
              <w:t>纳入厂内生活垃圾管理，委托园区环卫部门处置</w:t>
            </w:r>
          </w:p>
        </w:tc>
      </w:tr>
    </w:tbl>
    <w:p>
      <w:pPr>
        <w:pStyle w:val="5"/>
        <w:bidi w:val="0"/>
        <w:rPr>
          <w:rFonts w:hint="default"/>
          <w:lang w:val="en-US" w:eastAsia="zh-CN"/>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一般固废处置措施</w:t>
      </w:r>
    </w:p>
    <w:p>
      <w:pPr>
        <w:ind w:firstLine="480"/>
        <w:rPr>
          <w:rFonts w:hint="eastAsia" w:eastAsia="宋体"/>
          <w:lang w:eastAsia="zh-CN"/>
        </w:rPr>
      </w:pPr>
      <w:r>
        <w:rPr>
          <w:rFonts w:hint="eastAsia"/>
          <w:lang w:eastAsia="zh-CN"/>
        </w:rPr>
        <w:t>本项目</w:t>
      </w:r>
      <w:r>
        <w:rPr>
          <w:rFonts w:hint="eastAsia"/>
        </w:rPr>
        <w:t>一般固废</w:t>
      </w:r>
      <w:r>
        <w:rPr>
          <w:rFonts w:hint="eastAsia"/>
          <w:lang w:eastAsia="zh-CN"/>
        </w:rPr>
        <w:t>中，由于新增污水将产生新增少量污水站污泥，纳入厂内现有固废管理，定期送乌苏工业园区一般工业固废填埋场处理；生活垃圾厂内定点集中分类收集，委托园区环卫</w:t>
      </w:r>
      <w:r>
        <w:rPr>
          <w:rFonts w:hint="eastAsia"/>
        </w:rPr>
        <w:t>定期清运至生活垃圾填埋场</w:t>
      </w:r>
      <w:r>
        <w:rPr>
          <w:rFonts w:hint="eastAsia"/>
          <w:lang w:eastAsia="zh-CN"/>
        </w:rPr>
        <w:t>。</w:t>
      </w:r>
    </w:p>
    <w:p>
      <w:pPr>
        <w:pStyle w:val="5"/>
        <w:bidi w:val="0"/>
        <w:rPr>
          <w:rFonts w:hint="default"/>
          <w:lang w:val="en-US" w:eastAsia="zh-CN"/>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2</w:t>
      </w:r>
      <w:r>
        <w:rPr>
          <w:rFonts w:hint="eastAsia"/>
          <w:lang w:val="en-US" w:eastAsia="zh-CN"/>
        </w:rPr>
        <w:t>危险废物处置措施</w:t>
      </w:r>
    </w:p>
    <w:p>
      <w:pPr>
        <w:ind w:firstLine="480"/>
        <w:rPr>
          <w:rFonts w:hint="default" w:eastAsia="宋体"/>
          <w:lang w:val="en-US" w:eastAsia="zh-CN"/>
        </w:rPr>
      </w:pPr>
      <w:r>
        <w:rPr>
          <w:rFonts w:hint="eastAsia"/>
        </w:rPr>
        <w:t>本项目</w:t>
      </w:r>
      <w:r>
        <w:rPr>
          <w:rFonts w:hint="eastAsia"/>
          <w:lang w:eastAsia="zh-CN"/>
        </w:rPr>
        <w:t>涉及的危险废物主要为废催化剂，</w:t>
      </w:r>
      <w:r>
        <w:rPr>
          <w:rFonts w:hint="eastAsia"/>
        </w:rPr>
        <w:t>厂内</w:t>
      </w:r>
      <w:r>
        <w:rPr>
          <w:rFonts w:hint="eastAsia"/>
          <w:lang w:eastAsia="zh-CN"/>
        </w:rPr>
        <w:t>规范</w:t>
      </w:r>
      <w:r>
        <w:rPr>
          <w:rFonts w:hint="eastAsia"/>
        </w:rPr>
        <w:t>收集，</w:t>
      </w:r>
      <w:r>
        <w:rPr>
          <w:rFonts w:hint="eastAsia"/>
          <w:lang w:eastAsia="zh-CN"/>
        </w:rPr>
        <w:t>依托现有工程危险废物贮存库</w:t>
      </w:r>
      <w:r>
        <w:rPr>
          <w:rFonts w:hint="eastAsia"/>
        </w:rPr>
        <w:t>暂存，定期交有资质的单位进行处理。</w:t>
      </w:r>
    </w:p>
    <w:p>
      <w:pPr>
        <w:pStyle w:val="5"/>
        <w:bidi w:val="0"/>
        <w:rPr>
          <w:rFonts w:hint="default"/>
          <w:lang w:val="en-US" w:eastAsia="zh-CN"/>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3</w:t>
      </w:r>
      <w:r>
        <w:rPr>
          <w:rFonts w:hint="eastAsia"/>
          <w:lang w:val="en-US" w:eastAsia="zh-CN"/>
        </w:rPr>
        <w:t>危险废物临时贮存</w:t>
      </w:r>
    </w:p>
    <w:p>
      <w:pPr>
        <w:ind w:firstLine="480"/>
        <w:rPr>
          <w:rFonts w:hint="eastAsia" w:eastAsia="宋体"/>
          <w:color w:val="auto"/>
          <w:lang w:eastAsia="zh-CN"/>
        </w:rPr>
      </w:pPr>
      <w:r>
        <w:rPr>
          <w:rFonts w:hint="eastAsia"/>
          <w:color w:val="auto"/>
          <w:lang w:eastAsia="zh-CN"/>
        </w:rPr>
        <w:t>建设单位危险废物管理类别为重点监管单位，危险废物管理计划已包括单位基本信息、设施信息、危险废物产生情况信息、危险废物贮存情况信息、危险废物自行利用/处置情况信息、危险废物减量化计划和措施、危险废物转移情况信息等。本项目产生的危险废物将纳入危险废物管理计划。</w:t>
      </w:r>
    </w:p>
    <w:p>
      <w:pPr>
        <w:ind w:firstLine="480"/>
        <w:rPr>
          <w:rFonts w:hint="eastAsia"/>
          <w:color w:val="auto"/>
          <w:lang w:eastAsia="zh-CN"/>
        </w:rPr>
      </w:pPr>
      <w:r>
        <w:rPr>
          <w:rFonts w:hint="eastAsia"/>
          <w:color w:val="auto"/>
          <w:lang w:val="en-US" w:eastAsia="zh-CN"/>
        </w:rPr>
        <w:t>本项目依托现有工程的</w:t>
      </w:r>
      <w:r>
        <w:rPr>
          <w:rFonts w:hint="eastAsia" w:ascii="Times New Roman" w:hAnsi="Times New Roman"/>
          <w:color w:val="auto"/>
          <w:lang w:val="en-US" w:eastAsia="zh-CN"/>
        </w:rPr>
        <w:t>800</w:t>
      </w:r>
      <w:r>
        <w:rPr>
          <w:rFonts w:hint="eastAsia"/>
          <w:color w:val="auto"/>
          <w:lang w:val="en-US" w:eastAsia="zh-CN"/>
        </w:rPr>
        <w:t>㎡</w:t>
      </w:r>
      <w:r>
        <w:rPr>
          <w:rFonts w:hint="eastAsia"/>
          <w:color w:val="auto"/>
          <w:lang w:eastAsia="zh-CN"/>
        </w:rPr>
        <w:t>危险废物贮存库已通过验收，</w:t>
      </w:r>
      <w:r>
        <w:rPr>
          <w:rFonts w:hint="eastAsia"/>
          <w:color w:val="auto"/>
          <w:lang w:val="en-US" w:eastAsia="zh-CN"/>
        </w:rPr>
        <w:t>符合</w:t>
      </w:r>
      <w:r>
        <w:rPr>
          <w:color w:val="auto"/>
        </w:rPr>
        <w:t>《危险废物贮存污染控制标准》</w:t>
      </w:r>
      <w:r>
        <w:rPr>
          <w:rFonts w:hint="eastAsia"/>
          <w:color w:val="auto"/>
          <w:lang w:eastAsia="zh-CN"/>
        </w:rPr>
        <w:t>（</w:t>
      </w:r>
      <w:r>
        <w:rPr>
          <w:rFonts w:hint="eastAsia" w:ascii="Times New Roman" w:hAnsi="Times New Roman" w:cs="Times New Roman"/>
          <w:color w:val="auto"/>
          <w:lang w:val="en-US" w:eastAsia="zh-CN"/>
        </w:rPr>
        <w:t>GB18597</w:t>
      </w:r>
      <w:r>
        <w:rPr>
          <w:rFonts w:hint="eastAsia" w:cs="Times New Roman"/>
          <w:color w:val="auto"/>
          <w:lang w:val="en-US" w:eastAsia="zh-CN"/>
        </w:rPr>
        <w:t>-</w:t>
      </w:r>
      <w:r>
        <w:rPr>
          <w:rFonts w:hint="eastAsia" w:ascii="Times New Roman" w:hAnsi="Times New Roman" w:cs="Times New Roman"/>
          <w:color w:val="auto"/>
          <w:lang w:val="en-US" w:eastAsia="zh-CN"/>
        </w:rPr>
        <w:t>2023</w:t>
      </w:r>
      <w:r>
        <w:rPr>
          <w:rFonts w:hint="eastAsia"/>
          <w:color w:val="auto"/>
          <w:lang w:eastAsia="zh-CN"/>
        </w:rPr>
        <w:t>）的相关</w:t>
      </w:r>
      <w:r>
        <w:rPr>
          <w:color w:val="auto"/>
        </w:rPr>
        <w:t>要求</w:t>
      </w:r>
      <w:r>
        <w:rPr>
          <w:rFonts w:hint="eastAsia"/>
          <w:color w:val="auto"/>
          <w:lang w:eastAsia="zh-CN"/>
        </w:rPr>
        <w:t>，具备防雨、放风，防晒、防渗漏的功能，管理较为规范。本项目产生危险废物主要包括废催化剂，均采用桶装。该部分危险废物将纳入厂内的危险废物管理。</w:t>
      </w:r>
    </w:p>
    <w:p>
      <w:pPr>
        <w:bidi w:val="0"/>
        <w:rPr>
          <w:rFonts w:hint="eastAsia" w:eastAsia="宋体"/>
          <w:lang w:eastAsia="zh-CN"/>
        </w:rPr>
      </w:pPr>
      <w:r>
        <w:rPr>
          <w:rFonts w:hint="eastAsia"/>
          <w:lang w:eastAsia="zh-CN"/>
        </w:rPr>
        <w:t>本项目各类固体废物均能得到妥善处理，去向明确。</w:t>
      </w:r>
    </w:p>
    <w:p>
      <w:pPr>
        <w:pStyle w:val="4"/>
        <w:spacing w:before="165" w:after="165"/>
        <w:rPr>
          <w:rFonts w:hint="eastAsia"/>
        </w:rPr>
      </w:pPr>
      <w:bookmarkStart w:id="246" w:name="_Toc31847"/>
      <w:bookmarkStart w:id="247" w:name="_Toc14251"/>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5</w:t>
      </w:r>
      <w:r>
        <w:rPr>
          <w:rFonts w:hint="eastAsia"/>
        </w:rPr>
        <w:t>环境风险防范措施</w:t>
      </w:r>
      <w:bookmarkEnd w:id="246"/>
      <w:bookmarkEnd w:id="247"/>
    </w:p>
    <w:p>
      <w:pPr>
        <w:pStyle w:val="5"/>
        <w:spacing w:before="165"/>
        <w:rPr>
          <w:rFonts w:hint="eastAsia"/>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总图布置和建筑安全防护措施</w:t>
      </w:r>
    </w:p>
    <w:p>
      <w:pPr>
        <w:rPr>
          <w:rFonts w:hint="eastAsia"/>
        </w:rPr>
      </w:pPr>
      <w:r>
        <w:rPr>
          <w:rFonts w:hint="eastAsia"/>
        </w:rPr>
        <w:t>（</w:t>
      </w:r>
      <w:r>
        <w:rPr>
          <w:rFonts w:hint="eastAsia" w:ascii="Times New Roman" w:hAnsi="Times New Roman"/>
        </w:rPr>
        <w:t>1</w:t>
      </w:r>
      <w:r>
        <w:rPr>
          <w:rFonts w:hint="eastAsia"/>
        </w:rPr>
        <w:t>）装置总平面应根据各生产系统及安全、卫生要求进行功能明确合理的分区布置，</w:t>
      </w:r>
      <w:r>
        <w:rPr>
          <w:rFonts w:hint="eastAsia"/>
          <w:color w:val="auto"/>
        </w:rPr>
        <w:t>项目各生产装置间严格按</w:t>
      </w:r>
      <w:r>
        <w:rPr>
          <w:rFonts w:hint="eastAsia"/>
          <w:color w:val="auto"/>
          <w:lang w:eastAsia="zh-CN"/>
        </w:rPr>
        <w:t>规范的</w:t>
      </w:r>
      <w:r>
        <w:rPr>
          <w:rFonts w:hint="eastAsia"/>
          <w:color w:val="auto"/>
        </w:rPr>
        <w:t>防火防爆间距布置，厂房及建筑物按</w:t>
      </w:r>
      <w:r>
        <w:rPr>
          <w:rFonts w:hint="eastAsia"/>
          <w:color w:val="auto"/>
          <w:lang w:eastAsia="zh-CN"/>
        </w:rPr>
        <w:t>《石油化工企业设计防火标准》、</w:t>
      </w:r>
      <w:r>
        <w:rPr>
          <w:rFonts w:hint="eastAsia"/>
          <w:color w:val="auto"/>
        </w:rPr>
        <w:t>《建筑设计防火规范》等规定的等级设计。</w:t>
      </w:r>
    </w:p>
    <w:p>
      <w:pPr>
        <w:rPr>
          <w:rFonts w:hint="eastAsia"/>
        </w:rPr>
      </w:pPr>
      <w:r>
        <w:rPr>
          <w:rFonts w:hint="eastAsia"/>
        </w:rPr>
        <w:t>（</w:t>
      </w:r>
      <w:r>
        <w:rPr>
          <w:rFonts w:hint="eastAsia" w:ascii="Times New Roman" w:hAnsi="Times New Roman"/>
        </w:rPr>
        <w:t>2</w:t>
      </w:r>
      <w:r>
        <w:rPr>
          <w:rFonts w:hint="eastAsia"/>
        </w:rPr>
        <w:t>）合理划分</w:t>
      </w:r>
      <w:r>
        <w:rPr>
          <w:rFonts w:hint="eastAsia"/>
          <w:lang w:eastAsia="zh-CN"/>
        </w:rPr>
        <w:t>现有</w:t>
      </w:r>
      <w:r>
        <w:rPr>
          <w:rFonts w:hint="eastAsia"/>
        </w:rPr>
        <w:t>生产区、</w:t>
      </w:r>
      <w:r>
        <w:rPr>
          <w:rFonts w:hint="eastAsia"/>
          <w:lang w:eastAsia="zh-CN"/>
        </w:rPr>
        <w:t>公用工程区</w:t>
      </w:r>
      <w:r>
        <w:rPr>
          <w:rFonts w:hint="eastAsia"/>
        </w:rPr>
        <w:t>及罐区等，按其危害程度采取相应的安全防范措施进行管理。</w:t>
      </w:r>
    </w:p>
    <w:p>
      <w:pPr>
        <w:ind w:firstLine="480"/>
        <w:rPr>
          <w:rFonts w:hint="eastAsia" w:eastAsia="宋体"/>
          <w:lang w:eastAsia="zh-CN"/>
        </w:rPr>
      </w:pPr>
      <w:r>
        <w:rPr>
          <w:rFonts w:hint="eastAsia"/>
        </w:rPr>
        <w:t>（</w:t>
      </w:r>
      <w:r>
        <w:rPr>
          <w:rFonts w:hint="eastAsia" w:ascii="Times New Roman" w:hAnsi="Times New Roman"/>
        </w:rPr>
        <w:t>3</w:t>
      </w:r>
      <w:r>
        <w:rPr>
          <w:rFonts w:hint="eastAsia"/>
        </w:rPr>
        <w:t>）</w:t>
      </w:r>
      <w:r>
        <w:rPr>
          <w:rFonts w:hint="eastAsia"/>
          <w:lang w:eastAsia="zh-CN"/>
        </w:rPr>
        <w:t>本项目</w:t>
      </w:r>
      <w:r>
        <w:rPr>
          <w:rFonts w:hint="eastAsia"/>
        </w:rPr>
        <w:t>生产装置区</w:t>
      </w:r>
      <w:r>
        <w:rPr>
          <w:rFonts w:hint="eastAsia"/>
          <w:lang w:eastAsia="zh-CN"/>
        </w:rPr>
        <w:t>和罐区按规范要求完善</w:t>
      </w:r>
      <w:r>
        <w:rPr>
          <w:rFonts w:hint="eastAsia"/>
        </w:rPr>
        <w:t>消防通道，路面硬化，满足工艺流程、场内外运输、检修及生产管理的要求。</w:t>
      </w:r>
    </w:p>
    <w:p>
      <w:pPr>
        <w:ind w:firstLine="480"/>
        <w:rPr>
          <w:rFonts w:hint="eastAsia"/>
        </w:rPr>
      </w:pPr>
      <w:r>
        <w:rPr>
          <w:rFonts w:hint="eastAsia"/>
        </w:rPr>
        <w:t>（</w:t>
      </w:r>
      <w:r>
        <w:rPr>
          <w:rFonts w:hint="eastAsia" w:ascii="Times New Roman" w:hAnsi="Times New Roman"/>
        </w:rPr>
        <w:t>4</w:t>
      </w:r>
      <w:r>
        <w:rPr>
          <w:rFonts w:hint="eastAsia"/>
        </w:rPr>
        <w:t>）主要装置的设置符合《化工企业安全卫生设计规定》的要求，产品贮存和管理符合《危险化学品安全管理条例》</w:t>
      </w:r>
      <w:r>
        <w:rPr>
          <w:rFonts w:hint="eastAsia"/>
          <w:lang w:eastAsia="zh-CN"/>
        </w:rPr>
        <w:t>等</w:t>
      </w:r>
      <w:r>
        <w:rPr>
          <w:rFonts w:hint="eastAsia"/>
        </w:rPr>
        <w:t>相关要求。</w:t>
      </w:r>
    </w:p>
    <w:p>
      <w:pPr>
        <w:ind w:firstLine="480"/>
        <w:rPr>
          <w:rFonts w:hint="eastAsia"/>
        </w:rPr>
      </w:pPr>
      <w:r>
        <w:rPr>
          <w:rFonts w:hint="eastAsia"/>
        </w:rPr>
        <w:t>（</w:t>
      </w:r>
      <w:r>
        <w:rPr>
          <w:rFonts w:hint="eastAsia" w:ascii="Times New Roman" w:hAnsi="Times New Roman"/>
        </w:rPr>
        <w:t>5</w:t>
      </w:r>
      <w:r>
        <w:rPr>
          <w:rFonts w:hint="eastAsia"/>
        </w:rPr>
        <w:t>）总图布置在满足防火、防爆及安全标准和规范要求的前提下，考虑同类设备相对集中，便于安全生产和检修管理，实现本质安全化。</w:t>
      </w:r>
    </w:p>
    <w:p>
      <w:pPr>
        <w:rPr>
          <w:rFonts w:hint="eastAsia"/>
        </w:rPr>
      </w:pPr>
      <w:r>
        <w:rPr>
          <w:rFonts w:hint="eastAsia"/>
        </w:rPr>
        <w:t>（</w:t>
      </w:r>
      <w:r>
        <w:rPr>
          <w:rFonts w:hint="eastAsia" w:ascii="Times New Roman" w:hAnsi="Times New Roman"/>
        </w:rPr>
        <w:t>6</w:t>
      </w:r>
      <w:r>
        <w:rPr>
          <w:rFonts w:hint="eastAsia"/>
        </w:rPr>
        <w:t>）本项目储罐区</w:t>
      </w:r>
      <w:r>
        <w:rPr>
          <w:rFonts w:hint="eastAsia"/>
          <w:lang w:eastAsia="zh-CN"/>
        </w:rPr>
        <w:t>基础、尾气吸收塔底池体底板及壁板</w:t>
      </w:r>
      <w:r>
        <w:rPr>
          <w:rFonts w:hint="eastAsia"/>
        </w:rPr>
        <w:t>应进行严格的防渗硬化，</w:t>
      </w:r>
      <w:r>
        <w:rPr>
          <w:rFonts w:hint="eastAsia"/>
          <w:lang w:eastAsia="zh-CN"/>
        </w:rPr>
        <w:t>确保</w:t>
      </w:r>
      <w:r>
        <w:rPr>
          <w:rFonts w:hint="eastAsia"/>
        </w:rPr>
        <w:t>不会通过渗透污染地下水和土壤。</w:t>
      </w:r>
    </w:p>
    <w:p>
      <w:pPr>
        <w:pStyle w:val="5"/>
        <w:spacing w:before="165"/>
        <w:rPr>
          <w:rFonts w:hint="eastAsia"/>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5</w:t>
      </w:r>
      <w:r>
        <w:rPr>
          <w:rFonts w:hint="eastAsia"/>
        </w:rPr>
        <w:t>.</w:t>
      </w:r>
      <w:r>
        <w:rPr>
          <w:rFonts w:hint="eastAsia" w:ascii="Times New Roman" w:hAnsi="Times New Roman"/>
        </w:rPr>
        <w:t>2</w:t>
      </w:r>
      <w:r>
        <w:rPr>
          <w:rFonts w:hint="eastAsia"/>
        </w:rPr>
        <w:t>生产装置区的事故防范措施</w:t>
      </w:r>
    </w:p>
    <w:p>
      <w:pPr>
        <w:ind w:firstLine="480"/>
        <w:rPr>
          <w:rFonts w:hint="eastAsia"/>
        </w:rPr>
      </w:pPr>
      <w:r>
        <w:rPr>
          <w:rFonts w:hint="eastAsia"/>
        </w:rPr>
        <w:t>⑴事故防范的思路</w:t>
      </w:r>
    </w:p>
    <w:p>
      <w:pPr>
        <w:ind w:firstLine="480"/>
        <w:rPr>
          <w:rFonts w:hint="eastAsia"/>
        </w:rPr>
      </w:pPr>
      <w:r>
        <w:rPr>
          <w:rFonts w:hint="eastAsia"/>
        </w:rPr>
        <w:t>①管理、控制及监督</w:t>
      </w:r>
    </w:p>
    <w:p>
      <w:pPr>
        <w:ind w:firstLine="480"/>
        <w:rPr>
          <w:rFonts w:hint="eastAsia"/>
        </w:rPr>
      </w:pPr>
      <w:r>
        <w:rPr>
          <w:rFonts w:hint="eastAsia"/>
        </w:rPr>
        <w:t>在设计、施工及开车前将进行综合分析及监督，建立有关的安全规定，确保装置在最佳状态下运行。装置采用的管件、阀门和生产装置等将进行严格审查以满足相关规范、标准要求。</w:t>
      </w:r>
    </w:p>
    <w:p>
      <w:pPr>
        <w:ind w:firstLine="480"/>
        <w:rPr>
          <w:rFonts w:hint="eastAsia"/>
        </w:rPr>
      </w:pPr>
      <w:r>
        <w:rPr>
          <w:rFonts w:hint="eastAsia"/>
        </w:rPr>
        <w:t>②设计及施工</w:t>
      </w:r>
    </w:p>
    <w:p>
      <w:pPr>
        <w:ind w:firstLine="480"/>
        <w:rPr>
          <w:rFonts w:hint="eastAsia"/>
        </w:rPr>
      </w:pPr>
      <w:r>
        <w:rPr>
          <w:rFonts w:hint="eastAsia"/>
        </w:rPr>
        <w:t>采用罐区围堰、</w:t>
      </w:r>
      <w:r>
        <w:rPr>
          <w:rFonts w:hint="eastAsia"/>
          <w:lang w:eastAsia="zh-CN"/>
        </w:rPr>
        <w:t>装置区</w:t>
      </w:r>
      <w:r>
        <w:rPr>
          <w:rFonts w:hint="eastAsia"/>
        </w:rPr>
        <w:t>截流沟等措施最大限度地减少</w:t>
      </w:r>
      <w:r>
        <w:rPr>
          <w:rFonts w:hint="eastAsia"/>
          <w:lang w:eastAsia="zh-CN"/>
        </w:rPr>
        <w:t>物料泄漏</w:t>
      </w:r>
      <w:r>
        <w:rPr>
          <w:rFonts w:hint="eastAsia"/>
        </w:rPr>
        <w:t>对区域环境的影响。</w:t>
      </w:r>
    </w:p>
    <w:p>
      <w:pPr>
        <w:ind w:firstLine="480"/>
        <w:rPr>
          <w:rFonts w:hint="eastAsia"/>
        </w:rPr>
      </w:pPr>
      <w:r>
        <w:rPr>
          <w:rFonts w:hint="eastAsia"/>
        </w:rPr>
        <w:t>在工艺装置、储存和输送系统以及辅助设施中安装安全阀，保证在非正常情况下人员和设备的安全。</w:t>
      </w:r>
    </w:p>
    <w:p>
      <w:pPr>
        <w:ind w:firstLine="480"/>
        <w:rPr>
          <w:rFonts w:hint="eastAsia"/>
        </w:rPr>
      </w:pPr>
      <w:r>
        <w:rPr>
          <w:rFonts w:hint="eastAsia"/>
        </w:rPr>
        <w:t>③生产和维护</w:t>
      </w:r>
    </w:p>
    <w:p>
      <w:pPr>
        <w:ind w:firstLine="480"/>
        <w:rPr>
          <w:rFonts w:hint="eastAsia"/>
        </w:rPr>
      </w:pPr>
      <w:r>
        <w:rPr>
          <w:rFonts w:hint="eastAsia"/>
          <w:lang w:eastAsia="zh-CN"/>
        </w:rPr>
        <w:t>在</w:t>
      </w:r>
      <w:r>
        <w:rPr>
          <w:rFonts w:hint="eastAsia"/>
        </w:rPr>
        <w:t>采取必要的预防及保护措施</w:t>
      </w:r>
      <w:r>
        <w:rPr>
          <w:rFonts w:hint="eastAsia"/>
          <w:lang w:eastAsia="zh-CN"/>
        </w:rPr>
        <w:t>的前提下进行检维修，包括</w:t>
      </w:r>
      <w:r>
        <w:rPr>
          <w:rFonts w:hint="eastAsia"/>
        </w:rPr>
        <w:t>更换垫片、维护监测仪器及关键仪表等。进入工艺生产线的人员应遵守</w:t>
      </w:r>
      <w:r>
        <w:rPr>
          <w:rFonts w:hint="eastAsia"/>
          <w:lang w:eastAsia="zh-CN"/>
        </w:rPr>
        <w:t>检修</w:t>
      </w:r>
      <w:r>
        <w:rPr>
          <w:rFonts w:hint="eastAsia"/>
        </w:rPr>
        <w:t>规程并配备个人安全防护设施。</w:t>
      </w:r>
    </w:p>
    <w:p>
      <w:pPr>
        <w:ind w:firstLine="480"/>
        <w:rPr>
          <w:rFonts w:hint="eastAsia"/>
        </w:rPr>
      </w:pPr>
      <w:r>
        <w:rPr>
          <w:rFonts w:hint="eastAsia"/>
        </w:rPr>
        <w:t>企业应强化工艺、安全、健康、环保等方面人员的培训，制定合理的化验室操作规程。正确使用和妥善处置劳动保护用品。包括工作服、防毒面具、正压呼吸气设备及防护眼镜、耳塞、手套等。</w:t>
      </w:r>
    </w:p>
    <w:p>
      <w:pPr>
        <w:ind w:firstLine="480"/>
        <w:rPr>
          <w:rFonts w:hint="eastAsia"/>
        </w:rPr>
      </w:pPr>
      <w:r>
        <w:rPr>
          <w:rFonts w:hint="eastAsia"/>
        </w:rPr>
        <w:t>⑵常见事故的防范措施</w:t>
      </w:r>
    </w:p>
    <w:p>
      <w:pPr>
        <w:ind w:firstLine="480"/>
        <w:rPr>
          <w:rFonts w:hint="eastAsia"/>
        </w:rPr>
      </w:pPr>
      <w:r>
        <w:rPr>
          <w:rFonts w:hint="eastAsia"/>
          <w:lang w:eastAsia="zh-CN"/>
        </w:rPr>
        <w:t>在本项目正式投运前</w:t>
      </w:r>
      <w:r>
        <w:rPr>
          <w:rFonts w:hint="eastAsia"/>
        </w:rPr>
        <w:t>，应对</w:t>
      </w:r>
      <w:r>
        <w:rPr>
          <w:rFonts w:hint="eastAsia"/>
          <w:lang w:eastAsia="zh-CN"/>
        </w:rPr>
        <w:t>各</w:t>
      </w:r>
      <w:r>
        <w:rPr>
          <w:rFonts w:hint="eastAsia"/>
        </w:rPr>
        <w:t>装置进行适当的整体试验。其步骤包括：水静力试验、外观检查或用非破坏性的测厚检查；检查的记录应存档备查。此外储罐外部应经常检查，及时发现破损和</w:t>
      </w:r>
      <w:r>
        <w:rPr>
          <w:rFonts w:hint="eastAsia"/>
          <w:lang w:eastAsia="zh-CN"/>
        </w:rPr>
        <w:t>泄漏</w:t>
      </w:r>
      <w:r>
        <w:rPr>
          <w:rFonts w:hint="eastAsia"/>
        </w:rPr>
        <w:t>处。应根据探伤信号设置高液位停泵设施或其它自动安全措施。及时对储罐</w:t>
      </w:r>
      <w:r>
        <w:rPr>
          <w:rFonts w:hint="eastAsia"/>
          <w:lang w:eastAsia="zh-CN"/>
        </w:rPr>
        <w:t>泄漏</w:t>
      </w:r>
      <w:r>
        <w:rPr>
          <w:rFonts w:hint="eastAsia"/>
        </w:rPr>
        <w:t>采取以下措施。</w:t>
      </w:r>
    </w:p>
    <w:p>
      <w:pPr>
        <w:ind w:firstLine="480"/>
        <w:rPr>
          <w:rFonts w:hint="eastAsia"/>
        </w:rPr>
      </w:pPr>
      <w:r>
        <w:rPr>
          <w:rFonts w:hint="eastAsia"/>
        </w:rPr>
        <w:t>①储罐在装料前必须标定和检尺，装料后必须定期巡检和严格交接班巡查；</w:t>
      </w:r>
    </w:p>
    <w:p>
      <w:pPr>
        <w:ind w:firstLine="480"/>
        <w:rPr>
          <w:rFonts w:hint="eastAsia"/>
        </w:rPr>
      </w:pPr>
      <w:r>
        <w:rPr>
          <w:rFonts w:hint="eastAsia"/>
        </w:rPr>
        <w:t>②严密监控</w:t>
      </w:r>
      <w:r>
        <w:rPr>
          <w:rFonts w:hint="eastAsia"/>
          <w:lang w:eastAsia="zh-CN"/>
        </w:rPr>
        <w:t>罐区周边</w:t>
      </w:r>
      <w:r>
        <w:rPr>
          <w:rFonts w:hint="eastAsia"/>
        </w:rPr>
        <w:t>空气中可燃气体浓度；</w:t>
      </w:r>
    </w:p>
    <w:p>
      <w:pPr>
        <w:ind w:firstLine="480"/>
        <w:rPr>
          <w:rFonts w:hint="eastAsia"/>
        </w:rPr>
      </w:pPr>
      <w:r>
        <w:rPr>
          <w:rFonts w:hint="eastAsia"/>
        </w:rPr>
        <w:t>③对自动检尺等测量器具应定期鉴定；</w:t>
      </w:r>
    </w:p>
    <w:p>
      <w:pPr>
        <w:ind w:firstLine="480"/>
        <w:rPr>
          <w:rFonts w:hint="eastAsia"/>
        </w:rPr>
      </w:pPr>
      <w:r>
        <w:rPr>
          <w:rFonts w:hint="eastAsia"/>
        </w:rPr>
        <w:t>④泵操作和检尺之间应有通讯系统等联系手段；</w:t>
      </w:r>
    </w:p>
    <w:p>
      <w:pPr>
        <w:rPr>
          <w:rFonts w:hint="eastAsia"/>
        </w:rPr>
      </w:pPr>
      <w:r>
        <w:rPr>
          <w:rFonts w:hint="eastAsia"/>
        </w:rPr>
        <w:t>⑤有机液体物料的贮存量不能超过最大贮存容量。</w:t>
      </w:r>
    </w:p>
    <w:p>
      <w:pPr>
        <w:pStyle w:val="5"/>
        <w:spacing w:before="165"/>
        <w:rPr>
          <w:rFonts w:hint="eastAsia"/>
        </w:rPr>
      </w:pP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5</w:t>
      </w:r>
      <w:r>
        <w:rPr>
          <w:rFonts w:hint="eastAsia"/>
        </w:rPr>
        <w:t>.</w:t>
      </w:r>
      <w:r>
        <w:rPr>
          <w:rFonts w:hint="eastAsia" w:ascii="Times New Roman" w:hAnsi="Times New Roman"/>
        </w:rPr>
        <w:t>3</w:t>
      </w:r>
      <w:r>
        <w:rPr>
          <w:rFonts w:hint="eastAsia"/>
        </w:rPr>
        <w:t>物料</w:t>
      </w:r>
      <w:r>
        <w:rPr>
          <w:rFonts w:hint="eastAsia"/>
          <w:lang w:eastAsia="zh-CN"/>
        </w:rPr>
        <w:t>泄漏</w:t>
      </w:r>
      <w:r>
        <w:rPr>
          <w:rFonts w:hint="eastAsia"/>
        </w:rPr>
        <w:t>风险防范措施</w:t>
      </w:r>
    </w:p>
    <w:p>
      <w:pPr>
        <w:ind w:firstLine="480"/>
        <w:rPr>
          <w:rFonts w:hint="eastAsia"/>
        </w:rPr>
      </w:pPr>
      <w:r>
        <w:rPr>
          <w:rFonts w:hint="eastAsia"/>
          <w:lang w:eastAsia="zh-CN"/>
        </w:rPr>
        <w:t>物料泄漏</w:t>
      </w:r>
      <w:r>
        <w:rPr>
          <w:rFonts w:hint="eastAsia"/>
        </w:rPr>
        <w:t>事故的防范是生产和储运过程中最重要的环节，</w:t>
      </w:r>
      <w:r>
        <w:rPr>
          <w:rFonts w:hint="eastAsia"/>
          <w:lang w:eastAsia="zh-CN"/>
        </w:rPr>
        <w:t>化工生产实践</w:t>
      </w:r>
      <w:r>
        <w:rPr>
          <w:rFonts w:hint="eastAsia"/>
        </w:rPr>
        <w:t>表明，设备失灵和人为的操作失误是引发</w:t>
      </w:r>
      <w:r>
        <w:rPr>
          <w:rFonts w:hint="eastAsia"/>
          <w:lang w:eastAsia="zh-CN"/>
        </w:rPr>
        <w:t>泄漏</w:t>
      </w:r>
      <w:r>
        <w:rPr>
          <w:rFonts w:hint="eastAsia"/>
        </w:rPr>
        <w:t>的主要原因。因此选用好的设备、精心设计和制造、认真的管理和操作人员的责任心是减少</w:t>
      </w:r>
      <w:r>
        <w:rPr>
          <w:rFonts w:hint="eastAsia"/>
          <w:lang w:eastAsia="zh-CN"/>
        </w:rPr>
        <w:t>泄漏</w:t>
      </w:r>
      <w:r>
        <w:rPr>
          <w:rFonts w:hint="eastAsia"/>
        </w:rPr>
        <w:t>事故的关键。</w:t>
      </w:r>
    </w:p>
    <w:p>
      <w:pPr>
        <w:rPr>
          <w:rFonts w:hint="eastAsia"/>
        </w:rPr>
      </w:pPr>
      <w:r>
        <w:rPr>
          <w:rFonts w:hint="eastAsia"/>
        </w:rPr>
        <w:t>（</w:t>
      </w:r>
      <w:r>
        <w:rPr>
          <w:rFonts w:hint="eastAsia" w:ascii="Times New Roman" w:hAnsi="Times New Roman"/>
        </w:rPr>
        <w:t>1</w:t>
      </w:r>
      <w:r>
        <w:rPr>
          <w:rFonts w:hint="eastAsia"/>
        </w:rPr>
        <w:t>）人员持证上岗</w:t>
      </w:r>
    </w:p>
    <w:p>
      <w:pPr>
        <w:ind w:firstLine="480"/>
        <w:rPr>
          <w:rFonts w:hint="eastAsia"/>
        </w:rPr>
      </w:pPr>
      <w:r>
        <w:rPr>
          <w:rFonts w:hint="eastAsia"/>
        </w:rPr>
        <w:t>设备负责人员必须持证上岗，加强对其业务培训和管理。提高人员素质，降低因人员问题造成的意外事故发生的可能性。</w:t>
      </w:r>
    </w:p>
    <w:p>
      <w:pPr>
        <w:rPr>
          <w:rFonts w:hint="eastAsia"/>
        </w:rPr>
      </w:pPr>
      <w:r>
        <w:rPr>
          <w:rFonts w:hint="eastAsia"/>
        </w:rPr>
        <w:t>（</w:t>
      </w:r>
      <w:r>
        <w:rPr>
          <w:rFonts w:hint="eastAsia" w:ascii="Times New Roman" w:hAnsi="Times New Roman"/>
          <w:lang w:val="en-US" w:eastAsia="zh-CN"/>
        </w:rPr>
        <w:t>2</w:t>
      </w:r>
      <w:r>
        <w:rPr>
          <w:rFonts w:hint="eastAsia"/>
        </w:rPr>
        <w:t>）管道</w:t>
      </w:r>
      <w:r>
        <w:rPr>
          <w:rFonts w:hint="eastAsia"/>
          <w:lang w:eastAsia="zh-CN"/>
        </w:rPr>
        <w:t>泄漏</w:t>
      </w:r>
      <w:r>
        <w:rPr>
          <w:rFonts w:hint="eastAsia"/>
        </w:rPr>
        <w:t>防范措施</w:t>
      </w:r>
    </w:p>
    <w:p>
      <w:pPr>
        <w:ind w:firstLine="480"/>
        <w:rPr>
          <w:rFonts w:hint="eastAsia"/>
        </w:rPr>
      </w:pPr>
      <w:r>
        <w:rPr>
          <w:rFonts w:hint="eastAsia"/>
        </w:rPr>
        <w:t>设备应设置有备用管道，如管道发生断裂</w:t>
      </w:r>
      <w:r>
        <w:rPr>
          <w:rFonts w:hint="eastAsia"/>
          <w:lang w:eastAsia="zh-CN"/>
        </w:rPr>
        <w:t>泄漏</w:t>
      </w:r>
      <w:r>
        <w:rPr>
          <w:rFonts w:hint="eastAsia"/>
        </w:rPr>
        <w:t>物料，则可马上采取措施，关闭管道阀门控制</w:t>
      </w:r>
      <w:r>
        <w:rPr>
          <w:rFonts w:hint="eastAsia"/>
          <w:lang w:eastAsia="zh-CN"/>
        </w:rPr>
        <w:t>泄漏</w:t>
      </w:r>
      <w:r>
        <w:rPr>
          <w:rFonts w:hint="eastAsia"/>
        </w:rPr>
        <w:t>，同时启动备用管道。</w:t>
      </w:r>
    </w:p>
    <w:p>
      <w:pPr>
        <w:ind w:firstLine="480"/>
        <w:rPr>
          <w:rFonts w:hint="eastAsia"/>
        </w:rPr>
      </w:pPr>
      <w:r>
        <w:rPr>
          <w:rFonts w:hint="eastAsia"/>
        </w:rPr>
        <w:t>（</w:t>
      </w:r>
      <w:r>
        <w:rPr>
          <w:rFonts w:hint="eastAsia" w:ascii="Times New Roman" w:hAnsi="Times New Roman"/>
          <w:lang w:val="en-US" w:eastAsia="zh-CN"/>
        </w:rPr>
        <w:t>3</w:t>
      </w:r>
      <w:r>
        <w:rPr>
          <w:rFonts w:hint="eastAsia"/>
        </w:rPr>
        <w:t>）储罐的定期检查与保养</w:t>
      </w:r>
    </w:p>
    <w:p>
      <w:pPr>
        <w:ind w:firstLine="480"/>
        <w:rPr>
          <w:rFonts w:hint="eastAsia"/>
        </w:rPr>
      </w:pPr>
      <w:r>
        <w:rPr>
          <w:rFonts w:hint="eastAsia"/>
        </w:rPr>
        <w:t>储罐的结构材料应与储存的物料和储存的条件相适应。新储罐应进行适当的整体试验、外观检查或非破坏性的测厚检查、射线探伤，检查记录应存档备查。定期对储罐外部检查，及时发现破损和</w:t>
      </w:r>
      <w:r>
        <w:rPr>
          <w:rFonts w:hint="eastAsia"/>
          <w:lang w:eastAsia="zh-CN"/>
        </w:rPr>
        <w:t>泄漏</w:t>
      </w:r>
      <w:r>
        <w:rPr>
          <w:rFonts w:hint="eastAsia"/>
        </w:rPr>
        <w:t>处，对储罐性能下降应有对策。</w:t>
      </w:r>
    </w:p>
    <w:p>
      <w:pPr>
        <w:ind w:firstLine="480"/>
        <w:rPr>
          <w:rFonts w:hint="eastAsia"/>
        </w:rPr>
      </w:pPr>
      <w:r>
        <w:rPr>
          <w:rFonts w:hint="eastAsia"/>
        </w:rPr>
        <w:t>（</w:t>
      </w:r>
      <w:r>
        <w:rPr>
          <w:rFonts w:hint="eastAsia" w:ascii="Times New Roman" w:hAnsi="Times New Roman"/>
          <w:lang w:val="en-US" w:eastAsia="zh-CN"/>
        </w:rPr>
        <w:t>4</w:t>
      </w:r>
      <w:r>
        <w:rPr>
          <w:rFonts w:hint="eastAsia"/>
        </w:rPr>
        <w:t>）装卸时的防</w:t>
      </w:r>
      <w:r>
        <w:rPr>
          <w:rFonts w:hint="eastAsia"/>
          <w:lang w:eastAsia="zh-CN"/>
        </w:rPr>
        <w:t>泄漏</w:t>
      </w:r>
      <w:r>
        <w:rPr>
          <w:rFonts w:hint="eastAsia"/>
        </w:rPr>
        <w:t>措施</w:t>
      </w:r>
    </w:p>
    <w:p>
      <w:pPr>
        <w:ind w:firstLine="480"/>
        <w:rPr>
          <w:rFonts w:hint="eastAsia"/>
        </w:rPr>
      </w:pPr>
      <w:r>
        <w:rPr>
          <w:rFonts w:hint="eastAsia"/>
        </w:rPr>
        <w:t>在装卸物料时，要严格按章操作，尽量避免事故的发生；装卸区设有围堰</w:t>
      </w:r>
      <w:r>
        <w:rPr>
          <w:rFonts w:hint="eastAsia"/>
          <w:lang w:eastAsia="zh-CN"/>
        </w:rPr>
        <w:t>或截水沟</w:t>
      </w:r>
      <w:r>
        <w:rPr>
          <w:rFonts w:hint="eastAsia"/>
        </w:rPr>
        <w:t>以防止</w:t>
      </w:r>
      <w:r>
        <w:rPr>
          <w:rFonts w:hint="eastAsia"/>
          <w:lang w:eastAsia="zh-CN"/>
        </w:rPr>
        <w:t>泄漏</w:t>
      </w:r>
      <w:r>
        <w:rPr>
          <w:rFonts w:hint="eastAsia"/>
        </w:rPr>
        <w:t>液体</w:t>
      </w:r>
      <w:r>
        <w:rPr>
          <w:rFonts w:hint="eastAsia"/>
          <w:lang w:eastAsia="zh-CN"/>
        </w:rPr>
        <w:t>在装卸区漫流</w:t>
      </w:r>
      <w:r>
        <w:rPr>
          <w:rFonts w:hint="eastAsia"/>
        </w:rPr>
        <w:t>。</w:t>
      </w:r>
    </w:p>
    <w:p>
      <w:pPr>
        <w:ind w:firstLine="480"/>
        <w:rPr>
          <w:rFonts w:hint="eastAsia"/>
        </w:rPr>
      </w:pPr>
      <w:r>
        <w:rPr>
          <w:rFonts w:hint="eastAsia"/>
        </w:rPr>
        <w:t>（</w:t>
      </w:r>
      <w:r>
        <w:rPr>
          <w:rFonts w:hint="eastAsia" w:ascii="Times New Roman" w:hAnsi="Times New Roman"/>
          <w:lang w:val="en-US" w:eastAsia="zh-CN"/>
        </w:rPr>
        <w:t>5</w:t>
      </w:r>
      <w:r>
        <w:rPr>
          <w:rFonts w:hint="eastAsia"/>
        </w:rPr>
        <w:t>）围堰的设置</w:t>
      </w:r>
    </w:p>
    <w:p>
      <w:pPr>
        <w:rPr>
          <w:rFonts w:hint="eastAsia"/>
        </w:rPr>
      </w:pPr>
      <w:r>
        <w:rPr>
          <w:rFonts w:hint="eastAsia"/>
          <w:lang w:eastAsia="zh-CN"/>
        </w:rPr>
        <w:t>根据规范设置</w:t>
      </w:r>
      <w:r>
        <w:rPr>
          <w:rFonts w:hint="eastAsia"/>
        </w:rPr>
        <w:t>围堰高度，</w:t>
      </w:r>
      <w:r>
        <w:rPr>
          <w:rFonts w:hint="eastAsia"/>
          <w:lang w:eastAsia="zh-CN"/>
        </w:rPr>
        <w:t>至少</w:t>
      </w:r>
      <w:r>
        <w:rPr>
          <w:rFonts w:hint="eastAsia"/>
        </w:rPr>
        <w:t>可容纳单独最大储罐完全</w:t>
      </w:r>
      <w:r>
        <w:rPr>
          <w:rFonts w:hint="eastAsia"/>
          <w:lang w:eastAsia="zh-CN"/>
        </w:rPr>
        <w:t>泄漏</w:t>
      </w:r>
      <w:r>
        <w:rPr>
          <w:rFonts w:hint="eastAsia"/>
        </w:rPr>
        <w:t>产生的废液。若多个储罐同时</w:t>
      </w:r>
      <w:r>
        <w:rPr>
          <w:rFonts w:hint="eastAsia"/>
          <w:lang w:eastAsia="zh-CN"/>
        </w:rPr>
        <w:t>泄漏</w:t>
      </w:r>
      <w:r>
        <w:rPr>
          <w:rFonts w:hint="eastAsia"/>
        </w:rPr>
        <w:t>，则可根据实际情况导入事故池，防止对地下水造成影响。</w:t>
      </w:r>
    </w:p>
    <w:p>
      <w:pPr>
        <w:pStyle w:val="4"/>
        <w:spacing w:before="165" w:after="165"/>
        <w:rPr>
          <w:rFonts w:hint="eastAsia"/>
        </w:rPr>
      </w:pPr>
      <w:bookmarkStart w:id="248" w:name="_Toc23734"/>
      <w:bookmarkStart w:id="249" w:name="_Toc1487"/>
      <w:r>
        <w:rPr>
          <w:rFonts w:hint="eastAsia" w:ascii="Times New Roman" w:hAnsi="Times New Roman"/>
          <w:lang w:val="en-US" w:eastAsia="zh-CN"/>
        </w:rPr>
        <w:t>7</w:t>
      </w:r>
      <w:r>
        <w:rPr>
          <w:rFonts w:hint="eastAsia" w:ascii="Times New Roman" w:hAnsi="Times New Roman"/>
          <w:lang w:val="en-US" w:eastAsia="zh-CN"/>
        </w:rPr>
        <w:t>.</w:t>
      </w:r>
      <w:r>
        <w:rPr>
          <w:rFonts w:hint="eastAsia" w:ascii="Times New Roman" w:hAnsi="Times New Roman"/>
          <w:lang w:val="en-US" w:eastAsia="zh-CN"/>
        </w:rPr>
        <w:t>6</w:t>
      </w:r>
      <w:r>
        <w:rPr>
          <w:rFonts w:hint="eastAsia"/>
        </w:rPr>
        <w:t>环保投资</w:t>
      </w:r>
      <w:bookmarkEnd w:id="248"/>
      <w:bookmarkEnd w:id="249"/>
    </w:p>
    <w:p>
      <w:pPr>
        <w:ind w:firstLine="480"/>
        <w:rPr>
          <w:rFonts w:hint="eastAsia"/>
        </w:rPr>
      </w:pPr>
      <w:r>
        <w:rPr>
          <w:rFonts w:hint="eastAsia"/>
        </w:rPr>
        <w:t>本项目总投资</w:t>
      </w:r>
      <w:r>
        <w:rPr>
          <w:rFonts w:hint="eastAsia" w:ascii="Times New Roman" w:hAnsi="Times New Roman"/>
          <w:lang w:val="en-US" w:eastAsia="zh-CN"/>
        </w:rPr>
        <w:t>1373</w:t>
      </w:r>
      <w:r>
        <w:rPr>
          <w:rFonts w:hint="eastAsia" w:ascii="Times New Roman"/>
          <w:lang w:val="en-US" w:eastAsia="zh-CN"/>
        </w:rPr>
        <w:t>.</w:t>
      </w:r>
      <w:r>
        <w:rPr>
          <w:rFonts w:hint="eastAsia" w:ascii="Times New Roman" w:hAnsi="Times New Roman"/>
          <w:lang w:val="en-US" w:eastAsia="zh-CN"/>
        </w:rPr>
        <w:t>63</w:t>
      </w:r>
      <w:r>
        <w:rPr>
          <w:rFonts w:hint="eastAsia"/>
        </w:rPr>
        <w:t>万元</w:t>
      </w:r>
      <w:r>
        <w:rPr>
          <w:rFonts w:hint="eastAsia"/>
          <w:lang w:val="en-US" w:eastAsia="zh-CN"/>
        </w:rPr>
        <w:t>，</w:t>
      </w:r>
      <w:r>
        <w:rPr>
          <w:rFonts w:hint="eastAsia"/>
        </w:rPr>
        <w:t>其中环保投资</w:t>
      </w:r>
      <w:r>
        <w:rPr>
          <w:rFonts w:hint="eastAsia" w:ascii="Times New Roman" w:hAnsi="Times New Roman"/>
          <w:lang w:val="en-US" w:eastAsia="zh-CN"/>
        </w:rPr>
        <w:t>105</w:t>
      </w:r>
      <w:r>
        <w:rPr>
          <w:rFonts w:hint="eastAsia"/>
        </w:rPr>
        <w:t>万元，占总投资的</w:t>
      </w:r>
      <w:r>
        <w:rPr>
          <w:rFonts w:hint="eastAsia" w:ascii="Times New Roman" w:hAnsi="Times New Roman"/>
          <w:lang w:val="en-US" w:eastAsia="zh-CN"/>
        </w:rPr>
        <w:t>7</w:t>
      </w:r>
      <w:r>
        <w:rPr>
          <w:rFonts w:hint="eastAsia" w:ascii="Times New Roman"/>
          <w:lang w:val="en-US" w:eastAsia="zh-CN"/>
        </w:rPr>
        <w:t>.</w:t>
      </w:r>
      <w:r>
        <w:rPr>
          <w:rFonts w:hint="eastAsia" w:ascii="Times New Roman" w:hAnsi="Times New Roman"/>
          <w:lang w:val="en-US" w:eastAsia="zh-CN"/>
        </w:rPr>
        <w:t>64</w:t>
      </w:r>
      <w:r>
        <w:rPr>
          <w:rFonts w:hint="eastAsia"/>
        </w:rPr>
        <w:t>%。环保投资</w:t>
      </w:r>
      <w:r>
        <w:rPr>
          <w:rFonts w:hint="eastAsia"/>
          <w:lang w:eastAsia="zh-CN"/>
        </w:rPr>
        <w:t>估算</w:t>
      </w:r>
      <w:r>
        <w:rPr>
          <w:rFonts w:hint="eastAsia"/>
        </w:rPr>
        <w:t>见表</w:t>
      </w:r>
      <w:r>
        <w:rPr>
          <w:rFonts w:hint="eastAsia" w:ascii="Times New Roman" w:hAnsi="Times New Roman"/>
          <w:lang w:val="en-US" w:eastAsia="zh-CN"/>
        </w:rPr>
        <w:t>7</w:t>
      </w:r>
      <w:r>
        <w:rPr>
          <w:rFonts w:hint="eastAsia" w:ascii="Times New Roman"/>
          <w:lang w:val="en-US" w:eastAsia="zh-CN"/>
        </w:rPr>
        <w:t>.</w:t>
      </w:r>
      <w:r>
        <w:rPr>
          <w:rFonts w:hint="eastAsia" w:ascii="Times New Roman" w:hAnsi="Times New Roman"/>
          <w:lang w:val="en-US" w:eastAsia="zh-CN"/>
        </w:rPr>
        <w:t>6</w:t>
      </w:r>
      <w:r>
        <w:rPr>
          <w:rFonts w:hint="eastAsia"/>
        </w:rPr>
        <w:t>-</w:t>
      </w:r>
      <w:r>
        <w:rPr>
          <w:rFonts w:hint="eastAsia" w:ascii="Times New Roman" w:hAnsi="Times New Roman"/>
        </w:rPr>
        <w:t>1</w:t>
      </w:r>
      <w:r>
        <w:rPr>
          <w:rFonts w:hint="eastAsia"/>
        </w:rPr>
        <w:t>。</w:t>
      </w:r>
    </w:p>
    <w:p>
      <w:pPr>
        <w:spacing w:before="165" w:beforeLines="50"/>
        <w:ind w:firstLine="0"/>
        <w:jc w:val="center"/>
        <w:rPr>
          <w:rFonts w:hint="eastAsia" w:hAnsi="宋体" w:cs="宋体"/>
          <w:b/>
          <w:bCs/>
          <w:sz w:val="21"/>
          <w:szCs w:val="21"/>
        </w:rPr>
      </w:pPr>
      <w:bookmarkStart w:id="250" w:name="OLE_LINK5"/>
      <w:r>
        <w:rPr>
          <w:rFonts w:hint="eastAsia" w:hAnsi="宋体" w:cs="宋体"/>
          <w:b/>
          <w:bCs/>
          <w:sz w:val="21"/>
          <w:szCs w:val="21"/>
        </w:rPr>
        <w:t>表</w:t>
      </w:r>
      <w:r>
        <w:rPr>
          <w:rFonts w:hint="eastAsia" w:ascii="Times New Roman" w:hAnsi="Times New Roman"/>
          <w:b/>
          <w:bCs/>
          <w:sz w:val="21"/>
          <w:szCs w:val="21"/>
          <w:lang w:val="en-US" w:eastAsia="zh-CN"/>
        </w:rPr>
        <w:t>7</w:t>
      </w:r>
      <w:r>
        <w:rPr>
          <w:rFonts w:hint="eastAsia" w:ascii="Times New Roman"/>
          <w:b/>
          <w:bCs/>
          <w:sz w:val="21"/>
          <w:szCs w:val="21"/>
          <w:lang w:val="en-US" w:eastAsia="zh-CN"/>
        </w:rPr>
        <w:t>.</w:t>
      </w:r>
      <w:r>
        <w:rPr>
          <w:rFonts w:hint="eastAsia" w:ascii="Times New Roman" w:hAnsi="Times New Roman"/>
          <w:b/>
          <w:bCs/>
          <w:sz w:val="21"/>
          <w:szCs w:val="21"/>
          <w:lang w:val="en-US" w:eastAsia="zh-CN"/>
        </w:rPr>
        <w:t>6</w:t>
      </w:r>
      <w:r>
        <w:rPr>
          <w:rFonts w:hint="eastAsia" w:hAnsi="宋体" w:cs="宋体"/>
          <w:b/>
          <w:bCs/>
          <w:sz w:val="21"/>
          <w:szCs w:val="21"/>
        </w:rPr>
        <w:t>-</w:t>
      </w:r>
      <w:r>
        <w:rPr>
          <w:rFonts w:hint="eastAsia" w:ascii="Times New Roman" w:hAnsi="Times New Roman"/>
          <w:b/>
          <w:bCs/>
          <w:sz w:val="21"/>
          <w:szCs w:val="21"/>
        </w:rPr>
        <w:t>1</w:t>
      </w:r>
      <w:r>
        <w:rPr>
          <w:rFonts w:hint="eastAsia" w:hAnsi="宋体" w:cs="宋体"/>
          <w:b/>
          <w:bCs/>
          <w:sz w:val="21"/>
          <w:szCs w:val="21"/>
        </w:rPr>
        <w:t xml:space="preserve">  环保投资估算表</w:t>
      </w:r>
    </w:p>
    <w:tbl>
      <w:tblPr>
        <w:tblStyle w:val="80"/>
        <w:tblW w:w="92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13"/>
        <w:gridCol w:w="3767"/>
        <w:gridCol w:w="1066"/>
        <w:gridCol w:w="1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1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类别</w:t>
            </w:r>
          </w:p>
        </w:tc>
        <w:tc>
          <w:tcPr>
            <w:tcW w:w="1913" w:type="dxa"/>
            <w:noWrap w:val="0"/>
            <w:vAlign w:val="center"/>
          </w:tcPr>
          <w:p>
            <w:pPr>
              <w:spacing w:line="240" w:lineRule="auto"/>
              <w:ind w:firstLine="0"/>
              <w:jc w:val="center"/>
              <w:rPr>
                <w:rFonts w:hint="eastAsia" w:hAnsi="宋体"/>
                <w:bCs/>
                <w:sz w:val="21"/>
                <w:szCs w:val="21"/>
              </w:rPr>
            </w:pPr>
            <w:r>
              <w:rPr>
                <w:rFonts w:hint="eastAsia" w:hAnsi="宋体"/>
                <w:bCs/>
                <w:sz w:val="21"/>
                <w:szCs w:val="21"/>
              </w:rPr>
              <w:t>污染源</w:t>
            </w:r>
          </w:p>
        </w:tc>
        <w:tc>
          <w:tcPr>
            <w:tcW w:w="376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污染治理措施</w:t>
            </w:r>
          </w:p>
        </w:tc>
        <w:tc>
          <w:tcPr>
            <w:tcW w:w="1066" w:type="dxa"/>
            <w:noWrap w:val="0"/>
            <w:vAlign w:val="center"/>
          </w:tcPr>
          <w:p>
            <w:pPr>
              <w:spacing w:line="240" w:lineRule="auto"/>
              <w:ind w:firstLine="0"/>
              <w:jc w:val="center"/>
              <w:rPr>
                <w:rFonts w:hint="eastAsia" w:hAnsi="宋体"/>
                <w:bCs/>
                <w:sz w:val="21"/>
                <w:szCs w:val="21"/>
              </w:rPr>
            </w:pPr>
            <w:r>
              <w:rPr>
                <w:rFonts w:hint="eastAsia" w:hAnsi="宋体"/>
                <w:bCs/>
                <w:sz w:val="21"/>
                <w:szCs w:val="21"/>
              </w:rPr>
              <w:t>投资估算（万元）</w:t>
            </w:r>
          </w:p>
        </w:tc>
        <w:tc>
          <w:tcPr>
            <w:tcW w:w="1074" w:type="dxa"/>
            <w:noWrap w:val="0"/>
            <w:vAlign w:val="center"/>
          </w:tcPr>
          <w:p>
            <w:pPr>
              <w:spacing w:line="240" w:lineRule="auto"/>
              <w:ind w:firstLine="0"/>
              <w:jc w:val="center"/>
              <w:rPr>
                <w:rFonts w:hint="eastAsia" w:hAnsi="宋体"/>
                <w:bCs/>
                <w:sz w:val="21"/>
                <w:szCs w:val="21"/>
              </w:rPr>
            </w:pPr>
            <w:r>
              <w:rPr>
                <w:rFonts w:hint="eastAsia" w:hAnsi="宋体"/>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41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废气治理</w:t>
            </w:r>
          </w:p>
        </w:tc>
        <w:tc>
          <w:tcPr>
            <w:tcW w:w="1913" w:type="dxa"/>
            <w:noWrap w:val="0"/>
            <w:vAlign w:val="center"/>
          </w:tcPr>
          <w:p>
            <w:pPr>
              <w:spacing w:line="240" w:lineRule="auto"/>
              <w:ind w:firstLine="0" w:firstLineChars="0"/>
              <w:jc w:val="center"/>
              <w:rPr>
                <w:rFonts w:hint="eastAsia" w:ascii="宋体" w:hAnsi="宋体" w:eastAsia="宋体" w:cs="Times New Roman"/>
                <w:bCs/>
                <w:sz w:val="21"/>
                <w:szCs w:val="21"/>
                <w:lang w:val="en-US" w:eastAsia="zh-CN" w:bidi="ar-SA"/>
              </w:rPr>
            </w:pPr>
            <w:r>
              <w:rPr>
                <w:rFonts w:hint="eastAsia"/>
                <w:bCs/>
                <w:sz w:val="21"/>
                <w:szCs w:val="21"/>
                <w:lang w:val="en-US" w:eastAsia="zh-CN"/>
              </w:rPr>
              <w:t>工艺废气</w:t>
            </w:r>
          </w:p>
        </w:tc>
        <w:tc>
          <w:tcPr>
            <w:tcW w:w="3767" w:type="dxa"/>
            <w:noWrap w:val="0"/>
            <w:vAlign w:val="center"/>
          </w:tcPr>
          <w:p>
            <w:pPr>
              <w:spacing w:line="240" w:lineRule="auto"/>
              <w:ind w:firstLine="0" w:firstLineChars="0"/>
              <w:jc w:val="center"/>
              <w:rPr>
                <w:rFonts w:hint="eastAsia" w:ascii="宋体" w:hAnsi="宋体" w:eastAsia="宋体" w:cs="Times New Roman"/>
                <w:bCs/>
                <w:sz w:val="21"/>
                <w:szCs w:val="21"/>
                <w:lang w:val="en-US" w:eastAsia="zh-CN" w:bidi="ar-SA"/>
              </w:rPr>
            </w:pPr>
            <w:r>
              <w:rPr>
                <w:rFonts w:hint="eastAsia"/>
                <w:bCs/>
                <w:sz w:val="21"/>
                <w:szCs w:val="21"/>
                <w:lang w:eastAsia="zh-CN"/>
              </w:rPr>
              <w:t>尾气吸收塔（一级水吸收</w:t>
            </w:r>
            <w:r>
              <w:rPr>
                <w:rFonts w:hint="eastAsia"/>
                <w:bCs/>
                <w:sz w:val="21"/>
                <w:szCs w:val="21"/>
                <w:lang w:val="en-US" w:eastAsia="zh-CN"/>
              </w:rPr>
              <w:t>+二级酸吸收</w:t>
            </w:r>
            <w:r>
              <w:rPr>
                <w:rFonts w:hint="eastAsia"/>
                <w:bCs/>
                <w:sz w:val="21"/>
                <w:szCs w:val="21"/>
                <w:lang w:eastAsia="zh-CN"/>
              </w:rPr>
              <w:t>）</w:t>
            </w:r>
          </w:p>
        </w:tc>
        <w:tc>
          <w:tcPr>
            <w:tcW w:w="1066" w:type="dxa"/>
            <w:noWrap w:val="0"/>
            <w:vAlign w:val="center"/>
          </w:tcPr>
          <w:p>
            <w:pPr>
              <w:spacing w:line="240" w:lineRule="auto"/>
              <w:ind w:firstLine="0" w:firstLineChars="0"/>
              <w:jc w:val="center"/>
              <w:rPr>
                <w:rFonts w:hint="default" w:ascii="宋体" w:hAnsi="宋体" w:eastAsia="宋体" w:cs="Times New Roman"/>
                <w:bCs/>
                <w:sz w:val="21"/>
                <w:szCs w:val="21"/>
                <w:lang w:val="en-US" w:eastAsia="zh-CN" w:bidi="ar-SA"/>
              </w:rPr>
            </w:pPr>
            <w:r>
              <w:rPr>
                <w:rFonts w:hint="eastAsia" w:ascii="Times New Roman" w:hAnsi="Times New Roman"/>
                <w:bCs/>
                <w:sz w:val="21"/>
                <w:szCs w:val="21"/>
                <w:lang w:val="en-US" w:eastAsia="zh-CN"/>
              </w:rPr>
              <w:t>60</w:t>
            </w:r>
          </w:p>
        </w:tc>
        <w:tc>
          <w:tcPr>
            <w:tcW w:w="1074" w:type="dxa"/>
            <w:noWrap w:val="0"/>
            <w:vAlign w:val="center"/>
          </w:tcPr>
          <w:p>
            <w:pPr>
              <w:spacing w:line="240" w:lineRule="auto"/>
              <w:ind w:firstLine="0"/>
              <w:jc w:val="center"/>
              <w:rPr>
                <w:rFonts w:hint="eastAsia" w:hAnsi="宋体" w:eastAsia="宋体"/>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17" w:type="dxa"/>
            <w:vMerge w:val="restart"/>
            <w:noWrap w:val="0"/>
            <w:vAlign w:val="center"/>
          </w:tcPr>
          <w:p>
            <w:pPr>
              <w:spacing w:line="240" w:lineRule="auto"/>
              <w:ind w:firstLine="0"/>
              <w:jc w:val="center"/>
              <w:rPr>
                <w:rFonts w:hint="eastAsia" w:hAnsi="宋体"/>
                <w:bCs/>
                <w:sz w:val="21"/>
                <w:szCs w:val="21"/>
              </w:rPr>
            </w:pPr>
            <w:r>
              <w:rPr>
                <w:rFonts w:hint="eastAsia" w:hAnsi="宋体"/>
                <w:bCs/>
                <w:sz w:val="21"/>
                <w:szCs w:val="21"/>
              </w:rPr>
              <w:t>地下水防治</w:t>
            </w:r>
          </w:p>
        </w:tc>
        <w:tc>
          <w:tcPr>
            <w:tcW w:w="1913" w:type="dxa"/>
            <w:vMerge w:val="restart"/>
            <w:noWrap w:val="0"/>
            <w:vAlign w:val="center"/>
          </w:tcPr>
          <w:p>
            <w:pPr>
              <w:spacing w:line="240" w:lineRule="auto"/>
              <w:ind w:firstLine="0"/>
              <w:jc w:val="center"/>
              <w:rPr>
                <w:rFonts w:hint="eastAsia" w:hAnsi="宋体" w:eastAsia="宋体"/>
                <w:bCs/>
                <w:sz w:val="21"/>
                <w:szCs w:val="21"/>
                <w:lang w:eastAsia="zh-CN"/>
              </w:rPr>
            </w:pPr>
            <w:r>
              <w:rPr>
                <w:rFonts w:hint="eastAsia"/>
                <w:bCs/>
                <w:sz w:val="21"/>
                <w:szCs w:val="21"/>
                <w:lang w:eastAsia="zh-CN"/>
              </w:rPr>
              <w:t>罐区、尾气吸收塔</w:t>
            </w:r>
          </w:p>
        </w:tc>
        <w:tc>
          <w:tcPr>
            <w:tcW w:w="3767" w:type="dxa"/>
            <w:noWrap w:val="0"/>
            <w:vAlign w:val="center"/>
          </w:tcPr>
          <w:p>
            <w:pPr>
              <w:spacing w:line="240" w:lineRule="auto"/>
              <w:ind w:firstLine="0"/>
              <w:jc w:val="center"/>
              <w:rPr>
                <w:rFonts w:hint="eastAsia" w:hAnsi="宋体" w:eastAsia="宋体"/>
                <w:bCs/>
                <w:sz w:val="21"/>
                <w:szCs w:val="21"/>
                <w:lang w:eastAsia="zh-CN"/>
              </w:rPr>
            </w:pPr>
            <w:r>
              <w:rPr>
                <w:rFonts w:hint="eastAsia"/>
                <w:bCs/>
                <w:sz w:val="21"/>
                <w:szCs w:val="21"/>
                <w:lang w:eastAsia="zh-CN"/>
              </w:rPr>
              <w:t>罐区基础和尾气吸收塔底重点防渗</w:t>
            </w:r>
          </w:p>
        </w:tc>
        <w:tc>
          <w:tcPr>
            <w:tcW w:w="1066" w:type="dxa"/>
            <w:noWrap w:val="0"/>
            <w:vAlign w:val="center"/>
          </w:tcPr>
          <w:p>
            <w:pPr>
              <w:spacing w:line="240" w:lineRule="auto"/>
              <w:ind w:firstLine="0"/>
              <w:jc w:val="center"/>
              <w:rPr>
                <w:rFonts w:hint="default" w:hAnsi="宋体"/>
                <w:bCs/>
                <w:sz w:val="21"/>
                <w:szCs w:val="21"/>
                <w:lang w:val="en-US"/>
              </w:rPr>
            </w:pPr>
            <w:r>
              <w:rPr>
                <w:rFonts w:hint="eastAsia" w:ascii="Times New Roman" w:hAnsi="Times New Roman"/>
                <w:bCs/>
                <w:sz w:val="21"/>
                <w:szCs w:val="21"/>
                <w:lang w:val="en-US" w:eastAsia="zh-CN"/>
              </w:rPr>
              <w:t>30</w:t>
            </w:r>
          </w:p>
        </w:tc>
        <w:tc>
          <w:tcPr>
            <w:tcW w:w="1074" w:type="dxa"/>
            <w:noWrap w:val="0"/>
            <w:vAlign w:val="center"/>
          </w:tcPr>
          <w:p>
            <w:pPr>
              <w:spacing w:line="240" w:lineRule="auto"/>
              <w:ind w:firstLine="0"/>
              <w:jc w:val="center"/>
              <w:rPr>
                <w:rFonts w:hint="eastAsia" w:hAnsi="宋体" w:eastAsia="宋体"/>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17" w:type="dxa"/>
            <w:vMerge w:val="continue"/>
            <w:noWrap w:val="0"/>
            <w:vAlign w:val="center"/>
          </w:tcPr>
          <w:p>
            <w:pPr>
              <w:spacing w:line="240" w:lineRule="auto"/>
              <w:ind w:firstLine="0"/>
              <w:jc w:val="center"/>
              <w:rPr>
                <w:rFonts w:hint="eastAsia" w:hAnsi="宋体"/>
                <w:bCs/>
                <w:sz w:val="21"/>
                <w:szCs w:val="21"/>
              </w:rPr>
            </w:pPr>
          </w:p>
        </w:tc>
        <w:tc>
          <w:tcPr>
            <w:tcW w:w="1913" w:type="dxa"/>
            <w:vMerge w:val="continue"/>
            <w:noWrap w:val="0"/>
            <w:vAlign w:val="center"/>
          </w:tcPr>
          <w:p>
            <w:pPr>
              <w:spacing w:line="240" w:lineRule="auto"/>
              <w:ind w:firstLine="0"/>
              <w:jc w:val="center"/>
              <w:rPr>
                <w:rFonts w:hint="eastAsia"/>
                <w:bCs/>
                <w:sz w:val="21"/>
                <w:szCs w:val="21"/>
                <w:lang w:eastAsia="zh-CN"/>
              </w:rPr>
            </w:pPr>
          </w:p>
        </w:tc>
        <w:tc>
          <w:tcPr>
            <w:tcW w:w="3767" w:type="dxa"/>
            <w:noWrap w:val="0"/>
            <w:vAlign w:val="center"/>
          </w:tcPr>
          <w:p>
            <w:pPr>
              <w:spacing w:line="240" w:lineRule="auto"/>
              <w:ind w:firstLine="0"/>
              <w:jc w:val="center"/>
              <w:rPr>
                <w:rFonts w:hint="eastAsia"/>
                <w:bCs/>
                <w:sz w:val="21"/>
                <w:szCs w:val="21"/>
                <w:lang w:eastAsia="zh-CN"/>
              </w:rPr>
            </w:pPr>
            <w:r>
              <w:rPr>
                <w:rFonts w:hint="eastAsia"/>
                <w:bCs/>
                <w:sz w:val="21"/>
                <w:szCs w:val="21"/>
                <w:lang w:eastAsia="zh-CN"/>
              </w:rPr>
              <w:t>装置区一般防渗硬化</w:t>
            </w:r>
          </w:p>
        </w:tc>
        <w:tc>
          <w:tcPr>
            <w:tcW w:w="1066" w:type="dxa"/>
            <w:noWrap w:val="0"/>
            <w:vAlign w:val="center"/>
          </w:tcPr>
          <w:p>
            <w:pPr>
              <w:spacing w:line="240" w:lineRule="auto"/>
              <w:ind w:firstLine="0"/>
              <w:jc w:val="center"/>
              <w:rPr>
                <w:rFonts w:hint="default" w:ascii="Times New Roman" w:hAnsi="Times New Roman"/>
                <w:bCs/>
                <w:sz w:val="21"/>
                <w:szCs w:val="21"/>
                <w:lang w:val="en-US" w:eastAsia="zh-CN"/>
              </w:rPr>
            </w:pPr>
            <w:r>
              <w:rPr>
                <w:rFonts w:hint="eastAsia" w:ascii="Times New Roman" w:hAnsi="Times New Roman"/>
                <w:bCs/>
                <w:sz w:val="21"/>
                <w:szCs w:val="21"/>
                <w:lang w:val="en-US" w:eastAsia="zh-CN"/>
              </w:rPr>
              <w:t>/</w:t>
            </w:r>
          </w:p>
        </w:tc>
        <w:tc>
          <w:tcPr>
            <w:tcW w:w="1074" w:type="dxa"/>
            <w:noWrap w:val="0"/>
            <w:vAlign w:val="center"/>
          </w:tcPr>
          <w:p>
            <w:pPr>
              <w:spacing w:line="240" w:lineRule="auto"/>
              <w:ind w:firstLine="0"/>
              <w:jc w:val="center"/>
              <w:rPr>
                <w:rFonts w:hint="eastAsia" w:hAnsi="宋体" w:eastAsia="宋体"/>
                <w:bCs/>
                <w:sz w:val="21"/>
                <w:szCs w:val="21"/>
                <w:lang w:eastAsia="zh-CN"/>
              </w:rPr>
            </w:pPr>
            <w:r>
              <w:rPr>
                <w:rFonts w:hint="eastAsia" w:ascii="Times New Roman" w:hAnsi="Times New Roman"/>
                <w:bCs/>
                <w:sz w:val="21"/>
                <w:szCs w:val="21"/>
                <w:lang w:val="en-US" w:eastAsia="zh-CN"/>
              </w:rPr>
              <w:t>纳入设施投资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1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噪声</w:t>
            </w:r>
          </w:p>
        </w:tc>
        <w:tc>
          <w:tcPr>
            <w:tcW w:w="1913" w:type="dxa"/>
            <w:noWrap w:val="0"/>
            <w:vAlign w:val="center"/>
          </w:tcPr>
          <w:p>
            <w:pPr>
              <w:spacing w:line="240" w:lineRule="auto"/>
              <w:ind w:firstLine="0"/>
              <w:jc w:val="center"/>
              <w:rPr>
                <w:rFonts w:hint="eastAsia" w:hAnsi="宋体"/>
                <w:bCs/>
                <w:sz w:val="21"/>
                <w:szCs w:val="21"/>
              </w:rPr>
            </w:pPr>
            <w:r>
              <w:rPr>
                <w:rFonts w:hint="eastAsia" w:hAnsi="宋体"/>
                <w:bCs/>
                <w:sz w:val="21"/>
                <w:szCs w:val="21"/>
              </w:rPr>
              <w:t>隔声、减振</w:t>
            </w:r>
          </w:p>
        </w:tc>
        <w:tc>
          <w:tcPr>
            <w:tcW w:w="3767" w:type="dxa"/>
            <w:noWrap w:val="0"/>
            <w:vAlign w:val="center"/>
          </w:tcPr>
          <w:p>
            <w:pPr>
              <w:spacing w:line="240" w:lineRule="auto"/>
              <w:ind w:firstLine="0"/>
              <w:jc w:val="center"/>
              <w:rPr>
                <w:rFonts w:hint="eastAsia" w:hAnsi="宋体" w:eastAsia="宋体"/>
                <w:bCs/>
                <w:sz w:val="21"/>
                <w:szCs w:val="21"/>
                <w:lang w:eastAsia="zh-CN"/>
              </w:rPr>
            </w:pPr>
            <w:r>
              <w:rPr>
                <w:rFonts w:hint="eastAsia"/>
                <w:bCs/>
                <w:sz w:val="21"/>
                <w:szCs w:val="21"/>
                <w:lang w:eastAsia="zh-CN"/>
              </w:rPr>
              <w:t>专用泵房、设备基础减振</w:t>
            </w:r>
          </w:p>
        </w:tc>
        <w:tc>
          <w:tcPr>
            <w:tcW w:w="1066" w:type="dxa"/>
            <w:noWrap w:val="0"/>
            <w:vAlign w:val="center"/>
          </w:tcPr>
          <w:p>
            <w:pPr>
              <w:spacing w:line="240" w:lineRule="auto"/>
              <w:ind w:firstLine="0"/>
              <w:jc w:val="center"/>
              <w:rPr>
                <w:rFonts w:hint="eastAsia" w:hAnsi="宋体"/>
                <w:bCs/>
                <w:sz w:val="21"/>
                <w:szCs w:val="21"/>
              </w:rPr>
            </w:pPr>
            <w:r>
              <w:rPr>
                <w:rFonts w:hint="eastAsia" w:ascii="Times New Roman" w:hAnsi="Times New Roman"/>
                <w:bCs/>
                <w:sz w:val="21"/>
                <w:szCs w:val="21"/>
                <w:lang w:val="en-US" w:eastAsia="zh-CN"/>
              </w:rPr>
              <w:t>5</w:t>
            </w:r>
          </w:p>
        </w:tc>
        <w:tc>
          <w:tcPr>
            <w:tcW w:w="1074" w:type="dxa"/>
            <w:noWrap w:val="0"/>
            <w:vAlign w:val="center"/>
          </w:tcPr>
          <w:p>
            <w:pPr>
              <w:spacing w:line="240" w:lineRule="auto"/>
              <w:ind w:firstLine="0"/>
              <w:jc w:val="center"/>
              <w:rPr>
                <w:rFonts w:hint="eastAsia" w:hAnsi="宋体" w:eastAsia="宋体"/>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1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固废</w:t>
            </w:r>
          </w:p>
        </w:tc>
        <w:tc>
          <w:tcPr>
            <w:tcW w:w="1913" w:type="dxa"/>
            <w:noWrap w:val="0"/>
            <w:vAlign w:val="center"/>
          </w:tcPr>
          <w:p>
            <w:pPr>
              <w:spacing w:line="240" w:lineRule="auto"/>
              <w:ind w:firstLine="0"/>
              <w:jc w:val="center"/>
              <w:rPr>
                <w:rFonts w:hint="eastAsia" w:hAnsi="宋体"/>
                <w:bCs/>
                <w:sz w:val="21"/>
                <w:szCs w:val="21"/>
              </w:rPr>
            </w:pPr>
            <w:r>
              <w:rPr>
                <w:rFonts w:hint="eastAsia" w:hAnsi="宋体"/>
                <w:bCs/>
                <w:sz w:val="21"/>
                <w:szCs w:val="21"/>
              </w:rPr>
              <w:t>危险废物</w:t>
            </w:r>
          </w:p>
        </w:tc>
        <w:tc>
          <w:tcPr>
            <w:tcW w:w="3767" w:type="dxa"/>
            <w:noWrap w:val="0"/>
            <w:vAlign w:val="center"/>
          </w:tcPr>
          <w:p>
            <w:pPr>
              <w:spacing w:line="240" w:lineRule="auto"/>
              <w:ind w:firstLine="0"/>
              <w:jc w:val="center"/>
              <w:rPr>
                <w:rFonts w:hint="eastAsia" w:hAnsi="宋体" w:eastAsia="宋体"/>
                <w:bCs/>
                <w:sz w:val="21"/>
                <w:szCs w:val="21"/>
                <w:lang w:eastAsia="zh-CN"/>
              </w:rPr>
            </w:pPr>
            <w:r>
              <w:rPr>
                <w:rFonts w:hint="eastAsia"/>
                <w:bCs/>
                <w:sz w:val="21"/>
                <w:szCs w:val="21"/>
                <w:lang w:eastAsia="zh-CN"/>
              </w:rPr>
              <w:t>现有危险废物贮存库</w:t>
            </w:r>
          </w:p>
        </w:tc>
        <w:tc>
          <w:tcPr>
            <w:tcW w:w="1066" w:type="dxa"/>
            <w:noWrap w:val="0"/>
            <w:vAlign w:val="center"/>
          </w:tcPr>
          <w:p>
            <w:pPr>
              <w:spacing w:line="240" w:lineRule="auto"/>
              <w:ind w:firstLine="0"/>
              <w:jc w:val="center"/>
              <w:rPr>
                <w:rFonts w:hint="default" w:hAnsi="宋体" w:eastAsia="宋体"/>
                <w:bCs/>
                <w:sz w:val="21"/>
                <w:szCs w:val="21"/>
                <w:lang w:val="en-US" w:eastAsia="zh-CN"/>
              </w:rPr>
            </w:pPr>
            <w:r>
              <w:rPr>
                <w:rFonts w:hint="eastAsia"/>
                <w:bCs/>
                <w:sz w:val="21"/>
                <w:szCs w:val="21"/>
                <w:lang w:val="en-US" w:eastAsia="zh-CN"/>
              </w:rPr>
              <w:t>/</w:t>
            </w:r>
          </w:p>
        </w:tc>
        <w:tc>
          <w:tcPr>
            <w:tcW w:w="1074" w:type="dxa"/>
            <w:vMerge w:val="restart"/>
            <w:noWrap w:val="0"/>
            <w:vAlign w:val="center"/>
          </w:tcPr>
          <w:p>
            <w:pPr>
              <w:spacing w:line="240" w:lineRule="auto"/>
              <w:ind w:firstLine="0"/>
              <w:jc w:val="center"/>
              <w:rPr>
                <w:rFonts w:hint="eastAsia" w:hAnsi="宋体" w:eastAsia="宋体"/>
                <w:bCs/>
                <w:sz w:val="21"/>
                <w:szCs w:val="21"/>
                <w:lang w:eastAsia="zh-CN"/>
              </w:rPr>
            </w:pPr>
            <w:r>
              <w:rPr>
                <w:rFonts w:hint="eastAsia"/>
                <w:bCs/>
                <w:sz w:val="21"/>
                <w:szCs w:val="21"/>
                <w:lang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17" w:type="dxa"/>
            <w:noWrap w:val="0"/>
            <w:vAlign w:val="center"/>
          </w:tcPr>
          <w:p>
            <w:pPr>
              <w:spacing w:line="240" w:lineRule="auto"/>
              <w:ind w:firstLine="0" w:firstLineChars="0"/>
              <w:jc w:val="center"/>
              <w:rPr>
                <w:rFonts w:hint="eastAsia" w:ascii="宋体" w:hAnsi="宋体" w:eastAsia="宋体" w:cs="Times New Roman"/>
                <w:bCs/>
                <w:sz w:val="21"/>
                <w:szCs w:val="21"/>
                <w:lang w:val="en-US" w:eastAsia="zh-CN" w:bidi="ar-SA"/>
              </w:rPr>
            </w:pPr>
            <w:r>
              <w:rPr>
                <w:rFonts w:hint="eastAsia" w:hAnsi="宋体"/>
                <w:bCs/>
                <w:sz w:val="21"/>
                <w:szCs w:val="21"/>
              </w:rPr>
              <w:t>废水治理</w:t>
            </w:r>
          </w:p>
        </w:tc>
        <w:tc>
          <w:tcPr>
            <w:tcW w:w="1913" w:type="dxa"/>
            <w:noWrap w:val="0"/>
            <w:vAlign w:val="center"/>
          </w:tcPr>
          <w:p>
            <w:pPr>
              <w:spacing w:line="240" w:lineRule="auto"/>
              <w:ind w:firstLine="0" w:firstLineChars="0"/>
              <w:jc w:val="center"/>
              <w:rPr>
                <w:rFonts w:hint="eastAsia" w:ascii="宋体" w:hAnsi="宋体" w:eastAsia="宋体" w:cs="Times New Roman"/>
                <w:bCs/>
                <w:sz w:val="21"/>
                <w:szCs w:val="21"/>
                <w:lang w:val="en-US" w:eastAsia="zh-CN" w:bidi="ar-SA"/>
              </w:rPr>
            </w:pPr>
            <w:r>
              <w:rPr>
                <w:rFonts w:hint="eastAsia" w:hAnsi="宋体"/>
                <w:bCs/>
                <w:sz w:val="21"/>
                <w:szCs w:val="21"/>
              </w:rPr>
              <w:t>厂内污水站</w:t>
            </w:r>
          </w:p>
        </w:tc>
        <w:tc>
          <w:tcPr>
            <w:tcW w:w="3767" w:type="dxa"/>
            <w:noWrap w:val="0"/>
            <w:vAlign w:val="center"/>
          </w:tcPr>
          <w:p>
            <w:pPr>
              <w:spacing w:line="240" w:lineRule="auto"/>
              <w:ind w:firstLine="0" w:firstLineChars="0"/>
              <w:jc w:val="center"/>
              <w:rPr>
                <w:rFonts w:hint="eastAsia" w:ascii="宋体" w:hAnsi="宋体" w:eastAsia="宋体" w:cs="Times New Roman"/>
                <w:bCs/>
                <w:sz w:val="21"/>
                <w:szCs w:val="21"/>
                <w:lang w:val="en-US" w:eastAsia="zh-CN" w:bidi="ar-SA"/>
              </w:rPr>
            </w:pPr>
            <w:r>
              <w:rPr>
                <w:rFonts w:hint="eastAsia" w:hAnsi="宋体" w:cs="宋体"/>
                <w:sz w:val="21"/>
                <w:szCs w:val="21"/>
              </w:rPr>
              <w:t>采用预处理+</w:t>
            </w:r>
            <w:r>
              <w:rPr>
                <w:rFonts w:hint="eastAsia" w:ascii="Times New Roman" w:hAnsi="Times New Roman" w:cs="宋体"/>
                <w:sz w:val="21"/>
                <w:szCs w:val="21"/>
                <w:lang w:val="en-US" w:eastAsia="zh-CN"/>
              </w:rPr>
              <w:t>A2O</w:t>
            </w:r>
            <w:r>
              <w:rPr>
                <w:rFonts w:hint="eastAsia" w:cs="宋体"/>
                <w:sz w:val="21"/>
                <w:szCs w:val="21"/>
                <w:lang w:eastAsia="zh-CN"/>
              </w:rPr>
              <w:t>生化</w:t>
            </w:r>
            <w:r>
              <w:rPr>
                <w:rFonts w:hint="eastAsia" w:hAnsi="宋体" w:cs="宋体"/>
                <w:sz w:val="21"/>
                <w:szCs w:val="21"/>
                <w:lang w:val="en-US" w:eastAsia="zh-CN"/>
              </w:rPr>
              <w:t>处理</w:t>
            </w:r>
            <w:r>
              <w:rPr>
                <w:rFonts w:hint="eastAsia" w:hAnsi="宋体" w:cs="宋体"/>
                <w:sz w:val="21"/>
                <w:szCs w:val="21"/>
                <w:lang w:eastAsia="zh-CN"/>
              </w:rPr>
              <w:t>工艺</w:t>
            </w:r>
          </w:p>
        </w:tc>
        <w:tc>
          <w:tcPr>
            <w:tcW w:w="1066" w:type="dxa"/>
            <w:noWrap w:val="0"/>
            <w:vAlign w:val="center"/>
          </w:tcPr>
          <w:p>
            <w:pPr>
              <w:spacing w:line="240" w:lineRule="auto"/>
              <w:ind w:firstLine="0"/>
              <w:jc w:val="center"/>
              <w:rPr>
                <w:rFonts w:hint="default"/>
                <w:bCs/>
                <w:sz w:val="21"/>
                <w:szCs w:val="21"/>
                <w:lang w:val="en-US" w:eastAsia="zh-CN"/>
              </w:rPr>
            </w:pPr>
            <w:r>
              <w:rPr>
                <w:rFonts w:hint="eastAsia"/>
                <w:bCs/>
                <w:sz w:val="21"/>
                <w:szCs w:val="21"/>
                <w:lang w:val="en-US" w:eastAsia="zh-CN"/>
              </w:rPr>
              <w:t>/</w:t>
            </w:r>
          </w:p>
        </w:tc>
        <w:tc>
          <w:tcPr>
            <w:tcW w:w="1074" w:type="dxa"/>
            <w:vMerge w:val="continue"/>
            <w:noWrap w:val="0"/>
            <w:vAlign w:val="center"/>
          </w:tcPr>
          <w:p>
            <w:pPr>
              <w:spacing w:line="240" w:lineRule="auto"/>
              <w:ind w:firstLine="0"/>
              <w:jc w:val="center"/>
              <w:rPr>
                <w:rFonts w:hint="eastAsia"/>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1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风险防范</w:t>
            </w:r>
          </w:p>
        </w:tc>
        <w:tc>
          <w:tcPr>
            <w:tcW w:w="1913" w:type="dxa"/>
            <w:noWrap w:val="0"/>
            <w:vAlign w:val="center"/>
          </w:tcPr>
          <w:p>
            <w:pPr>
              <w:spacing w:line="240" w:lineRule="auto"/>
              <w:ind w:firstLine="0" w:firstLineChars="0"/>
              <w:jc w:val="center"/>
              <w:rPr>
                <w:rFonts w:hint="eastAsia" w:ascii="宋体" w:hAnsi="宋体" w:eastAsia="宋体" w:cs="Times New Roman"/>
                <w:bCs/>
                <w:sz w:val="21"/>
                <w:szCs w:val="21"/>
                <w:lang w:val="en-US" w:eastAsia="zh-CN" w:bidi="ar-SA"/>
              </w:rPr>
            </w:pPr>
            <w:r>
              <w:rPr>
                <w:rFonts w:hint="eastAsia" w:hAnsi="宋体"/>
                <w:bCs/>
                <w:sz w:val="21"/>
                <w:szCs w:val="21"/>
              </w:rPr>
              <w:t>事故池</w:t>
            </w:r>
          </w:p>
        </w:tc>
        <w:tc>
          <w:tcPr>
            <w:tcW w:w="3767" w:type="dxa"/>
            <w:noWrap w:val="0"/>
            <w:vAlign w:val="center"/>
          </w:tcPr>
          <w:p>
            <w:pPr>
              <w:spacing w:line="240" w:lineRule="auto"/>
              <w:ind w:firstLine="0" w:firstLineChars="0"/>
              <w:jc w:val="center"/>
              <w:rPr>
                <w:rFonts w:hint="eastAsia" w:ascii="宋体" w:hAnsi="宋体" w:eastAsia="宋体" w:cs="Times New Roman"/>
                <w:bCs/>
                <w:sz w:val="21"/>
                <w:szCs w:val="21"/>
                <w:lang w:val="en-US" w:eastAsia="zh-CN" w:bidi="ar-SA"/>
              </w:rPr>
            </w:pPr>
            <w:r>
              <w:rPr>
                <w:rFonts w:hint="eastAsia" w:hAnsi="宋体"/>
                <w:bCs/>
                <w:sz w:val="21"/>
                <w:szCs w:val="21"/>
              </w:rPr>
              <w:t>容积</w:t>
            </w:r>
            <w:r>
              <w:rPr>
                <w:rFonts w:hint="eastAsia" w:ascii="Times New Roman" w:hAnsi="Times New Roman"/>
                <w:bCs/>
                <w:sz w:val="21"/>
                <w:szCs w:val="21"/>
                <w:lang w:val="en-US" w:eastAsia="zh-CN"/>
              </w:rPr>
              <w:t>60</w:t>
            </w:r>
            <w:r>
              <w:rPr>
                <w:rFonts w:hint="eastAsia" w:ascii="Times New Roman" w:hAnsi="Times New Roman"/>
                <w:bCs/>
                <w:sz w:val="21"/>
                <w:szCs w:val="21"/>
              </w:rPr>
              <w:t>00m</w:t>
            </w:r>
            <w:r>
              <w:rPr>
                <w:rFonts w:hint="eastAsia" w:hAnsi="宋体"/>
                <w:bCs/>
                <w:sz w:val="21"/>
                <w:szCs w:val="21"/>
              </w:rPr>
              <w:t>³</w:t>
            </w:r>
          </w:p>
        </w:tc>
        <w:tc>
          <w:tcPr>
            <w:tcW w:w="1066" w:type="dxa"/>
            <w:noWrap w:val="0"/>
            <w:vAlign w:val="center"/>
          </w:tcPr>
          <w:p>
            <w:pPr>
              <w:spacing w:line="240" w:lineRule="auto"/>
              <w:ind w:firstLine="0"/>
              <w:jc w:val="center"/>
              <w:rPr>
                <w:rFonts w:hint="eastAsia" w:hAnsi="宋体" w:eastAsia="宋体"/>
                <w:bCs/>
                <w:sz w:val="21"/>
                <w:szCs w:val="21"/>
                <w:lang w:val="en-US" w:eastAsia="zh-CN"/>
              </w:rPr>
            </w:pPr>
            <w:r>
              <w:rPr>
                <w:rFonts w:hint="eastAsia"/>
                <w:bCs/>
                <w:sz w:val="21"/>
                <w:szCs w:val="21"/>
                <w:lang w:val="en-US" w:eastAsia="zh-CN"/>
              </w:rPr>
              <w:t>/</w:t>
            </w:r>
          </w:p>
        </w:tc>
        <w:tc>
          <w:tcPr>
            <w:tcW w:w="1074" w:type="dxa"/>
            <w:vMerge w:val="continue"/>
            <w:noWrap w:val="0"/>
            <w:vAlign w:val="center"/>
          </w:tcPr>
          <w:p>
            <w:pPr>
              <w:spacing w:line="240" w:lineRule="auto"/>
              <w:ind w:firstLine="0"/>
              <w:jc w:val="center"/>
              <w:rPr>
                <w:rFonts w:hint="eastAsia" w:hAnsi="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1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环境监测</w:t>
            </w:r>
          </w:p>
        </w:tc>
        <w:tc>
          <w:tcPr>
            <w:tcW w:w="1913" w:type="dxa"/>
            <w:noWrap w:val="0"/>
            <w:vAlign w:val="center"/>
          </w:tcPr>
          <w:p>
            <w:pPr>
              <w:spacing w:line="240" w:lineRule="auto"/>
              <w:ind w:firstLine="0"/>
              <w:jc w:val="center"/>
              <w:rPr>
                <w:rFonts w:hint="eastAsia" w:hAnsi="宋体"/>
                <w:bCs/>
                <w:sz w:val="21"/>
                <w:szCs w:val="21"/>
              </w:rPr>
            </w:pPr>
            <w:r>
              <w:rPr>
                <w:rFonts w:hint="eastAsia" w:hAnsi="宋体"/>
                <w:bCs/>
                <w:sz w:val="21"/>
                <w:szCs w:val="21"/>
              </w:rPr>
              <w:t>定期监测</w:t>
            </w:r>
          </w:p>
        </w:tc>
        <w:tc>
          <w:tcPr>
            <w:tcW w:w="3767" w:type="dxa"/>
            <w:noWrap w:val="0"/>
            <w:vAlign w:val="center"/>
          </w:tcPr>
          <w:p>
            <w:pPr>
              <w:spacing w:line="240" w:lineRule="auto"/>
              <w:ind w:firstLine="0"/>
              <w:jc w:val="center"/>
              <w:rPr>
                <w:rFonts w:hint="eastAsia" w:hAnsi="宋体"/>
                <w:bCs/>
                <w:sz w:val="21"/>
                <w:szCs w:val="21"/>
              </w:rPr>
            </w:pPr>
            <w:r>
              <w:rPr>
                <w:rFonts w:hint="eastAsia" w:hAnsi="宋体"/>
                <w:bCs/>
                <w:sz w:val="21"/>
                <w:szCs w:val="21"/>
              </w:rPr>
              <w:t>仪器、装备等</w:t>
            </w:r>
          </w:p>
        </w:tc>
        <w:tc>
          <w:tcPr>
            <w:tcW w:w="1066" w:type="dxa"/>
            <w:noWrap w:val="0"/>
            <w:vAlign w:val="center"/>
          </w:tcPr>
          <w:p>
            <w:pPr>
              <w:spacing w:line="240" w:lineRule="auto"/>
              <w:ind w:firstLine="0"/>
              <w:jc w:val="center"/>
              <w:rPr>
                <w:rFonts w:hint="eastAsia" w:hAnsi="宋体"/>
                <w:bCs/>
                <w:sz w:val="21"/>
                <w:szCs w:val="21"/>
              </w:rPr>
            </w:pPr>
            <w:r>
              <w:rPr>
                <w:rFonts w:hint="eastAsia" w:ascii="Times New Roman" w:hAnsi="Times New Roman"/>
                <w:bCs/>
                <w:sz w:val="21"/>
                <w:szCs w:val="21"/>
                <w:lang w:val="en-US" w:eastAsia="zh-CN"/>
              </w:rPr>
              <w:t>1</w:t>
            </w:r>
            <w:r>
              <w:rPr>
                <w:rFonts w:hint="eastAsia" w:ascii="Times New Roman" w:hAnsi="Times New Roman"/>
                <w:bCs/>
                <w:sz w:val="21"/>
                <w:szCs w:val="21"/>
              </w:rPr>
              <w:t>0</w:t>
            </w:r>
          </w:p>
        </w:tc>
        <w:tc>
          <w:tcPr>
            <w:tcW w:w="1074" w:type="dxa"/>
            <w:noWrap w:val="0"/>
            <w:vAlign w:val="center"/>
          </w:tcPr>
          <w:p>
            <w:pPr>
              <w:spacing w:line="240" w:lineRule="auto"/>
              <w:ind w:firstLine="0"/>
              <w:jc w:val="center"/>
              <w:rPr>
                <w:rFonts w:hint="eastAsia" w:hAnsi="宋体" w:eastAsia="宋体"/>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330" w:type="dxa"/>
            <w:gridSpan w:val="2"/>
            <w:noWrap w:val="0"/>
            <w:vAlign w:val="center"/>
          </w:tcPr>
          <w:p>
            <w:pPr>
              <w:spacing w:line="240" w:lineRule="auto"/>
              <w:ind w:firstLine="0"/>
              <w:jc w:val="center"/>
              <w:rPr>
                <w:rFonts w:hint="eastAsia" w:hAnsi="宋体"/>
                <w:bCs/>
                <w:sz w:val="21"/>
                <w:szCs w:val="21"/>
              </w:rPr>
            </w:pPr>
            <w:r>
              <w:rPr>
                <w:rFonts w:hint="eastAsia"/>
                <w:bCs/>
                <w:sz w:val="21"/>
                <w:szCs w:val="21"/>
                <w:lang w:eastAsia="zh-CN"/>
              </w:rPr>
              <w:t>合计</w:t>
            </w:r>
          </w:p>
        </w:tc>
        <w:tc>
          <w:tcPr>
            <w:tcW w:w="3767" w:type="dxa"/>
            <w:noWrap w:val="0"/>
            <w:vAlign w:val="center"/>
          </w:tcPr>
          <w:p>
            <w:pPr>
              <w:spacing w:line="240" w:lineRule="auto"/>
              <w:ind w:firstLine="0"/>
              <w:jc w:val="center"/>
              <w:rPr>
                <w:rFonts w:hint="eastAsia" w:hAnsi="宋体"/>
                <w:bCs/>
                <w:sz w:val="21"/>
                <w:szCs w:val="21"/>
              </w:rPr>
            </w:pPr>
          </w:p>
        </w:tc>
        <w:tc>
          <w:tcPr>
            <w:tcW w:w="1066" w:type="dxa"/>
            <w:noWrap w:val="0"/>
            <w:vAlign w:val="center"/>
          </w:tcPr>
          <w:p>
            <w:pPr>
              <w:spacing w:line="240" w:lineRule="auto"/>
              <w:ind w:firstLine="0"/>
              <w:jc w:val="center"/>
              <w:rPr>
                <w:rFonts w:hint="default" w:ascii="Times New Roman" w:eastAsia="宋体"/>
                <w:bCs/>
                <w:sz w:val="21"/>
                <w:szCs w:val="21"/>
                <w:lang w:val="en-US" w:eastAsia="zh-CN"/>
              </w:rPr>
            </w:pPr>
            <w:r>
              <w:rPr>
                <w:rFonts w:hint="eastAsia" w:ascii="Times New Roman" w:hAnsi="Times New Roman"/>
                <w:bCs/>
                <w:sz w:val="21"/>
                <w:szCs w:val="21"/>
                <w:lang w:val="en-US" w:eastAsia="zh-CN"/>
              </w:rPr>
              <w:t>105</w:t>
            </w:r>
          </w:p>
        </w:tc>
        <w:tc>
          <w:tcPr>
            <w:tcW w:w="1074" w:type="dxa"/>
            <w:noWrap w:val="0"/>
            <w:vAlign w:val="center"/>
          </w:tcPr>
          <w:p>
            <w:pPr>
              <w:spacing w:line="240" w:lineRule="auto"/>
              <w:ind w:firstLine="0"/>
              <w:jc w:val="center"/>
              <w:rPr>
                <w:rFonts w:hint="eastAsia" w:hAnsi="宋体"/>
                <w:bCs/>
                <w:sz w:val="21"/>
                <w:szCs w:val="21"/>
              </w:rPr>
            </w:pPr>
          </w:p>
        </w:tc>
      </w:tr>
      <w:bookmarkEnd w:id="250"/>
    </w:tbl>
    <w:p>
      <w:pPr>
        <w:pStyle w:val="3"/>
        <w:numPr>
          <w:ilvl w:val="0"/>
          <w:numId w:val="0"/>
        </w:numPr>
        <w:rPr>
          <w:rFonts w:hint="eastAsia"/>
        </w:rPr>
      </w:pPr>
      <w:r>
        <w:rPr>
          <w:rFonts w:hint="eastAsia" w:hAnsi="宋体"/>
          <w:bCs w:val="0"/>
        </w:rPr>
        <w:br w:type="page"/>
      </w:r>
      <w:bookmarkStart w:id="251" w:name="_Toc32183"/>
      <w:bookmarkStart w:id="252" w:name="_Toc5442"/>
      <w:r>
        <w:rPr>
          <w:rFonts w:hint="eastAsia" w:ascii="Times New Roman" w:hAnsi="Times New Roman"/>
          <w:lang w:val="en-US" w:eastAsia="zh-CN"/>
        </w:rPr>
        <w:t>8</w:t>
      </w:r>
      <w:r>
        <w:rPr>
          <w:rFonts w:hint="eastAsia"/>
        </w:rPr>
        <w:t>环境</w:t>
      </w:r>
      <w:r>
        <w:rPr>
          <w:rFonts w:hint="eastAsia"/>
          <w:lang w:eastAsia="zh-CN"/>
        </w:rPr>
        <w:t>影响</w:t>
      </w:r>
      <w:r>
        <w:rPr>
          <w:rFonts w:hint="eastAsia"/>
        </w:rPr>
        <w:t>经济损益分析</w:t>
      </w:r>
      <w:bookmarkEnd w:id="251"/>
      <w:bookmarkEnd w:id="252"/>
    </w:p>
    <w:p>
      <w:pPr>
        <w:pStyle w:val="4"/>
        <w:spacing w:before="165" w:after="165"/>
        <w:rPr>
          <w:rFonts w:hint="eastAsia" w:ascii="Times New Roman" w:hAnsi="Times New Roman"/>
        </w:rPr>
      </w:pPr>
      <w:bookmarkStart w:id="253" w:name="_Toc16117"/>
      <w:bookmarkStart w:id="254" w:name="_Toc24285"/>
      <w:r>
        <w:rPr>
          <w:rFonts w:hint="eastAsia" w:ascii="Times New Roman" w:hAnsi="Times New Roman"/>
          <w:lang w:val="en-US" w:eastAsia="zh-CN"/>
        </w:rPr>
        <w:t>8</w:t>
      </w:r>
      <w:r>
        <w:rPr>
          <w:rFonts w:hint="eastAsia"/>
        </w:rPr>
        <w:t>.</w:t>
      </w:r>
      <w:r>
        <w:rPr>
          <w:rFonts w:hint="eastAsia" w:ascii="Times New Roman" w:hAnsi="Times New Roman"/>
        </w:rPr>
        <w:t>1</w:t>
      </w:r>
      <w:r>
        <w:rPr>
          <w:rFonts w:hint="eastAsia" w:ascii="Times New Roman" w:hAnsi="Times New Roman"/>
        </w:rPr>
        <w:t>目的</w:t>
      </w:r>
      <w:bookmarkEnd w:id="253"/>
      <w:bookmarkEnd w:id="254"/>
    </w:p>
    <w:p>
      <w:pPr>
        <w:ind w:firstLine="480"/>
        <w:rPr>
          <w:rFonts w:hint="eastAsia"/>
        </w:rPr>
      </w:pPr>
      <w:r>
        <w:rPr>
          <w:rFonts w:hint="eastAsia"/>
        </w:rPr>
        <w:t>环境影响经济损益分析即是针对项目的性质和当地的具体情况，确定环境影响因子，从而对项目环境影响范围内的环境影响总体作出经济评价。根据理论发展和多年的实际经验，任何工程都不可能对全部环境影响因子作出经济评价，因此环境影响经济损益分析的重点是对工程的主要环境影响因子作出投资费用和经济损益的评价，即项目的环境保护措施投资估算和经济效益、环境效益、社会效益以及项目环境影响的费用—效益总体分析评价。</w:t>
      </w:r>
    </w:p>
    <w:p>
      <w:pPr>
        <w:pStyle w:val="4"/>
        <w:spacing w:before="165" w:after="165"/>
        <w:rPr>
          <w:rFonts w:hint="eastAsia"/>
        </w:rPr>
      </w:pPr>
      <w:bookmarkStart w:id="255" w:name="_Toc4500"/>
      <w:bookmarkStart w:id="256" w:name="_Toc20618"/>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经济效益分析</w:t>
      </w:r>
      <w:bookmarkEnd w:id="255"/>
      <w:bookmarkEnd w:id="256"/>
    </w:p>
    <w:p>
      <w:pPr>
        <w:pStyle w:val="5"/>
        <w:spacing w:before="165"/>
        <w:rPr>
          <w:rFonts w:hint="eastAsia"/>
        </w:rPr>
      </w:pP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w:t>
      </w:r>
      <w:r>
        <w:rPr>
          <w:rFonts w:hint="eastAsia" w:ascii="Times New Roman" w:hAnsi="Times New Roman"/>
        </w:rPr>
        <w:t>1</w:t>
      </w:r>
      <w:r>
        <w:rPr>
          <w:rFonts w:hint="eastAsia"/>
        </w:rPr>
        <w:t>投资估算</w:t>
      </w:r>
    </w:p>
    <w:p>
      <w:pPr>
        <w:ind w:firstLine="480"/>
        <w:rPr>
          <w:rFonts w:hint="eastAsia"/>
        </w:rPr>
      </w:pPr>
      <w:r>
        <w:rPr>
          <w:rFonts w:hint="eastAsia"/>
        </w:rPr>
        <w:t>项目总投资</w:t>
      </w:r>
      <w:r>
        <w:rPr>
          <w:rFonts w:hint="eastAsia" w:ascii="Times New Roman" w:hAnsi="Times New Roman"/>
        </w:rPr>
        <w:t>1</w:t>
      </w:r>
      <w:r>
        <w:rPr>
          <w:rFonts w:hint="eastAsia" w:ascii="Times New Roman" w:hAnsi="Times New Roman"/>
          <w:lang w:val="en-US" w:eastAsia="zh-CN"/>
        </w:rPr>
        <w:t>373</w:t>
      </w:r>
      <w:r>
        <w:rPr>
          <w:rFonts w:hint="eastAsia" w:ascii="Times New Roman"/>
          <w:lang w:val="en-US" w:eastAsia="zh-CN"/>
        </w:rPr>
        <w:t>.</w:t>
      </w:r>
      <w:r>
        <w:rPr>
          <w:rFonts w:hint="eastAsia" w:ascii="Times New Roman" w:hAnsi="Times New Roman"/>
          <w:lang w:val="en-US" w:eastAsia="zh-CN"/>
        </w:rPr>
        <w:t>63</w:t>
      </w:r>
      <w:r>
        <w:rPr>
          <w:rFonts w:hint="eastAsia"/>
        </w:rPr>
        <w:t>万元，</w:t>
      </w:r>
      <w:r>
        <w:rPr>
          <w:rFonts w:hint="eastAsia"/>
          <w:lang w:eastAsia="zh-CN"/>
        </w:rPr>
        <w:t>其中建设投资</w:t>
      </w:r>
      <w:r>
        <w:rPr>
          <w:rFonts w:hint="eastAsia" w:ascii="Times New Roman" w:hAnsi="Times New Roman"/>
          <w:lang w:val="en-US" w:eastAsia="zh-CN"/>
        </w:rPr>
        <w:t>1248</w:t>
      </w:r>
      <w:r>
        <w:rPr>
          <w:rFonts w:hint="eastAsia"/>
          <w:lang w:val="en-US" w:eastAsia="zh-CN"/>
        </w:rPr>
        <w:t>.</w:t>
      </w:r>
      <w:r>
        <w:rPr>
          <w:rFonts w:hint="eastAsia" w:ascii="Times New Roman" w:hAnsi="Times New Roman"/>
          <w:lang w:val="en-US" w:eastAsia="zh-CN"/>
        </w:rPr>
        <w:t>75</w:t>
      </w:r>
      <w:r>
        <w:rPr>
          <w:rFonts w:hint="eastAsia"/>
          <w:lang w:val="en-US" w:eastAsia="zh-CN"/>
        </w:rPr>
        <w:t>万元，</w:t>
      </w:r>
      <w:r>
        <w:rPr>
          <w:rFonts w:hint="eastAsia"/>
          <w:lang w:eastAsia="zh-CN"/>
        </w:rPr>
        <w:t>流动资金</w:t>
      </w:r>
      <w:r>
        <w:rPr>
          <w:rFonts w:hint="eastAsia" w:ascii="Times New Roman" w:hAnsi="Times New Roman"/>
          <w:lang w:val="en-US" w:eastAsia="zh-CN"/>
        </w:rPr>
        <w:t>124</w:t>
      </w:r>
      <w:r>
        <w:rPr>
          <w:rFonts w:hint="eastAsia"/>
          <w:lang w:val="en-US" w:eastAsia="zh-CN"/>
        </w:rPr>
        <w:t>.</w:t>
      </w:r>
      <w:r>
        <w:rPr>
          <w:rFonts w:hint="eastAsia" w:ascii="Times New Roman" w:hAnsi="Times New Roman"/>
          <w:lang w:val="en-US" w:eastAsia="zh-CN"/>
        </w:rPr>
        <w:t>88</w:t>
      </w:r>
      <w:r>
        <w:rPr>
          <w:rFonts w:hint="eastAsia"/>
          <w:lang w:val="en-US" w:eastAsia="zh-CN"/>
        </w:rPr>
        <w:t>万元。</w:t>
      </w:r>
    </w:p>
    <w:p>
      <w:pPr>
        <w:pStyle w:val="5"/>
        <w:spacing w:before="165"/>
        <w:rPr>
          <w:rFonts w:hint="eastAsia"/>
        </w:rPr>
      </w:pP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w:t>
      </w:r>
      <w:r>
        <w:rPr>
          <w:rFonts w:hint="eastAsia" w:ascii="Times New Roman" w:hAnsi="Times New Roman"/>
        </w:rPr>
        <w:t>2</w:t>
      </w:r>
      <w:r>
        <w:rPr>
          <w:rFonts w:hint="eastAsia"/>
        </w:rPr>
        <w:t>盈利能力分析</w:t>
      </w:r>
    </w:p>
    <w:p>
      <w:pPr>
        <w:ind w:firstLine="480"/>
        <w:rPr>
          <w:rFonts w:hint="eastAsia"/>
        </w:rPr>
      </w:pPr>
      <w:r>
        <w:rPr>
          <w:rFonts w:hint="eastAsia"/>
        </w:rPr>
        <w:t>本项目经济指标表见表</w:t>
      </w: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w:t>
      </w:r>
      <w:r>
        <w:rPr>
          <w:rFonts w:hint="eastAsia" w:ascii="Times New Roman" w:hAnsi="Times New Roman"/>
        </w:rPr>
        <w:t>1</w:t>
      </w:r>
      <w:r>
        <w:rPr>
          <w:rFonts w:hint="eastAsia"/>
        </w:rPr>
        <w:t>。</w:t>
      </w:r>
    </w:p>
    <w:p>
      <w:pPr>
        <w:pStyle w:val="20"/>
        <w:spacing w:before="165"/>
        <w:rPr>
          <w:rFonts w:hint="eastAsia" w:eastAsia="宋体"/>
          <w:lang w:eastAsia="zh-CN"/>
        </w:rPr>
      </w:pPr>
      <w:r>
        <w:rPr>
          <w:rFonts w:hint="eastAsia"/>
        </w:rPr>
        <w:t>表</w:t>
      </w: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w:t>
      </w:r>
      <w:r>
        <w:rPr>
          <w:rFonts w:hint="eastAsia" w:ascii="Times New Roman" w:hAnsi="Times New Roman"/>
        </w:rPr>
        <w:t>1</w:t>
      </w:r>
      <w:r>
        <w:rPr>
          <w:rFonts w:hint="eastAsia"/>
        </w:rPr>
        <w:t xml:space="preserve">  经济指标一览表</w:t>
      </w:r>
    </w:p>
    <w:tbl>
      <w:tblPr>
        <w:tblStyle w:val="8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5205"/>
        <w:gridCol w:w="108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12"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序号</w:t>
            </w:r>
          </w:p>
        </w:tc>
        <w:tc>
          <w:tcPr>
            <w:tcW w:w="2836"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项目</w:t>
            </w:r>
          </w:p>
        </w:tc>
        <w:tc>
          <w:tcPr>
            <w:tcW w:w="590"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单位</w:t>
            </w:r>
          </w:p>
        </w:tc>
        <w:tc>
          <w:tcPr>
            <w:tcW w:w="981"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数额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一</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基本数据</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ascii="Times New Roman" w:hAnsi="Times New Roman"/>
                <w:sz w:val="21"/>
                <w:szCs w:val="16"/>
              </w:rPr>
              <w:t>1</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总投资</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1373</w:t>
            </w:r>
            <w:r>
              <w:rPr>
                <w:rFonts w:hint="eastAsia"/>
                <w:sz w:val="21"/>
                <w:szCs w:val="16"/>
                <w:lang w:val="en-US" w:eastAsia="zh-CN"/>
              </w:rPr>
              <w:t>.</w:t>
            </w:r>
            <w:r>
              <w:rPr>
                <w:rFonts w:hint="eastAsia" w:ascii="Times New Roman" w:hAnsi="Times New Roman"/>
                <w:sz w:val="21"/>
                <w:szCs w:val="16"/>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ascii="Times New Roman" w:hAnsi="Times New Roman"/>
                <w:sz w:val="21"/>
                <w:szCs w:val="16"/>
                <w:lang w:val="en-US" w:eastAsia="zh-CN"/>
              </w:rPr>
              <w:t>2</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建设投资</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1248</w:t>
            </w:r>
            <w:r>
              <w:rPr>
                <w:rFonts w:hint="eastAsia"/>
                <w:sz w:val="21"/>
                <w:szCs w:val="16"/>
                <w:lang w:val="en-US" w:eastAsia="zh-CN"/>
              </w:rPr>
              <w:t>.</w:t>
            </w:r>
            <w:r>
              <w:rPr>
                <w:rFonts w:hint="eastAsia" w:ascii="Times New Roman" w:hAnsi="Times New Roman"/>
                <w:sz w:val="21"/>
                <w:szCs w:val="16"/>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ascii="Times New Roman" w:hAnsi="Times New Roman"/>
                <w:sz w:val="21"/>
                <w:szCs w:val="16"/>
                <w:lang w:val="en-US" w:eastAsia="zh-CN"/>
              </w:rPr>
              <w:t>3</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铺底流动资金</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37</w:t>
            </w:r>
            <w:r>
              <w:rPr>
                <w:rFonts w:hint="eastAsia"/>
                <w:sz w:val="21"/>
                <w:szCs w:val="16"/>
                <w:lang w:val="en-US" w:eastAsia="zh-CN"/>
              </w:rPr>
              <w:t>.</w:t>
            </w:r>
            <w:r>
              <w:rPr>
                <w:rFonts w:hint="eastAsia" w:ascii="Times New Roman" w:hAnsi="Times New Roman"/>
                <w:sz w:val="21"/>
                <w:szCs w:val="16"/>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二</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hint="eastAsia"/>
                <w:sz w:val="21"/>
                <w:szCs w:val="16"/>
                <w:lang w:eastAsia="zh-CN"/>
              </w:rPr>
              <w:t>年均</w:t>
            </w:r>
            <w:r>
              <w:rPr>
                <w:sz w:val="21"/>
                <w:szCs w:val="16"/>
              </w:rPr>
              <w:t>营业收入</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52451</w:t>
            </w:r>
            <w:r>
              <w:rPr>
                <w:rFonts w:hint="eastAsia"/>
                <w:sz w:val="21"/>
                <w:szCs w:val="16"/>
                <w:lang w:val="en-US" w:eastAsia="zh-CN"/>
              </w:rPr>
              <w:t>.</w:t>
            </w:r>
            <w:r>
              <w:rPr>
                <w:rFonts w:hint="eastAsia" w:ascii="Times New Roman" w:hAnsi="Times New Roman"/>
                <w:sz w:val="21"/>
                <w:szCs w:val="16"/>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三</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年均总成本费用</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51757</w:t>
            </w:r>
            <w:r>
              <w:rPr>
                <w:rFonts w:hint="eastAsia"/>
                <w:sz w:val="21"/>
                <w:szCs w:val="16"/>
                <w:lang w:val="en-US" w:eastAsia="zh-CN"/>
              </w:rPr>
              <w:t>.</w:t>
            </w:r>
            <w:r>
              <w:rPr>
                <w:rFonts w:hint="eastAsia" w:ascii="Times New Roman" w:hAnsi="Times New Roman"/>
                <w:sz w:val="21"/>
                <w:szCs w:val="16"/>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四</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年均利润总额</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529</w:t>
            </w:r>
            <w:r>
              <w:rPr>
                <w:rFonts w:hint="eastAsia"/>
                <w:sz w:val="21"/>
                <w:szCs w:val="16"/>
                <w:lang w:val="en-US" w:eastAsia="zh-CN"/>
              </w:rPr>
              <w:t>.</w:t>
            </w:r>
            <w:r>
              <w:rPr>
                <w:rFonts w:hint="eastAsia" w:ascii="Times New Roman" w:hAnsi="Times New Roman"/>
                <w:sz w:val="21"/>
                <w:szCs w:val="16"/>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五</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年均所得税</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sz w:val="21"/>
                <w:szCs w:val="16"/>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529</w:t>
            </w:r>
            <w:r>
              <w:rPr>
                <w:rFonts w:hint="eastAsia"/>
                <w:sz w:val="21"/>
                <w:szCs w:val="16"/>
                <w:lang w:val="en-US" w:eastAsia="zh-CN"/>
              </w:rPr>
              <w:t>.</w:t>
            </w:r>
            <w:r>
              <w:rPr>
                <w:rFonts w:hint="eastAsia" w:ascii="Times New Roman" w:hAnsi="Times New Roman"/>
                <w:sz w:val="21"/>
                <w:szCs w:val="16"/>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六</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财务评价指标</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1</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总投资收益率</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sz w:val="21"/>
                <w:szCs w:val="16"/>
                <w:lang w:val="en-US" w:eastAsia="zh-CN"/>
              </w:rPr>
              <w:t>%</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38</w:t>
            </w:r>
            <w:r>
              <w:rPr>
                <w:rFonts w:hint="eastAsia"/>
                <w:sz w:val="21"/>
                <w:szCs w:val="16"/>
                <w:lang w:val="en-US" w:eastAsia="zh-CN"/>
              </w:rPr>
              <w:t>.</w:t>
            </w:r>
            <w:r>
              <w:rPr>
                <w:rFonts w:hint="eastAsia" w:ascii="Times New Roman" w:hAnsi="Times New Roman"/>
                <w:sz w:val="21"/>
                <w:szCs w:val="16"/>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sz w:val="21"/>
                <w:szCs w:val="16"/>
                <w:lang w:val="en-US" w:eastAsia="zh-CN"/>
              </w:rPr>
            </w:pPr>
            <w:r>
              <w:rPr>
                <w:rFonts w:hint="eastAsia" w:ascii="Times New Roman" w:hAnsi="Times New Roman"/>
                <w:sz w:val="21"/>
                <w:szCs w:val="16"/>
                <w:lang w:val="en-US" w:eastAsia="zh-CN"/>
              </w:rPr>
              <w:t>2</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lang w:eastAsia="zh-CN"/>
              </w:rPr>
            </w:pPr>
            <w:r>
              <w:rPr>
                <w:rFonts w:hint="eastAsia"/>
                <w:sz w:val="21"/>
                <w:szCs w:val="16"/>
                <w:lang w:eastAsia="zh-CN"/>
              </w:rPr>
              <w:t>投资利税率</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sz w:val="21"/>
                <w:szCs w:val="16"/>
                <w:lang w:val="en-US" w:eastAsia="zh-CN"/>
              </w:rPr>
              <w:t>%</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49</w:t>
            </w:r>
            <w:r>
              <w:rPr>
                <w:rFonts w:hint="eastAsia"/>
                <w:sz w:val="21"/>
                <w:szCs w:val="16"/>
                <w:lang w:val="en-US" w:eastAsia="zh-CN"/>
              </w:rPr>
              <w:t>.</w:t>
            </w:r>
            <w:r>
              <w:rPr>
                <w:rFonts w:hint="eastAsia" w:ascii="Times New Roman" w:hAnsi="Times New Roman"/>
                <w:sz w:val="21"/>
                <w:szCs w:val="16"/>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ascii="Times New Roman" w:hAnsi="Times New Roman"/>
                <w:sz w:val="21"/>
                <w:szCs w:val="16"/>
              </w:rPr>
              <w:t>3</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全部</w:t>
            </w:r>
            <w:r>
              <w:rPr>
                <w:sz w:val="21"/>
                <w:szCs w:val="16"/>
              </w:rPr>
              <w:t>投资回收期</w:t>
            </w:r>
            <w:r>
              <w:rPr>
                <w:rFonts w:hint="eastAsia"/>
                <w:sz w:val="21"/>
                <w:szCs w:val="16"/>
                <w:lang w:eastAsia="zh-CN"/>
              </w:rPr>
              <w:t>（所得税后）</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sz w:val="21"/>
                <w:szCs w:val="16"/>
              </w:rPr>
              <w:t>年</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sz w:val="21"/>
                <w:szCs w:val="16"/>
              </w:rPr>
            </w:pPr>
            <w:r>
              <w:rPr>
                <w:rFonts w:hint="eastAsia" w:ascii="Times New Roman" w:hAnsi="Times New Roman"/>
                <w:sz w:val="21"/>
                <w:szCs w:val="16"/>
                <w:lang w:val="en-US" w:eastAsia="zh-CN"/>
              </w:rPr>
              <w:t>3</w:t>
            </w:r>
            <w:r>
              <w:rPr>
                <w:rFonts w:hint="eastAsia"/>
                <w:sz w:val="21"/>
                <w:szCs w:val="16"/>
                <w:lang w:val="en-US" w:eastAsia="zh-CN"/>
              </w:rPr>
              <w:t>.</w:t>
            </w:r>
            <w:r>
              <w:rPr>
                <w:rFonts w:hint="eastAsia" w:ascii="Times New Roman" w:hAnsi="Times New Roman"/>
                <w:sz w:val="21"/>
                <w:szCs w:val="16"/>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ascii="Times New Roman" w:hAnsi="Times New Roman"/>
                <w:sz w:val="21"/>
                <w:szCs w:val="16"/>
              </w:rPr>
              <w:t>4</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全部投资回收期（所得税前）</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年</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3</w:t>
            </w:r>
            <w:r>
              <w:rPr>
                <w:rFonts w:hint="eastAsia"/>
                <w:sz w:val="21"/>
                <w:szCs w:val="16"/>
                <w:lang w:val="en-US" w:eastAsia="zh-CN"/>
              </w:rPr>
              <w:t>.</w:t>
            </w:r>
            <w:r>
              <w:rPr>
                <w:rFonts w:hint="eastAsia" w:ascii="Times New Roman" w:hAnsi="Times New Roman"/>
                <w:sz w:val="21"/>
                <w:szCs w:val="16"/>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ascii="Times New Roman" w:hAnsi="Times New Roman"/>
                <w:sz w:val="21"/>
                <w:szCs w:val="16"/>
              </w:rPr>
              <w:t>5</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财务内部收益率（所得税后）</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val="en-US" w:eastAsia="zh-CN"/>
              </w:rPr>
              <w:t>%</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36</w:t>
            </w:r>
            <w:r>
              <w:rPr>
                <w:rFonts w:hint="eastAsia"/>
                <w:sz w:val="21"/>
                <w:szCs w:val="16"/>
                <w:lang w:val="en-US" w:eastAsia="zh-CN"/>
              </w:rPr>
              <w:t>.</w:t>
            </w:r>
            <w:r>
              <w:rPr>
                <w:rFonts w:hint="eastAsia" w:ascii="Times New Roman" w:hAnsi="Times New Roman"/>
                <w:sz w:val="21"/>
                <w:szCs w:val="16"/>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ascii="Times New Roman" w:hAnsi="Times New Roman"/>
                <w:sz w:val="21"/>
                <w:szCs w:val="16"/>
              </w:rPr>
              <w:t>6</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hint="eastAsia"/>
                <w:sz w:val="21"/>
                <w:szCs w:val="16"/>
                <w:lang w:eastAsia="zh-CN"/>
              </w:rPr>
              <w:t>财务内部收益率（所得税前）</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sz w:val="21"/>
                <w:szCs w:val="16"/>
                <w:lang w:val="en-US" w:eastAsia="zh-CN"/>
              </w:rPr>
              <w:t>%</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44</w:t>
            </w:r>
            <w:r>
              <w:rPr>
                <w:rFonts w:hint="eastAsia"/>
                <w:sz w:val="21"/>
                <w:szCs w:val="16"/>
                <w:lang w:val="en-US" w:eastAsia="zh-CN"/>
              </w:rPr>
              <w:t>.</w:t>
            </w:r>
            <w:r>
              <w:rPr>
                <w:rFonts w:hint="eastAsia" w:ascii="Times New Roman" w:hAnsi="Times New Roman"/>
                <w:sz w:val="21"/>
                <w:szCs w:val="16"/>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1"/>
                <w:szCs w:val="16"/>
              </w:rPr>
            </w:pPr>
            <w:r>
              <w:rPr>
                <w:rFonts w:ascii="Times New Roman" w:hAnsi="Times New Roman"/>
                <w:sz w:val="21"/>
                <w:szCs w:val="16"/>
              </w:rPr>
              <w:t>7</w:t>
            </w:r>
          </w:p>
        </w:tc>
        <w:tc>
          <w:tcPr>
            <w:tcW w:w="283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项目投资财务净现值（</w:t>
            </w:r>
            <w:r>
              <w:rPr>
                <w:rFonts w:hint="eastAsia" w:ascii="Times New Roman" w:hAnsi="Times New Roman"/>
                <w:sz w:val="21"/>
                <w:szCs w:val="16"/>
                <w:lang w:val="en-US" w:eastAsia="zh-CN"/>
              </w:rPr>
              <w:t>I</w:t>
            </w:r>
            <w:r>
              <w:rPr>
                <w:rFonts w:hint="eastAsia"/>
                <w:sz w:val="21"/>
                <w:szCs w:val="16"/>
                <w:lang w:val="en-US" w:eastAsia="zh-CN"/>
              </w:rPr>
              <w:t>-</w:t>
            </w:r>
            <w:r>
              <w:rPr>
                <w:rFonts w:hint="eastAsia" w:ascii="Times New Roman" w:hAnsi="Times New Roman"/>
                <w:sz w:val="21"/>
                <w:szCs w:val="16"/>
                <w:lang w:val="en-US" w:eastAsia="zh-CN"/>
              </w:rPr>
              <w:t>18</w:t>
            </w:r>
            <w:r>
              <w:rPr>
                <w:rFonts w:hint="eastAsia"/>
                <w:sz w:val="21"/>
                <w:szCs w:val="16"/>
                <w:lang w:val="en-US" w:eastAsia="zh-CN"/>
              </w:rPr>
              <w:t>%</w:t>
            </w:r>
            <w:r>
              <w:rPr>
                <w:rFonts w:hint="eastAsia"/>
                <w:sz w:val="21"/>
                <w:szCs w:val="16"/>
                <w:lang w:eastAsia="zh-CN"/>
              </w:rPr>
              <w:t>）</w:t>
            </w:r>
          </w:p>
        </w:tc>
        <w:tc>
          <w:tcPr>
            <w:tcW w:w="5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eastAsia="zh-CN"/>
              </w:rPr>
            </w:pPr>
            <w:r>
              <w:rPr>
                <w:rFonts w:hint="eastAsia"/>
                <w:sz w:val="21"/>
                <w:szCs w:val="16"/>
                <w:lang w:eastAsia="zh-CN"/>
              </w:rPr>
              <w:t>万元</w:t>
            </w:r>
          </w:p>
        </w:tc>
        <w:tc>
          <w:tcPr>
            <w:tcW w:w="98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952</w:t>
            </w:r>
            <w:r>
              <w:rPr>
                <w:rFonts w:hint="eastAsia"/>
                <w:sz w:val="21"/>
                <w:szCs w:val="16"/>
                <w:lang w:val="en-US" w:eastAsia="zh-CN"/>
              </w:rPr>
              <w:t>.</w:t>
            </w:r>
            <w:r>
              <w:rPr>
                <w:rFonts w:hint="eastAsia" w:ascii="Times New Roman" w:hAnsi="Times New Roman"/>
                <w:sz w:val="21"/>
                <w:szCs w:val="16"/>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eastAsia="宋体"/>
                <w:sz w:val="21"/>
                <w:szCs w:val="16"/>
                <w:lang w:val="en-US" w:eastAsia="zh-CN"/>
              </w:rPr>
            </w:pPr>
            <w:r>
              <w:rPr>
                <w:rFonts w:hint="eastAsia" w:ascii="Times New Roman" w:hAnsi="Times New Roman"/>
                <w:sz w:val="21"/>
                <w:szCs w:val="16"/>
                <w:lang w:val="en-US" w:eastAsia="zh-CN"/>
              </w:rPr>
              <w:t>8</w:t>
            </w:r>
          </w:p>
        </w:tc>
        <w:tc>
          <w:tcPr>
            <w:tcW w:w="2836"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lang w:val="en-US" w:eastAsia="zh-CN" w:bidi="ar-SA"/>
              </w:rPr>
            </w:pPr>
            <w:r>
              <w:rPr>
                <w:rFonts w:hint="eastAsia"/>
                <w:sz w:val="21"/>
                <w:szCs w:val="16"/>
                <w:lang w:eastAsia="zh-CN"/>
              </w:rPr>
              <w:t>项目投资财务净现值（</w:t>
            </w:r>
            <w:r>
              <w:rPr>
                <w:rFonts w:hint="eastAsia" w:ascii="Times New Roman" w:hAnsi="Times New Roman"/>
                <w:sz w:val="21"/>
                <w:szCs w:val="16"/>
                <w:lang w:val="en-US" w:eastAsia="zh-CN"/>
              </w:rPr>
              <w:t>I</w:t>
            </w:r>
            <w:r>
              <w:rPr>
                <w:rFonts w:hint="eastAsia"/>
                <w:sz w:val="21"/>
                <w:szCs w:val="16"/>
                <w:lang w:val="en-US" w:eastAsia="zh-CN"/>
              </w:rPr>
              <w:t>-</w:t>
            </w:r>
            <w:r>
              <w:rPr>
                <w:rFonts w:hint="eastAsia" w:ascii="Times New Roman" w:hAnsi="Times New Roman"/>
                <w:sz w:val="21"/>
                <w:szCs w:val="16"/>
                <w:lang w:val="en-US" w:eastAsia="zh-CN"/>
              </w:rPr>
              <w:t>20</w:t>
            </w:r>
            <w:r>
              <w:rPr>
                <w:rFonts w:hint="eastAsia"/>
                <w:sz w:val="21"/>
                <w:szCs w:val="16"/>
                <w:lang w:val="en-US" w:eastAsia="zh-CN"/>
              </w:rPr>
              <w:t>%</w:t>
            </w:r>
            <w:r>
              <w:rPr>
                <w:rFonts w:hint="eastAsia"/>
                <w:sz w:val="21"/>
                <w:szCs w:val="16"/>
                <w:lang w:eastAsia="zh-CN"/>
              </w:rPr>
              <w:t>）</w:t>
            </w:r>
          </w:p>
        </w:tc>
        <w:tc>
          <w:tcPr>
            <w:tcW w:w="590"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 w:val="21"/>
                <w:szCs w:val="16"/>
                <w:lang w:val="en-US" w:eastAsia="zh-CN" w:bidi="ar-SA"/>
              </w:rPr>
            </w:pPr>
            <w:r>
              <w:rPr>
                <w:rFonts w:hint="eastAsia"/>
                <w:sz w:val="21"/>
                <w:szCs w:val="16"/>
                <w:lang w:eastAsia="zh-CN"/>
              </w:rPr>
              <w:t>万元</w:t>
            </w:r>
          </w:p>
        </w:tc>
        <w:tc>
          <w:tcPr>
            <w:tcW w:w="981"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eastAsia="宋体"/>
                <w:sz w:val="21"/>
                <w:szCs w:val="16"/>
                <w:lang w:val="en-US" w:eastAsia="zh-CN"/>
              </w:rPr>
            </w:pPr>
            <w:r>
              <w:rPr>
                <w:rFonts w:hint="eastAsia" w:ascii="Times New Roman" w:hAnsi="Times New Roman"/>
                <w:sz w:val="21"/>
                <w:szCs w:val="16"/>
                <w:lang w:val="en-US" w:eastAsia="zh-CN"/>
              </w:rPr>
              <w:t>1209</w:t>
            </w:r>
            <w:r>
              <w:rPr>
                <w:rFonts w:hint="eastAsia"/>
                <w:sz w:val="21"/>
                <w:szCs w:val="16"/>
                <w:lang w:val="en-US" w:eastAsia="zh-CN"/>
              </w:rPr>
              <w:t>.</w:t>
            </w:r>
            <w:r>
              <w:rPr>
                <w:rFonts w:hint="eastAsia" w:ascii="Times New Roman" w:hAnsi="Times New Roman"/>
                <w:sz w:val="21"/>
                <w:szCs w:val="16"/>
                <w:lang w:val="en-US" w:eastAsia="zh-CN"/>
              </w:rPr>
              <w:t>68</w:t>
            </w:r>
          </w:p>
        </w:tc>
      </w:tr>
    </w:tbl>
    <w:p>
      <w:pPr>
        <w:pStyle w:val="5"/>
        <w:spacing w:before="165"/>
        <w:rPr>
          <w:rFonts w:hint="eastAsia"/>
        </w:rPr>
      </w:pP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w:t>
      </w:r>
      <w:r>
        <w:rPr>
          <w:rFonts w:hint="eastAsia" w:ascii="Times New Roman" w:hAnsi="Times New Roman"/>
        </w:rPr>
        <w:t>3</w:t>
      </w:r>
      <w:r>
        <w:rPr>
          <w:rFonts w:hint="eastAsia"/>
        </w:rPr>
        <w:t>不确定性分析</w:t>
      </w:r>
    </w:p>
    <w:p>
      <w:pPr>
        <w:bidi w:val="0"/>
        <w:rPr>
          <w:rFonts w:hint="eastAsia"/>
        </w:rPr>
      </w:pPr>
      <w:r>
        <w:rPr>
          <w:rFonts w:hint="eastAsia"/>
        </w:rPr>
        <w:t>在项目实施过程中，</w:t>
      </w:r>
      <w:r>
        <w:rPr>
          <w:rFonts w:hint="eastAsia"/>
          <w:lang w:eastAsia="zh-CN"/>
        </w:rPr>
        <w:t>由于</w:t>
      </w:r>
      <w:r>
        <w:rPr>
          <w:rFonts w:hint="eastAsia"/>
        </w:rPr>
        <w:t>某些经济与非经济因素的变化，</w:t>
      </w:r>
      <w:r>
        <w:rPr>
          <w:rFonts w:hint="eastAsia"/>
          <w:lang w:eastAsia="zh-CN"/>
        </w:rPr>
        <w:t>可能</w:t>
      </w:r>
      <w:r>
        <w:rPr>
          <w:rFonts w:hint="eastAsia"/>
        </w:rPr>
        <w:t>导致投资项目的实际经济效益偏离方案评价时的经济结论。各种不确定因素（原料价格、产品价格、产品产量）对项目投资效益带来的影响。</w:t>
      </w:r>
    </w:p>
    <w:p>
      <w:pPr>
        <w:bidi w:val="0"/>
        <w:rPr>
          <w:rFonts w:hint="eastAsia"/>
        </w:rPr>
      </w:pPr>
      <w:r>
        <w:rPr>
          <w:rFonts w:hint="eastAsia"/>
        </w:rPr>
        <w:t>（</w:t>
      </w:r>
      <w:r>
        <w:rPr>
          <w:rFonts w:hint="eastAsia" w:ascii="Times New Roman" w:hAnsi="Times New Roman"/>
        </w:rPr>
        <w:t>1</w:t>
      </w:r>
      <w:r>
        <w:rPr>
          <w:rFonts w:hint="eastAsia"/>
        </w:rPr>
        <w:t>）盈亏平衡分析</w:t>
      </w:r>
    </w:p>
    <w:p>
      <w:pPr>
        <w:rPr>
          <w:rFonts w:hint="eastAsia"/>
        </w:rPr>
      </w:pPr>
      <w:r>
        <w:rPr>
          <w:rFonts w:hint="eastAsia"/>
          <w:lang w:eastAsia="zh-CN"/>
        </w:rPr>
        <w:t>根据财务评价指标计算</w:t>
      </w:r>
      <w:r>
        <w:t>，</w:t>
      </w:r>
      <w:r>
        <w:rPr>
          <w:rFonts w:hint="eastAsia"/>
          <w:lang w:eastAsia="zh-CN"/>
        </w:rPr>
        <w:t>生产能力利用率在</w:t>
      </w:r>
      <w:r>
        <w:rPr>
          <w:rFonts w:hint="eastAsia" w:ascii="Times New Roman" w:hAnsi="Times New Roman"/>
          <w:lang w:val="en-US" w:eastAsia="zh-CN"/>
        </w:rPr>
        <w:t>22</w:t>
      </w:r>
      <w:r>
        <w:rPr>
          <w:rFonts w:hint="eastAsia"/>
          <w:lang w:val="en-US" w:eastAsia="zh-CN"/>
        </w:rPr>
        <w:t>.</w:t>
      </w:r>
      <w:r>
        <w:rPr>
          <w:rFonts w:hint="eastAsia" w:ascii="Times New Roman" w:hAnsi="Times New Roman"/>
          <w:lang w:val="en-US" w:eastAsia="zh-CN"/>
        </w:rPr>
        <w:t>06</w:t>
      </w:r>
      <w:r>
        <w:rPr>
          <w:rFonts w:hint="eastAsia"/>
          <w:lang w:val="en-US" w:eastAsia="zh-CN"/>
        </w:rPr>
        <w:t>%，价格平衡点为</w:t>
      </w:r>
      <w:r>
        <w:rPr>
          <w:rFonts w:hint="eastAsia" w:ascii="Times New Roman" w:hAnsi="Times New Roman"/>
          <w:lang w:val="en-US" w:eastAsia="zh-CN"/>
        </w:rPr>
        <w:t>98</w:t>
      </w:r>
      <w:r>
        <w:rPr>
          <w:rFonts w:hint="eastAsia"/>
          <w:lang w:val="en-US" w:eastAsia="zh-CN"/>
        </w:rPr>
        <w:t>.</w:t>
      </w:r>
      <w:r>
        <w:rPr>
          <w:rFonts w:hint="eastAsia" w:ascii="Times New Roman" w:hAnsi="Times New Roman"/>
          <w:lang w:val="en-US" w:eastAsia="zh-CN"/>
        </w:rPr>
        <w:t>82</w:t>
      </w:r>
      <w:r>
        <w:rPr>
          <w:rFonts w:hint="eastAsia"/>
          <w:lang w:val="en-US" w:eastAsia="zh-CN"/>
        </w:rPr>
        <w:t>%，盈亏平衡点很低，表明</w:t>
      </w:r>
      <w:r>
        <w:rPr>
          <w:rFonts w:hint="eastAsia"/>
        </w:rPr>
        <w:t>在确定的条件下（如原料价格、产品价格、产品产量等），对本项目的财务效益进行了分析、计算，得出各项经济指标较好，</w:t>
      </w:r>
      <w:r>
        <w:rPr>
          <w:rFonts w:hint="eastAsia"/>
          <w:lang w:eastAsia="zh-CN"/>
        </w:rPr>
        <w:t>说明</w:t>
      </w:r>
      <w:r>
        <w:rPr>
          <w:rFonts w:hint="eastAsia"/>
        </w:rPr>
        <w:t>项目有较强的抗风险能力和偿还能力，财务评价可行。</w:t>
      </w:r>
    </w:p>
    <w:p>
      <w:pPr>
        <w:rPr>
          <w:rFonts w:hint="eastAsia"/>
        </w:rPr>
      </w:pPr>
      <w:r>
        <w:rPr>
          <w:rFonts w:hint="eastAsia"/>
        </w:rPr>
        <w:t>（</w:t>
      </w:r>
      <w:r>
        <w:rPr>
          <w:rFonts w:hint="eastAsia" w:ascii="Times New Roman" w:hAnsi="Times New Roman"/>
        </w:rPr>
        <w:t>2</w:t>
      </w:r>
      <w:r>
        <w:rPr>
          <w:rFonts w:hint="eastAsia"/>
        </w:rPr>
        <w:t>）敏感性分析</w:t>
      </w:r>
    </w:p>
    <w:p>
      <w:pPr>
        <w:bidi w:val="0"/>
        <w:rPr>
          <w:rFonts w:hint="default" w:eastAsia="宋体"/>
          <w:lang w:val="en-US" w:eastAsia="zh-CN"/>
        </w:rPr>
      </w:pPr>
      <w:r>
        <w:rPr>
          <w:color w:val="auto"/>
        </w:rPr>
        <w:t>本分析评价对项目在建设投资、</w:t>
      </w:r>
      <w:r>
        <w:rPr>
          <w:rFonts w:hint="eastAsia"/>
          <w:color w:val="auto"/>
          <w:lang w:eastAsia="zh-CN"/>
        </w:rPr>
        <w:t>生产负荷</w:t>
      </w:r>
      <w:r>
        <w:rPr>
          <w:color w:val="auto"/>
        </w:rPr>
        <w:t>、</w:t>
      </w:r>
      <w:r>
        <w:rPr>
          <w:rFonts w:hint="eastAsia"/>
          <w:color w:val="auto"/>
          <w:lang w:eastAsia="zh-CN"/>
        </w:rPr>
        <w:t>销售价格、经营成本、基准收益率等</w:t>
      </w:r>
      <w:r>
        <w:rPr>
          <w:color w:val="auto"/>
        </w:rPr>
        <w:t>几个方面分别进行敏感性分析</w:t>
      </w:r>
      <w:r>
        <w:rPr>
          <w:rFonts w:hint="eastAsia"/>
          <w:color w:val="auto"/>
          <w:lang w:eastAsia="zh-CN"/>
        </w:rPr>
        <w:t>，</w:t>
      </w:r>
      <w:r>
        <w:rPr>
          <w:color w:val="auto"/>
        </w:rPr>
        <w:t>敏感程度由大到小依次是销售价格、生产负荷、建设投资、</w:t>
      </w:r>
      <w:r>
        <w:rPr>
          <w:rFonts w:hint="eastAsia"/>
          <w:color w:val="auto"/>
          <w:lang w:eastAsia="zh-CN"/>
        </w:rPr>
        <w:t>基准收益率、经营成本</w:t>
      </w:r>
      <w:r>
        <w:rPr>
          <w:rFonts w:hint="eastAsia"/>
        </w:rPr>
        <w:t>。</w:t>
      </w:r>
      <w:r>
        <w:rPr>
          <w:rFonts w:hint="eastAsia"/>
          <w:lang w:eastAsia="zh-CN"/>
        </w:rPr>
        <w:t>敏感性分析见图</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w:t>
      </w:r>
    </w:p>
    <w:p>
      <w:pPr>
        <w:pStyle w:val="20"/>
        <w:bidi w:val="0"/>
        <w:rPr>
          <w:rFonts w:hint="default"/>
          <w:lang w:val="en-US" w:eastAsia="zh-CN"/>
        </w:rPr>
      </w:pPr>
      <w:r>
        <w:rPr>
          <w:rFonts w:ascii="宋体" w:hAnsi="宋体" w:eastAsia="宋体" w:cs="宋体"/>
          <w:kern w:val="0"/>
          <w:sz w:val="24"/>
          <w:szCs w:val="24"/>
          <w:lang w:val="en-US" w:eastAsia="zh-CN" w:bidi="ar"/>
        </w:rPr>
        <w:drawing>
          <wp:anchor distT="0" distB="0" distL="114300" distR="114300" simplePos="0" relativeHeight="251685888" behindDoc="0" locked="0" layoutInCell="1" allowOverlap="1">
            <wp:simplePos x="0" y="0"/>
            <wp:positionH relativeFrom="column">
              <wp:posOffset>866775</wp:posOffset>
            </wp:positionH>
            <wp:positionV relativeFrom="page">
              <wp:posOffset>6723380</wp:posOffset>
            </wp:positionV>
            <wp:extent cx="4475480" cy="2639060"/>
            <wp:effectExtent l="0" t="0" r="1270" b="8890"/>
            <wp:wrapTopAndBottom/>
            <wp:docPr id="1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56"/>
                    <pic:cNvPicPr>
                      <a:picLocks noChangeAspect="1"/>
                    </pic:cNvPicPr>
                  </pic:nvPicPr>
                  <pic:blipFill>
                    <a:blip r:embed="rId99"/>
                    <a:stretch>
                      <a:fillRect/>
                    </a:stretch>
                  </pic:blipFill>
                  <pic:spPr>
                    <a:xfrm>
                      <a:off x="0" y="0"/>
                      <a:ext cx="4475480" cy="2639060"/>
                    </a:xfrm>
                    <a:prstGeom prst="rect">
                      <a:avLst/>
                    </a:prstGeom>
                    <a:noFill/>
                    <a:ln w="9525">
                      <a:noFill/>
                    </a:ln>
                  </pic:spPr>
                </pic:pic>
              </a:graphicData>
            </a:graphic>
          </wp:anchor>
        </w:drawing>
      </w:r>
      <w:r>
        <w:rPr>
          <w:rFonts w:hint="eastAsia"/>
          <w:lang w:eastAsia="zh-CN"/>
        </w:rPr>
        <w:t>图</w:t>
      </w:r>
      <w:r>
        <w:rPr>
          <w:rFonts w:hint="eastAsia" w:ascii="Times New Roman" w:hAnsi="Times New Roman"/>
          <w:lang w:val="en-US" w:eastAsia="zh-CN"/>
        </w:rPr>
        <w:t>8</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 xml:space="preserve">  敏感性分析图</w:t>
      </w:r>
    </w:p>
    <w:p>
      <w:pPr>
        <w:bidi w:val="0"/>
        <w:rPr>
          <w:rFonts w:hint="eastAsia"/>
        </w:rPr>
      </w:pPr>
      <w:r>
        <w:t>从</w:t>
      </w:r>
      <w:r>
        <w:rPr>
          <w:rFonts w:hint="eastAsia"/>
        </w:rPr>
        <w:t>以上</w:t>
      </w:r>
      <w:r>
        <w:t>结果可以看出，产品价格是影响财务内部收益率、净现值和投资回收期的最敏感因素，其次为产品产量、主要原材料价格和建设投资。说明项目具有一定的抗风险能力。</w:t>
      </w:r>
    </w:p>
    <w:p>
      <w:pPr>
        <w:pStyle w:val="5"/>
        <w:spacing w:before="165"/>
        <w:rPr>
          <w:rFonts w:hint="eastAsia"/>
        </w:rPr>
      </w:pPr>
      <w:r>
        <w:rPr>
          <w:rFonts w:hint="eastAsia" w:ascii="Times New Roman" w:hAnsi="Times New Roman"/>
          <w:lang w:val="en-US" w:eastAsia="zh-CN"/>
        </w:rPr>
        <w:t>8</w:t>
      </w:r>
      <w:r>
        <w:rPr>
          <w:rFonts w:hint="eastAsia"/>
        </w:rPr>
        <w:t>.</w:t>
      </w:r>
      <w:r>
        <w:rPr>
          <w:rFonts w:hint="eastAsia" w:ascii="Times New Roman" w:hAnsi="Times New Roman"/>
        </w:rPr>
        <w:t>2</w:t>
      </w:r>
      <w:r>
        <w:rPr>
          <w:rFonts w:hint="eastAsia"/>
        </w:rPr>
        <w:t>.</w:t>
      </w:r>
      <w:r>
        <w:rPr>
          <w:rFonts w:hint="eastAsia" w:ascii="Times New Roman" w:hAnsi="Times New Roman"/>
        </w:rPr>
        <w:t>4</w:t>
      </w:r>
      <w:r>
        <w:rPr>
          <w:rFonts w:hint="eastAsia"/>
        </w:rPr>
        <w:t>财务评价结论</w:t>
      </w:r>
    </w:p>
    <w:p>
      <w:pPr>
        <w:rPr>
          <w:rFonts w:hint="eastAsia"/>
          <w:sz w:val="24"/>
        </w:rPr>
      </w:pPr>
      <w:r>
        <w:rPr>
          <w:rFonts w:hint="eastAsia"/>
          <w:sz w:val="24"/>
        </w:rPr>
        <w:t>经济分析表明，本项目需项目总投资</w:t>
      </w:r>
      <w:r>
        <w:rPr>
          <w:rFonts w:hint="eastAsia" w:ascii="Times New Roman" w:hAnsi="Times New Roman"/>
          <w:sz w:val="24"/>
        </w:rPr>
        <w:t>1373</w:t>
      </w:r>
      <w:r>
        <w:rPr>
          <w:rFonts w:hint="eastAsia"/>
          <w:sz w:val="24"/>
        </w:rPr>
        <w:t>.</w:t>
      </w:r>
      <w:r>
        <w:rPr>
          <w:rFonts w:hint="eastAsia" w:ascii="Times New Roman" w:hAnsi="Times New Roman"/>
          <w:sz w:val="24"/>
        </w:rPr>
        <w:t>63</w:t>
      </w:r>
      <w:r>
        <w:rPr>
          <w:rFonts w:hint="eastAsia"/>
          <w:sz w:val="24"/>
        </w:rPr>
        <w:t>万元，全投资内部收益率达</w:t>
      </w:r>
      <w:r>
        <w:rPr>
          <w:rFonts w:hint="eastAsia" w:ascii="Times New Roman" w:hAnsi="Times New Roman"/>
          <w:sz w:val="24"/>
        </w:rPr>
        <w:t>36</w:t>
      </w:r>
      <w:r>
        <w:rPr>
          <w:rFonts w:hint="eastAsia"/>
          <w:sz w:val="24"/>
        </w:rPr>
        <w:t>.</w:t>
      </w:r>
      <w:r>
        <w:rPr>
          <w:rFonts w:hint="eastAsia" w:ascii="Times New Roman" w:hAnsi="Times New Roman"/>
          <w:sz w:val="24"/>
        </w:rPr>
        <w:t>56</w:t>
      </w:r>
      <w:r>
        <w:rPr>
          <w:rFonts w:hint="eastAsia"/>
          <w:sz w:val="24"/>
        </w:rPr>
        <w:t>%（税后），投资回收期</w:t>
      </w:r>
      <w:r>
        <w:rPr>
          <w:rFonts w:hint="eastAsia" w:ascii="Times New Roman" w:hAnsi="Times New Roman"/>
          <w:sz w:val="24"/>
        </w:rPr>
        <w:t>3</w:t>
      </w:r>
      <w:r>
        <w:rPr>
          <w:rFonts w:hint="eastAsia"/>
          <w:sz w:val="24"/>
        </w:rPr>
        <w:t>.</w:t>
      </w:r>
      <w:r>
        <w:rPr>
          <w:rFonts w:hint="eastAsia" w:ascii="Times New Roman" w:hAnsi="Times New Roman"/>
          <w:sz w:val="24"/>
        </w:rPr>
        <w:t>73</w:t>
      </w:r>
      <w:r>
        <w:rPr>
          <w:rFonts w:hint="eastAsia"/>
          <w:sz w:val="24"/>
        </w:rPr>
        <w:t>年（税后），项目的经济效益较好。</w:t>
      </w:r>
    </w:p>
    <w:p>
      <w:pPr>
        <w:rPr>
          <w:rFonts w:hint="eastAsia"/>
        </w:rPr>
      </w:pPr>
      <w:r>
        <w:rPr>
          <w:rFonts w:hint="eastAsia"/>
          <w:sz w:val="24"/>
        </w:rPr>
        <w:t>不确定性分析也表明本项目具有较强的抗风险能力。综合上述，认为本项目可行。</w:t>
      </w:r>
    </w:p>
    <w:p>
      <w:pPr>
        <w:pStyle w:val="4"/>
        <w:spacing w:before="165" w:after="165"/>
        <w:rPr>
          <w:rFonts w:hint="eastAsia"/>
        </w:rPr>
      </w:pPr>
      <w:bookmarkStart w:id="257" w:name="_Toc27475"/>
      <w:bookmarkStart w:id="258" w:name="_Toc18633"/>
      <w:r>
        <w:rPr>
          <w:rFonts w:hint="eastAsia" w:ascii="Times New Roman" w:hAnsi="Times New Roman"/>
          <w:lang w:val="en-US" w:eastAsia="zh-CN"/>
        </w:rPr>
        <w:t>8</w:t>
      </w:r>
      <w:r>
        <w:rPr>
          <w:rFonts w:hint="eastAsia"/>
        </w:rPr>
        <w:t>.</w:t>
      </w:r>
      <w:r>
        <w:rPr>
          <w:rFonts w:hint="eastAsia" w:ascii="Times New Roman" w:hAnsi="Times New Roman"/>
        </w:rPr>
        <w:t>3</w:t>
      </w:r>
      <w:r>
        <w:rPr>
          <w:rFonts w:hint="eastAsia" w:ascii="Times New Roman" w:hAnsi="Times New Roman"/>
        </w:rPr>
        <w:t>社会</w:t>
      </w:r>
      <w:r>
        <w:rPr>
          <w:rFonts w:hint="eastAsia"/>
        </w:rPr>
        <w:t>效益分析</w:t>
      </w:r>
      <w:bookmarkEnd w:id="257"/>
      <w:bookmarkEnd w:id="258"/>
    </w:p>
    <w:p>
      <w:pPr>
        <w:rPr>
          <w:rFonts w:hint="eastAsia"/>
          <w:szCs w:val="22"/>
        </w:rPr>
      </w:pPr>
      <w:r>
        <w:rPr>
          <w:rFonts w:hint="eastAsia"/>
          <w:szCs w:val="22"/>
        </w:rPr>
        <w:t>本项目具有良好的竞争能力和发展前景，符合国家的产业政策和环保政策，特别是对地方经济促进作用突出，对推动地方工业结构调整，促进地区经济可持续发展具有重要意义。</w:t>
      </w:r>
    </w:p>
    <w:p>
      <w:pPr>
        <w:rPr>
          <w:rFonts w:hint="eastAsia"/>
          <w:szCs w:val="22"/>
        </w:rPr>
      </w:pPr>
      <w:r>
        <w:rPr>
          <w:rFonts w:hint="eastAsia"/>
          <w:szCs w:val="22"/>
        </w:rPr>
        <w:t>项目的社会效益主要表现在：</w:t>
      </w:r>
    </w:p>
    <w:p>
      <w:pPr>
        <w:rPr>
          <w:rFonts w:hint="eastAsia" w:eastAsia="宋体"/>
          <w:szCs w:val="22"/>
          <w:lang w:eastAsia="zh-CN"/>
        </w:rPr>
      </w:pPr>
      <w:r>
        <w:rPr>
          <w:rFonts w:hint="eastAsia"/>
          <w:szCs w:val="22"/>
        </w:rPr>
        <w:t>（</w:t>
      </w:r>
      <w:r>
        <w:rPr>
          <w:rFonts w:hint="eastAsia" w:ascii="Times New Roman" w:hAnsi="Times New Roman"/>
          <w:szCs w:val="22"/>
        </w:rPr>
        <w:t>1</w:t>
      </w:r>
      <w:r>
        <w:rPr>
          <w:rFonts w:hint="eastAsia"/>
          <w:szCs w:val="22"/>
        </w:rPr>
        <w:t>）</w:t>
      </w:r>
      <w:r>
        <w:rPr>
          <w:rFonts w:hint="eastAsia"/>
          <w:szCs w:val="22"/>
          <w:lang w:eastAsia="zh-CN"/>
        </w:rPr>
        <w:t>满足区域经济和社会发展的需要</w:t>
      </w:r>
    </w:p>
    <w:p>
      <w:pPr>
        <w:rPr>
          <w:rFonts w:hint="eastAsia"/>
          <w:szCs w:val="22"/>
        </w:rPr>
      </w:pPr>
      <w:r>
        <w:rPr>
          <w:rFonts w:hint="eastAsia"/>
          <w:szCs w:val="22"/>
        </w:rPr>
        <w:t>项目建成后，可充分利用周边优势资源拓宽市场，实现资源利用的效益最大化，满足社会发展对下游产品的需求，带动相关产业的发展。</w:t>
      </w:r>
    </w:p>
    <w:p>
      <w:pPr>
        <w:rPr>
          <w:rFonts w:hint="eastAsia" w:eastAsia="宋体"/>
          <w:szCs w:val="22"/>
          <w:lang w:eastAsia="zh-CN"/>
        </w:rPr>
      </w:pPr>
      <w:r>
        <w:rPr>
          <w:rFonts w:hint="eastAsia"/>
          <w:szCs w:val="22"/>
        </w:rPr>
        <w:t>（</w:t>
      </w:r>
      <w:r>
        <w:rPr>
          <w:rFonts w:hint="eastAsia" w:ascii="Times New Roman" w:hAnsi="Times New Roman"/>
          <w:szCs w:val="22"/>
        </w:rPr>
        <w:t>2</w:t>
      </w:r>
      <w:r>
        <w:rPr>
          <w:rFonts w:hint="eastAsia"/>
          <w:szCs w:val="22"/>
        </w:rPr>
        <w:t>）</w:t>
      </w:r>
      <w:r>
        <w:rPr>
          <w:rFonts w:hint="eastAsia"/>
          <w:szCs w:val="22"/>
          <w:lang w:eastAsia="zh-CN"/>
        </w:rPr>
        <w:t>符合企业发展战略方向</w:t>
      </w:r>
    </w:p>
    <w:p>
      <w:pPr>
        <w:rPr>
          <w:rFonts w:hint="eastAsia"/>
          <w:szCs w:val="22"/>
        </w:rPr>
      </w:pPr>
      <w:r>
        <w:rPr>
          <w:rFonts w:hint="eastAsia"/>
          <w:color w:val="auto"/>
        </w:rPr>
        <w:t>项目建成后，极大地提升了企业的市场竞争力和盈利的空间，符合企业发展战略，可逐步形成一体化规模经济，增加企业创效能力。</w:t>
      </w:r>
    </w:p>
    <w:p>
      <w:pPr>
        <w:rPr>
          <w:rFonts w:hint="eastAsia" w:eastAsia="宋体"/>
          <w:szCs w:val="22"/>
          <w:lang w:eastAsia="zh-CN"/>
        </w:rPr>
      </w:pPr>
      <w:r>
        <w:rPr>
          <w:rFonts w:hint="eastAsia"/>
          <w:szCs w:val="22"/>
        </w:rPr>
        <w:t>（</w:t>
      </w:r>
      <w:r>
        <w:rPr>
          <w:rFonts w:hint="eastAsia" w:ascii="Times New Roman" w:hAnsi="Times New Roman"/>
          <w:szCs w:val="22"/>
        </w:rPr>
        <w:t>3</w:t>
      </w:r>
      <w:r>
        <w:rPr>
          <w:rFonts w:hint="eastAsia"/>
          <w:szCs w:val="22"/>
        </w:rPr>
        <w:t>）</w:t>
      </w:r>
      <w:r>
        <w:rPr>
          <w:rFonts w:hint="eastAsia"/>
          <w:szCs w:val="22"/>
          <w:lang w:eastAsia="zh-CN"/>
        </w:rPr>
        <w:t>满足企业经济效益最大化的需要</w:t>
      </w:r>
    </w:p>
    <w:p>
      <w:pPr>
        <w:rPr>
          <w:rFonts w:hint="eastAsia"/>
          <w:szCs w:val="22"/>
        </w:rPr>
      </w:pPr>
      <w:r>
        <w:rPr>
          <w:color w:val="auto"/>
        </w:rPr>
        <w:t>本项目的建设可以</w:t>
      </w:r>
      <w:r>
        <w:rPr>
          <w:rFonts w:hint="eastAsia"/>
          <w:color w:val="auto"/>
          <w:lang w:eastAsia="zh-CN"/>
        </w:rPr>
        <w:t>增加下游</w:t>
      </w:r>
      <w:r>
        <w:rPr>
          <w:rFonts w:hint="eastAsia"/>
          <w:color w:val="auto"/>
        </w:rPr>
        <w:t>产品</w:t>
      </w:r>
      <w:r>
        <w:rPr>
          <w:rFonts w:hint="eastAsia"/>
          <w:color w:val="auto"/>
          <w:lang w:eastAsia="zh-CN"/>
        </w:rPr>
        <w:t>种类</w:t>
      </w:r>
      <w:r>
        <w:rPr>
          <w:color w:val="auto"/>
        </w:rPr>
        <w:t>，</w:t>
      </w:r>
      <w:r>
        <w:rPr>
          <w:rFonts w:hint="eastAsia"/>
          <w:color w:val="auto"/>
        </w:rPr>
        <w:t>推动技术进步的同时，</w:t>
      </w:r>
      <w:r>
        <w:rPr>
          <w:color w:val="auto"/>
        </w:rPr>
        <w:t>提高</w:t>
      </w:r>
      <w:r>
        <w:rPr>
          <w:rFonts w:hint="eastAsia"/>
          <w:color w:val="auto"/>
        </w:rPr>
        <w:t>了</w:t>
      </w:r>
      <w:r>
        <w:rPr>
          <w:color w:val="auto"/>
        </w:rPr>
        <w:t>企业经济效益，增强企业的抗风险能力。</w:t>
      </w:r>
    </w:p>
    <w:p>
      <w:pPr>
        <w:rPr>
          <w:rFonts w:hint="eastAsia" w:eastAsia="宋体"/>
          <w:szCs w:val="22"/>
          <w:lang w:eastAsia="zh-CN"/>
        </w:rPr>
      </w:pPr>
      <w:r>
        <w:rPr>
          <w:rFonts w:hint="eastAsia"/>
          <w:szCs w:val="22"/>
          <w:lang w:eastAsia="zh-CN"/>
        </w:rPr>
        <w:t>（</w:t>
      </w:r>
      <w:r>
        <w:rPr>
          <w:rFonts w:hint="eastAsia" w:ascii="Times New Roman" w:hAnsi="Times New Roman"/>
          <w:szCs w:val="22"/>
          <w:lang w:val="en-US" w:eastAsia="zh-CN"/>
        </w:rPr>
        <w:t>4</w:t>
      </w:r>
      <w:r>
        <w:rPr>
          <w:rFonts w:hint="eastAsia"/>
          <w:szCs w:val="22"/>
          <w:lang w:eastAsia="zh-CN"/>
        </w:rPr>
        <w:t>）创造就业机会，为社会安定做出贡献</w:t>
      </w:r>
    </w:p>
    <w:p>
      <w:pPr>
        <w:rPr>
          <w:rFonts w:hint="eastAsia"/>
        </w:rPr>
      </w:pPr>
      <w:r>
        <w:rPr>
          <w:rFonts w:hint="eastAsia"/>
          <w:color w:val="auto"/>
        </w:rPr>
        <w:t>本项目的建设完成后能增加就业机会，提高当地人民群众的生活水平，同时还能带动当地相关产业的发展，在一定程度上减轻了国家的负担，维护了社会安定。</w:t>
      </w:r>
    </w:p>
    <w:p>
      <w:pPr>
        <w:pStyle w:val="4"/>
        <w:spacing w:before="165" w:after="165"/>
        <w:rPr>
          <w:rFonts w:hint="eastAsia"/>
        </w:rPr>
      </w:pPr>
      <w:bookmarkStart w:id="259" w:name="_Toc31560"/>
      <w:bookmarkStart w:id="260" w:name="_Toc32269"/>
      <w:r>
        <w:rPr>
          <w:rFonts w:hint="eastAsia" w:ascii="Times New Roman" w:hAnsi="Times New Roman"/>
          <w:lang w:val="en-US" w:eastAsia="zh-CN"/>
        </w:rPr>
        <w:t>8</w:t>
      </w:r>
      <w:r>
        <w:rPr>
          <w:rFonts w:hint="eastAsia"/>
        </w:rPr>
        <w:t>.</w:t>
      </w:r>
      <w:r>
        <w:rPr>
          <w:rFonts w:hint="eastAsia" w:ascii="Times New Roman" w:hAnsi="Times New Roman"/>
        </w:rPr>
        <w:t>4</w:t>
      </w:r>
      <w:r>
        <w:rPr>
          <w:rFonts w:hint="eastAsia"/>
        </w:rPr>
        <w:t xml:space="preserve"> 环境经济损益分析</w:t>
      </w:r>
      <w:bookmarkEnd w:id="259"/>
      <w:bookmarkEnd w:id="260"/>
    </w:p>
    <w:p>
      <w:pPr>
        <w:pStyle w:val="5"/>
        <w:spacing w:before="165"/>
        <w:rPr>
          <w:rFonts w:hint="eastAsia" w:eastAsia="华文楷体"/>
          <w:lang w:eastAsia="zh-CN"/>
        </w:rPr>
      </w:pPr>
      <w:r>
        <w:rPr>
          <w:rFonts w:hint="eastAsia" w:ascii="Times New Roman" w:hAnsi="Times New Roman"/>
          <w:lang w:val="en-US" w:eastAsia="zh-CN"/>
        </w:rPr>
        <w:t>8</w:t>
      </w:r>
      <w:r>
        <w:rPr>
          <w:rFonts w:hint="eastAsia"/>
        </w:rPr>
        <w:t>.</w:t>
      </w:r>
      <w:r>
        <w:rPr>
          <w:rFonts w:hint="eastAsia" w:ascii="Times New Roman" w:hAnsi="Times New Roman"/>
        </w:rPr>
        <w:t>4</w:t>
      </w:r>
      <w:r>
        <w:rPr>
          <w:rFonts w:hint="eastAsia"/>
        </w:rPr>
        <w:t>.</w:t>
      </w:r>
      <w:r>
        <w:rPr>
          <w:rFonts w:hint="eastAsia" w:ascii="Times New Roman" w:hAnsi="Times New Roman"/>
        </w:rPr>
        <w:t>1</w:t>
      </w:r>
      <w:r>
        <w:rPr>
          <w:rFonts w:hint="eastAsia"/>
        </w:rPr>
        <w:t xml:space="preserve"> 环保投资</w:t>
      </w:r>
      <w:r>
        <w:rPr>
          <w:rFonts w:hint="eastAsia"/>
          <w:lang w:eastAsia="zh-CN"/>
        </w:rPr>
        <w:t>概算</w:t>
      </w:r>
    </w:p>
    <w:p>
      <w:pPr>
        <w:ind w:firstLine="480"/>
        <w:rPr>
          <w:rFonts w:hint="eastAsia"/>
        </w:rPr>
      </w:pPr>
      <w:r>
        <w:rPr>
          <w:rFonts w:hint="eastAsia"/>
        </w:rPr>
        <w:t>根据项目可行性研究报告及本评价补充规定的环保措施，</w:t>
      </w:r>
      <w:r>
        <w:rPr>
          <w:rFonts w:hint="eastAsia"/>
          <w:lang w:eastAsia="zh-CN"/>
        </w:rPr>
        <w:t>本项目合计总投资</w:t>
      </w:r>
      <w:r>
        <w:rPr>
          <w:rFonts w:hint="eastAsia" w:ascii="Times New Roman" w:hAnsi="Times New Roman"/>
          <w:lang w:val="en-US" w:eastAsia="zh-CN"/>
        </w:rPr>
        <w:t>1373</w:t>
      </w:r>
      <w:r>
        <w:rPr>
          <w:rFonts w:hint="eastAsia"/>
          <w:lang w:val="en-US" w:eastAsia="zh-CN"/>
        </w:rPr>
        <w:t>.</w:t>
      </w:r>
      <w:r>
        <w:rPr>
          <w:rFonts w:hint="eastAsia" w:ascii="Times New Roman" w:hAnsi="Times New Roman"/>
          <w:lang w:val="en-US" w:eastAsia="zh-CN"/>
        </w:rPr>
        <w:t>63</w:t>
      </w:r>
      <w:r>
        <w:rPr>
          <w:rFonts w:hint="eastAsia"/>
          <w:lang w:val="en-US" w:eastAsia="zh-CN"/>
        </w:rPr>
        <w:t>万元</w:t>
      </w:r>
      <w:r>
        <w:rPr>
          <w:rFonts w:hint="eastAsia"/>
          <w:lang w:eastAsia="zh-CN"/>
        </w:rPr>
        <w:t>，</w:t>
      </w:r>
      <w:r>
        <w:rPr>
          <w:rFonts w:hint="default"/>
        </w:rPr>
        <w:t>其中环保投资</w:t>
      </w:r>
      <w:r>
        <w:rPr>
          <w:rFonts w:hint="eastAsia" w:ascii="Times New Roman" w:hAnsi="Times New Roman"/>
          <w:lang w:val="en-US" w:eastAsia="zh-CN"/>
        </w:rPr>
        <w:t>105</w:t>
      </w:r>
      <w:r>
        <w:rPr>
          <w:rFonts w:hint="default"/>
        </w:rPr>
        <w:t>万元，占总投资的</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64</w:t>
      </w:r>
      <w:r>
        <w:rPr>
          <w:rFonts w:hint="default"/>
          <w:lang w:val="en-US"/>
        </w:rPr>
        <w:t>%</w:t>
      </w:r>
      <w:r>
        <w:rPr>
          <w:rFonts w:hint="default"/>
        </w:rPr>
        <w:t>。</w:t>
      </w:r>
    </w:p>
    <w:p>
      <w:pPr>
        <w:pStyle w:val="5"/>
        <w:spacing w:before="165"/>
        <w:rPr>
          <w:rFonts w:hint="eastAsia"/>
        </w:rPr>
      </w:pPr>
      <w:r>
        <w:rPr>
          <w:rFonts w:hint="eastAsia" w:ascii="Times New Roman" w:hAnsi="Times New Roman"/>
          <w:lang w:val="en-US" w:eastAsia="zh-CN"/>
        </w:rPr>
        <w:t>8</w:t>
      </w:r>
      <w:r>
        <w:rPr>
          <w:rFonts w:hint="eastAsia"/>
        </w:rPr>
        <w:t>.</w:t>
      </w:r>
      <w:r>
        <w:rPr>
          <w:rFonts w:hint="eastAsia" w:ascii="Times New Roman" w:hAnsi="Times New Roman"/>
        </w:rPr>
        <w:t>4</w:t>
      </w:r>
      <w:r>
        <w:rPr>
          <w:rFonts w:hint="eastAsia"/>
        </w:rPr>
        <w:t>.</w:t>
      </w:r>
      <w:r>
        <w:rPr>
          <w:rFonts w:hint="eastAsia" w:ascii="Times New Roman" w:hAnsi="Times New Roman"/>
        </w:rPr>
        <w:t>2</w:t>
      </w:r>
      <w:r>
        <w:rPr>
          <w:rFonts w:hint="eastAsia"/>
        </w:rPr>
        <w:t xml:space="preserve"> 环境效益分析</w:t>
      </w:r>
    </w:p>
    <w:p>
      <w:pPr>
        <w:rPr>
          <w:rFonts w:hint="eastAsia"/>
          <w:bCs/>
          <w:lang w:eastAsia="zh-CN"/>
        </w:rPr>
      </w:pPr>
      <w:r>
        <w:rPr>
          <w:rFonts w:hint="eastAsia"/>
        </w:rPr>
        <w:t>根据工程分析和环境影响预测结果可知，本项目建成投产后，产生的废气、噪声等将对周围环境产生一定的影响，因此必须采取相应的环境保护措施加以控制，并保证相应的环保资金投入，使得项目建成后生产过程中产生的各类污染物对周围环境的影响可以降低到最小的程度。</w:t>
      </w:r>
      <w:r>
        <w:rPr>
          <w:rFonts w:hint="eastAsia"/>
          <w:lang w:eastAsia="zh-CN"/>
        </w:rPr>
        <w:t>环保措施实施后，其</w:t>
      </w:r>
      <w:r>
        <w:rPr>
          <w:rFonts w:hint="eastAsia" w:hAnsi="宋体"/>
          <w:bCs/>
        </w:rPr>
        <w:t>环境效益</w:t>
      </w:r>
      <w:r>
        <w:rPr>
          <w:rFonts w:hint="eastAsia"/>
          <w:bCs/>
          <w:lang w:eastAsia="zh-CN"/>
        </w:rPr>
        <w:t>主要有以下几个方面：</w:t>
      </w:r>
    </w:p>
    <w:p>
      <w:pPr>
        <w:rPr>
          <w:rFonts w:hint="eastAsia"/>
          <w:bCs/>
          <w:lang w:eastAsia="zh-CN"/>
        </w:rPr>
      </w:pPr>
      <w:r>
        <w:rPr>
          <w:rFonts w:hint="eastAsia"/>
          <w:bCs/>
          <w:lang w:eastAsia="zh-CN"/>
        </w:rPr>
        <w:t>（</w:t>
      </w:r>
      <w:r>
        <w:rPr>
          <w:rFonts w:hint="eastAsia" w:ascii="Times New Roman" w:hAnsi="Times New Roman"/>
          <w:bCs/>
          <w:lang w:val="en-US" w:eastAsia="zh-CN"/>
        </w:rPr>
        <w:t>1</w:t>
      </w:r>
      <w:r>
        <w:rPr>
          <w:rFonts w:hint="eastAsia"/>
          <w:bCs/>
          <w:lang w:eastAsia="zh-CN"/>
        </w:rPr>
        <w:t>）物料输送环境效益分析</w:t>
      </w:r>
    </w:p>
    <w:p>
      <w:pPr>
        <w:rPr>
          <w:rFonts w:hint="eastAsia"/>
          <w:bCs/>
          <w:lang w:eastAsia="zh-CN"/>
        </w:rPr>
      </w:pPr>
      <w:r>
        <w:rPr>
          <w:rFonts w:hint="eastAsia"/>
          <w:bCs/>
          <w:lang w:eastAsia="zh-CN"/>
        </w:rPr>
        <w:t>本项目原料通过管道输送，输送短捷便利，成本较低，大大减少了物流转运过程的跑冒滴漏风险</w:t>
      </w:r>
      <w:r>
        <w:rPr>
          <w:rFonts w:hint="eastAsia"/>
          <w:bCs/>
          <w:lang w:val="en-US" w:eastAsia="zh-CN"/>
        </w:rPr>
        <w:t>。</w:t>
      </w:r>
    </w:p>
    <w:p>
      <w:pPr>
        <w:rPr>
          <w:rFonts w:hint="eastAsia"/>
          <w:bCs/>
          <w:lang w:eastAsia="zh-CN"/>
        </w:rPr>
      </w:pPr>
      <w:r>
        <w:rPr>
          <w:rFonts w:hint="eastAsia"/>
          <w:bCs/>
          <w:lang w:eastAsia="zh-CN"/>
        </w:rPr>
        <w:t>（</w:t>
      </w:r>
      <w:r>
        <w:rPr>
          <w:rFonts w:hint="eastAsia" w:ascii="Times New Roman" w:hAnsi="Times New Roman"/>
          <w:bCs/>
          <w:lang w:val="en-US" w:eastAsia="zh-CN"/>
        </w:rPr>
        <w:t>2</w:t>
      </w:r>
      <w:r>
        <w:rPr>
          <w:rFonts w:hint="eastAsia"/>
          <w:bCs/>
          <w:lang w:eastAsia="zh-CN"/>
        </w:rPr>
        <w:t>）废气治理环境效益分析</w:t>
      </w:r>
    </w:p>
    <w:p>
      <w:pPr>
        <w:rPr>
          <w:rFonts w:hint="default"/>
          <w:bCs/>
          <w:lang w:val="en-US" w:eastAsia="zh-CN"/>
        </w:rPr>
      </w:pPr>
      <w:r>
        <w:rPr>
          <w:rFonts w:hint="eastAsia"/>
          <w:bCs/>
          <w:lang w:eastAsia="zh-CN"/>
        </w:rPr>
        <w:t>本项目废气主要污染物为工艺装置排放的有机不凝气和反应生成的氨气，经尾气吸收塔处理后通过排气筒排放，可确保各项污染物排放符合国家标准。本项目采用尾气吸收塔处理产生的吸收液约为</w:t>
      </w:r>
      <w:r>
        <w:rPr>
          <w:rFonts w:hint="eastAsia" w:ascii="Times New Roman" w:hAnsi="Times New Roman"/>
          <w:bCs/>
          <w:lang w:val="en-US" w:eastAsia="zh-CN"/>
        </w:rPr>
        <w:t>20</w:t>
      </w:r>
      <w:r>
        <w:rPr>
          <w:rFonts w:hint="eastAsia"/>
          <w:bCs/>
          <w:lang w:val="en-US" w:eastAsia="zh-CN"/>
        </w:rPr>
        <w:t>%浓度氨水，以平均价格</w:t>
      </w:r>
      <w:r>
        <w:rPr>
          <w:rFonts w:hint="eastAsia" w:ascii="Times New Roman" w:hAnsi="Times New Roman"/>
          <w:bCs/>
          <w:lang w:val="en-US" w:eastAsia="zh-CN"/>
        </w:rPr>
        <w:t>1200</w:t>
      </w:r>
      <w:r>
        <w:rPr>
          <w:rFonts w:hint="eastAsia"/>
          <w:bCs/>
          <w:lang w:val="en-US" w:eastAsia="zh-CN"/>
        </w:rPr>
        <w:t>元/吨计算，本项目产生氨水</w:t>
      </w:r>
      <w:r>
        <w:rPr>
          <w:rFonts w:hint="eastAsia" w:ascii="Times New Roman" w:hAnsi="Times New Roman"/>
          <w:bCs/>
          <w:lang w:val="en-US" w:eastAsia="zh-CN"/>
        </w:rPr>
        <w:t>14661</w:t>
      </w:r>
      <w:r>
        <w:rPr>
          <w:rFonts w:hint="eastAsia"/>
          <w:bCs/>
          <w:lang w:val="en-US" w:eastAsia="zh-CN"/>
        </w:rPr>
        <w:t>.</w:t>
      </w:r>
      <w:r>
        <w:rPr>
          <w:rFonts w:hint="eastAsia" w:ascii="Times New Roman" w:hAnsi="Times New Roman"/>
          <w:bCs/>
          <w:lang w:val="en-US" w:eastAsia="zh-CN"/>
        </w:rPr>
        <w:t>45m</w:t>
      </w:r>
      <w:r>
        <w:rPr>
          <w:rFonts w:hint="eastAsia"/>
          <w:bCs/>
          <w:lang w:val="en-US" w:eastAsia="zh-CN"/>
        </w:rPr>
        <w:t>³，氨水密度以</w:t>
      </w:r>
      <w:r>
        <w:rPr>
          <w:rFonts w:hint="eastAsia" w:ascii="Times New Roman" w:hAnsi="Times New Roman"/>
          <w:bCs/>
          <w:lang w:val="en-US" w:eastAsia="zh-CN"/>
        </w:rPr>
        <w:t>0</w:t>
      </w:r>
      <w:r>
        <w:rPr>
          <w:rFonts w:hint="eastAsia"/>
          <w:bCs/>
          <w:lang w:val="en-US" w:eastAsia="zh-CN"/>
        </w:rPr>
        <w:t>.</w:t>
      </w:r>
      <w:r>
        <w:rPr>
          <w:rFonts w:hint="eastAsia" w:ascii="Times New Roman" w:hAnsi="Times New Roman"/>
          <w:bCs/>
          <w:lang w:val="en-US" w:eastAsia="zh-CN"/>
        </w:rPr>
        <w:t>91g</w:t>
      </w:r>
      <w:r>
        <w:rPr>
          <w:rFonts w:hint="eastAsia"/>
          <w:bCs/>
          <w:lang w:val="en-US" w:eastAsia="zh-CN"/>
        </w:rPr>
        <w:t>/</w:t>
      </w:r>
      <w:r>
        <w:rPr>
          <w:rFonts w:hint="eastAsia" w:ascii="Times New Roman" w:hAnsi="Times New Roman"/>
          <w:bCs/>
          <w:lang w:val="en-US" w:eastAsia="zh-CN"/>
        </w:rPr>
        <w:t>cm</w:t>
      </w:r>
      <w:r>
        <w:rPr>
          <w:rFonts w:hint="eastAsia"/>
          <w:bCs/>
          <w:lang w:val="en-US" w:eastAsia="zh-CN"/>
        </w:rPr>
        <w:t>³计，约可产生</w:t>
      </w:r>
      <w:r>
        <w:rPr>
          <w:rFonts w:hint="eastAsia" w:ascii="Times New Roman" w:hAnsi="Times New Roman"/>
          <w:bCs/>
          <w:lang w:val="en-US" w:eastAsia="zh-CN"/>
        </w:rPr>
        <w:t>1601</w:t>
      </w:r>
      <w:r>
        <w:rPr>
          <w:rFonts w:hint="eastAsia"/>
          <w:bCs/>
          <w:lang w:val="en-US" w:eastAsia="zh-CN"/>
        </w:rPr>
        <w:t>万元效益，同时减少了废水处理费用。酸吸收塔可产生硫酸铵</w:t>
      </w:r>
      <w:r>
        <w:rPr>
          <w:rFonts w:hint="eastAsia" w:ascii="Times New Roman" w:hAnsi="Times New Roman"/>
          <w:bCs/>
          <w:lang w:val="en-US" w:eastAsia="zh-CN"/>
        </w:rPr>
        <w:t>1252</w:t>
      </w:r>
      <w:r>
        <w:rPr>
          <w:rFonts w:hint="eastAsia"/>
          <w:bCs/>
          <w:lang w:val="en-US" w:eastAsia="zh-CN"/>
        </w:rPr>
        <w:t>.</w:t>
      </w:r>
      <w:r>
        <w:rPr>
          <w:rFonts w:hint="eastAsia" w:ascii="Times New Roman" w:hAnsi="Times New Roman"/>
          <w:bCs/>
          <w:lang w:val="en-US" w:eastAsia="zh-CN"/>
        </w:rPr>
        <w:t>25t</w:t>
      </w:r>
      <w:r>
        <w:rPr>
          <w:rFonts w:hint="eastAsia"/>
          <w:bCs/>
          <w:lang w:val="en-US" w:eastAsia="zh-CN"/>
        </w:rPr>
        <w:t>/</w:t>
      </w:r>
      <w:r>
        <w:rPr>
          <w:rFonts w:hint="eastAsia" w:ascii="Times New Roman" w:hAnsi="Times New Roman"/>
          <w:bCs/>
          <w:lang w:val="en-US" w:eastAsia="zh-CN"/>
        </w:rPr>
        <w:t>a</w:t>
      </w:r>
      <w:r>
        <w:rPr>
          <w:rFonts w:hint="eastAsia"/>
          <w:bCs/>
          <w:lang w:val="en-US" w:eastAsia="zh-CN"/>
        </w:rPr>
        <w:t>，以平均价格</w:t>
      </w:r>
      <w:r>
        <w:rPr>
          <w:rFonts w:hint="eastAsia" w:ascii="Times New Roman" w:hAnsi="Times New Roman"/>
          <w:bCs/>
          <w:lang w:val="en-US" w:eastAsia="zh-CN"/>
        </w:rPr>
        <w:t>1400</w:t>
      </w:r>
      <w:r>
        <w:rPr>
          <w:rFonts w:hint="eastAsia"/>
          <w:bCs/>
          <w:lang w:val="en-US" w:eastAsia="zh-CN"/>
        </w:rPr>
        <w:t>元/吨计算，约可产生</w:t>
      </w:r>
      <w:r>
        <w:rPr>
          <w:rFonts w:hint="eastAsia" w:ascii="Times New Roman" w:hAnsi="Times New Roman"/>
          <w:bCs/>
          <w:lang w:val="en-US" w:eastAsia="zh-CN"/>
        </w:rPr>
        <w:t>175</w:t>
      </w:r>
      <w:r>
        <w:rPr>
          <w:rFonts w:hint="eastAsia"/>
          <w:bCs/>
          <w:lang w:val="en-US" w:eastAsia="zh-CN"/>
        </w:rPr>
        <w:t>万元效益，同时减少了废水处理费用。</w:t>
      </w:r>
    </w:p>
    <w:p>
      <w:pPr>
        <w:rPr>
          <w:rFonts w:hint="eastAsia" w:eastAsia="宋体"/>
          <w:szCs w:val="22"/>
          <w:lang w:eastAsia="zh-CN"/>
        </w:rPr>
      </w:pPr>
      <w:r>
        <w:rPr>
          <w:rFonts w:hint="eastAsia"/>
          <w:szCs w:val="22"/>
          <w:lang w:eastAsia="zh-CN"/>
        </w:rPr>
        <w:t>（</w:t>
      </w:r>
      <w:r>
        <w:rPr>
          <w:rFonts w:hint="eastAsia" w:ascii="Times New Roman" w:hAnsi="Times New Roman"/>
          <w:szCs w:val="22"/>
          <w:lang w:val="en-US" w:eastAsia="zh-CN"/>
        </w:rPr>
        <w:t>3</w:t>
      </w:r>
      <w:r>
        <w:rPr>
          <w:rFonts w:hint="eastAsia"/>
          <w:szCs w:val="22"/>
          <w:lang w:eastAsia="zh-CN"/>
        </w:rPr>
        <w:t>）废水治理环境效益分析</w:t>
      </w:r>
    </w:p>
    <w:p>
      <w:pPr>
        <w:rPr>
          <w:rFonts w:hint="default" w:eastAsia="宋体"/>
          <w:szCs w:val="22"/>
          <w:lang w:val="en-US" w:eastAsia="zh-CN"/>
        </w:rPr>
      </w:pPr>
      <w:r>
        <w:rPr>
          <w:rFonts w:hint="eastAsia"/>
          <w:szCs w:val="22"/>
          <w:lang w:eastAsia="zh-CN"/>
        </w:rPr>
        <w:t>本项目废水产生量很小，依托现有工程污水站处理，基本不增加污水站运营成本。</w:t>
      </w:r>
    </w:p>
    <w:p>
      <w:pPr>
        <w:rPr>
          <w:rFonts w:hint="eastAsia" w:eastAsia="宋体"/>
          <w:szCs w:val="22"/>
          <w:lang w:eastAsia="zh-CN"/>
        </w:rPr>
      </w:pPr>
      <w:r>
        <w:rPr>
          <w:rFonts w:hint="eastAsia"/>
          <w:szCs w:val="22"/>
          <w:lang w:eastAsia="zh-CN"/>
        </w:rPr>
        <w:t>（</w:t>
      </w:r>
      <w:r>
        <w:rPr>
          <w:rFonts w:hint="eastAsia" w:ascii="Times New Roman" w:hAnsi="Times New Roman"/>
          <w:szCs w:val="22"/>
          <w:lang w:val="en-US" w:eastAsia="zh-CN"/>
        </w:rPr>
        <w:t>4</w:t>
      </w:r>
      <w:r>
        <w:rPr>
          <w:rFonts w:hint="eastAsia"/>
          <w:szCs w:val="22"/>
          <w:lang w:eastAsia="zh-CN"/>
        </w:rPr>
        <w:t>）噪声治理环境效益分析</w:t>
      </w:r>
    </w:p>
    <w:p>
      <w:pPr>
        <w:rPr>
          <w:rFonts w:hint="eastAsia"/>
          <w:szCs w:val="22"/>
        </w:rPr>
      </w:pPr>
      <w:r>
        <w:rPr>
          <w:rFonts w:hint="eastAsia"/>
          <w:color w:val="auto"/>
        </w:rPr>
        <w:t>本项目噪声</w:t>
      </w:r>
      <w:r>
        <w:rPr>
          <w:rFonts w:hint="eastAsia"/>
          <w:color w:val="auto"/>
          <w:lang w:val="en-US" w:eastAsia="zh-CN"/>
        </w:rPr>
        <w:t>源</w:t>
      </w:r>
      <w:r>
        <w:rPr>
          <w:rFonts w:hint="eastAsia"/>
          <w:color w:val="auto"/>
        </w:rPr>
        <w:t>主要是机泵噪声。建设过程中尽量优选高效能、低能耗、低噪声的设备，</w:t>
      </w:r>
      <w:r>
        <w:rPr>
          <w:rFonts w:hint="eastAsia"/>
          <w:color w:val="auto"/>
          <w:lang w:eastAsia="zh-CN"/>
        </w:rPr>
        <w:t>并</w:t>
      </w:r>
      <w:r>
        <w:rPr>
          <w:rFonts w:hint="eastAsia"/>
          <w:color w:val="auto"/>
        </w:rPr>
        <w:t>将噪声设备集中布置在</w:t>
      </w:r>
      <w:r>
        <w:rPr>
          <w:rFonts w:hint="eastAsia"/>
          <w:color w:val="auto"/>
          <w:lang w:eastAsia="zh-CN"/>
        </w:rPr>
        <w:t>厂区中部的泵房</w:t>
      </w:r>
      <w:r>
        <w:rPr>
          <w:rFonts w:hint="eastAsia"/>
          <w:color w:val="auto"/>
        </w:rPr>
        <w:t>，</w:t>
      </w:r>
      <w:r>
        <w:rPr>
          <w:rFonts w:hint="eastAsia"/>
          <w:color w:val="auto"/>
          <w:lang w:eastAsia="zh-CN"/>
        </w:rPr>
        <w:t>通过减振隔声</w:t>
      </w:r>
      <w:r>
        <w:rPr>
          <w:rFonts w:hint="eastAsia"/>
          <w:color w:val="auto"/>
        </w:rPr>
        <w:t>可减轻噪声对厂界的污染，达到治理效果。</w:t>
      </w:r>
    </w:p>
    <w:p>
      <w:pPr>
        <w:rPr>
          <w:rFonts w:hint="eastAsia" w:eastAsia="宋体"/>
          <w:szCs w:val="22"/>
          <w:lang w:eastAsia="zh-CN"/>
        </w:rPr>
      </w:pPr>
      <w:r>
        <w:rPr>
          <w:rFonts w:hint="eastAsia"/>
          <w:szCs w:val="22"/>
          <w:lang w:eastAsia="zh-CN"/>
        </w:rPr>
        <w:t>（</w:t>
      </w:r>
      <w:r>
        <w:rPr>
          <w:rFonts w:hint="eastAsia" w:ascii="Times New Roman" w:hAnsi="Times New Roman"/>
          <w:szCs w:val="22"/>
          <w:lang w:val="en-US" w:eastAsia="zh-CN"/>
        </w:rPr>
        <w:t>5</w:t>
      </w:r>
      <w:r>
        <w:rPr>
          <w:rFonts w:hint="eastAsia"/>
          <w:szCs w:val="22"/>
          <w:lang w:eastAsia="zh-CN"/>
        </w:rPr>
        <w:t>）固废治理环境效益分析</w:t>
      </w:r>
    </w:p>
    <w:p>
      <w:pPr>
        <w:rPr>
          <w:rFonts w:hint="eastAsia"/>
          <w:szCs w:val="22"/>
        </w:rPr>
      </w:pPr>
      <w:r>
        <w:rPr>
          <w:rFonts w:hint="eastAsia"/>
          <w:szCs w:val="22"/>
          <w:lang w:eastAsia="zh-CN"/>
        </w:rPr>
        <w:t>本项目产生的废催化剂，规范收集，依托现有工程危险废物贮存库暂存，定期委托有资质的单位处理。</w:t>
      </w:r>
      <w:r>
        <w:rPr>
          <w:rFonts w:hint="eastAsia"/>
          <w:color w:val="auto"/>
        </w:rPr>
        <w:t>本项目产生的固体废物特别是危险废物进行全过程严格管理和安全处置，在落实好固废安全处置的情况下，不会造成二次污染</w:t>
      </w:r>
      <w:r>
        <w:rPr>
          <w:rFonts w:hint="eastAsia"/>
          <w:szCs w:val="22"/>
          <w:lang w:eastAsia="zh-CN"/>
        </w:rPr>
        <w:t>。</w:t>
      </w:r>
    </w:p>
    <w:p>
      <w:pPr>
        <w:rPr>
          <w:rFonts w:hint="eastAsia"/>
        </w:rPr>
      </w:pPr>
      <w:r>
        <w:rPr>
          <w:rFonts w:hint="eastAsia"/>
          <w:szCs w:val="22"/>
        </w:rPr>
        <w:t>综上所述，本工程建成后，严格执行“清洁生产、达标排放”的原则，</w:t>
      </w:r>
      <w:r>
        <w:rPr>
          <w:rFonts w:hint="eastAsia"/>
          <w:szCs w:val="22"/>
          <w:lang w:eastAsia="zh-CN"/>
        </w:rPr>
        <w:t>确保污染物达标排放，</w:t>
      </w:r>
      <w:r>
        <w:rPr>
          <w:rFonts w:hint="eastAsia"/>
          <w:szCs w:val="22"/>
        </w:rPr>
        <w:t>对区域环境质量现状影响较小，因此，从环境效益方面是可行的。</w:t>
      </w:r>
    </w:p>
    <w:p>
      <w:pPr>
        <w:pStyle w:val="5"/>
        <w:spacing w:before="165"/>
        <w:rPr>
          <w:rFonts w:hint="eastAsia"/>
        </w:rPr>
      </w:pPr>
      <w:r>
        <w:rPr>
          <w:rFonts w:hint="eastAsia" w:ascii="Times New Roman" w:hAnsi="Times New Roman"/>
          <w:lang w:val="en-US" w:eastAsia="zh-CN"/>
        </w:rPr>
        <w:t>8</w:t>
      </w:r>
      <w:r>
        <w:rPr>
          <w:rFonts w:hint="eastAsia"/>
        </w:rPr>
        <w:t>.</w:t>
      </w:r>
      <w:r>
        <w:rPr>
          <w:rFonts w:hint="eastAsia" w:ascii="Times New Roman" w:hAnsi="Times New Roman"/>
        </w:rPr>
        <w:t>4</w:t>
      </w:r>
      <w:r>
        <w:rPr>
          <w:rFonts w:hint="eastAsia"/>
        </w:rPr>
        <w:t>.</w:t>
      </w:r>
      <w:r>
        <w:rPr>
          <w:rFonts w:hint="eastAsia" w:ascii="Times New Roman" w:hAnsi="Times New Roman"/>
        </w:rPr>
        <w:t>3</w:t>
      </w:r>
      <w:r>
        <w:rPr>
          <w:rFonts w:hint="eastAsia"/>
        </w:rPr>
        <w:t xml:space="preserve"> 经济损益分析</w:t>
      </w:r>
    </w:p>
    <w:p>
      <w:pPr>
        <w:rPr>
          <w:rFonts w:hint="eastAsia"/>
        </w:rPr>
      </w:pPr>
      <w:r>
        <w:rPr>
          <w:rFonts w:hint="eastAsia"/>
        </w:rPr>
        <w:t>（</w:t>
      </w:r>
      <w:r>
        <w:rPr>
          <w:rFonts w:hint="eastAsia" w:ascii="Times New Roman" w:hAnsi="Times New Roman"/>
        </w:rPr>
        <w:t>1</w:t>
      </w:r>
      <w:r>
        <w:rPr>
          <w:rFonts w:hint="eastAsia"/>
        </w:rPr>
        <w:t>）环境成本比率</w:t>
      </w:r>
    </w:p>
    <w:p>
      <w:pPr>
        <w:rPr>
          <w:rFonts w:hint="eastAsia"/>
        </w:rPr>
      </w:pPr>
      <w:r>
        <w:rPr>
          <w:rFonts w:hint="eastAsia"/>
        </w:rPr>
        <w:t>本项目环保</w:t>
      </w:r>
      <w:r>
        <w:rPr>
          <w:rFonts w:hint="eastAsia"/>
          <w:lang w:eastAsia="zh-CN"/>
        </w:rPr>
        <w:t>设施</w:t>
      </w:r>
      <w:r>
        <w:rPr>
          <w:rFonts w:hint="eastAsia"/>
        </w:rPr>
        <w:t>运行管理费为</w:t>
      </w:r>
      <w:r>
        <w:rPr>
          <w:rFonts w:hint="eastAsia" w:ascii="Times New Roman" w:hAnsi="Times New Roman"/>
          <w:lang w:val="en-US" w:eastAsia="zh-CN"/>
        </w:rPr>
        <w:t>12</w:t>
      </w:r>
      <w:r>
        <w:rPr>
          <w:rFonts w:hint="eastAsia"/>
        </w:rPr>
        <w:t>万元。</w:t>
      </w:r>
    </w:p>
    <w:p>
      <w:pPr>
        <w:rPr>
          <w:rFonts w:hint="eastAsia"/>
        </w:rPr>
      </w:pPr>
      <w:r>
        <w:rPr>
          <w:rFonts w:hint="eastAsia"/>
        </w:rPr>
        <w:t>通过如下</w:t>
      </w:r>
      <w:r>
        <w:rPr>
          <w:rFonts w:hint="eastAsia"/>
          <w:lang w:eastAsia="zh-CN"/>
        </w:rPr>
        <w:t>公式</w:t>
      </w:r>
      <w:r>
        <w:rPr>
          <w:rFonts w:hint="eastAsia"/>
        </w:rPr>
        <w:t>计算：</w:t>
      </w:r>
    </w:p>
    <w:p>
      <w:pPr>
        <w:rPr>
          <w:rFonts w:hint="eastAsia"/>
        </w:rPr>
      </w:pPr>
      <w:r>
        <w:rPr>
          <w:rFonts w:hint="eastAsia"/>
        </w:rPr>
        <w:t>环境成本比率=环保运行管理费/工程总经济效益=</w:t>
      </w:r>
      <w:r>
        <w:rPr>
          <w:rFonts w:hint="eastAsia" w:ascii="Times New Roman" w:hAnsi="Times New Roman"/>
          <w:lang w:val="en-US" w:eastAsia="zh-CN"/>
        </w:rPr>
        <w:t>12</w:t>
      </w:r>
      <w:r>
        <w:rPr>
          <w:rFonts w:hint="eastAsia"/>
        </w:rPr>
        <w:t>/</w:t>
      </w:r>
      <w:r>
        <w:rPr>
          <w:rFonts w:hint="eastAsia" w:ascii="Times New Roman" w:hAnsi="Times New Roman"/>
          <w:lang w:val="en-US" w:eastAsia="zh-CN"/>
        </w:rPr>
        <w:t>529</w:t>
      </w:r>
      <w:r>
        <w:rPr>
          <w:rFonts w:hint="eastAsia" w:ascii="Times New Roman"/>
          <w:lang w:val="en-US" w:eastAsia="zh-CN"/>
        </w:rPr>
        <w:t>.</w:t>
      </w:r>
      <w:r>
        <w:rPr>
          <w:rFonts w:hint="eastAsia" w:ascii="Times New Roman" w:hAnsi="Times New Roman"/>
          <w:lang w:val="en-US" w:eastAsia="zh-CN"/>
        </w:rPr>
        <w:t>96</w:t>
      </w:r>
      <w:r>
        <w:rPr>
          <w:rFonts w:hint="eastAsia"/>
        </w:rPr>
        <w:t>=</w:t>
      </w:r>
      <w:r>
        <w:rPr>
          <w:rFonts w:hint="eastAsia" w:ascii="Times New Roman" w:hAnsi="Times New Roman"/>
          <w:lang w:val="en-US" w:eastAsia="zh-CN"/>
        </w:rPr>
        <w:t>2</w:t>
      </w:r>
      <w:r>
        <w:rPr>
          <w:rFonts w:hint="eastAsia" w:ascii="Times New Roman"/>
          <w:lang w:val="en-US" w:eastAsia="zh-CN"/>
        </w:rPr>
        <w:t>.</w:t>
      </w:r>
      <w:r>
        <w:rPr>
          <w:rFonts w:hint="eastAsia" w:ascii="Times New Roman" w:hAnsi="Times New Roman"/>
          <w:lang w:val="en-US" w:eastAsia="zh-CN"/>
        </w:rPr>
        <w:t>26</w:t>
      </w:r>
      <w:r>
        <w:rPr>
          <w:rFonts w:hint="eastAsia"/>
        </w:rPr>
        <w:t>%。</w:t>
      </w:r>
    </w:p>
    <w:p>
      <w:pPr>
        <w:rPr>
          <w:rFonts w:hint="eastAsia"/>
        </w:rPr>
      </w:pPr>
      <w:r>
        <w:rPr>
          <w:rFonts w:hint="eastAsia"/>
        </w:rPr>
        <w:t>（</w:t>
      </w:r>
      <w:r>
        <w:rPr>
          <w:rFonts w:hint="eastAsia" w:ascii="Times New Roman" w:hAnsi="Times New Roman"/>
        </w:rPr>
        <w:t>2</w:t>
      </w:r>
      <w:r>
        <w:rPr>
          <w:rFonts w:hint="eastAsia"/>
        </w:rPr>
        <w:t>）环境系数</w:t>
      </w:r>
    </w:p>
    <w:p>
      <w:pPr>
        <w:rPr>
          <w:rFonts w:hint="eastAsia"/>
        </w:rPr>
      </w:pPr>
      <w:r>
        <w:rPr>
          <w:rFonts w:hint="eastAsia"/>
        </w:rPr>
        <w:t>环境系数指单位产值所需的环保运行管理费用。</w:t>
      </w:r>
    </w:p>
    <w:p>
      <w:pPr>
        <w:rPr>
          <w:rFonts w:hint="eastAsia"/>
        </w:rPr>
      </w:pPr>
      <w:r>
        <w:rPr>
          <w:rFonts w:hint="eastAsia"/>
        </w:rPr>
        <w:t>环境系数=环保运行管理费/总产值=</w:t>
      </w:r>
      <w:r>
        <w:rPr>
          <w:rFonts w:hint="eastAsia" w:ascii="Times New Roman" w:hAnsi="Times New Roman"/>
          <w:lang w:val="en-US" w:eastAsia="zh-CN"/>
        </w:rPr>
        <w:t>12</w:t>
      </w:r>
      <w:r>
        <w:rPr>
          <w:rFonts w:hint="eastAsia"/>
        </w:rPr>
        <w:t>/</w:t>
      </w:r>
      <w:r>
        <w:rPr>
          <w:rFonts w:hint="eastAsia" w:ascii="Times New Roman" w:hAnsi="Times New Roman"/>
          <w:lang w:val="en-US" w:eastAsia="zh-CN"/>
        </w:rPr>
        <w:t>1209</w:t>
      </w:r>
      <w:r>
        <w:rPr>
          <w:rFonts w:hint="eastAsia" w:ascii="Times New Roman"/>
          <w:lang w:val="en-US" w:eastAsia="zh-CN"/>
        </w:rPr>
        <w:t>.</w:t>
      </w:r>
      <w:r>
        <w:rPr>
          <w:rFonts w:hint="eastAsia" w:ascii="Times New Roman" w:hAnsi="Times New Roman"/>
          <w:lang w:val="en-US" w:eastAsia="zh-CN"/>
        </w:rPr>
        <w:t>68</w:t>
      </w:r>
      <w:r>
        <w:rPr>
          <w:rFonts w:hint="eastAsia"/>
        </w:rPr>
        <w:t>=</w:t>
      </w:r>
      <w:r>
        <w:rPr>
          <w:rFonts w:hint="eastAsia" w:ascii="Times New Roman" w:hAnsi="Times New Roman"/>
          <w:lang w:val="en-US" w:eastAsia="zh-CN"/>
        </w:rPr>
        <w:t>0</w:t>
      </w:r>
      <w:r>
        <w:rPr>
          <w:rFonts w:hint="eastAsia" w:ascii="Times New Roman"/>
          <w:lang w:val="en-US" w:eastAsia="zh-CN"/>
        </w:rPr>
        <w:t>.</w:t>
      </w:r>
      <w:r>
        <w:rPr>
          <w:rFonts w:hint="eastAsia" w:ascii="Times New Roman" w:hAnsi="Times New Roman"/>
          <w:lang w:val="en-US" w:eastAsia="zh-CN"/>
        </w:rPr>
        <w:t>991</w:t>
      </w:r>
      <w:r>
        <w:rPr>
          <w:rFonts w:hint="eastAsia"/>
        </w:rPr>
        <w:t>%。</w:t>
      </w:r>
    </w:p>
    <w:p>
      <w:pPr>
        <w:rPr>
          <w:rFonts w:hint="eastAsia"/>
        </w:rPr>
      </w:pPr>
      <w:r>
        <w:rPr>
          <w:rFonts w:hint="eastAsia"/>
        </w:rPr>
        <w:t>（</w:t>
      </w:r>
      <w:r>
        <w:rPr>
          <w:rFonts w:hint="eastAsia" w:ascii="Times New Roman" w:hAnsi="Times New Roman"/>
        </w:rPr>
        <w:t>3</w:t>
      </w:r>
      <w:r>
        <w:rPr>
          <w:rFonts w:hint="eastAsia"/>
        </w:rPr>
        <w:t>）环境投资效益</w:t>
      </w:r>
    </w:p>
    <w:p>
      <w:pPr>
        <w:rPr>
          <w:rFonts w:hint="eastAsia"/>
        </w:rPr>
      </w:pPr>
      <w:r>
        <w:rPr>
          <w:rFonts w:hint="eastAsia"/>
        </w:rPr>
        <w:t>环境投资效益是指环境经济效益与环保运行管理费用的比值。</w:t>
      </w:r>
    </w:p>
    <w:p>
      <w:pPr>
        <w:rPr>
          <w:rFonts w:hint="eastAsia"/>
        </w:rPr>
      </w:pPr>
      <w:r>
        <w:rPr>
          <w:rFonts w:hint="eastAsia"/>
        </w:rPr>
        <w:t>环境投资效益=环境经济效益/环保运行管理费用=（</w:t>
      </w:r>
      <w:r>
        <w:rPr>
          <w:rFonts w:hint="eastAsia" w:ascii="Times New Roman" w:hAnsi="Times New Roman"/>
          <w:lang w:val="en-US" w:eastAsia="zh-CN"/>
        </w:rPr>
        <w:t>1776</w:t>
      </w:r>
      <w:r>
        <w:rPr>
          <w:rFonts w:hint="eastAsia"/>
        </w:rPr>
        <w:t>/</w:t>
      </w:r>
      <w:r>
        <w:rPr>
          <w:rFonts w:hint="eastAsia" w:ascii="Times New Roman" w:hAnsi="Times New Roman"/>
          <w:lang w:val="en-US" w:eastAsia="zh-CN"/>
        </w:rPr>
        <w:t>12</w:t>
      </w:r>
      <w:r>
        <w:rPr>
          <w:rFonts w:hint="eastAsia"/>
        </w:rPr>
        <w:t>）×=</w:t>
      </w:r>
      <w:r>
        <w:rPr>
          <w:rFonts w:hint="eastAsia" w:ascii="Times New Roman" w:hAnsi="Times New Roman"/>
          <w:lang w:val="en-US" w:eastAsia="zh-CN"/>
        </w:rPr>
        <w:t>14800</w:t>
      </w:r>
      <w:r>
        <w:rPr>
          <w:rFonts w:hint="eastAsia"/>
        </w:rPr>
        <w:t>%</w:t>
      </w:r>
    </w:p>
    <w:p>
      <w:pPr>
        <w:rPr>
          <w:rFonts w:hint="eastAsia"/>
        </w:rPr>
      </w:pPr>
      <w:r>
        <w:rPr>
          <w:rFonts w:hint="eastAsia"/>
        </w:rPr>
        <w:t>通过以上计算可以看出，本建设项目环境成本低、环境系数低、环境投资效益高。这充分说明环保投资取得的环境经济效益是显著，明显减少了污染，达到了保护环境的最终目标；这完全符合我国环境保护管理工作一贯坚持的经济效益、社会效益和环境效益三统一的原则，同时也符合经济与环境协调持续发展的基本原则。</w:t>
      </w:r>
    </w:p>
    <w:p>
      <w:pPr>
        <w:ind w:firstLine="480"/>
        <w:rPr>
          <w:rFonts w:hint="eastAsia"/>
        </w:rPr>
      </w:pPr>
      <w:r>
        <w:t>结合本工程带来的环境损失、产生的经济效益和社会效益以及工程的环保投入和产生的环境效益进行综合分析和比较，本工程的建设在创造良好经济效益和社会效益的同时，对环境的影响有限，经采取污染防治措施后，能够将工程带来的环境损失降到很低程度。</w:t>
      </w:r>
    </w:p>
    <w:p>
      <w:pPr>
        <w:pStyle w:val="3"/>
        <w:numPr>
          <w:ilvl w:val="0"/>
          <w:numId w:val="0"/>
        </w:numPr>
        <w:rPr>
          <w:rFonts w:hint="eastAsia"/>
        </w:rPr>
      </w:pPr>
      <w:r>
        <w:rPr>
          <w:rFonts w:hint="eastAsia"/>
        </w:rPr>
        <w:br w:type="page"/>
      </w:r>
      <w:bookmarkStart w:id="261" w:name="_Toc18663"/>
      <w:bookmarkStart w:id="262" w:name="_Toc26510"/>
      <w:r>
        <w:rPr>
          <w:rStyle w:val="100"/>
          <w:rFonts w:hint="eastAsia" w:ascii="Times New Roman" w:hAnsi="Times New Roman"/>
          <w:b/>
          <w:bCs/>
          <w:lang w:val="en-US"/>
        </w:rPr>
        <w:t>9</w:t>
      </w:r>
      <w:r>
        <w:rPr>
          <w:rStyle w:val="100"/>
          <w:rFonts w:hint="eastAsia"/>
          <w:b/>
          <w:bCs/>
        </w:rPr>
        <w:t>环境管理与监测计划</w:t>
      </w:r>
      <w:bookmarkEnd w:id="261"/>
      <w:bookmarkEnd w:id="262"/>
    </w:p>
    <w:p>
      <w:pPr>
        <w:pStyle w:val="4"/>
        <w:spacing w:before="165" w:after="165"/>
        <w:rPr>
          <w:rFonts w:hint="eastAsia" w:eastAsia="楷体_GB2312"/>
          <w:lang w:eastAsia="zh-CN"/>
        </w:rPr>
      </w:pPr>
      <w:bookmarkStart w:id="263" w:name="_Toc10346"/>
      <w:bookmarkStart w:id="264" w:name="_Toc9520"/>
      <w:r>
        <w:rPr>
          <w:rFonts w:hint="eastAsia" w:ascii="Times New Roman" w:hAnsi="Times New Roman"/>
          <w:lang w:val="en-US" w:eastAsia="zh-CN"/>
        </w:rPr>
        <w:t>9</w:t>
      </w:r>
      <w:r>
        <w:rPr>
          <w:rFonts w:hint="eastAsia"/>
        </w:rPr>
        <w:t>.</w:t>
      </w:r>
      <w:r>
        <w:rPr>
          <w:rFonts w:hint="eastAsia" w:ascii="Times New Roman" w:hAnsi="Times New Roman"/>
        </w:rPr>
        <w:t>1</w:t>
      </w:r>
      <w:r>
        <w:rPr>
          <w:rFonts w:hint="eastAsia"/>
        </w:rPr>
        <w:t xml:space="preserve"> </w:t>
      </w:r>
      <w:bookmarkStart w:id="265" w:name="_Toc5069"/>
      <w:r>
        <w:rPr>
          <w:rFonts w:hint="eastAsia"/>
        </w:rPr>
        <w:t>环境管理</w:t>
      </w:r>
      <w:bookmarkEnd w:id="263"/>
      <w:bookmarkEnd w:id="264"/>
      <w:bookmarkEnd w:id="265"/>
    </w:p>
    <w:p>
      <w:pPr>
        <w:bidi w:val="0"/>
        <w:rPr>
          <w:rFonts w:hint="default"/>
        </w:rPr>
      </w:pPr>
      <w:r>
        <w:rPr>
          <w:rFonts w:hint="default"/>
        </w:rPr>
        <w:t>环境管理是以环境科学理论为基础，运用经济、法律、技术、行政、教育等手段对经济、社会发展过程中施加给环境的污染和破坏影响进行调节控制，实现经济、社会和环境效益的和谐统一。环境管理的基本任务是控制污染物的排放量和避免或减轻排出污染物对环境的损害。为了控制污染物的排放，就需要加强计划、生产、技术、质量、设备、劳动等方面的管理，把环境管理渗透到整个企业的管理中，将环境目标与生产目标融合在一起，以减少从生产过程中各环节排出的污染物。</w:t>
      </w:r>
    </w:p>
    <w:p>
      <w:pPr>
        <w:bidi w:val="0"/>
        <w:rPr>
          <w:rFonts w:hint="default"/>
        </w:rPr>
      </w:pPr>
      <w:r>
        <w:rPr>
          <w:rFonts w:hint="default"/>
        </w:rPr>
        <w:t>为全面贯彻和落实国家以及地方环保法律、法规，加强企业内部污染物排放监督控制，有效控制、减轻施工期间环境污染影响，保护项目所在地的环境质量，企业内部必须建立行之有效的环境管理机构。</w:t>
      </w:r>
    </w:p>
    <w:p>
      <w:pPr>
        <w:bidi w:val="0"/>
        <w:rPr>
          <w:rFonts w:hint="default"/>
        </w:rPr>
      </w:pPr>
      <w:r>
        <w:rPr>
          <w:rFonts w:hint="default"/>
        </w:rPr>
        <w:t>（</w:t>
      </w:r>
      <w:r>
        <w:rPr>
          <w:rFonts w:hint="default" w:ascii="Times New Roman" w:hAnsi="Times New Roman"/>
        </w:rPr>
        <w:t>1</w:t>
      </w:r>
      <w:r>
        <w:rPr>
          <w:rFonts w:hint="default"/>
        </w:rPr>
        <w:t>）企业环境管理机构设置与职能</w:t>
      </w:r>
    </w:p>
    <w:p>
      <w:pPr>
        <w:bidi w:val="0"/>
        <w:rPr>
          <w:rFonts w:hint="default"/>
        </w:rPr>
      </w:pPr>
      <w:r>
        <w:rPr>
          <w:rFonts w:hint="eastAsia"/>
          <w:lang w:eastAsia="zh-CN"/>
        </w:rPr>
        <w:t>建设单位已</w:t>
      </w:r>
      <w:r>
        <w:rPr>
          <w:rFonts w:hint="default"/>
        </w:rPr>
        <w:t>设立有环境保护专门机构，负责环境监督管理、日常环保管理和环保技术研究工作，环保机构主要工作职责见表</w:t>
      </w:r>
      <w:r>
        <w:rPr>
          <w:rFonts w:hint="eastAsia" w:ascii="Times New Roman" w:hAnsi="Times New Roman"/>
          <w:lang w:val="en-US" w:eastAsia="zh-CN"/>
        </w:rPr>
        <w:t>9</w:t>
      </w:r>
      <w:r>
        <w:rPr>
          <w:rFonts w:hint="default"/>
        </w:rPr>
        <w:t>.</w:t>
      </w:r>
      <w:r>
        <w:rPr>
          <w:rFonts w:hint="default" w:ascii="Times New Roman" w:hAnsi="Times New Roman"/>
        </w:rPr>
        <w:t>1</w:t>
      </w:r>
      <w:r>
        <w:rPr>
          <w:rFonts w:hint="default"/>
        </w:rPr>
        <w:t>-</w:t>
      </w:r>
      <w:r>
        <w:rPr>
          <w:rFonts w:hint="default" w:ascii="Times New Roman" w:hAnsi="Times New Roman"/>
        </w:rPr>
        <w:t>1</w:t>
      </w:r>
      <w:r>
        <w:rPr>
          <w:rFonts w:hint="default"/>
        </w:rPr>
        <w:t>。</w:t>
      </w:r>
    </w:p>
    <w:p>
      <w:pPr>
        <w:pStyle w:val="20"/>
        <w:widowControl w:val="0"/>
        <w:wordWrap/>
        <w:adjustRightInd/>
        <w:snapToGrid/>
        <w:spacing w:before="0" w:beforeLines="0" w:after="0"/>
        <w:textAlignment w:val="auto"/>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rPr>
        <w:t>1</w:t>
      </w:r>
      <w:r>
        <w:rPr>
          <w:rFonts w:hint="default" w:ascii="Times New Roman" w:hAnsi="Times New Roman" w:cs="Times New Roman"/>
          <w:color w:val="auto"/>
        </w:rPr>
        <w:t>-</w:t>
      </w:r>
      <w:r>
        <w:rPr>
          <w:rFonts w:hint="default" w:ascii="Times New Roman" w:hAnsi="Times New Roman" w:cs="Times New Roman"/>
          <w:color w:val="auto"/>
        </w:rPr>
        <w:t>1</w:t>
      </w:r>
      <w:r>
        <w:rPr>
          <w:rFonts w:hint="default" w:ascii="Times New Roman" w:hAnsi="Times New Roman" w:cs="Times New Roman"/>
          <w:color w:val="auto"/>
        </w:rPr>
        <w:t xml:space="preserve">    环保机构主要工作职责一览表</w:t>
      </w:r>
    </w:p>
    <w:tbl>
      <w:tblPr>
        <w:tblStyle w:val="80"/>
        <w:tblW w:w="91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36" w:type="dxa"/>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部门</w:t>
            </w:r>
          </w:p>
        </w:tc>
        <w:tc>
          <w:tcPr>
            <w:tcW w:w="8309" w:type="dxa"/>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主要工作职责内容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36" w:type="dxa"/>
            <w:vMerge w:val="restart"/>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司</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构</w:t>
            </w: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rPr>
              <w:t>.按照国家、地方和行业环保法律法规及标准要求，制定环境管理制度，明确各部门、车间环保职责，监督、检查各产污环节污染防治措施落实及环保设施运行情况。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rPr>
              <w:t>.编制企业内部环境保护和环保产业发展规划及年度计划，落实环保治理工程方案。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t>.组织、配合有资质环境监测部门开展定期污染源监测，组织对工程的竣工验收。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rPr>
              <w:t>.强化资源能源管理，实现废物减量化和再资源化，坚持环境污染有效预防。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rPr>
              <w:t>.配合公司领导完成环保责任目标，确保污染物达标排放。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rPr>
              <w:t>.健全施工期环境监理和运行期环境保护档案，负责厂区日常环境保护与绿化管理，按照国家有关规定及时、准确地上报企业环境报表和环境质量报告书。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rPr>
              <w:t>.及时处理群众环境纠纷，组织对突发性污染事故善后处理，追查原因并及时上报。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rPr>
              <w:t>.负责环保宣传与员工培训，提高环保意识教育，确保实现清洁生产、持续改进。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36" w:type="dxa"/>
            <w:vMerge w:val="continue"/>
            <w:vAlign w:val="top"/>
          </w:tcPr>
          <w:p>
            <w:pPr>
              <w:spacing w:before="0" w:after="0" w:line="240" w:lineRule="auto"/>
              <w:ind w:firstLine="0"/>
              <w:rPr>
                <w:rFonts w:hint="default" w:ascii="Times New Roman" w:hAnsi="Times New Roman" w:cs="Times New Roman"/>
                <w:color w:val="auto"/>
                <w:sz w:val="21"/>
                <w:szCs w:val="21"/>
              </w:rPr>
            </w:pPr>
          </w:p>
        </w:tc>
        <w:tc>
          <w:tcPr>
            <w:tcW w:w="8309"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rPr>
              <w:t>.负责本企业环境管理工作，主动接受上级环保行政主管部门的工作指导与检查。</w:t>
            </w:r>
          </w:p>
        </w:tc>
      </w:tr>
    </w:tbl>
    <w:p>
      <w:pPr>
        <w:bidi w:val="0"/>
        <w:rPr>
          <w:rFonts w:hint="default"/>
        </w:rPr>
      </w:pPr>
      <w:r>
        <w:rPr>
          <w:rFonts w:hint="default"/>
        </w:rPr>
        <w:t>（</w:t>
      </w:r>
      <w:r>
        <w:rPr>
          <w:rFonts w:hint="default" w:ascii="Times New Roman" w:hAnsi="Times New Roman"/>
        </w:rPr>
        <w:t>2</w:t>
      </w:r>
      <w:r>
        <w:rPr>
          <w:rFonts w:hint="default"/>
        </w:rPr>
        <w:t>）建立健全环境保护管理制度</w:t>
      </w:r>
    </w:p>
    <w:p>
      <w:pPr>
        <w:bidi w:val="0"/>
        <w:rPr>
          <w:rFonts w:hint="default"/>
        </w:rPr>
      </w:pPr>
      <w:r>
        <w:rPr>
          <w:rFonts w:hint="default"/>
        </w:rPr>
        <w:t>本评价提出主要环保管理制度内容见表</w:t>
      </w:r>
      <w:r>
        <w:rPr>
          <w:rFonts w:hint="eastAsia" w:ascii="Times New Roman" w:hAnsi="Times New Roman"/>
          <w:lang w:val="en-US" w:eastAsia="zh-CN"/>
        </w:rPr>
        <w:t>9</w:t>
      </w:r>
      <w:r>
        <w:rPr>
          <w:rFonts w:hint="default"/>
        </w:rPr>
        <w:t>.</w:t>
      </w:r>
      <w:r>
        <w:rPr>
          <w:rFonts w:hint="default" w:ascii="Times New Roman" w:hAnsi="Times New Roman"/>
        </w:rPr>
        <w:t>1</w:t>
      </w:r>
      <w:r>
        <w:rPr>
          <w:rFonts w:hint="default"/>
        </w:rPr>
        <w:t>-</w:t>
      </w:r>
      <w:r>
        <w:rPr>
          <w:rFonts w:hint="default" w:ascii="Times New Roman" w:hAnsi="Times New Roman"/>
        </w:rPr>
        <w:t>2</w:t>
      </w:r>
      <w:r>
        <w:rPr>
          <w:rFonts w:hint="default"/>
        </w:rPr>
        <w:t>，环保设施管理规程见表</w:t>
      </w:r>
      <w:r>
        <w:rPr>
          <w:rFonts w:hint="eastAsia" w:ascii="Times New Roman" w:hAnsi="Times New Roman"/>
          <w:lang w:val="en-US" w:eastAsia="zh-CN"/>
        </w:rPr>
        <w:t>9</w:t>
      </w:r>
      <w:r>
        <w:rPr>
          <w:rFonts w:hint="default"/>
        </w:rPr>
        <w:t>.</w:t>
      </w:r>
      <w:r>
        <w:rPr>
          <w:rFonts w:hint="default" w:ascii="Times New Roman" w:hAnsi="Times New Roman"/>
        </w:rPr>
        <w:t>1</w:t>
      </w:r>
      <w:r>
        <w:rPr>
          <w:rFonts w:hint="default"/>
        </w:rPr>
        <w:t>-</w:t>
      </w:r>
      <w:r>
        <w:rPr>
          <w:rFonts w:hint="default" w:ascii="Times New Roman" w:hAnsi="Times New Roman"/>
        </w:rPr>
        <w:t>3</w:t>
      </w:r>
      <w:r>
        <w:rPr>
          <w:rFonts w:hint="default"/>
        </w:rPr>
        <w:t>。</w:t>
      </w:r>
    </w:p>
    <w:p>
      <w:pPr>
        <w:pStyle w:val="20"/>
        <w:spacing w:before="120" w:after="0"/>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rPr>
        <w:t>1</w:t>
      </w:r>
      <w:r>
        <w:rPr>
          <w:rFonts w:hint="default" w:ascii="Times New Roman" w:hAnsi="Times New Roman" w:cs="Times New Roman"/>
          <w:color w:val="auto"/>
        </w:rPr>
        <w:t>-</w:t>
      </w:r>
      <w:r>
        <w:rPr>
          <w:rFonts w:hint="default" w:ascii="Times New Roman" w:hAnsi="Times New Roman" w:cs="Times New Roman"/>
          <w:color w:val="auto"/>
        </w:rPr>
        <w:t>2</w:t>
      </w:r>
      <w:r>
        <w:rPr>
          <w:rFonts w:hint="default" w:ascii="Times New Roman" w:hAnsi="Times New Roman" w:cs="Times New Roman"/>
          <w:color w:val="auto"/>
        </w:rPr>
        <w:t xml:space="preserve">    环境保护管理制度表</w:t>
      </w:r>
    </w:p>
    <w:tbl>
      <w:tblPr>
        <w:tblStyle w:val="80"/>
        <w:tblW w:w="91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80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1" w:type="dxa"/>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部门</w:t>
            </w:r>
          </w:p>
        </w:tc>
        <w:tc>
          <w:tcPr>
            <w:tcW w:w="8085" w:type="dxa"/>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61" w:type="dxa"/>
            <w:vMerge w:val="restart"/>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公司</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w:t>
            </w:r>
          </w:p>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机构</w:t>
            </w: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rPr>
              <w:t>.环境质量管理目标与指标统计考核制度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rPr>
              <w:t>.清洁生产管理与审核制度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t>.内部环境管理、监督与检查制度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rPr>
              <w:t>.环境保护岗位职责奖惩制度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rPr>
              <w:t>.环保设施与设备检查、保养和维护管理制度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rPr>
              <w:t>.环境保护定期、不定期监测与污染源排查制度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rPr>
              <w:t>.环境保护档案管理与环境污染事故应急处置管理规定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rPr>
              <w:t>.危险化学品贮运、使用联单管理制度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rPr>
              <w:t>.危险废物贮存、安全处置转移登记制度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rPr>
              <w:t>.制定环境风险事故报告制度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61"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8085" w:type="dxa"/>
            <w:vAlign w:val="top"/>
          </w:tcPr>
          <w:p>
            <w:pPr>
              <w:spacing w:before="0" w:after="0" w:line="240" w:lineRule="auto"/>
              <w:ind w:firstLine="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r>
              <w:rPr>
                <w:rFonts w:hint="default" w:ascii="Times New Roman" w:hAnsi="Times New Roman" w:cs="Times New Roman"/>
                <w:color w:val="auto"/>
                <w:sz w:val="21"/>
                <w:szCs w:val="21"/>
              </w:rPr>
              <w:t>.环境保护宣传、教育与培训制度</w:t>
            </w:r>
          </w:p>
        </w:tc>
      </w:tr>
    </w:tbl>
    <w:p>
      <w:pPr>
        <w:pStyle w:val="20"/>
        <w:spacing w:before="120" w:after="0"/>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rPr>
        <w:t>1</w:t>
      </w:r>
      <w:r>
        <w:rPr>
          <w:rFonts w:hint="default" w:ascii="Times New Roman" w:hAnsi="Times New Roman" w:cs="Times New Roman"/>
          <w:color w:val="auto"/>
        </w:rPr>
        <w:t>-</w:t>
      </w:r>
      <w:r>
        <w:rPr>
          <w:rFonts w:hint="default" w:ascii="Times New Roman" w:hAnsi="Times New Roman" w:cs="Times New Roman"/>
          <w:color w:val="auto"/>
        </w:rPr>
        <w:t>3</w:t>
      </w:r>
      <w:r>
        <w:rPr>
          <w:rFonts w:hint="default" w:ascii="Times New Roman" w:hAnsi="Times New Roman" w:cs="Times New Roman"/>
          <w:color w:val="auto"/>
        </w:rPr>
        <w:t xml:space="preserve">    环保设施管理规程表</w:t>
      </w:r>
    </w:p>
    <w:tbl>
      <w:tblPr>
        <w:tblStyle w:val="80"/>
        <w:tblW w:w="91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7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866" w:type="dxa"/>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实施部门</w:t>
            </w:r>
          </w:p>
        </w:tc>
        <w:tc>
          <w:tcPr>
            <w:tcW w:w="7280" w:type="dxa"/>
            <w:vAlign w:val="top"/>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主要管理内容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866" w:type="dxa"/>
            <w:vMerge w:val="restart"/>
            <w:vAlign w:val="center"/>
          </w:tcPr>
          <w:p>
            <w:pPr>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公司环保机构</w:t>
            </w:r>
          </w:p>
        </w:tc>
        <w:tc>
          <w:tcPr>
            <w:tcW w:w="7280"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rPr>
              <w:t>.环保设施运行、维护和保养管理规程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866"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7280"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rPr>
              <w:t>.隔声、消声设备与设施维护和保养管理规程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866" w:type="dxa"/>
            <w:vMerge w:val="continue"/>
            <w:vAlign w:val="center"/>
          </w:tcPr>
          <w:p>
            <w:pPr>
              <w:spacing w:before="0" w:after="0" w:line="240" w:lineRule="auto"/>
              <w:ind w:firstLine="0"/>
              <w:rPr>
                <w:rFonts w:hint="default" w:ascii="Times New Roman" w:hAnsi="Times New Roman" w:cs="Times New Roman"/>
                <w:color w:val="auto"/>
                <w:sz w:val="21"/>
                <w:szCs w:val="21"/>
              </w:rPr>
            </w:pPr>
          </w:p>
        </w:tc>
        <w:tc>
          <w:tcPr>
            <w:tcW w:w="7280" w:type="dxa"/>
            <w:vAlign w:val="top"/>
          </w:tcPr>
          <w:p>
            <w:pPr>
              <w:spacing w:before="0" w:after="0" w:line="240" w:lineRule="auto"/>
              <w:ind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rPr>
              <w:t>.重点环保设施及污染控制点巡回检查制度</w:t>
            </w:r>
          </w:p>
        </w:tc>
      </w:tr>
    </w:tbl>
    <w:p>
      <w:pPr>
        <w:bidi w:val="0"/>
        <w:rPr>
          <w:rFonts w:hint="eastAsia"/>
          <w:lang w:eastAsia="zh-CN"/>
        </w:rPr>
      </w:pPr>
      <w:r>
        <w:rPr>
          <w:rFonts w:hint="default" w:ascii="Times New Roman" w:hAnsi="Times New Roman" w:cs="Times New Roman"/>
          <w:color w:val="auto"/>
        </w:rPr>
        <w:t>要求与环境污染有关的各生产岗位必须明确环境管理任务和责任，并将其列入岗位职责，与其经济利益挂钩，定期检查、考核，使企业环境管理制度落到实处。</w:t>
      </w:r>
    </w:p>
    <w:p>
      <w:pPr>
        <w:pStyle w:val="4"/>
        <w:tabs>
          <w:tab w:val="left" w:pos="0"/>
          <w:tab w:val="left" w:pos="575"/>
        </w:tabs>
        <w:spacing w:before="165" w:after="165"/>
        <w:rPr>
          <w:rFonts w:hint="eastAsia"/>
        </w:rPr>
      </w:pPr>
      <w:bookmarkStart w:id="266" w:name="_Toc8264"/>
      <w:r>
        <w:rPr>
          <w:rFonts w:hint="eastAsia" w:ascii="Times New Roman" w:hAnsi="Times New Roman"/>
          <w:lang w:val="en-US" w:eastAsia="zh-CN"/>
        </w:rPr>
        <w:t>9</w:t>
      </w:r>
      <w:r>
        <w:rPr>
          <w:rFonts w:hint="eastAsia"/>
        </w:rPr>
        <w:t>.</w:t>
      </w:r>
      <w:r>
        <w:rPr>
          <w:rFonts w:hint="eastAsia" w:ascii="Times New Roman" w:hAnsi="Times New Roman"/>
        </w:rPr>
        <w:t>2</w:t>
      </w:r>
      <w:bookmarkStart w:id="267" w:name="_Toc25592"/>
      <w:bookmarkStart w:id="268" w:name="_Toc7094"/>
      <w:r>
        <w:rPr>
          <w:rFonts w:hint="eastAsia" w:ascii="Times New Roman" w:hAnsi="Times New Roman"/>
          <w:lang w:eastAsia="zh-CN"/>
        </w:rPr>
        <w:t>各阶段的</w:t>
      </w:r>
      <w:r>
        <w:rPr>
          <w:rFonts w:hint="eastAsia"/>
        </w:rPr>
        <w:t>环境管理要求</w:t>
      </w:r>
      <w:bookmarkEnd w:id="266"/>
      <w:bookmarkEnd w:id="267"/>
      <w:bookmarkEnd w:id="268"/>
    </w:p>
    <w:p>
      <w:pPr>
        <w:pStyle w:val="5"/>
        <w:bidi w:val="0"/>
        <w:rPr>
          <w:rFonts w:hint="default"/>
          <w:lang w:val="en-US" w:eastAsia="zh-CN"/>
        </w:rPr>
      </w:pP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项目审批阶段</w:t>
      </w:r>
    </w:p>
    <w:p>
      <w:pPr>
        <w:spacing w:line="360" w:lineRule="auto"/>
        <w:ind w:firstLine="480"/>
        <w:rPr>
          <w:rFonts w:ascii="Times New Roman" w:hAnsi="Times New Roman"/>
          <w:sz w:val="24"/>
          <w:szCs w:val="24"/>
        </w:rPr>
      </w:pPr>
      <w:r>
        <w:rPr>
          <w:rFonts w:ascii="Times New Roman" w:hAnsi="Times New Roman"/>
          <w:sz w:val="24"/>
          <w:szCs w:val="24"/>
        </w:rPr>
        <w:t>项目环境影响评价文件要按照</w:t>
      </w:r>
      <w:r>
        <w:rPr>
          <w:rFonts w:hint="eastAsia" w:ascii="Times New Roman" w:hAnsi="Times New Roman"/>
          <w:sz w:val="24"/>
          <w:szCs w:val="24"/>
          <w:lang w:eastAsia="zh-CN"/>
        </w:rPr>
        <w:t>生态环境部</w:t>
      </w:r>
      <w:r>
        <w:rPr>
          <w:rFonts w:ascii="Times New Roman" w:hAnsi="Times New Roman"/>
          <w:sz w:val="24"/>
          <w:szCs w:val="24"/>
        </w:rPr>
        <w:t xml:space="preserve">公布《建设项目环境影响评价分类管理目录》的规定，确定环境影响评价文件的类别，委托环评机构编制。 </w:t>
      </w:r>
    </w:p>
    <w:p>
      <w:pPr>
        <w:spacing w:line="360" w:lineRule="auto"/>
        <w:ind w:firstLine="480"/>
        <w:rPr>
          <w:rFonts w:ascii="Times New Roman" w:hAnsi="Times New Roman"/>
          <w:sz w:val="24"/>
          <w:szCs w:val="24"/>
        </w:rPr>
      </w:pPr>
      <w:r>
        <w:rPr>
          <w:rFonts w:ascii="Times New Roman" w:hAnsi="Times New Roman"/>
          <w:sz w:val="24"/>
          <w:szCs w:val="24"/>
        </w:rPr>
        <w:t xml:space="preserve">企业在建设项目环评文件编制前应积极配合环评编制单位查勘现场，及时提供环评文件编写所需的各类资料。 </w:t>
      </w:r>
    </w:p>
    <w:p>
      <w:pPr>
        <w:spacing w:line="360" w:lineRule="auto"/>
        <w:ind w:firstLine="480"/>
        <w:rPr>
          <w:rFonts w:ascii="Times New Roman" w:hAnsi="Times New Roman"/>
          <w:sz w:val="24"/>
          <w:szCs w:val="24"/>
        </w:rPr>
      </w:pPr>
      <w:r>
        <w:rPr>
          <w:rFonts w:ascii="Times New Roman" w:hAnsi="Times New Roman"/>
          <w:sz w:val="24"/>
          <w:szCs w:val="24"/>
        </w:rPr>
        <w:t>在环境影响报告书的编制和</w:t>
      </w:r>
      <w:r>
        <w:rPr>
          <w:rFonts w:hint="eastAsia" w:ascii="Times New Roman" w:hAnsi="Times New Roman"/>
          <w:sz w:val="24"/>
          <w:szCs w:val="24"/>
          <w:lang w:eastAsia="zh-CN"/>
        </w:rPr>
        <w:t>生态</w:t>
      </w:r>
      <w:r>
        <w:rPr>
          <w:rFonts w:ascii="Times New Roman" w:hAnsi="Times New Roman"/>
          <w:sz w:val="24"/>
          <w:szCs w:val="24"/>
        </w:rPr>
        <w:t xml:space="preserve">环境主管部门审批或者重新审核环境影响报告书的过程中，应该按规定公开有关环境影响评价的信息，征求公众意见。 </w:t>
      </w:r>
    </w:p>
    <w:p>
      <w:pPr>
        <w:spacing w:line="360" w:lineRule="auto"/>
        <w:ind w:firstLine="480"/>
        <w:rPr>
          <w:rFonts w:ascii="Times New Roman" w:hAnsi="Times New Roman"/>
          <w:sz w:val="24"/>
          <w:szCs w:val="24"/>
        </w:rPr>
      </w:pPr>
      <w:r>
        <w:rPr>
          <w:rFonts w:ascii="Times New Roman" w:hAnsi="Times New Roman"/>
          <w:sz w:val="24"/>
          <w:szCs w:val="24"/>
        </w:rPr>
        <w:t>企业有权要求环评文件编制及审批等单位和个人为其保守商业、技术等秘密。</w:t>
      </w:r>
    </w:p>
    <w:p>
      <w:pPr>
        <w:ind w:firstLine="480"/>
        <w:rPr>
          <w:rFonts w:hint="eastAsia"/>
          <w:lang w:eastAsia="zh-CN"/>
        </w:rPr>
      </w:pPr>
      <w:r>
        <w:rPr>
          <w:rFonts w:ascii="Times New Roman" w:hAnsi="Times New Roman"/>
          <w:sz w:val="24"/>
          <w:szCs w:val="24"/>
        </w:rPr>
        <w:t>环境影响评价文件，由建设单位报有审批权的</w:t>
      </w:r>
      <w:r>
        <w:rPr>
          <w:rFonts w:hint="eastAsia" w:ascii="Times New Roman" w:hAnsi="Times New Roman"/>
          <w:sz w:val="24"/>
          <w:szCs w:val="24"/>
          <w:lang w:eastAsia="zh-CN"/>
        </w:rPr>
        <w:t>生态环境</w:t>
      </w:r>
      <w:r>
        <w:rPr>
          <w:rFonts w:ascii="Times New Roman" w:hAnsi="Times New Roman"/>
          <w:sz w:val="24"/>
          <w:szCs w:val="24"/>
        </w:rPr>
        <w:t>行政主管部门审批，环境影响评价文件未经批准，不得开工建设，自批准之日起超过</w:t>
      </w:r>
      <w:r>
        <w:rPr>
          <w:rFonts w:ascii="Times New Roman" w:hAnsi="Times New Roman"/>
          <w:sz w:val="24"/>
          <w:szCs w:val="24"/>
        </w:rPr>
        <w:t>5</w:t>
      </w:r>
      <w:r>
        <w:rPr>
          <w:rFonts w:ascii="Times New Roman" w:hAnsi="Times New Roman"/>
          <w:sz w:val="24"/>
          <w:szCs w:val="24"/>
        </w:rPr>
        <w:t>年方决定该项目开工建设的，其环境影响评价文件应当报原审批部门重新审核。</w:t>
      </w:r>
    </w:p>
    <w:p>
      <w:pPr>
        <w:pStyle w:val="5"/>
        <w:bidi w:val="0"/>
        <w:rPr>
          <w:rFonts w:hint="default"/>
          <w:lang w:val="en-US" w:eastAsia="zh-CN"/>
        </w:rPr>
      </w:pP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建设施工阶段</w:t>
      </w:r>
    </w:p>
    <w:p>
      <w:pPr>
        <w:spacing w:line="360" w:lineRule="auto"/>
        <w:ind w:firstLine="480"/>
        <w:rPr>
          <w:rFonts w:ascii="Times New Roman" w:hAnsi="Times New Roman"/>
          <w:sz w:val="24"/>
          <w:szCs w:val="24"/>
        </w:rPr>
      </w:pPr>
      <w:r>
        <w:rPr>
          <w:rFonts w:ascii="Times New Roman" w:hAnsi="Times New Roman"/>
          <w:sz w:val="24"/>
          <w:szCs w:val="24"/>
        </w:rPr>
        <w:t>项目建设中应根据环境影响评价报告中有关施工期污染防治措施及生态环境保护措施的具体要求进行规范管理，保证守法的规范性。建设单位应会同施工单位做好环保工程设施的施工建设、资金使用情况等资料、文件的整理，建档备查。</w:t>
      </w:r>
    </w:p>
    <w:p>
      <w:pPr>
        <w:ind w:firstLine="480"/>
        <w:rPr>
          <w:rFonts w:hint="eastAsia"/>
          <w:lang w:eastAsia="zh-CN"/>
        </w:rPr>
      </w:pPr>
      <w:r>
        <w:rPr>
          <w:rFonts w:ascii="Times New Roman" w:hAnsi="Times New Roman"/>
          <w:sz w:val="24"/>
          <w:szCs w:val="24"/>
        </w:rPr>
        <w:t>建设单位与施工单位负责落实</w:t>
      </w:r>
      <w:r>
        <w:rPr>
          <w:rFonts w:hint="eastAsia" w:ascii="Times New Roman" w:hAnsi="Times New Roman"/>
          <w:sz w:val="24"/>
          <w:szCs w:val="24"/>
          <w:lang w:eastAsia="zh-CN"/>
        </w:rPr>
        <w:t>生态环境</w:t>
      </w:r>
      <w:r>
        <w:rPr>
          <w:rFonts w:ascii="Times New Roman" w:hAnsi="Times New Roman"/>
          <w:sz w:val="24"/>
          <w:szCs w:val="24"/>
        </w:rPr>
        <w:t>主管部门对施工阶段的环保要求以及施工过程中的环保措施；主要是保护施工现场周围的环境，防止对自然环境造成不应有的破坏；防止和减轻废气、污水、粉尘、噪声、震动等对周围</w:t>
      </w:r>
      <w:r>
        <w:rPr>
          <w:rFonts w:hint="eastAsia" w:ascii="Times New Roman" w:hAnsi="Times New Roman"/>
          <w:sz w:val="24"/>
          <w:szCs w:val="24"/>
          <w:lang w:eastAsia="zh-CN"/>
        </w:rPr>
        <w:t>环境</w:t>
      </w:r>
      <w:r>
        <w:rPr>
          <w:rFonts w:ascii="Times New Roman" w:hAnsi="Times New Roman"/>
          <w:sz w:val="24"/>
          <w:szCs w:val="24"/>
        </w:rPr>
        <w:t>的污染和危害。具体的管理要求见施工期污染防治措施分析内容。</w:t>
      </w:r>
    </w:p>
    <w:p>
      <w:pPr>
        <w:pStyle w:val="5"/>
        <w:bidi w:val="0"/>
        <w:rPr>
          <w:rFonts w:hint="default"/>
          <w:lang w:val="en-US" w:eastAsia="zh-CN"/>
        </w:rPr>
      </w:pP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3</w:t>
      </w:r>
      <w:r>
        <w:rPr>
          <w:rFonts w:hint="eastAsia"/>
          <w:lang w:val="en-US" w:eastAsia="zh-CN"/>
        </w:rPr>
        <w:t>竣工环境保护验收阶段</w:t>
      </w:r>
    </w:p>
    <w:p>
      <w:pPr>
        <w:bidi w:val="0"/>
        <w:rPr>
          <w:rFonts w:hint="eastAsia" w:eastAsia="宋体"/>
          <w:lang w:eastAsia="zh-CN"/>
        </w:rPr>
      </w:pPr>
      <w:r>
        <w:rPr>
          <w:rFonts w:hint="eastAsia"/>
          <w:lang w:eastAsia="zh-CN"/>
        </w:rPr>
        <w:t>根据《建设项目竣工环境保护验收暂行办法》的相关要求，其要点如下：</w:t>
      </w:r>
    </w:p>
    <w:p>
      <w:pPr>
        <w:bidi w:val="0"/>
        <w:rPr>
          <w:rFonts w:hint="eastAsia" w:eastAsia="宋体"/>
          <w:lang w:eastAsia="zh-CN"/>
        </w:rPr>
      </w:pPr>
      <w:r>
        <w:t>（</w:t>
      </w:r>
      <w:r>
        <w:rPr>
          <w:rFonts w:ascii="Times New Roman" w:hAnsi="Times New Roman"/>
        </w:rPr>
        <w:t>1</w:t>
      </w:r>
      <w:r>
        <w:t>）</w:t>
      </w:r>
      <w:r>
        <w:rPr>
          <w:rFonts w:hint="eastAsia"/>
          <w:lang w:eastAsia="zh-CN"/>
        </w:rPr>
        <w:t>建设项目竣工后，建设单位应当如实查验、监测、记载建设项目环境保护设施的建设和调试情况，编制验收监测（调查）报告</w:t>
      </w:r>
      <w:r>
        <w:t>。</w:t>
      </w:r>
    </w:p>
    <w:p>
      <w:pPr>
        <w:bidi w:val="0"/>
      </w:pPr>
      <w:r>
        <w:t>（</w:t>
      </w:r>
      <w:r>
        <w:rPr>
          <w:rFonts w:ascii="Times New Roman" w:hAnsi="Times New Roman"/>
        </w:rPr>
        <w:t>2</w:t>
      </w:r>
      <w:r>
        <w:t>）</w:t>
      </w:r>
      <w:r>
        <w:rPr>
          <w:rFonts w:hint="eastAsia"/>
          <w:lang w:eastAsia="zh-CN"/>
        </w:rPr>
        <w:t>需要对建设项目配套建设的环境保护设施进行调试的，应当确保调试期间污染物排放符合国家和地方有关污染物排放标准和排污许可等相关管理规定。环境保护设施未与主体工程同时建成的，或者应当取得排污许可证但未取得的，建设单位不得对该建设项目环境保护设施进行调试。</w:t>
      </w:r>
    </w:p>
    <w:p>
      <w:pPr>
        <w:bidi w:val="0"/>
      </w:pPr>
      <w:r>
        <w:t>（</w:t>
      </w:r>
      <w:r>
        <w:rPr>
          <w:rFonts w:ascii="Times New Roman" w:hAnsi="Times New Roman"/>
        </w:rPr>
        <w:t>3</w:t>
      </w:r>
      <w:r>
        <w:t>）</w:t>
      </w:r>
      <w:r>
        <w:rPr>
          <w:rFonts w:hint="eastAsia"/>
        </w:rPr>
        <w:t>验收监测（调查）报告编制完成后，建设单位应当根据验收监测（调查）报告结论，逐一检查是否存在验收不合格的情形，提出验收意见。存在问题的，建设单位应当进行整改，整改完成后方可提出验收意见。建设项目配套建设的环境保护设施经验收合格后，其主体工程方可投入生产或者使用；未经验收或者验收不合格的，不得投入生产或者使用。</w:t>
      </w:r>
    </w:p>
    <w:p>
      <w:pPr>
        <w:bidi w:val="0"/>
        <w:rPr>
          <w:rFonts w:hint="eastAsia"/>
          <w:lang w:eastAsia="zh-CN"/>
        </w:rPr>
      </w:pPr>
      <w:r>
        <w:rPr>
          <w:rFonts w:hint="eastAsia"/>
          <w:lang w:eastAsia="zh-CN"/>
        </w:rPr>
        <w:t>（</w:t>
      </w:r>
      <w:r>
        <w:rPr>
          <w:rFonts w:hint="eastAsia" w:ascii="Times New Roman" w:hAnsi="Times New Roman"/>
          <w:lang w:val="en-US" w:eastAsia="zh-CN"/>
        </w:rPr>
        <w:t>4</w:t>
      </w:r>
      <w:r>
        <w:rPr>
          <w:rFonts w:hint="eastAsia"/>
          <w:lang w:eastAsia="zh-CN"/>
        </w:rPr>
        <w:t>）存在以下情形之一的，建设单位不得提出验收合格的意见：</w:t>
      </w:r>
    </w:p>
    <w:p>
      <w:pPr>
        <w:bidi w:val="0"/>
        <w:rPr>
          <w:rFonts w:hint="eastAsia"/>
        </w:rPr>
      </w:pPr>
      <w:r>
        <w:rPr>
          <w:rFonts w:hint="eastAsia"/>
          <w:lang w:eastAsia="zh-CN"/>
        </w:rPr>
        <w:t>①</w:t>
      </w:r>
      <w:r>
        <w:rPr>
          <w:rFonts w:hint="eastAsia"/>
        </w:rPr>
        <w:t>未按环境影响报告书及其审批部门审批决定要求建成环境保护设施，或者环境保护设施不能与主体工程同时投产或者使用的；</w:t>
      </w:r>
    </w:p>
    <w:p>
      <w:pPr>
        <w:bidi w:val="0"/>
        <w:rPr>
          <w:rFonts w:hint="eastAsia"/>
        </w:rPr>
      </w:pPr>
      <w:r>
        <w:rPr>
          <w:rFonts w:hint="eastAsia"/>
          <w:lang w:eastAsia="zh-CN"/>
        </w:rPr>
        <w:t>②</w:t>
      </w:r>
      <w:r>
        <w:rPr>
          <w:rFonts w:hint="eastAsia"/>
        </w:rPr>
        <w:t>污染物排放不符合国家和地方相关标准、环境影响报告书及其审批部门审批决定或者重点污染物排放总量控制指标要求的；</w:t>
      </w:r>
    </w:p>
    <w:p>
      <w:pPr>
        <w:bidi w:val="0"/>
        <w:rPr>
          <w:rFonts w:hint="eastAsia"/>
        </w:rPr>
      </w:pPr>
      <w:r>
        <w:rPr>
          <w:rFonts w:hint="eastAsia"/>
          <w:lang w:eastAsia="zh-CN"/>
        </w:rPr>
        <w:t>③</w:t>
      </w:r>
      <w:r>
        <w:rPr>
          <w:rFonts w:hint="eastAsia"/>
        </w:rPr>
        <w:t>环境影响报告书经批准后，该建设项目的性质、规模、地点、采用的生产工艺或者防治污染、防止生态破坏的措施发生重大变动，建设单位未重新报批环境影响报告书（表）或者环境影响报告书（表）未经批准的；</w:t>
      </w:r>
    </w:p>
    <w:p>
      <w:pPr>
        <w:bidi w:val="0"/>
        <w:rPr>
          <w:rFonts w:hint="eastAsia"/>
        </w:rPr>
      </w:pPr>
      <w:r>
        <w:rPr>
          <w:rFonts w:hint="eastAsia"/>
          <w:lang w:eastAsia="zh-CN"/>
        </w:rPr>
        <w:t>④</w:t>
      </w:r>
      <w:r>
        <w:rPr>
          <w:rFonts w:hint="eastAsia"/>
        </w:rPr>
        <w:t>建设过程中造成重大环境污染未治理完成，或者造成重大生态破坏未恢复的；</w:t>
      </w:r>
    </w:p>
    <w:p>
      <w:pPr>
        <w:bidi w:val="0"/>
        <w:rPr>
          <w:rFonts w:hint="eastAsia"/>
        </w:rPr>
      </w:pPr>
      <w:r>
        <w:rPr>
          <w:rFonts w:hint="eastAsia"/>
          <w:lang w:eastAsia="zh-CN"/>
        </w:rPr>
        <w:t>⑤</w:t>
      </w:r>
      <w:r>
        <w:rPr>
          <w:rFonts w:hint="eastAsia"/>
        </w:rPr>
        <w:t>纳入排污许可管理的建设项目，无证排污或者不按证排污的；</w:t>
      </w:r>
    </w:p>
    <w:p>
      <w:pPr>
        <w:bidi w:val="0"/>
        <w:rPr>
          <w:rFonts w:hint="eastAsia"/>
        </w:rPr>
      </w:pPr>
      <w:r>
        <w:rPr>
          <w:rFonts w:hint="eastAsia"/>
          <w:lang w:eastAsia="zh-CN"/>
        </w:rPr>
        <w:t>⑥</w:t>
      </w:r>
      <w:r>
        <w:rPr>
          <w:rFonts w:hint="eastAsia"/>
        </w:rPr>
        <w:t>分期建设、分期投入生产或者使用依法应当分期验收的建设项目，其分期建设、分期投入生产或者使用的环境保护设施防治环境污染和生态破坏的能力不能满足其相应主体工程需要的；</w:t>
      </w:r>
    </w:p>
    <w:p>
      <w:pPr>
        <w:bidi w:val="0"/>
        <w:rPr>
          <w:rFonts w:hint="eastAsia"/>
        </w:rPr>
      </w:pPr>
      <w:r>
        <w:rPr>
          <w:rFonts w:hint="eastAsia"/>
          <w:lang w:eastAsia="zh-CN"/>
        </w:rPr>
        <w:t>⑦</w:t>
      </w:r>
      <w:r>
        <w:rPr>
          <w:rFonts w:hint="eastAsia"/>
        </w:rPr>
        <w:t>建设单位因该建设项目违反国家和地方环境保护法律法规受到处罚，被责令改正，尚未改正完成的；</w:t>
      </w:r>
    </w:p>
    <w:p>
      <w:pPr>
        <w:bidi w:val="0"/>
        <w:rPr>
          <w:rFonts w:hint="eastAsia" w:eastAsia="宋体"/>
          <w:lang w:eastAsia="zh-CN"/>
        </w:rPr>
      </w:pPr>
      <w:r>
        <w:rPr>
          <w:rFonts w:hint="eastAsia"/>
          <w:lang w:eastAsia="zh-CN"/>
        </w:rPr>
        <w:t>⑧</w:t>
      </w:r>
      <w:r>
        <w:rPr>
          <w:rFonts w:hint="eastAsia"/>
        </w:rPr>
        <w:t>验收报告的基础资料数据明显不实，内容存在重大缺项</w:t>
      </w:r>
      <w:r>
        <w:rPr>
          <w:rFonts w:hint="eastAsia"/>
          <w:lang w:eastAsia="zh-CN"/>
        </w:rPr>
        <w:t>、遗漏，或者验收结论不明确、不合理的；</w:t>
      </w:r>
    </w:p>
    <w:p>
      <w:pPr>
        <w:bidi w:val="0"/>
      </w:pPr>
      <w:r>
        <w:rPr>
          <w:rFonts w:hint="eastAsia"/>
          <w:lang w:eastAsia="zh-CN"/>
        </w:rPr>
        <w:t>⑨</w:t>
      </w:r>
      <w:r>
        <w:rPr>
          <w:rFonts w:hint="eastAsia"/>
        </w:rPr>
        <w:t>其他环境保护法律法规规章等规定不得通过环境保护验收的。</w:t>
      </w:r>
    </w:p>
    <w:p>
      <w:pPr>
        <w:bidi w:val="0"/>
        <w:rPr>
          <w:rFonts w:hint="eastAsia" w:eastAsia="宋体"/>
          <w:lang w:eastAsia="zh-CN"/>
        </w:rPr>
      </w:pPr>
      <w:r>
        <w:rPr>
          <w:rFonts w:hint="eastAsia"/>
          <w:lang w:eastAsia="zh-CN"/>
        </w:rPr>
        <w:t>（</w:t>
      </w:r>
      <w:r>
        <w:rPr>
          <w:rFonts w:hint="eastAsia" w:ascii="Times New Roman" w:hAnsi="Times New Roman"/>
          <w:lang w:val="en-US" w:eastAsia="zh-CN"/>
        </w:rPr>
        <w:t>5</w:t>
      </w:r>
      <w:r>
        <w:rPr>
          <w:rFonts w:hint="eastAsia"/>
          <w:lang w:eastAsia="zh-CN"/>
        </w:rPr>
        <w:t>）建设单位应当通过网站或其他便于公众知晓的方式，在验收报告编制完成后</w:t>
      </w:r>
      <w:r>
        <w:rPr>
          <w:rFonts w:hint="eastAsia" w:ascii="Times New Roman" w:hAnsi="Times New Roman"/>
          <w:lang w:val="en-US" w:eastAsia="zh-CN"/>
        </w:rPr>
        <w:t>5</w:t>
      </w:r>
      <w:r>
        <w:rPr>
          <w:rFonts w:hint="eastAsia"/>
          <w:lang w:val="en-US" w:eastAsia="zh-CN"/>
        </w:rPr>
        <w:t>个工作日内，</w:t>
      </w:r>
      <w:r>
        <w:rPr>
          <w:rFonts w:hint="eastAsia"/>
          <w:lang w:eastAsia="zh-CN"/>
        </w:rPr>
        <w:t>向社会公开项目环境信息，公示的期限不得少于</w:t>
      </w:r>
      <w:r>
        <w:rPr>
          <w:rFonts w:hint="eastAsia" w:ascii="Times New Roman" w:hAnsi="Times New Roman"/>
          <w:lang w:val="en-US" w:eastAsia="zh-CN"/>
        </w:rPr>
        <w:t>20</w:t>
      </w:r>
      <w:r>
        <w:rPr>
          <w:rFonts w:hint="eastAsia"/>
          <w:lang w:val="en-US" w:eastAsia="zh-CN"/>
        </w:rPr>
        <w:t>个工作日</w:t>
      </w:r>
      <w:r>
        <w:rPr>
          <w:rFonts w:hint="eastAsia"/>
          <w:lang w:eastAsia="zh-CN"/>
        </w:rPr>
        <w:t>。公开信息的同时，应当向所在地生态环境主管部门报送相关信息，并接受监督检查。</w:t>
      </w:r>
    </w:p>
    <w:p>
      <w:pPr>
        <w:bidi w:val="0"/>
        <w:rPr>
          <w:rFonts w:hint="default"/>
          <w:lang w:val="en-US" w:eastAsia="zh-CN"/>
        </w:rPr>
      </w:pPr>
      <w:r>
        <w:rPr>
          <w:rFonts w:hint="eastAsia"/>
          <w:lang w:eastAsia="zh-CN"/>
        </w:rPr>
        <w:t>（</w:t>
      </w:r>
      <w:r>
        <w:rPr>
          <w:rFonts w:hint="eastAsia" w:ascii="Times New Roman" w:hAnsi="Times New Roman"/>
          <w:lang w:val="en-US" w:eastAsia="zh-CN"/>
        </w:rPr>
        <w:t>6</w:t>
      </w:r>
      <w:r>
        <w:rPr>
          <w:rFonts w:hint="eastAsia"/>
          <w:lang w:eastAsia="zh-CN"/>
        </w:rPr>
        <w:t>）验收报告公示期满后</w:t>
      </w:r>
      <w:r>
        <w:rPr>
          <w:rFonts w:hint="eastAsia" w:ascii="Times New Roman" w:hAnsi="Times New Roman"/>
          <w:lang w:val="en-US" w:eastAsia="zh-CN"/>
        </w:rPr>
        <w:t>5</w:t>
      </w:r>
      <w:r>
        <w:rPr>
          <w:rFonts w:hint="eastAsia"/>
          <w:lang w:val="en-US" w:eastAsia="zh-CN"/>
        </w:rPr>
        <w:t>个工作日内，建设单位应当在全国建设项目竣工环境保护验收信息平台填报建设项目基本信息、环境保护设施验收情况等相关信息。建设单位应当将验收报告以及其他档案资料存档备查。</w:t>
      </w:r>
    </w:p>
    <w:p>
      <w:pPr>
        <w:bidi w:val="0"/>
        <w:rPr>
          <w:rFonts w:hint="eastAsia"/>
          <w:lang w:eastAsia="zh-CN"/>
        </w:rPr>
      </w:pPr>
      <w:r>
        <w:rPr>
          <w:rFonts w:hint="eastAsia"/>
          <w:lang w:eastAsia="zh-CN"/>
        </w:rPr>
        <w:t>（</w:t>
      </w:r>
      <w:r>
        <w:rPr>
          <w:rFonts w:hint="eastAsia" w:ascii="Times New Roman" w:hAnsi="Times New Roman"/>
          <w:lang w:val="en-US" w:eastAsia="zh-CN"/>
        </w:rPr>
        <w:t>7</w:t>
      </w:r>
      <w:r>
        <w:rPr>
          <w:rFonts w:hint="eastAsia"/>
          <w:lang w:eastAsia="zh-CN"/>
        </w:rPr>
        <w:t>）纳入排污许可管理的建设项目，排污单位应当在项目产生实际污染物排放之前，按照国家排污许可有关管理规定要求申请排污许可证。不得无证排污或不按证排污。建设项目验收报告中与污染物排放相关的内容应当纳入该项目验收完成当年排污许可执行年报。</w:t>
      </w:r>
    </w:p>
    <w:p>
      <w:pPr>
        <w:pStyle w:val="5"/>
        <w:bidi w:val="0"/>
        <w:rPr>
          <w:rFonts w:hint="default"/>
          <w:lang w:val="en-US" w:eastAsia="zh-CN"/>
        </w:rPr>
      </w:pP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4</w:t>
      </w:r>
      <w:r>
        <w:rPr>
          <w:rFonts w:hint="eastAsia"/>
          <w:lang w:val="en-US" w:eastAsia="zh-CN"/>
        </w:rPr>
        <w:t>排污许可管理</w:t>
      </w:r>
    </w:p>
    <w:p>
      <w:pPr>
        <w:bidi w:val="0"/>
        <w:rPr>
          <w:rFonts w:hint="eastAsia"/>
          <w:lang w:eastAsia="zh-CN"/>
        </w:rPr>
      </w:pPr>
      <w:r>
        <w:rPr>
          <w:rFonts w:hint="eastAsia"/>
          <w:lang w:eastAsia="zh-CN"/>
        </w:rPr>
        <w:t>根据《固定污染源排污许可分类管理名录（</w:t>
      </w:r>
      <w:r>
        <w:rPr>
          <w:rFonts w:hint="eastAsia" w:ascii="Times New Roman" w:hAnsi="Times New Roman"/>
          <w:lang w:val="en-US" w:eastAsia="zh-CN"/>
        </w:rPr>
        <w:t>2019</w:t>
      </w:r>
      <w:r>
        <w:rPr>
          <w:rFonts w:hint="eastAsia"/>
          <w:lang w:val="en-US" w:eastAsia="zh-CN"/>
        </w:rPr>
        <w:t>年版</w:t>
      </w:r>
      <w:r>
        <w:rPr>
          <w:rFonts w:hint="eastAsia"/>
          <w:lang w:eastAsia="zh-CN"/>
        </w:rPr>
        <w:t>）》，国家根据排污单位污染物产生量、排放量、对环境的影响程度等因素，实行排污许可重点管理、简化管理或登记管理。本企业属于重点管理企业，应提交年度执行报告和季度执行报告。排污许可执行报告的内容包括基本生产信息、污染防治设施运行情况、自行监测情况、台账管理情况、实际排放情况及达标判定分析、信息公开情况、排污单位内部环境管理体系建设与运行情况、其他排污许可证规定的内容执行情况等。</w:t>
      </w:r>
    </w:p>
    <w:p>
      <w:pPr>
        <w:bidi w:val="0"/>
        <w:rPr>
          <w:rFonts w:hint="eastAsia"/>
        </w:rPr>
      </w:pPr>
      <w:r>
        <w:rPr>
          <w:rFonts w:hint="eastAsia"/>
          <w:lang w:eastAsia="zh-CN"/>
        </w:rPr>
        <w:t>排污单位环境管理台账应真实记录基本信息、产污设施运行管理信息、污染防治设施运行管理信息、监测记录信息及其他环境管理信息等。产污设施、污染防治设施、排放口编码应与排污许可证副本中载明的编码一致。台账包括纸质版和电子版，台账信息记录频次和保存要求按照《排污单位环境管理台账及排污许可证执行报告技术规范</w:t>
      </w:r>
      <w:r>
        <w:rPr>
          <w:rFonts w:hint="eastAsia"/>
          <w:lang w:val="en-US" w:eastAsia="zh-CN"/>
        </w:rPr>
        <w:t xml:space="preserve"> 总则（试行）</w:t>
      </w:r>
      <w:r>
        <w:rPr>
          <w:rFonts w:hint="eastAsia"/>
          <w:lang w:eastAsia="zh-CN"/>
        </w:rPr>
        <w:t>》（</w:t>
      </w:r>
      <w:r>
        <w:rPr>
          <w:rFonts w:hint="eastAsia" w:ascii="Times New Roman" w:hAnsi="Times New Roman"/>
          <w:lang w:val="en-US" w:eastAsia="zh-CN"/>
        </w:rPr>
        <w:t>HJ944</w:t>
      </w:r>
      <w:r>
        <w:rPr>
          <w:rFonts w:hint="eastAsia"/>
          <w:lang w:val="en-US" w:eastAsia="zh-CN"/>
        </w:rPr>
        <w:t>-</w:t>
      </w:r>
      <w:r>
        <w:rPr>
          <w:rFonts w:hint="eastAsia" w:ascii="Times New Roman" w:hAnsi="Times New Roman"/>
          <w:lang w:val="en-US" w:eastAsia="zh-CN"/>
        </w:rPr>
        <w:t>2018</w:t>
      </w:r>
      <w:r>
        <w:rPr>
          <w:rFonts w:hint="eastAsia"/>
          <w:lang w:eastAsia="zh-CN"/>
        </w:rPr>
        <w:t>）</w:t>
      </w:r>
      <w:r>
        <w:rPr>
          <w:rFonts w:hint="eastAsia"/>
          <w:lang w:val="en-US" w:eastAsia="zh-CN"/>
        </w:rPr>
        <w:t>要求进行。</w:t>
      </w:r>
    </w:p>
    <w:p>
      <w:pPr>
        <w:pStyle w:val="5"/>
        <w:bidi w:val="0"/>
        <w:rPr>
          <w:rFonts w:hint="default"/>
          <w:lang w:val="en-US" w:eastAsia="zh-CN"/>
        </w:rPr>
      </w:pP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5</w:t>
      </w:r>
      <w:r>
        <w:rPr>
          <w:rFonts w:hint="eastAsia"/>
          <w:lang w:val="en-US" w:eastAsia="zh-CN"/>
        </w:rPr>
        <w:t>运营期的环境管理</w:t>
      </w:r>
    </w:p>
    <w:p>
      <w:pPr>
        <w:bidi w:val="0"/>
        <w:rPr>
          <w:rFonts w:hint="eastAsia" w:eastAsia="宋体"/>
          <w:lang w:eastAsia="zh-CN"/>
        </w:rPr>
      </w:pPr>
      <w:r>
        <w:rPr>
          <w:rFonts w:hint="default"/>
        </w:rPr>
        <w:t>运营期环境管理是一项长期的管理工作，必须根据环境管理体系确立的规章制度进行各项监督和环境管理工作。</w:t>
      </w:r>
      <w:r>
        <w:rPr>
          <w:rFonts w:hint="eastAsia"/>
          <w:lang w:eastAsia="zh-CN"/>
        </w:rPr>
        <w:t>本项目环境管理工作汇总如下：</w:t>
      </w:r>
    </w:p>
    <w:p>
      <w:pPr>
        <w:spacing w:before="0" w:after="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rPr>
        <w:t>1</w:t>
      </w:r>
      <w:r>
        <w:rPr>
          <w:rFonts w:hint="default" w:ascii="Times New Roman" w:hAnsi="Times New Roman" w:cs="Times New Roman"/>
          <w:color w:val="auto"/>
        </w:rPr>
        <w:t>）环境管理指标</w:t>
      </w:r>
    </w:p>
    <w:p>
      <w:pPr>
        <w:spacing w:before="0" w:after="0"/>
        <w:rPr>
          <w:rFonts w:hint="default" w:ascii="Times New Roman" w:hAnsi="Times New Roman" w:cs="Times New Roman"/>
          <w:color w:val="auto"/>
        </w:rPr>
      </w:pPr>
      <w:r>
        <w:rPr>
          <w:rFonts w:hint="default" w:ascii="Times New Roman" w:hAnsi="Times New Roman" w:cs="Times New Roman"/>
          <w:color w:val="auto"/>
        </w:rPr>
        <w:t>制定环境保护计划指标和环境质量监控指标。主要包括生产新鲜水用量、循环用水量、废水排放量、</w:t>
      </w:r>
      <w:r>
        <w:rPr>
          <w:rFonts w:hint="eastAsia" w:ascii="Times New Roman" w:hAnsi="Times New Roman" w:cs="Times New Roman"/>
          <w:color w:val="auto"/>
          <w:lang w:eastAsia="zh-CN"/>
        </w:rPr>
        <w:t>主要污染物</w:t>
      </w:r>
      <w:r>
        <w:rPr>
          <w:rFonts w:hint="default" w:ascii="Times New Roman" w:hAnsi="Times New Roman" w:cs="Times New Roman"/>
          <w:color w:val="auto"/>
        </w:rPr>
        <w:t>年排放量、固体废物处理处置量等指标。</w:t>
      </w:r>
      <w:r>
        <w:rPr>
          <w:rFonts w:hint="eastAsia"/>
          <w:lang w:eastAsia="zh-CN"/>
        </w:rPr>
        <w:t>特殊时段，排污单位污染物排放应满足《重污染天气应急预案》等各地政府制定的秋冬防治措施等文件要求。</w:t>
      </w:r>
    </w:p>
    <w:p>
      <w:pPr>
        <w:spacing w:before="0" w:after="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rPr>
        <w:t>2</w:t>
      </w:r>
      <w:r>
        <w:rPr>
          <w:rFonts w:hint="default" w:ascii="Times New Roman" w:hAnsi="Times New Roman" w:cs="Times New Roman"/>
          <w:color w:val="auto"/>
        </w:rPr>
        <w:t>）污染物排放总量控制</w:t>
      </w:r>
    </w:p>
    <w:p>
      <w:pPr>
        <w:spacing w:before="0" w:after="0"/>
        <w:rPr>
          <w:rFonts w:hint="default" w:ascii="Times New Roman" w:hAnsi="Times New Roman" w:cs="Times New Roman"/>
          <w:color w:val="auto"/>
        </w:rPr>
      </w:pPr>
      <w:r>
        <w:rPr>
          <w:rFonts w:hint="eastAsia" w:ascii="Times New Roman" w:hAnsi="Times New Roman" w:cs="Times New Roman"/>
          <w:color w:val="auto"/>
          <w:lang w:eastAsia="zh-CN"/>
        </w:rPr>
        <w:t>定期</w:t>
      </w:r>
      <w:r>
        <w:rPr>
          <w:rFonts w:hint="default" w:ascii="Times New Roman" w:hAnsi="Times New Roman" w:cs="Times New Roman"/>
          <w:color w:val="auto"/>
        </w:rPr>
        <w:t>开展污染源调查，建立污染源动态数据库，摸清排放规律；查清污染物产生源，</w:t>
      </w:r>
      <w:r>
        <w:rPr>
          <w:rFonts w:hint="eastAsia" w:ascii="Times New Roman" w:hAnsi="Times New Roman" w:cs="Times New Roman"/>
          <w:color w:val="auto"/>
          <w:lang w:eastAsia="zh-CN"/>
        </w:rPr>
        <w:t>结合生产实际</w:t>
      </w:r>
      <w:r>
        <w:rPr>
          <w:rFonts w:hint="default" w:ascii="Times New Roman" w:hAnsi="Times New Roman" w:cs="Times New Roman"/>
          <w:color w:val="auto"/>
        </w:rPr>
        <w:t>提出减</w:t>
      </w:r>
      <w:r>
        <w:rPr>
          <w:rFonts w:hint="eastAsia" w:ascii="Times New Roman" w:hAnsi="Times New Roman" w:cs="Times New Roman"/>
          <w:color w:val="auto"/>
          <w:lang w:eastAsia="zh-CN"/>
        </w:rPr>
        <w:t>排</w:t>
      </w:r>
      <w:r>
        <w:rPr>
          <w:rFonts w:hint="default" w:ascii="Times New Roman" w:hAnsi="Times New Roman" w:cs="Times New Roman"/>
          <w:color w:val="auto"/>
        </w:rPr>
        <w:t>措施；建立环境保护管理指标体系，实施排放监管；强化环保装置（设施）的管理；加强</w:t>
      </w:r>
      <w:r>
        <w:rPr>
          <w:rFonts w:hint="eastAsia" w:ascii="Times New Roman" w:hAnsi="Times New Roman" w:cs="Times New Roman"/>
          <w:color w:val="auto"/>
          <w:lang w:eastAsia="zh-CN"/>
        </w:rPr>
        <w:t>环保设施的</w:t>
      </w:r>
      <w:r>
        <w:rPr>
          <w:rFonts w:hint="default" w:ascii="Times New Roman" w:hAnsi="Times New Roman" w:cs="Times New Roman"/>
          <w:color w:val="auto"/>
        </w:rPr>
        <w:t>内部控制。</w:t>
      </w:r>
    </w:p>
    <w:p>
      <w:pPr>
        <w:spacing w:before="0" w:after="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rPr>
        <w:t>3</w:t>
      </w:r>
      <w:r>
        <w:rPr>
          <w:rFonts w:hint="default" w:ascii="Times New Roman" w:hAnsi="Times New Roman" w:cs="Times New Roman"/>
          <w:color w:val="auto"/>
        </w:rPr>
        <w:t>）污染源及污染物排放监督管理</w:t>
      </w:r>
    </w:p>
    <w:p>
      <w:pPr>
        <w:spacing w:before="0" w:after="0"/>
        <w:rPr>
          <w:rFonts w:hint="default" w:ascii="Times New Roman" w:hAnsi="Times New Roman" w:cs="Times New Roman"/>
          <w:color w:val="auto"/>
        </w:rPr>
      </w:pPr>
      <w:r>
        <w:rPr>
          <w:rFonts w:hint="default" w:ascii="Times New Roman" w:hAnsi="Times New Roman" w:cs="Times New Roman"/>
          <w:color w:val="auto"/>
        </w:rPr>
        <w:t>①停工阶段环保管理</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a</w:t>
      </w:r>
      <w:r>
        <w:rPr>
          <w:rFonts w:hint="default" w:ascii="Times New Roman" w:hAnsi="Times New Roman" w:cs="Times New Roman"/>
          <w:color w:val="auto"/>
        </w:rPr>
        <w:t>.生产装置停工检修方案中，必须要有切实可行的控制排污的环保措施。</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default" w:ascii="Times New Roman" w:hAnsi="Times New Roman" w:cs="Times New Roman"/>
          <w:color w:val="auto"/>
        </w:rPr>
        <w:t>设备中液体物料倒空时，能返回储罐的一律返回原储罐，不能返回的要放入</w:t>
      </w:r>
      <w:r>
        <w:rPr>
          <w:rFonts w:hint="eastAsia" w:ascii="Times New Roman" w:hAnsi="Times New Roman" w:cs="Times New Roman"/>
          <w:color w:val="auto"/>
          <w:lang w:eastAsia="zh-CN"/>
        </w:rPr>
        <w:t>备用</w:t>
      </w:r>
      <w:r>
        <w:rPr>
          <w:rFonts w:hint="default" w:ascii="Times New Roman" w:hAnsi="Times New Roman" w:cs="Times New Roman"/>
          <w:color w:val="auto"/>
        </w:rPr>
        <w:t>罐。</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c</w:t>
      </w:r>
      <w:r>
        <w:rPr>
          <w:rFonts w:hint="default" w:ascii="Times New Roman" w:hAnsi="Times New Roman" w:cs="Times New Roman"/>
          <w:color w:val="auto"/>
        </w:rPr>
        <w:t>管线、机泵、阀门等中残存的少量物料必须收集，不得乱排放。</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d</w:t>
      </w:r>
      <w:r>
        <w:rPr>
          <w:rFonts w:hint="default" w:ascii="Times New Roman" w:hAnsi="Times New Roman" w:cs="Times New Roman"/>
          <w:color w:val="auto"/>
        </w:rPr>
        <w:t>环保设施要在装置吹扫倒空后再停车。</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e</w:t>
      </w:r>
      <w:r>
        <w:rPr>
          <w:rFonts w:hint="default" w:ascii="Times New Roman" w:hAnsi="Times New Roman" w:cs="Times New Roman"/>
          <w:color w:val="auto"/>
        </w:rPr>
        <w:t>设备中的固体废物要按规范收集贮存，然后安全处理处置。</w:t>
      </w:r>
    </w:p>
    <w:p>
      <w:pPr>
        <w:spacing w:before="0" w:after="0"/>
        <w:rPr>
          <w:rFonts w:hint="default" w:ascii="Times New Roman" w:hAnsi="Times New Roman" w:cs="Times New Roman"/>
          <w:color w:val="auto"/>
        </w:rPr>
      </w:pPr>
      <w:r>
        <w:rPr>
          <w:rFonts w:hint="default" w:ascii="Times New Roman" w:hAnsi="Times New Roman" w:cs="Times New Roman"/>
          <w:color w:val="auto"/>
        </w:rPr>
        <w:t>②检修阶段环保管理</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a</w:t>
      </w:r>
      <w:r>
        <w:rPr>
          <w:rFonts w:hint="default" w:ascii="Times New Roman" w:hAnsi="Times New Roman" w:cs="Times New Roman"/>
          <w:color w:val="auto"/>
        </w:rPr>
        <w:t>加强检修期间的巡回检查工作，特别对存有物料的储罐要作为巡检重点，按时记录各物料储罐的液位，防止发生跑、冒、窜料现象。</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default" w:ascii="Times New Roman" w:hAnsi="Times New Roman" w:cs="Times New Roman"/>
          <w:color w:val="auto"/>
        </w:rPr>
        <w:t>各类设备产生的各种废液要分类收集后安全处理处置。</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c</w:t>
      </w:r>
      <w:r>
        <w:rPr>
          <w:rFonts w:hint="default" w:ascii="Times New Roman" w:hAnsi="Times New Roman" w:cs="Times New Roman"/>
          <w:color w:val="auto"/>
        </w:rPr>
        <w:t>设备及管线中清理出的固体废物要规范收集储存后，安全处理处置。</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d</w:t>
      </w:r>
      <w:r>
        <w:rPr>
          <w:rFonts w:hint="default" w:ascii="Times New Roman" w:hAnsi="Times New Roman" w:cs="Times New Roman"/>
          <w:color w:val="auto"/>
        </w:rPr>
        <w:t>环保设施要提前检修，以便为生产装置检修后开车创造条件。</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e</w:t>
      </w:r>
      <w:r>
        <w:rPr>
          <w:rFonts w:hint="default" w:ascii="Times New Roman" w:hAnsi="Times New Roman" w:cs="Times New Roman"/>
          <w:color w:val="auto"/>
        </w:rPr>
        <w:t>消音、减振等环保设施要在开车前完成检修，恢复正常工作状态。</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f</w:t>
      </w:r>
      <w:r>
        <w:rPr>
          <w:rFonts w:hint="default" w:ascii="Times New Roman" w:hAnsi="Times New Roman" w:cs="Times New Roman"/>
          <w:color w:val="auto"/>
        </w:rPr>
        <w:t>装置和管线在检修完成后，要进行泄漏检测。</w:t>
      </w:r>
    </w:p>
    <w:p>
      <w:pPr>
        <w:spacing w:before="0" w:after="0"/>
        <w:rPr>
          <w:rFonts w:hint="default" w:ascii="Times New Roman" w:hAnsi="Times New Roman" w:cs="Times New Roman"/>
          <w:color w:val="auto"/>
        </w:rPr>
      </w:pPr>
      <w:r>
        <w:rPr>
          <w:rFonts w:hint="default" w:ascii="Times New Roman" w:hAnsi="Times New Roman" w:cs="Times New Roman"/>
          <w:color w:val="auto"/>
        </w:rPr>
        <w:t>③开工阶段环保管理</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a</w:t>
      </w:r>
      <w:r>
        <w:rPr>
          <w:rFonts w:hint="default" w:ascii="Times New Roman" w:hAnsi="Times New Roman" w:cs="Times New Roman"/>
          <w:color w:val="auto"/>
        </w:rPr>
        <w:t>各生产单位在开工方案中要有具体的环保规定、环保治理设施及开车方案。</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default" w:ascii="Times New Roman" w:hAnsi="Times New Roman" w:cs="Times New Roman"/>
          <w:color w:val="auto"/>
        </w:rPr>
        <w:t>明确各单位（装置）环保预处理设施开工时间，保证主体装置开工后产生的污染物得到及时处理。</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c</w:t>
      </w:r>
      <w:r>
        <w:rPr>
          <w:rFonts w:hint="default" w:ascii="Times New Roman" w:hAnsi="Times New Roman" w:cs="Times New Roman"/>
          <w:color w:val="auto"/>
        </w:rPr>
        <w:t>装置在进料前必须检查有关设备管线的阀门是否关闭，防止发生泄漏事故。</w:t>
      </w:r>
    </w:p>
    <w:p>
      <w:pPr>
        <w:spacing w:before="0" w:after="0"/>
        <w:rPr>
          <w:rFonts w:hint="default" w:ascii="Times New Roman" w:hAnsi="Times New Roman" w:cs="Times New Roman"/>
          <w:color w:val="auto"/>
        </w:rPr>
      </w:pPr>
      <w:r>
        <w:rPr>
          <w:rFonts w:hint="default" w:ascii="Times New Roman" w:hAnsi="Times New Roman" w:cs="Times New Roman"/>
          <w:color w:val="auto"/>
        </w:rPr>
        <w:t>④事故状态下的环保管理</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a</w:t>
      </w:r>
      <w:r>
        <w:rPr>
          <w:rFonts w:hint="default" w:ascii="Times New Roman" w:hAnsi="Times New Roman" w:cs="Times New Roman"/>
          <w:color w:val="auto"/>
        </w:rPr>
        <w:t>根据事故风险源及事故类型，制定相应防止污染事故处理预案，加强检查，及时发现泄漏</w:t>
      </w:r>
      <w:r>
        <w:rPr>
          <w:rFonts w:hint="eastAsia" w:ascii="Times New Roman" w:hAnsi="Times New Roman" w:cs="Times New Roman"/>
          <w:color w:val="auto"/>
          <w:lang w:eastAsia="zh-CN"/>
        </w:rPr>
        <w:t>隐患</w:t>
      </w:r>
      <w:r>
        <w:rPr>
          <w:rFonts w:hint="default" w:ascii="Times New Roman" w:hAnsi="Times New Roman" w:cs="Times New Roman"/>
          <w:color w:val="auto"/>
        </w:rPr>
        <w:t>。</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eastAsia" w:ascii="Times New Roman" w:hAnsi="Times New Roman" w:cs="Times New Roman"/>
          <w:color w:val="auto"/>
          <w:lang w:val="en-US" w:eastAsia="zh-CN"/>
        </w:rPr>
        <w:t>完善</w:t>
      </w:r>
      <w:r>
        <w:rPr>
          <w:rFonts w:hint="default" w:ascii="Times New Roman" w:hAnsi="Times New Roman" w:cs="Times New Roman"/>
          <w:color w:val="auto"/>
        </w:rPr>
        <w:t>环境风险应急预案，配备相应的应急物资，发生事故时，启动应急响应程序，且针对事故采取应急措施。</w:t>
      </w:r>
    </w:p>
    <w:p>
      <w:pPr>
        <w:spacing w:before="0" w:after="0"/>
        <w:rPr>
          <w:rFonts w:hint="default" w:ascii="Times New Roman" w:hAnsi="Times New Roman" w:cs="Times New Roman"/>
          <w:color w:val="auto"/>
        </w:rPr>
      </w:pPr>
      <w:r>
        <w:rPr>
          <w:rFonts w:hint="default" w:ascii="Times New Roman" w:hAnsi="Times New Roman" w:cs="Times New Roman"/>
          <w:color w:val="auto"/>
        </w:rPr>
        <w:t>⑤环境风险管理</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a</w:t>
      </w:r>
      <w:r>
        <w:rPr>
          <w:rFonts w:hint="default" w:ascii="Times New Roman" w:hAnsi="Times New Roman" w:cs="Times New Roman"/>
          <w:color w:val="auto"/>
        </w:rPr>
        <w:t>开展环境风险评估和应急资源调查。</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default" w:ascii="Times New Roman" w:hAnsi="Times New Roman" w:cs="Times New Roman"/>
          <w:color w:val="auto"/>
        </w:rPr>
        <w:t>在开展环境风险评估和应急资源调查的基础上制定有效的防范措施，并定期开展监督、检查、评估，采取措施降低风险和危害。</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c</w:t>
      </w:r>
      <w:r>
        <w:rPr>
          <w:rFonts w:hint="eastAsia" w:ascii="Times New Roman" w:hAnsi="Times New Roman" w:cs="Times New Roman"/>
          <w:color w:val="auto"/>
          <w:lang w:val="en-US" w:eastAsia="zh-CN"/>
        </w:rPr>
        <w:t>修编</w:t>
      </w:r>
      <w:r>
        <w:rPr>
          <w:rFonts w:hint="default" w:ascii="Times New Roman" w:hAnsi="Times New Roman" w:cs="Times New Roman"/>
          <w:color w:val="auto"/>
        </w:rPr>
        <w:t>环境应急预案，结合实际情况，开展环境应急预案的培训、宣传和必要的应急演练，发生或者可能发生突发环境事件时及时启动环境应急预案</w:t>
      </w:r>
    </w:p>
    <w:p>
      <w:pPr>
        <w:spacing w:before="0" w:after="0"/>
        <w:rPr>
          <w:rFonts w:hint="default" w:ascii="Times New Roman" w:hAnsi="Times New Roman" w:cs="Times New Roman"/>
          <w:color w:val="auto"/>
        </w:rPr>
      </w:pPr>
      <w:r>
        <w:rPr>
          <w:rFonts w:hint="default" w:ascii="Times New Roman" w:hAnsi="Times New Roman" w:cs="Times New Roman"/>
          <w:color w:val="auto"/>
        </w:rPr>
        <w:t>⑥环境保护设施运行监督</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a</w:t>
      </w:r>
      <w:r>
        <w:rPr>
          <w:rFonts w:hint="default" w:ascii="Times New Roman" w:hAnsi="Times New Roman" w:cs="Times New Roman"/>
          <w:color w:val="auto"/>
        </w:rPr>
        <w:t>环保设施要纳入生产单元岗位责任制，每天进行巡检，一旦发现异常要及时维修。</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default" w:ascii="Times New Roman" w:hAnsi="Times New Roman" w:cs="Times New Roman"/>
          <w:color w:val="auto"/>
        </w:rPr>
        <w:t>环保设施的运行</w:t>
      </w:r>
      <w:r>
        <w:rPr>
          <w:rFonts w:hint="eastAsia" w:ascii="Times New Roman" w:hAnsi="Times New Roman" w:cs="Times New Roman"/>
          <w:color w:val="auto"/>
          <w:lang w:eastAsia="zh-CN"/>
        </w:rPr>
        <w:t>情况</w:t>
      </w:r>
      <w:r>
        <w:rPr>
          <w:rFonts w:hint="default" w:ascii="Times New Roman" w:hAnsi="Times New Roman" w:cs="Times New Roman"/>
          <w:color w:val="auto"/>
        </w:rPr>
        <w:t>应纳入生产调度部门正常管理，做到生产负荷调整与环保设施运行平衡。</w:t>
      </w:r>
    </w:p>
    <w:p>
      <w:pPr>
        <w:spacing w:before="0" w:after="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w:t>
      </w:r>
      <w:r>
        <w:rPr>
          <w:rFonts w:hint="eastAsia"/>
          <w:lang w:eastAsia="zh-CN"/>
        </w:rPr>
        <w:t>污染治理设施应在满足设计工况的条件下运行，并根据工艺要求，定期对设备、电气、自控仪表及构筑物进行检查维护，确保污染治理设施可靠运行。</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d</w:t>
      </w:r>
      <w:r>
        <w:rPr>
          <w:rFonts w:hint="default" w:ascii="Times New Roman" w:hAnsi="Times New Roman" w:cs="Times New Roman"/>
          <w:color w:val="auto"/>
        </w:rPr>
        <w:t>环保设施的维护、保养、更新应纳入企业设备管理的考核体系。</w:t>
      </w:r>
    </w:p>
    <w:p>
      <w:pPr>
        <w:spacing w:before="0" w:after="0"/>
        <w:rPr>
          <w:rFonts w:hint="default" w:ascii="Times New Roman" w:hAnsi="Times New Roman" w:cs="Times New Roman"/>
          <w:color w:val="auto"/>
        </w:rPr>
      </w:pPr>
      <w:r>
        <w:rPr>
          <w:rFonts w:hint="default" w:ascii="Times New Roman" w:hAnsi="Times New Roman" w:cs="Times New Roman"/>
          <w:color w:val="auto"/>
        </w:rPr>
        <w:t>⑦环境管理台账要求</w:t>
      </w:r>
    </w:p>
    <w:p>
      <w:pPr>
        <w:spacing w:before="0" w:after="0"/>
        <w:rPr>
          <w:rFonts w:hint="default" w:ascii="Times New Roman" w:hAnsi="Times New Roman" w:cs="Times New Roman"/>
          <w:color w:val="auto"/>
        </w:rPr>
      </w:pPr>
      <w:r>
        <w:rPr>
          <w:rFonts w:hint="default" w:ascii="Times New Roman" w:hAnsi="Times New Roman" w:cs="Times New Roman"/>
          <w:color w:val="auto"/>
        </w:rPr>
        <w:t>建立监测数据统计台账、污染源台账；环保指标、目标分解考核台账；污染物排放总量台账；固体废物处理处置台账；</w:t>
      </w:r>
      <w:r>
        <w:rPr>
          <w:rFonts w:hint="eastAsia" w:ascii="Times New Roman" w:hAnsi="Times New Roman" w:cs="Times New Roman"/>
          <w:color w:val="auto"/>
          <w:lang w:eastAsia="zh-CN"/>
        </w:rPr>
        <w:t>“</w:t>
      </w:r>
      <w:r>
        <w:rPr>
          <w:rFonts w:hint="default" w:ascii="Times New Roman" w:hAnsi="Times New Roman" w:cs="Times New Roman"/>
          <w:color w:val="auto"/>
        </w:rPr>
        <w:t>三废</w:t>
      </w:r>
      <w:r>
        <w:rPr>
          <w:rFonts w:hint="eastAsia" w:ascii="Times New Roman" w:hAnsi="Times New Roman" w:cs="Times New Roman"/>
          <w:color w:val="auto"/>
          <w:lang w:eastAsia="zh-CN"/>
        </w:rPr>
        <w:t>”</w:t>
      </w:r>
      <w:r>
        <w:rPr>
          <w:rFonts w:hint="default" w:ascii="Times New Roman" w:hAnsi="Times New Roman" w:cs="Times New Roman"/>
          <w:color w:val="auto"/>
        </w:rPr>
        <w:t>综合利用台账；环保治理台账；环保设施开、停工、维修记录台账；清洁生产审核台账；环保宣传、培训、教育台账；环保污染事故台账；其它环保台账。</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a</w:t>
      </w:r>
      <w:r>
        <w:rPr>
          <w:rFonts w:hint="default" w:ascii="Times New Roman" w:hAnsi="Times New Roman" w:cs="Times New Roman"/>
          <w:color w:val="auto"/>
        </w:rPr>
        <w:t>制定</w:t>
      </w:r>
      <w:r>
        <w:rPr>
          <w:rFonts w:hint="eastAsia" w:ascii="Times New Roman" w:hAnsi="Times New Roman" w:cs="Times New Roman"/>
          <w:color w:val="auto"/>
          <w:lang w:eastAsia="zh-CN"/>
        </w:rPr>
        <w:t>并严格履行</w:t>
      </w:r>
      <w:r>
        <w:rPr>
          <w:rFonts w:hint="default" w:ascii="Times New Roman" w:hAnsi="Times New Roman" w:cs="Times New Roman"/>
          <w:color w:val="auto"/>
        </w:rPr>
        <w:t>自行监测方案</w:t>
      </w:r>
    </w:p>
    <w:p>
      <w:pPr>
        <w:spacing w:before="0" w:after="0"/>
        <w:rPr>
          <w:rFonts w:hint="default" w:ascii="Times New Roman" w:hAnsi="Times New Roman" w:cs="Times New Roman"/>
          <w:color w:val="auto"/>
        </w:rPr>
      </w:pPr>
      <w:r>
        <w:rPr>
          <w:rFonts w:hint="eastAsia" w:ascii="Times New Roman" w:hAnsi="Times New Roman" w:cs="Times New Roman"/>
          <w:color w:val="auto"/>
          <w:lang w:eastAsia="zh-CN"/>
        </w:rPr>
        <w:t>结合</w:t>
      </w:r>
      <w:r>
        <w:rPr>
          <w:rFonts w:hint="default" w:ascii="Times New Roman" w:hAnsi="Times New Roman" w:cs="Times New Roman"/>
          <w:color w:val="auto"/>
        </w:rPr>
        <w:t>企业自行监测情况简介、监测方案（包括监测点位、监测项目及监测频次、监测方法及使用仪器要求、监测结果评价标准等）、自动监测方案、监测信息公布（包括公布方式、分布内容、公布时限）等方面制定自行监测方案。</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b</w:t>
      </w:r>
      <w:r>
        <w:rPr>
          <w:rFonts w:hint="default" w:ascii="Times New Roman" w:hAnsi="Times New Roman" w:cs="Times New Roman"/>
          <w:color w:val="auto"/>
        </w:rPr>
        <w:t>明确台账记录明细</w:t>
      </w:r>
    </w:p>
    <w:p>
      <w:pPr>
        <w:spacing w:before="0" w:after="0"/>
        <w:rPr>
          <w:rFonts w:hint="default" w:ascii="Times New Roman" w:hAnsi="Times New Roman" w:cs="Times New Roman"/>
          <w:color w:val="auto"/>
        </w:rPr>
      </w:pPr>
      <w:r>
        <w:rPr>
          <w:rFonts w:hint="default" w:ascii="Times New Roman" w:hAnsi="Times New Roman" w:cs="Times New Roman"/>
          <w:color w:val="auto"/>
        </w:rPr>
        <w:t>要有废水检测台账、</w:t>
      </w:r>
      <w:r>
        <w:rPr>
          <w:rFonts w:hint="eastAsia" w:ascii="Times New Roman" w:hAnsi="Times New Roman" w:cs="Times New Roman"/>
          <w:color w:val="auto"/>
          <w:lang w:eastAsia="zh-CN"/>
        </w:rPr>
        <w:t>废气</w:t>
      </w:r>
      <w:r>
        <w:rPr>
          <w:rFonts w:hint="default" w:ascii="Times New Roman" w:hAnsi="Times New Roman" w:cs="Times New Roman"/>
          <w:color w:val="auto"/>
        </w:rPr>
        <w:t>监测台账、厂界噪声监测台账、固体废物接受转移处置台账等台账；自动监测设备运维记录、各类原始记录内容应完整并有相关人员签字，</w:t>
      </w:r>
      <w:r>
        <w:rPr>
          <w:rFonts w:hint="eastAsia" w:ascii="Times New Roman" w:hAnsi="Times New Roman" w:cs="Times New Roman"/>
          <w:color w:val="auto"/>
          <w:lang w:eastAsia="zh-CN"/>
        </w:rPr>
        <w:t>归档保存</w:t>
      </w:r>
      <w:r>
        <w:rPr>
          <w:rFonts w:hint="default" w:ascii="Times New Roman" w:hAnsi="Times New Roman" w:cs="Times New Roman"/>
          <w:color w:val="auto"/>
        </w:rPr>
        <w:t>。</w:t>
      </w:r>
    </w:p>
    <w:p>
      <w:pPr>
        <w:spacing w:before="0" w:after="0"/>
        <w:rPr>
          <w:rFonts w:hint="default" w:ascii="Times New Roman" w:hAnsi="Times New Roman" w:cs="Times New Roman"/>
          <w:color w:val="auto"/>
        </w:rPr>
      </w:pPr>
      <w:r>
        <w:rPr>
          <w:rFonts w:hint="eastAsia" w:ascii="Times New Roman" w:hAnsi="Times New Roman" w:cs="Times New Roman"/>
          <w:color w:val="auto"/>
          <w:lang w:val="en-US" w:eastAsia="zh-CN"/>
        </w:rPr>
        <w:t>c</w:t>
      </w:r>
      <w:r>
        <w:rPr>
          <w:rFonts w:hint="default" w:ascii="Times New Roman" w:hAnsi="Times New Roman" w:cs="Times New Roman"/>
          <w:color w:val="auto"/>
        </w:rPr>
        <w:t>监测报告制度</w:t>
      </w:r>
    </w:p>
    <w:p>
      <w:pPr>
        <w:bidi w:val="0"/>
        <w:rPr>
          <w:rFonts w:hint="eastAsia"/>
          <w:lang w:eastAsia="zh-CN"/>
        </w:rPr>
      </w:pPr>
      <w:r>
        <w:rPr>
          <w:rFonts w:hint="default" w:ascii="Times New Roman" w:hAnsi="Times New Roman" w:cs="Times New Roman"/>
          <w:color w:val="auto"/>
        </w:rPr>
        <w:t>每次监测完毕，应及时整理数据编写报告，作为企业环境监测档案。</w:t>
      </w:r>
    </w:p>
    <w:p>
      <w:pPr>
        <w:pStyle w:val="5"/>
        <w:bidi w:val="0"/>
        <w:rPr>
          <w:rFonts w:hint="default"/>
          <w:lang w:val="en-US" w:eastAsia="zh-CN"/>
        </w:rPr>
      </w:pP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6</w:t>
      </w:r>
      <w:r>
        <w:rPr>
          <w:rFonts w:hint="eastAsia"/>
          <w:lang w:val="en-US" w:eastAsia="zh-CN"/>
        </w:rPr>
        <w:t>环境监测计划</w:t>
      </w:r>
    </w:p>
    <w:p>
      <w:pPr>
        <w:pStyle w:val="6"/>
        <w:bidi w:val="0"/>
        <w:rPr>
          <w:rFonts w:hint="eastAsia"/>
          <w:lang w:eastAsia="zh-CN"/>
        </w:rPr>
      </w:pP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1</w:t>
      </w:r>
      <w:r>
        <w:rPr>
          <w:rFonts w:hint="eastAsia"/>
          <w:lang w:eastAsia="zh-CN"/>
        </w:rPr>
        <w:t>监测计划</w:t>
      </w:r>
    </w:p>
    <w:p>
      <w:pPr>
        <w:bidi w:val="0"/>
        <w:rPr>
          <w:rFonts w:hint="eastAsia"/>
        </w:rPr>
      </w:pPr>
      <w:r>
        <w:rPr>
          <w:rFonts w:hint="eastAsia"/>
          <w:lang w:eastAsia="zh-CN"/>
        </w:rPr>
        <w:t>本项目运营期</w:t>
      </w:r>
      <w:r>
        <w:rPr>
          <w:rFonts w:hint="eastAsia"/>
        </w:rPr>
        <w:t>各</w:t>
      </w:r>
      <w:r>
        <w:rPr>
          <w:rFonts w:hint="eastAsia"/>
          <w:lang w:eastAsia="zh-CN"/>
        </w:rPr>
        <w:t>污染物</w:t>
      </w:r>
      <w:r>
        <w:rPr>
          <w:rFonts w:hint="eastAsia"/>
        </w:rPr>
        <w:t>指标的采样方法、监测分析方法、监测质量保证与质量控制等按照</w:t>
      </w:r>
      <w:r>
        <w:rPr>
          <w:rFonts w:hint="eastAsia"/>
          <w:lang w:eastAsia="zh-CN"/>
        </w:rPr>
        <w:t>《排污单位自行监测技术指南</w:t>
      </w:r>
      <w:r>
        <w:rPr>
          <w:rFonts w:hint="eastAsia"/>
          <w:lang w:val="en-US" w:eastAsia="zh-CN"/>
        </w:rPr>
        <w:t xml:space="preserve"> 总则</w:t>
      </w:r>
      <w:r>
        <w:rPr>
          <w:rFonts w:hint="eastAsia"/>
          <w:lang w:eastAsia="zh-CN"/>
        </w:rPr>
        <w:t>》（</w:t>
      </w:r>
      <w:r>
        <w:rPr>
          <w:rFonts w:hint="eastAsia" w:ascii="Times New Roman" w:hAnsi="Times New Roman"/>
          <w:lang w:val="en-US" w:eastAsia="zh-CN"/>
        </w:rPr>
        <w:t>HJ819</w:t>
      </w:r>
      <w:r>
        <w:rPr>
          <w:rFonts w:hint="eastAsia"/>
          <w:lang w:val="en-US" w:eastAsia="zh-CN"/>
        </w:rPr>
        <w:t>-</w:t>
      </w:r>
      <w:r>
        <w:rPr>
          <w:rFonts w:hint="eastAsia" w:ascii="Times New Roman" w:hAnsi="Times New Roman"/>
          <w:lang w:val="en-US" w:eastAsia="zh-CN"/>
        </w:rPr>
        <w:t>2017</w:t>
      </w:r>
      <w:r>
        <w:rPr>
          <w:rFonts w:hint="eastAsia"/>
          <w:lang w:eastAsia="zh-CN"/>
        </w:rPr>
        <w:t>）等</w:t>
      </w:r>
      <w:r>
        <w:rPr>
          <w:rFonts w:hint="eastAsia"/>
        </w:rPr>
        <w:t>相关要求执行，本项目运营期环境及污染</w:t>
      </w:r>
      <w:r>
        <w:rPr>
          <w:rFonts w:hint="eastAsia"/>
          <w:lang w:eastAsia="zh-CN"/>
        </w:rPr>
        <w:t>源</w:t>
      </w:r>
      <w:r>
        <w:rPr>
          <w:rFonts w:hint="eastAsia"/>
        </w:rPr>
        <w:t>监测计划见表</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1</w:t>
      </w:r>
      <w:r>
        <w:rPr>
          <w:rFonts w:hint="eastAsia"/>
          <w:lang w:val="en-US" w:eastAsia="zh-CN"/>
        </w:rPr>
        <w:t>，运行计划将补充纳入厂区现有监测计划</w:t>
      </w:r>
      <w:r>
        <w:rPr>
          <w:rFonts w:hint="eastAsia"/>
        </w:rPr>
        <w:t>。</w:t>
      </w:r>
    </w:p>
    <w:p>
      <w:pPr>
        <w:pStyle w:val="20"/>
        <w:spacing w:before="156"/>
        <w:rPr>
          <w:rFonts w:hint="eastAsia"/>
        </w:rPr>
      </w:pPr>
      <w:r>
        <w:rPr>
          <w:rFonts w:hint="eastAsia"/>
        </w:rPr>
        <w:t>表</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2</w:t>
      </w:r>
      <w:r>
        <w:rPr>
          <w:rFonts w:hint="eastAsia" w:ascii="Times New Roman" w:hAnsi="Times New Roman"/>
          <w:lang w:val="en-US" w:eastAsia="zh-CN"/>
        </w:rPr>
        <w:t>-</w:t>
      </w:r>
      <w:r>
        <w:rPr>
          <w:rFonts w:hint="eastAsia" w:ascii="Times New Roman" w:hAnsi="Times New Roman"/>
          <w:lang w:val="en-US" w:eastAsia="zh-CN"/>
        </w:rPr>
        <w:t>1</w:t>
      </w:r>
      <w:r>
        <w:rPr>
          <w:rFonts w:hint="eastAsia"/>
        </w:rPr>
        <w:t xml:space="preserve">  </w:t>
      </w:r>
      <w:r>
        <w:rPr>
          <w:rFonts w:hint="eastAsia"/>
          <w:lang w:eastAsia="zh-CN"/>
        </w:rPr>
        <w:t>本项目污染源及环境质量</w:t>
      </w:r>
      <w:r>
        <w:rPr>
          <w:rFonts w:hint="eastAsia"/>
        </w:rPr>
        <w:t>监测计划表</w:t>
      </w:r>
    </w:p>
    <w:tbl>
      <w:tblPr>
        <w:tblStyle w:val="8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284"/>
        <w:gridCol w:w="3184"/>
        <w:gridCol w:w="1724"/>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06" w:type="pct"/>
            <w:gridSpan w:val="2"/>
            <w:noWrap w:val="0"/>
            <w:vAlign w:val="center"/>
          </w:tcPr>
          <w:p>
            <w:pPr>
              <w:spacing w:line="240" w:lineRule="auto"/>
              <w:ind w:firstLine="0"/>
              <w:jc w:val="center"/>
              <w:rPr>
                <w:rFonts w:hint="eastAsia"/>
                <w:spacing w:val="-11"/>
                <w:sz w:val="21"/>
                <w:szCs w:val="21"/>
              </w:rPr>
            </w:pPr>
            <w:r>
              <w:rPr>
                <w:rFonts w:hint="eastAsia"/>
                <w:spacing w:val="-11"/>
                <w:sz w:val="21"/>
                <w:szCs w:val="21"/>
              </w:rPr>
              <w:t>类别</w:t>
            </w:r>
          </w:p>
        </w:tc>
        <w:tc>
          <w:tcPr>
            <w:tcW w:w="1736" w:type="pct"/>
            <w:noWrap w:val="0"/>
            <w:vAlign w:val="center"/>
          </w:tcPr>
          <w:p>
            <w:pPr>
              <w:spacing w:line="240" w:lineRule="auto"/>
              <w:ind w:firstLine="0"/>
              <w:jc w:val="center"/>
              <w:rPr>
                <w:rFonts w:hint="eastAsia"/>
                <w:spacing w:val="-11"/>
                <w:sz w:val="21"/>
                <w:szCs w:val="21"/>
              </w:rPr>
            </w:pPr>
            <w:r>
              <w:rPr>
                <w:rFonts w:hint="eastAsia"/>
                <w:spacing w:val="-11"/>
                <w:sz w:val="21"/>
                <w:szCs w:val="21"/>
              </w:rPr>
              <w:t>监测位置</w:t>
            </w:r>
          </w:p>
        </w:tc>
        <w:tc>
          <w:tcPr>
            <w:tcW w:w="940" w:type="pct"/>
            <w:noWrap w:val="0"/>
            <w:vAlign w:val="center"/>
          </w:tcPr>
          <w:p>
            <w:pPr>
              <w:spacing w:line="240" w:lineRule="auto"/>
              <w:ind w:firstLine="0"/>
              <w:jc w:val="center"/>
              <w:rPr>
                <w:rFonts w:hint="eastAsia"/>
                <w:spacing w:val="-11"/>
                <w:sz w:val="21"/>
                <w:szCs w:val="21"/>
              </w:rPr>
            </w:pPr>
            <w:r>
              <w:rPr>
                <w:rFonts w:hint="eastAsia"/>
                <w:spacing w:val="-11"/>
                <w:sz w:val="21"/>
                <w:szCs w:val="21"/>
              </w:rPr>
              <w:t>监测项目</w:t>
            </w:r>
          </w:p>
        </w:tc>
        <w:tc>
          <w:tcPr>
            <w:tcW w:w="716" w:type="pct"/>
            <w:noWrap w:val="0"/>
            <w:vAlign w:val="center"/>
          </w:tcPr>
          <w:p>
            <w:pPr>
              <w:spacing w:line="240" w:lineRule="auto"/>
              <w:ind w:firstLine="0"/>
              <w:jc w:val="center"/>
              <w:rPr>
                <w:rFonts w:hint="eastAsia"/>
                <w:spacing w:val="-11"/>
                <w:sz w:val="21"/>
                <w:szCs w:val="21"/>
              </w:rPr>
            </w:pPr>
            <w:r>
              <w:rPr>
                <w:rFonts w:hint="eastAsia"/>
                <w:spacing w:val="-11"/>
                <w:sz w:val="21"/>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6" w:type="pct"/>
            <w:noWrap w:val="0"/>
            <w:vAlign w:val="center"/>
          </w:tcPr>
          <w:p>
            <w:pPr>
              <w:spacing w:line="240" w:lineRule="auto"/>
              <w:ind w:firstLine="0"/>
              <w:jc w:val="center"/>
              <w:rPr>
                <w:rFonts w:hint="eastAsia"/>
                <w:spacing w:val="-11"/>
                <w:sz w:val="21"/>
                <w:szCs w:val="21"/>
              </w:rPr>
            </w:pPr>
            <w:r>
              <w:rPr>
                <w:rFonts w:hint="eastAsia"/>
                <w:spacing w:val="-11"/>
                <w:sz w:val="21"/>
                <w:szCs w:val="21"/>
              </w:rPr>
              <w:t>污染源监测</w:t>
            </w:r>
          </w:p>
        </w:tc>
        <w:tc>
          <w:tcPr>
            <w:tcW w:w="700" w:type="pct"/>
            <w:noWrap w:val="0"/>
            <w:vAlign w:val="center"/>
          </w:tcPr>
          <w:p>
            <w:pPr>
              <w:spacing w:line="240" w:lineRule="auto"/>
              <w:ind w:firstLine="0"/>
              <w:jc w:val="center"/>
              <w:rPr>
                <w:rFonts w:hint="eastAsia"/>
                <w:spacing w:val="-11"/>
                <w:sz w:val="21"/>
                <w:szCs w:val="21"/>
              </w:rPr>
            </w:pPr>
            <w:r>
              <w:rPr>
                <w:rFonts w:hint="eastAsia"/>
                <w:spacing w:val="-11"/>
                <w:sz w:val="21"/>
                <w:szCs w:val="21"/>
              </w:rPr>
              <w:t>有组织废气</w:t>
            </w:r>
          </w:p>
        </w:tc>
        <w:tc>
          <w:tcPr>
            <w:tcW w:w="1736" w:type="pct"/>
            <w:noWrap w:val="0"/>
            <w:vAlign w:val="center"/>
          </w:tcPr>
          <w:p>
            <w:pPr>
              <w:spacing w:line="240" w:lineRule="auto"/>
              <w:ind w:firstLine="0" w:firstLineChars="0"/>
              <w:jc w:val="center"/>
              <w:rPr>
                <w:rFonts w:hint="default" w:ascii="宋体"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PD</w:t>
            </w:r>
            <w:r>
              <w:rPr>
                <w:rFonts w:hint="eastAsia"/>
                <w:spacing w:val="-11"/>
                <w:sz w:val="21"/>
                <w:szCs w:val="21"/>
                <w:lang w:val="en-US" w:eastAsia="zh-CN"/>
              </w:rPr>
              <w:t>生产工艺尾气吸收塔+</w:t>
            </w:r>
            <w:r>
              <w:rPr>
                <w:rFonts w:hint="eastAsia" w:ascii="Times New Roman" w:hAnsi="Times New Roman"/>
                <w:spacing w:val="-11"/>
                <w:sz w:val="21"/>
                <w:szCs w:val="21"/>
              </w:rPr>
              <w:t>15m</w:t>
            </w:r>
            <w:r>
              <w:rPr>
                <w:rFonts w:hint="eastAsia"/>
                <w:spacing w:val="-11"/>
                <w:sz w:val="21"/>
                <w:szCs w:val="21"/>
              </w:rPr>
              <w:t>排气筒</w:t>
            </w:r>
          </w:p>
        </w:tc>
        <w:tc>
          <w:tcPr>
            <w:tcW w:w="940" w:type="pct"/>
            <w:noWrap w:val="0"/>
            <w:vAlign w:val="center"/>
          </w:tcPr>
          <w:p>
            <w:pPr>
              <w:spacing w:line="240" w:lineRule="auto"/>
              <w:ind w:firstLine="0" w:firstLineChars="0"/>
              <w:jc w:val="center"/>
              <w:rPr>
                <w:rFonts w:hint="eastAsia" w:ascii="宋体" w:hAnsi="宋体" w:eastAsia="宋体" w:cs="Times New Roman"/>
                <w:spacing w:val="-11"/>
                <w:sz w:val="21"/>
                <w:szCs w:val="21"/>
                <w:lang w:val="en-US" w:eastAsia="zh-CN" w:bidi="ar-SA"/>
              </w:rPr>
            </w:pPr>
            <w:r>
              <w:rPr>
                <w:rFonts w:hint="eastAsia" w:ascii="Times New Roman" w:hAnsi="Times New Roman"/>
                <w:spacing w:val="-11"/>
                <w:sz w:val="21"/>
                <w:szCs w:val="21"/>
                <w:lang w:val="en-US" w:eastAsia="zh-CN"/>
              </w:rPr>
              <w:t>NMHC</w:t>
            </w:r>
            <w:r>
              <w:rPr>
                <w:rFonts w:hint="eastAsia" w:ascii="Times New Roman" w:hAnsi="Times New Roman"/>
                <w:spacing w:val="-11"/>
                <w:sz w:val="21"/>
                <w:szCs w:val="21"/>
                <w:lang w:val="en-US" w:eastAsia="zh-CN"/>
              </w:rPr>
              <w:t>、</w:t>
            </w:r>
            <w:r>
              <w:rPr>
                <w:rFonts w:hint="eastAsia" w:ascii="Times New Roman" w:hAnsi="Times New Roman"/>
                <w:spacing w:val="-11"/>
                <w:sz w:val="21"/>
                <w:szCs w:val="21"/>
                <w:lang w:val="en-US" w:eastAsia="zh-CN"/>
              </w:rPr>
              <w:t>NH</w:t>
            </w:r>
            <w:r>
              <w:rPr>
                <w:rFonts w:hint="eastAsia" w:ascii="Times New Roman" w:hAnsi="Times New Roman"/>
                <w:spacing w:val="-11"/>
                <w:sz w:val="21"/>
                <w:szCs w:val="21"/>
                <w:vertAlign w:val="subscript"/>
                <w:lang w:val="en-US" w:eastAsia="zh-CN"/>
              </w:rPr>
              <w:t>3</w:t>
            </w:r>
          </w:p>
        </w:tc>
        <w:tc>
          <w:tcPr>
            <w:tcW w:w="716" w:type="pct"/>
            <w:noWrap w:val="0"/>
            <w:vAlign w:val="center"/>
          </w:tcPr>
          <w:p>
            <w:pPr>
              <w:spacing w:line="240" w:lineRule="auto"/>
              <w:ind w:firstLine="0" w:firstLineChars="0"/>
              <w:jc w:val="center"/>
              <w:rPr>
                <w:rFonts w:hint="default" w:ascii="宋体" w:hAnsi="宋体" w:eastAsia="宋体" w:cs="Times New Roman"/>
                <w:spacing w:val="-11"/>
                <w:sz w:val="21"/>
                <w:szCs w:val="21"/>
                <w:lang w:val="en-US" w:eastAsia="zh-CN" w:bidi="ar-SA"/>
              </w:rPr>
            </w:pPr>
            <w:r>
              <w:rPr>
                <w:rFonts w:hint="eastAsia"/>
                <w:spacing w:val="-11"/>
                <w:sz w:val="21"/>
                <w:szCs w:val="21"/>
              </w:rPr>
              <w:t>一次/</w:t>
            </w:r>
            <w:r>
              <w:rPr>
                <w:rFonts w:hint="eastAsia"/>
                <w:spacing w:val="-11"/>
                <w:sz w:val="21"/>
                <w:szCs w:val="21"/>
                <w:lang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6"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厂区控制监测</w:t>
            </w:r>
          </w:p>
        </w:tc>
        <w:tc>
          <w:tcPr>
            <w:tcW w:w="700" w:type="pct"/>
            <w:noWrap w:val="0"/>
            <w:vAlign w:val="center"/>
          </w:tcPr>
          <w:p>
            <w:pPr>
              <w:spacing w:line="240" w:lineRule="auto"/>
              <w:ind w:firstLine="0"/>
              <w:jc w:val="center"/>
              <w:rPr>
                <w:rFonts w:hint="eastAsia" w:eastAsia="宋体"/>
                <w:spacing w:val="-11"/>
                <w:sz w:val="21"/>
                <w:szCs w:val="21"/>
                <w:lang w:eastAsia="zh-CN"/>
              </w:rPr>
            </w:pPr>
            <w:r>
              <w:rPr>
                <w:rFonts w:hint="eastAsia"/>
                <w:spacing w:val="-11"/>
                <w:sz w:val="21"/>
                <w:szCs w:val="21"/>
                <w:lang w:eastAsia="zh-CN"/>
              </w:rPr>
              <w:t>无组织废气</w:t>
            </w:r>
          </w:p>
        </w:tc>
        <w:tc>
          <w:tcPr>
            <w:tcW w:w="1736" w:type="pct"/>
            <w:noWrap w:val="0"/>
            <w:vAlign w:val="center"/>
          </w:tcPr>
          <w:p>
            <w:pPr>
              <w:spacing w:line="240" w:lineRule="auto"/>
              <w:ind w:firstLine="0" w:firstLineChars="0"/>
              <w:jc w:val="center"/>
              <w:rPr>
                <w:rFonts w:hint="eastAsia"/>
                <w:spacing w:val="-11"/>
                <w:sz w:val="21"/>
                <w:szCs w:val="21"/>
                <w:lang w:val="en-US" w:eastAsia="zh-CN"/>
              </w:rPr>
            </w:pPr>
            <w:r>
              <w:rPr>
                <w:rFonts w:hint="eastAsia"/>
                <w:spacing w:val="-11"/>
                <w:sz w:val="21"/>
                <w:szCs w:val="21"/>
                <w:lang w:val="en-US" w:eastAsia="zh-CN"/>
              </w:rPr>
              <w:t>厂内任意点</w:t>
            </w:r>
          </w:p>
        </w:tc>
        <w:tc>
          <w:tcPr>
            <w:tcW w:w="940" w:type="pct"/>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rPr>
              <w:t>NMHC</w:t>
            </w:r>
          </w:p>
        </w:tc>
        <w:tc>
          <w:tcPr>
            <w:tcW w:w="716" w:type="pct"/>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eastAsia="zh-CN"/>
              </w:rPr>
              <w:t>一次</w:t>
            </w:r>
            <w:r>
              <w:rPr>
                <w:rFonts w:hint="eastAsia" w:ascii="Times New Roman" w:hAnsi="Times New Roman" w:cs="Times New Roman"/>
                <w:sz w:val="21"/>
                <w:szCs w:val="21"/>
                <w:lang w:val="en-US" w:eastAsia="zh-CN"/>
              </w:rPr>
              <w:t>/半年</w:t>
            </w:r>
          </w:p>
        </w:tc>
      </w:tr>
    </w:tbl>
    <w:p>
      <w:pPr>
        <w:bidi w:val="0"/>
        <w:rPr>
          <w:rFonts w:hint="default"/>
          <w:lang w:val="en-US" w:eastAsia="zh-CN"/>
        </w:rPr>
      </w:pPr>
      <w:r>
        <w:rPr>
          <w:rFonts w:hint="eastAsia"/>
          <w:lang w:val="en-US" w:eastAsia="zh-CN"/>
        </w:rPr>
        <w:t>本项目实施后，全厂监测计划见表</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w:t>
      </w:r>
      <w:r>
        <w:rPr>
          <w:rFonts w:hint="eastAsia"/>
          <w:lang w:val="en-US" w:eastAsia="zh-CN"/>
        </w:rPr>
        <w:t>。</w:t>
      </w:r>
    </w:p>
    <w:p>
      <w:pPr>
        <w:spacing w:beforeLines="50" w:after="0"/>
        <w:ind w:firstLine="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表</w:t>
      </w:r>
      <w:r>
        <w:rPr>
          <w:rFonts w:hint="eastAsia" w:ascii="Times New Roman" w:hAnsi="Times New Roman" w:cs="Times New Roman"/>
          <w:b/>
          <w:color w:val="000000"/>
          <w:sz w:val="21"/>
          <w:szCs w:val="21"/>
          <w:lang w:val="en-US" w:eastAsia="zh-CN"/>
        </w:rPr>
        <w:t>9</w:t>
      </w:r>
      <w:r>
        <w:rPr>
          <w:rFonts w:hint="eastAsia" w:ascii="Times New Roman" w:hAnsi="Times New Roman" w:cs="Times New Roman"/>
          <w:b/>
          <w:color w:val="000000"/>
          <w:sz w:val="21"/>
          <w:szCs w:val="21"/>
          <w:lang w:val="en-US" w:eastAsia="zh-CN"/>
        </w:rPr>
        <w:t>.</w:t>
      </w:r>
      <w:r>
        <w:rPr>
          <w:rFonts w:hint="eastAsia" w:ascii="Times New Roman" w:hAnsi="Times New Roman" w:cs="Times New Roman"/>
          <w:b/>
          <w:color w:val="000000"/>
          <w:sz w:val="21"/>
          <w:szCs w:val="21"/>
          <w:lang w:val="en-US" w:eastAsia="zh-CN"/>
        </w:rPr>
        <w:t>2</w:t>
      </w:r>
      <w:r>
        <w:rPr>
          <w:rFonts w:hint="eastAsia" w:ascii="Times New Roman" w:hAnsi="Times New Roman" w:cs="Times New Roman"/>
          <w:b/>
          <w:color w:val="000000"/>
          <w:sz w:val="21"/>
          <w:szCs w:val="21"/>
          <w:lang w:val="en-US" w:eastAsia="zh-CN"/>
        </w:rPr>
        <w:t>-</w:t>
      </w:r>
      <w:r>
        <w:rPr>
          <w:rFonts w:hint="eastAsia" w:ascii="Times New Roman" w:hAnsi="Times New Roman" w:cs="Times New Roman"/>
          <w:b/>
          <w:color w:val="000000"/>
          <w:sz w:val="21"/>
          <w:szCs w:val="21"/>
          <w:lang w:val="en-US" w:eastAsia="zh-CN"/>
        </w:rPr>
        <w:t>2</w:t>
      </w:r>
      <w:r>
        <w:rPr>
          <w:rFonts w:hint="default" w:ascii="Times New Roman" w:hAnsi="Times New Roman" w:cs="Times New Roman"/>
          <w:b/>
          <w:color w:val="000000"/>
          <w:sz w:val="21"/>
          <w:szCs w:val="21"/>
        </w:rPr>
        <w:t xml:space="preserve">  </w:t>
      </w:r>
      <w:r>
        <w:rPr>
          <w:rFonts w:hint="eastAsia" w:ascii="Times New Roman" w:hAnsi="Times New Roman" w:cs="Times New Roman"/>
          <w:b/>
          <w:color w:val="000000"/>
          <w:sz w:val="21"/>
          <w:szCs w:val="21"/>
          <w:lang w:eastAsia="zh-CN"/>
        </w:rPr>
        <w:t>本项目实施后全厂</w:t>
      </w:r>
      <w:r>
        <w:rPr>
          <w:rFonts w:hint="default" w:ascii="Times New Roman" w:hAnsi="Times New Roman" w:cs="Times New Roman"/>
          <w:b/>
          <w:color w:val="000000"/>
          <w:sz w:val="21"/>
          <w:szCs w:val="21"/>
        </w:rPr>
        <w:t>环境及污染监测计划表</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846"/>
        <w:gridCol w:w="3328"/>
        <w:gridCol w:w="2800"/>
        <w:gridCol w:w="12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0" w:type="auto"/>
            <w:gridSpan w:val="2"/>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3328"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监测位置</w:t>
            </w:r>
          </w:p>
        </w:tc>
        <w:tc>
          <w:tcPr>
            <w:tcW w:w="2800"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1254" w:type="dxa"/>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监测频</w:t>
            </w:r>
            <w:r>
              <w:rPr>
                <w:rFonts w:hint="eastAsia" w:ascii="Times New Roman" w:cs="Times New Roman"/>
                <w:sz w:val="21"/>
                <w:szCs w:val="21"/>
                <w:lang w:eastAsia="zh-CN"/>
              </w:rPr>
              <w:t>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0" w:type="auto"/>
            <w:vMerge w:val="restart"/>
            <w:noWrap w:val="0"/>
            <w:vAlign w:val="center"/>
          </w:tcPr>
          <w:p>
            <w:pPr>
              <w:spacing w:line="240" w:lineRule="auto"/>
              <w:ind w:firstLine="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污染源监测</w:t>
            </w:r>
          </w:p>
        </w:tc>
        <w:tc>
          <w:tcPr>
            <w:tcW w:w="846"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有组织废气</w:t>
            </w:r>
          </w:p>
        </w:tc>
        <w:tc>
          <w:tcPr>
            <w:tcW w:w="3328" w:type="dxa"/>
            <w:vMerge w:val="restart"/>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eastAsia" w:cs="Times New Roman"/>
                <w:sz w:val="21"/>
                <w:szCs w:val="21"/>
                <w:lang w:eastAsia="zh-CN"/>
              </w:rPr>
              <w:t>热动锅炉</w:t>
            </w:r>
            <w:r>
              <w:rPr>
                <w:rFonts w:hint="eastAsia" w:ascii="Times New Roman" w:cs="Times New Roman"/>
                <w:sz w:val="21"/>
                <w:szCs w:val="21"/>
                <w:lang w:eastAsia="zh-CN"/>
              </w:rPr>
              <w:t>烟囱</w:t>
            </w:r>
          </w:p>
        </w:tc>
        <w:tc>
          <w:tcPr>
            <w:tcW w:w="2800" w:type="dxa"/>
            <w:noWrap w:val="0"/>
            <w:vAlign w:val="center"/>
          </w:tcPr>
          <w:p>
            <w:pPr>
              <w:spacing w:line="240" w:lineRule="auto"/>
              <w:ind w:firstLine="0"/>
              <w:jc w:val="center"/>
              <w:rPr>
                <w:rFonts w:hint="default" w:cs="Times New Roman"/>
                <w:sz w:val="21"/>
                <w:szCs w:val="21"/>
                <w:lang w:val="en-US" w:eastAsia="zh-CN"/>
              </w:rPr>
            </w:pPr>
            <w:r>
              <w:rPr>
                <w:rFonts w:hint="eastAsia" w:cs="Times New Roman"/>
                <w:sz w:val="21"/>
                <w:szCs w:val="21"/>
                <w:lang w:val="en-US" w:eastAsia="zh-CN"/>
              </w:rPr>
              <w:t>颗粒物、</w:t>
            </w: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r>
              <w:rPr>
                <w:rFonts w:hint="eastAsia" w:cs="Times New Roman"/>
                <w:sz w:val="21"/>
                <w:szCs w:val="21"/>
                <w:lang w:val="en-US" w:eastAsia="zh-CN"/>
              </w:rPr>
              <w:t>、</w:t>
            </w:r>
            <w:r>
              <w:rPr>
                <w:rFonts w:hint="eastAsia" w:ascii="Times New Roman" w:hAnsi="Times New Roman" w:cs="Times New Roman"/>
                <w:sz w:val="21"/>
                <w:szCs w:val="21"/>
                <w:lang w:val="en-US" w:eastAsia="zh-CN"/>
              </w:rPr>
              <w:t>NOx</w:t>
            </w:r>
          </w:p>
        </w:tc>
        <w:tc>
          <w:tcPr>
            <w:tcW w:w="1254" w:type="dxa"/>
            <w:noWrap w:val="0"/>
            <w:vAlign w:val="center"/>
          </w:tcPr>
          <w:p>
            <w:pPr>
              <w:spacing w:line="240" w:lineRule="auto"/>
              <w:ind w:firstLine="0"/>
              <w:jc w:val="center"/>
              <w:rPr>
                <w:rFonts w:hint="eastAsia" w:ascii="Times New Roman" w:cs="Times New Roman"/>
                <w:sz w:val="21"/>
                <w:szCs w:val="21"/>
                <w:lang w:eastAsia="zh-CN"/>
              </w:rPr>
            </w:pPr>
            <w:r>
              <w:rPr>
                <w:rFonts w:hint="eastAsia" w:cs="Times New Roman"/>
                <w:sz w:val="21"/>
                <w:szCs w:val="21"/>
                <w:lang w:eastAsia="zh-CN"/>
              </w:rPr>
              <w:t>自动监测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0" w:type="auto"/>
            <w:vMerge w:val="continue"/>
            <w:noWrap w:val="0"/>
            <w:vAlign w:val="center"/>
          </w:tcPr>
          <w:p>
            <w:pPr>
              <w:spacing w:line="240" w:lineRule="auto"/>
              <w:ind w:firstLine="0"/>
              <w:jc w:val="center"/>
              <w:rPr>
                <w:rFonts w:hint="default" w:ascii="Times New Roman" w:hAnsi="Times New Roman" w:eastAsia="宋体" w:cs="Times New Roman"/>
                <w:sz w:val="21"/>
                <w:szCs w:val="21"/>
                <w:lang w:eastAsia="zh-CN"/>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3328" w:type="dxa"/>
            <w:vMerge w:val="continue"/>
            <w:noWrap w:val="0"/>
            <w:vAlign w:val="center"/>
          </w:tcPr>
          <w:p>
            <w:pPr>
              <w:spacing w:line="240" w:lineRule="auto"/>
              <w:ind w:firstLine="0"/>
              <w:jc w:val="center"/>
              <w:rPr>
                <w:rFonts w:hint="eastAsia" w:ascii="Times New Roman" w:hAnsi="Times New Roman" w:eastAsia="宋体" w:cs="Times New Roman"/>
                <w:sz w:val="21"/>
                <w:szCs w:val="21"/>
                <w:lang w:eastAsia="zh-CN"/>
              </w:rPr>
            </w:pPr>
          </w:p>
        </w:tc>
        <w:tc>
          <w:tcPr>
            <w:tcW w:w="2800"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汞及其化合物、</w:t>
            </w:r>
            <w:r>
              <w:rPr>
                <w:rFonts w:hint="eastAsia" w:ascii="Times New Roman" w:cs="Times New Roman"/>
                <w:sz w:val="21"/>
                <w:szCs w:val="21"/>
                <w:lang w:eastAsia="zh-CN"/>
              </w:rPr>
              <w:t>林格曼黑度</w:t>
            </w:r>
          </w:p>
        </w:tc>
        <w:tc>
          <w:tcPr>
            <w:tcW w:w="125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vMerge w:val="restart"/>
            <w:noWrap w:val="0"/>
            <w:vAlign w:val="center"/>
          </w:tcPr>
          <w:p>
            <w:pPr>
              <w:spacing w:line="240" w:lineRule="auto"/>
              <w:ind w:firstLine="0"/>
              <w:jc w:val="center"/>
              <w:rPr>
                <w:rFonts w:hint="default" w:cs="Times New Roman"/>
                <w:sz w:val="21"/>
                <w:szCs w:val="21"/>
                <w:lang w:val="en-US" w:eastAsia="zh-CN"/>
              </w:rPr>
            </w:pPr>
            <w:r>
              <w:rPr>
                <w:rFonts w:hint="eastAsia" w:cs="Times New Roman"/>
                <w:sz w:val="21"/>
                <w:szCs w:val="21"/>
                <w:lang w:eastAsia="zh-CN"/>
              </w:rPr>
              <w:t>导热油炉烟囱</w:t>
            </w:r>
          </w:p>
        </w:tc>
        <w:tc>
          <w:tcPr>
            <w:tcW w:w="2800"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NOx</w:t>
            </w: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自动监测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vMerge w:val="continue"/>
            <w:noWrap w:val="0"/>
            <w:vAlign w:val="center"/>
          </w:tcPr>
          <w:p>
            <w:pPr>
              <w:spacing w:line="240" w:lineRule="auto"/>
              <w:ind w:firstLine="0"/>
              <w:jc w:val="center"/>
              <w:rPr>
                <w:rFonts w:hint="eastAsia" w:cs="Times New Roman"/>
                <w:sz w:val="21"/>
                <w:szCs w:val="21"/>
                <w:lang w:eastAsia="zh-CN"/>
              </w:rPr>
            </w:pPr>
          </w:p>
        </w:tc>
        <w:tc>
          <w:tcPr>
            <w:tcW w:w="2800" w:type="dxa"/>
            <w:noWrap w:val="0"/>
            <w:vAlign w:val="center"/>
          </w:tcPr>
          <w:p>
            <w:pPr>
              <w:spacing w:line="240" w:lineRule="auto"/>
              <w:ind w:firstLine="0" w:firstLineChars="0"/>
              <w:jc w:val="center"/>
              <w:rPr>
                <w:rFonts w:hint="eastAsia" w:cs="Times New Roman"/>
                <w:sz w:val="21"/>
                <w:szCs w:val="21"/>
                <w:lang w:val="en-US" w:eastAsia="zh-CN"/>
              </w:rPr>
            </w:pPr>
            <w:r>
              <w:rPr>
                <w:rFonts w:hint="eastAsia" w:cs="Times New Roman"/>
                <w:sz w:val="21"/>
                <w:szCs w:val="21"/>
                <w:lang w:val="en-US" w:eastAsia="zh-CN"/>
              </w:rPr>
              <w:t>颗粒物、</w:t>
            </w:r>
            <w:r>
              <w:rPr>
                <w:rFonts w:hint="eastAsia" w:ascii="Times New Roman" w:hAnsi="Times New Roman" w:cs="Times New Roman"/>
                <w:sz w:val="21"/>
                <w:szCs w:val="21"/>
                <w:lang w:val="en-US" w:eastAsia="zh-CN"/>
              </w:rPr>
              <w:t>SO</w:t>
            </w:r>
            <w:r>
              <w:rPr>
                <w:rFonts w:hint="eastAsia" w:ascii="Times New Roman" w:hAnsi="Times New Roman" w:cs="Times New Roman"/>
                <w:sz w:val="21"/>
                <w:szCs w:val="21"/>
                <w:vertAlign w:val="subscript"/>
                <w:lang w:val="en-US" w:eastAsia="zh-CN"/>
              </w:rPr>
              <w:t>2</w:t>
            </w:r>
            <w:r>
              <w:rPr>
                <w:rFonts w:hint="eastAsia" w:cs="Times New Roman"/>
                <w:sz w:val="21"/>
                <w:szCs w:val="21"/>
                <w:lang w:val="en-US" w:eastAsia="zh-CN"/>
              </w:rPr>
              <w:t>、林格曼黑度</w:t>
            </w:r>
          </w:p>
        </w:tc>
        <w:tc>
          <w:tcPr>
            <w:tcW w:w="1254" w:type="dxa"/>
            <w:noWrap w:val="0"/>
            <w:vAlign w:val="center"/>
          </w:tcPr>
          <w:p>
            <w:pPr>
              <w:spacing w:line="240" w:lineRule="auto"/>
              <w:ind w:firstLine="0" w:firstLineChars="0"/>
              <w:jc w:val="center"/>
              <w:rPr>
                <w:rFonts w:hint="default" w:cs="Times New Roman"/>
                <w:sz w:val="21"/>
                <w:szCs w:val="21"/>
                <w:lang w:val="en-US" w:eastAsia="zh-CN"/>
              </w:rPr>
            </w:pPr>
            <w:r>
              <w:rPr>
                <w:rFonts w:hint="eastAsia" w:ascii="Times New Roman" w:hAnsi="宋体" w:eastAsia="宋体" w:cs="Times New Roman"/>
                <w:sz w:val="21"/>
                <w:szCs w:val="21"/>
                <w:lang w:val="en-US" w:eastAsia="zh-CN"/>
              </w:rPr>
              <w:t>一次/季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ascii="Times New Roman" w:hAnsi="Times New Roman" w:cs="Times New Roman"/>
                <w:sz w:val="21"/>
                <w:szCs w:val="21"/>
                <w:lang w:eastAsia="zh-CN"/>
              </w:rPr>
            </w:pPr>
            <w:r>
              <w:rPr>
                <w:rFonts w:hint="eastAsia" w:cs="Times New Roman"/>
                <w:sz w:val="21"/>
                <w:szCs w:val="21"/>
                <w:lang w:eastAsia="zh-CN"/>
              </w:rPr>
              <w:t>玉米净化废气</w:t>
            </w:r>
          </w:p>
        </w:tc>
        <w:tc>
          <w:tcPr>
            <w:tcW w:w="2800" w:type="dxa"/>
            <w:vMerge w:val="restart"/>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颗粒物</w:t>
            </w:r>
          </w:p>
        </w:tc>
        <w:tc>
          <w:tcPr>
            <w:tcW w:w="125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ascii="Times New Roman" w:hAnsi="Times New Roman" w:cs="Times New Roman"/>
                <w:sz w:val="21"/>
                <w:szCs w:val="21"/>
                <w:lang w:eastAsia="zh-CN"/>
              </w:rPr>
            </w:pPr>
            <w:r>
              <w:rPr>
                <w:rFonts w:hint="eastAsia" w:cs="Times New Roman"/>
                <w:sz w:val="21"/>
                <w:szCs w:val="21"/>
                <w:lang w:eastAsia="zh-CN"/>
              </w:rPr>
              <w:t>制酸浸泡废气</w:t>
            </w:r>
          </w:p>
        </w:tc>
        <w:tc>
          <w:tcPr>
            <w:tcW w:w="2800" w:type="dxa"/>
            <w:vMerge w:val="continue"/>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p>
        </w:tc>
        <w:tc>
          <w:tcPr>
            <w:tcW w:w="125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cs="Times New Roman"/>
                <w:sz w:val="21"/>
                <w:szCs w:val="21"/>
                <w:lang w:val="en-US" w:eastAsia="zh-CN"/>
              </w:rPr>
              <w:t>副产品干燥废气</w:t>
            </w:r>
          </w:p>
        </w:tc>
        <w:tc>
          <w:tcPr>
            <w:tcW w:w="2800" w:type="dxa"/>
            <w:vMerge w:val="continue"/>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p>
        </w:tc>
        <w:tc>
          <w:tcPr>
            <w:tcW w:w="125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副产品风送废气（</w:t>
            </w:r>
            <w:r>
              <w:rPr>
                <w:rFonts w:hint="eastAsia" w:ascii="Times New Roman" w:hAnsi="Times New Roman" w:cs="Times New Roman"/>
                <w:sz w:val="21"/>
                <w:szCs w:val="21"/>
                <w:lang w:val="en-US" w:eastAsia="zh-CN"/>
              </w:rPr>
              <w:t>4</w:t>
            </w:r>
            <w:r>
              <w:rPr>
                <w:rFonts w:hint="eastAsia" w:cs="Times New Roman"/>
                <w:sz w:val="21"/>
                <w:szCs w:val="21"/>
                <w:lang w:val="en-US" w:eastAsia="zh-CN"/>
              </w:rPr>
              <w:t>根排气筒）</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淀粉干燥废气（</w:t>
            </w:r>
            <w:r>
              <w:rPr>
                <w:rFonts w:hint="eastAsia" w:ascii="Times New Roman" w:hAnsi="Times New Roman" w:cs="Times New Roman"/>
                <w:sz w:val="21"/>
                <w:szCs w:val="21"/>
                <w:lang w:val="en-US" w:eastAsia="zh-CN"/>
              </w:rPr>
              <w:t>6</w:t>
            </w:r>
            <w:r>
              <w:rPr>
                <w:rFonts w:hint="eastAsia" w:cs="Times New Roman"/>
                <w:sz w:val="21"/>
                <w:szCs w:val="21"/>
                <w:lang w:val="en-US" w:eastAsia="zh-CN"/>
              </w:rPr>
              <w:t>根排气筒）</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包装车间（副产品）废气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包装车间（淀粉）废气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主产品风送废气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玉米烘干转送废气（</w:t>
            </w:r>
            <w:r>
              <w:rPr>
                <w:rFonts w:hint="eastAsia" w:ascii="Times New Roman" w:hAnsi="Times New Roman" w:cs="Times New Roman"/>
                <w:sz w:val="21"/>
                <w:szCs w:val="21"/>
                <w:lang w:val="en-US" w:eastAsia="zh-CN"/>
              </w:rPr>
              <w:t>14</w:t>
            </w:r>
            <w:r>
              <w:rPr>
                <w:rFonts w:hint="eastAsia" w:cs="Times New Roman"/>
                <w:sz w:val="21"/>
                <w:szCs w:val="21"/>
                <w:lang w:val="en-US" w:eastAsia="zh-CN"/>
              </w:rPr>
              <w:t>根排气筒）</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cs="Times New Roman"/>
                <w:sz w:val="21"/>
                <w:szCs w:val="21"/>
                <w:lang w:eastAsia="zh-CN"/>
              </w:rPr>
              <w:t>一次</w:t>
            </w:r>
            <w:r>
              <w:rPr>
                <w:rFonts w:hint="eastAsia" w:ascii="Times New Roman" w:cs="Times New Roman"/>
                <w:sz w:val="21"/>
                <w:szCs w:val="21"/>
                <w:lang w:val="en-US" w:eastAsia="zh-CN"/>
              </w:rPr>
              <w:t>/</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cs="Times New Roman"/>
                <w:sz w:val="21"/>
                <w:szCs w:val="21"/>
                <w:lang w:val="en-US" w:eastAsia="zh-CN"/>
              </w:rPr>
            </w:pPr>
            <w:r>
              <w:rPr>
                <w:rFonts w:hint="eastAsia" w:cs="Times New Roman"/>
                <w:sz w:val="21"/>
                <w:szCs w:val="21"/>
                <w:lang w:val="en-US" w:eastAsia="zh-CN"/>
              </w:rPr>
              <w:t>发酵车间</w:t>
            </w:r>
            <w:r>
              <w:rPr>
                <w:rFonts w:hint="eastAsia" w:ascii="Times New Roman" w:hAnsi="Times New Roman" w:cs="Times New Roman"/>
                <w:sz w:val="21"/>
                <w:szCs w:val="21"/>
                <w:lang w:val="en-US" w:eastAsia="zh-CN"/>
              </w:rPr>
              <w:t>300</w:t>
            </w:r>
            <w:r>
              <w:rPr>
                <w:rFonts w:hint="eastAsia" w:cs="Times New Roman"/>
                <w:sz w:val="21"/>
                <w:szCs w:val="21"/>
                <w:lang w:val="en-US" w:eastAsia="zh-CN"/>
              </w:rPr>
              <w:t>#罐废气</w:t>
            </w:r>
          </w:p>
        </w:tc>
        <w:tc>
          <w:tcPr>
            <w:tcW w:w="2800" w:type="dxa"/>
            <w:vMerge w:val="restart"/>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cs="Times New Roman"/>
                <w:sz w:val="21"/>
                <w:szCs w:val="21"/>
                <w:lang w:val="en-US" w:eastAsia="zh-CN"/>
              </w:rPr>
              <w:t>、</w:t>
            </w:r>
            <w:r>
              <w:rPr>
                <w:rFonts w:hint="eastAsia" w:ascii="Times New Roman" w:hAnsi="Times New Roman" w:cs="Times New Roman"/>
                <w:sz w:val="21"/>
                <w:szCs w:val="21"/>
                <w:lang w:val="en-US" w:eastAsia="zh-CN"/>
              </w:rPr>
              <w:t>NMHC</w:t>
            </w:r>
          </w:p>
        </w:tc>
        <w:tc>
          <w:tcPr>
            <w:tcW w:w="1254" w:type="dxa"/>
            <w:noWrap w:val="0"/>
            <w:vAlign w:val="center"/>
          </w:tcPr>
          <w:p>
            <w:pPr>
              <w:spacing w:line="240" w:lineRule="auto"/>
              <w:ind w:firstLine="0"/>
              <w:jc w:val="center"/>
              <w:rPr>
                <w:rFonts w:hint="default" w:ascii="Times New Roman" w:cs="Times New Roman"/>
                <w:sz w:val="21"/>
                <w:szCs w:val="21"/>
                <w:lang w:val="en-US" w:eastAsia="zh-CN"/>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发酵车间</w:t>
            </w:r>
            <w:r>
              <w:rPr>
                <w:rFonts w:hint="eastAsia" w:ascii="Times New Roman" w:hAnsi="Times New Roman" w:cs="Times New Roman"/>
                <w:sz w:val="21"/>
                <w:szCs w:val="21"/>
                <w:lang w:val="en-US" w:eastAsia="zh-CN"/>
              </w:rPr>
              <w:t>800</w:t>
            </w:r>
            <w:r>
              <w:rPr>
                <w:rFonts w:hint="eastAsia" w:cs="Times New Roman"/>
                <w:sz w:val="21"/>
                <w:szCs w:val="21"/>
                <w:lang w:val="en-US" w:eastAsia="zh-CN"/>
              </w:rPr>
              <w:t>#罐废气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jc w:val="center"/>
              <w:rPr>
                <w:rFonts w:hint="eastAsia" w:cs="Times New Roman"/>
                <w:sz w:val="21"/>
                <w:szCs w:val="21"/>
                <w:lang w:eastAsia="zh-CN"/>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cs="Times New Roman"/>
                <w:sz w:val="21"/>
                <w:szCs w:val="21"/>
                <w:lang w:val="en-US" w:eastAsia="zh-CN"/>
              </w:rPr>
            </w:pPr>
            <w:r>
              <w:rPr>
                <w:rFonts w:hint="eastAsia" w:ascii="Times New Roman" w:hAnsi="Times New Roman" w:cs="Times New Roman"/>
                <w:sz w:val="21"/>
                <w:szCs w:val="21"/>
                <w:lang w:val="en-US" w:eastAsia="zh-CN"/>
              </w:rPr>
              <w:t>DN</w:t>
            </w:r>
            <w:r>
              <w:rPr>
                <w:rFonts w:hint="eastAsia" w:cs="Times New Roman"/>
                <w:sz w:val="21"/>
                <w:szCs w:val="21"/>
                <w:lang w:val="en-US" w:eastAsia="zh-CN"/>
              </w:rPr>
              <w:t>提取车间精馏废气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cs="Times New Roman"/>
                <w:sz w:val="21"/>
                <w:szCs w:val="21"/>
                <w:lang w:val="en-US" w:eastAsia="zh-CN"/>
              </w:rPr>
            </w:pPr>
            <w:r>
              <w:rPr>
                <w:rFonts w:hint="eastAsia" w:ascii="Times New Roman" w:hAnsi="Times New Roman" w:cs="Times New Roman"/>
                <w:sz w:val="21"/>
                <w:szCs w:val="21"/>
                <w:lang w:val="en-US" w:eastAsia="zh-CN"/>
              </w:rPr>
              <w:t>DN</w:t>
            </w:r>
            <w:r>
              <w:rPr>
                <w:rFonts w:hint="eastAsia" w:cs="Times New Roman"/>
                <w:sz w:val="21"/>
                <w:szCs w:val="21"/>
                <w:lang w:val="en-US" w:eastAsia="zh-CN"/>
              </w:rPr>
              <w:t>提取车间提取废气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PD</w:t>
            </w:r>
            <w:r>
              <w:rPr>
                <w:rFonts w:hint="eastAsia" w:ascii="Times New Roman" w:hAnsi="Times New Roman" w:cs="Times New Roman"/>
                <w:sz w:val="21"/>
                <w:szCs w:val="21"/>
                <w:lang w:val="en-US" w:eastAsia="zh-CN"/>
              </w:rPr>
              <w:t>生产工艺废气*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default" w:cs="Times New Roman"/>
                <w:sz w:val="21"/>
                <w:szCs w:val="21"/>
                <w:lang w:val="en-US" w:eastAsia="zh-CN"/>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PA</w:t>
            </w:r>
            <w:r>
              <w:rPr>
                <w:rFonts w:hint="eastAsia" w:ascii="Times New Roman" w:hAnsi="Times New Roman" w:cs="Times New Roman"/>
                <w:sz w:val="21"/>
                <w:szCs w:val="21"/>
                <w:lang w:val="en-US" w:eastAsia="zh-CN"/>
              </w:rPr>
              <w:t>车间废气*</w:t>
            </w:r>
          </w:p>
        </w:tc>
        <w:tc>
          <w:tcPr>
            <w:tcW w:w="2800" w:type="dxa"/>
            <w:vMerge w:val="continue"/>
            <w:noWrap w:val="0"/>
            <w:vAlign w:val="center"/>
          </w:tcPr>
          <w:p>
            <w:pPr>
              <w:spacing w:line="240" w:lineRule="auto"/>
              <w:ind w:firstLine="0"/>
              <w:jc w:val="center"/>
              <w:rPr>
                <w:rFonts w:hint="eastAsia" w:ascii="Times New Roman" w:hAnsi="Times New Roman" w:cs="Times New Roman"/>
                <w:sz w:val="21"/>
                <w:szCs w:val="21"/>
                <w:lang w:val="en-US" w:eastAsia="zh-CN"/>
              </w:rPr>
            </w:pPr>
          </w:p>
        </w:tc>
        <w:tc>
          <w:tcPr>
            <w:tcW w:w="1254" w:type="dxa"/>
            <w:noWrap w:val="0"/>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干燥车间压滤机废气*</w:t>
            </w:r>
          </w:p>
        </w:tc>
        <w:tc>
          <w:tcPr>
            <w:tcW w:w="2800"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ascii="Times New Roman" w:hAnsi="Times New Roman" w:cs="Times New Roman"/>
                <w:sz w:val="21"/>
                <w:szCs w:val="21"/>
                <w:lang w:val="en-US" w:eastAsia="zh-CN"/>
              </w:rPr>
              <w:t>、臭气浓度</w:t>
            </w:r>
          </w:p>
        </w:tc>
        <w:tc>
          <w:tcPr>
            <w:tcW w:w="1254" w:type="dxa"/>
            <w:noWrap w:val="0"/>
            <w:vAlign w:val="center"/>
          </w:tcPr>
          <w:p>
            <w:pPr>
              <w:spacing w:line="240" w:lineRule="auto"/>
              <w:ind w:firstLine="0" w:firstLineChars="0"/>
              <w:jc w:val="center"/>
              <w:rPr>
                <w:rFonts w:hint="eastAsia" w:ascii="宋体" w:hAnsi="宋体" w:eastAsia="宋体" w:cs="Times New Roman"/>
                <w:sz w:val="21"/>
                <w:szCs w:val="21"/>
                <w:lang w:val="en-US" w:eastAsia="zh-CN" w:bidi="ar-SA"/>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lang w:eastAsia="zh-CN"/>
              </w:rPr>
            </w:pPr>
          </w:p>
        </w:tc>
        <w:tc>
          <w:tcPr>
            <w:tcW w:w="3328" w:type="dxa"/>
            <w:noWrap w:val="0"/>
            <w:vAlign w:val="center"/>
          </w:tcPr>
          <w:p>
            <w:pPr>
              <w:spacing w:line="240" w:lineRule="auto"/>
              <w:ind w:firstLine="0"/>
              <w:jc w:val="center"/>
              <w:rPr>
                <w:rFonts w:hint="eastAsia" w:cs="Times New Roman"/>
                <w:sz w:val="21"/>
                <w:szCs w:val="21"/>
                <w:lang w:val="en-US" w:eastAsia="zh-CN"/>
              </w:rPr>
            </w:pPr>
            <w:r>
              <w:rPr>
                <w:rFonts w:hint="eastAsia" w:cs="Times New Roman"/>
                <w:sz w:val="21"/>
                <w:szCs w:val="21"/>
                <w:lang w:val="en-US" w:eastAsia="zh-CN"/>
              </w:rPr>
              <w:t>污水站预处理废气（</w:t>
            </w:r>
            <w:r>
              <w:rPr>
                <w:rFonts w:hint="eastAsia" w:ascii="Times New Roman" w:hAnsi="Times New Roman" w:cs="Times New Roman"/>
                <w:sz w:val="21"/>
                <w:szCs w:val="21"/>
                <w:lang w:val="en-US" w:eastAsia="zh-CN"/>
              </w:rPr>
              <w:t>6</w:t>
            </w:r>
            <w:r>
              <w:rPr>
                <w:rFonts w:hint="eastAsia" w:cs="Times New Roman"/>
                <w:sz w:val="21"/>
                <w:szCs w:val="21"/>
                <w:lang w:val="en-US" w:eastAsia="zh-CN"/>
              </w:rPr>
              <w:t>根排气筒）</w:t>
            </w:r>
          </w:p>
        </w:tc>
        <w:tc>
          <w:tcPr>
            <w:tcW w:w="2800" w:type="dxa"/>
            <w:noWrap w:val="0"/>
            <w:vAlign w:val="center"/>
          </w:tcPr>
          <w:p>
            <w:pPr>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NMHC</w:t>
            </w:r>
            <w:r>
              <w:rPr>
                <w:rFonts w:hint="eastAsia" w:cs="Times New Roman"/>
                <w:sz w:val="21"/>
                <w:szCs w:val="21"/>
                <w:lang w:val="en-US" w:eastAsia="zh-CN"/>
              </w:rPr>
              <w:t>、</w:t>
            </w: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cs="Times New Roman"/>
                <w:sz w:val="21"/>
                <w:szCs w:val="21"/>
                <w:lang w:val="en-US" w:eastAsia="zh-CN"/>
              </w:rPr>
              <w:t>、</w:t>
            </w: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S</w:t>
            </w:r>
            <w:r>
              <w:rPr>
                <w:rFonts w:hint="eastAsia" w:cs="Times New Roman"/>
                <w:sz w:val="21"/>
                <w:szCs w:val="21"/>
                <w:lang w:val="en-US" w:eastAsia="zh-CN"/>
              </w:rPr>
              <w:t>、臭气浓度</w:t>
            </w:r>
          </w:p>
        </w:tc>
        <w:tc>
          <w:tcPr>
            <w:tcW w:w="1254" w:type="dxa"/>
            <w:noWrap w:val="0"/>
            <w:vAlign w:val="center"/>
          </w:tcPr>
          <w:p>
            <w:pPr>
              <w:spacing w:line="240" w:lineRule="auto"/>
              <w:ind w:firstLine="0"/>
              <w:jc w:val="center"/>
              <w:rPr>
                <w:rFonts w:hint="eastAsia" w:cs="Times New Roman"/>
                <w:sz w:val="21"/>
                <w:szCs w:val="21"/>
                <w:lang w:eastAsia="zh-CN"/>
              </w:rPr>
            </w:pPr>
            <w:r>
              <w:rPr>
                <w:rFonts w:hint="eastAsia" w:cs="Times New Roman"/>
                <w:sz w:val="21"/>
                <w:szCs w:val="21"/>
                <w:lang w:eastAsia="zh-CN"/>
              </w:rPr>
              <w:t>一次</w:t>
            </w:r>
            <w:r>
              <w:rPr>
                <w:rFonts w:hint="eastAsia" w:cs="Times New Roman"/>
                <w:sz w:val="21"/>
                <w:szCs w:val="21"/>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3328" w:type="dxa"/>
            <w:vMerge w:val="restart"/>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污水处理站</w:t>
            </w:r>
            <w:r>
              <w:rPr>
                <w:rFonts w:hint="eastAsia" w:cs="Times New Roman"/>
                <w:sz w:val="21"/>
                <w:szCs w:val="21"/>
                <w:lang w:eastAsia="zh-CN"/>
              </w:rPr>
              <w:t>总排口</w:t>
            </w:r>
          </w:p>
        </w:tc>
        <w:tc>
          <w:tcPr>
            <w:tcW w:w="2800"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流量、</w:t>
            </w:r>
            <w:r>
              <w:rPr>
                <w:rFonts w:hint="default" w:ascii="Times New Roman" w:hAnsi="Times New Roman" w:cs="Times New Roman"/>
                <w:sz w:val="21"/>
                <w:szCs w:val="21"/>
              </w:rPr>
              <w:t>pH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COD</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r>
              <w:rPr>
                <w:rFonts w:hint="eastAsia" w:ascii="Times New Roman" w:cs="Times New Roman"/>
                <w:sz w:val="21"/>
                <w:szCs w:val="21"/>
                <w:lang w:val="en-US" w:eastAsia="zh-CN"/>
              </w:rPr>
              <w:t>-</w:t>
            </w:r>
            <w:r>
              <w:rPr>
                <w:rFonts w:hint="eastAsia" w:ascii="Times New Roman" w:hAnsi="Times New Roman" w:cs="Times New Roman"/>
                <w:sz w:val="21"/>
                <w:szCs w:val="21"/>
                <w:lang w:val="en-US" w:eastAsia="zh-CN"/>
              </w:rPr>
              <w:t>N</w:t>
            </w:r>
            <w:r>
              <w:rPr>
                <w:rFonts w:hint="eastAsia" w:ascii="Times New Roman" w:cs="Times New Roman"/>
                <w:sz w:val="21"/>
                <w:szCs w:val="21"/>
                <w:lang w:val="en-US" w:eastAsia="zh-CN"/>
              </w:rPr>
              <w:t>、</w:t>
            </w:r>
            <w:r>
              <w:rPr>
                <w:rFonts w:hint="eastAsia" w:ascii="Times New Roman" w:hAnsi="Times New Roman" w:cs="Times New Roman"/>
                <w:sz w:val="21"/>
                <w:szCs w:val="21"/>
                <w:lang w:val="en-US" w:eastAsia="zh-CN"/>
              </w:rPr>
              <w:t>TN</w:t>
            </w:r>
            <w:r>
              <w:rPr>
                <w:rFonts w:hint="eastAsia" w:cs="Times New Roman"/>
                <w:sz w:val="21"/>
                <w:szCs w:val="21"/>
                <w:lang w:val="en-US" w:eastAsia="zh-CN"/>
              </w:rPr>
              <w:t>、</w:t>
            </w:r>
            <w:r>
              <w:rPr>
                <w:rFonts w:hint="eastAsia" w:ascii="Times New Roman" w:hAnsi="Times New Roman" w:cs="Times New Roman"/>
                <w:sz w:val="21"/>
                <w:szCs w:val="21"/>
                <w:lang w:val="en-US" w:eastAsia="zh-CN"/>
              </w:rPr>
              <w:t>TP</w:t>
            </w:r>
          </w:p>
        </w:tc>
        <w:tc>
          <w:tcPr>
            <w:tcW w:w="1254" w:type="dxa"/>
            <w:noWrap w:val="0"/>
            <w:vAlign w:val="center"/>
          </w:tcPr>
          <w:p>
            <w:pPr>
              <w:spacing w:line="240" w:lineRule="auto"/>
              <w:ind w:firstLine="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eastAsia="zh-CN"/>
              </w:rPr>
              <w:t>在线监测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3328"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2800"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BOD</w:t>
            </w:r>
            <w:r>
              <w:rPr>
                <w:rFonts w:hint="eastAsia" w:ascii="Times New Roman" w:hAnsi="Times New Roman" w:cs="Times New Roman"/>
                <w:sz w:val="21"/>
                <w:szCs w:val="21"/>
                <w:vertAlign w:val="subscript"/>
                <w:lang w:val="en-US" w:eastAsia="zh-CN"/>
              </w:rPr>
              <w:t>5</w:t>
            </w:r>
            <w:r>
              <w:rPr>
                <w:rFonts w:hint="eastAsia" w:cs="Times New Roman"/>
                <w:sz w:val="21"/>
                <w:szCs w:val="21"/>
                <w:lang w:val="en-US" w:eastAsia="zh-CN"/>
              </w:rPr>
              <w:t>、</w:t>
            </w:r>
            <w:r>
              <w:rPr>
                <w:rFonts w:hint="eastAsia" w:ascii="Times New Roman" w:hAnsi="Times New Roman" w:cs="Times New Roman"/>
                <w:sz w:val="21"/>
                <w:szCs w:val="21"/>
                <w:lang w:val="en-US" w:eastAsia="zh-CN"/>
              </w:rPr>
              <w:t>SS</w:t>
            </w:r>
            <w:r>
              <w:rPr>
                <w:rFonts w:hint="eastAsia" w:cs="Times New Roman"/>
                <w:sz w:val="21"/>
                <w:szCs w:val="21"/>
                <w:lang w:val="en-US" w:eastAsia="zh-CN"/>
              </w:rPr>
              <w:t>、总有机碳、可吸附有机卤化物</w:t>
            </w:r>
          </w:p>
        </w:tc>
        <w:tc>
          <w:tcPr>
            <w:tcW w:w="125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一次</w:t>
            </w:r>
            <w:r>
              <w:rPr>
                <w:rFonts w:hint="eastAsia"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4174" w:type="dxa"/>
            <w:gridSpan w:val="2"/>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2800"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车间产生量、固废外运量</w:t>
            </w:r>
          </w:p>
        </w:tc>
        <w:tc>
          <w:tcPr>
            <w:tcW w:w="1254"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0" w:type="auto"/>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厂界监测</w:t>
            </w:r>
          </w:p>
        </w:tc>
        <w:tc>
          <w:tcPr>
            <w:tcW w:w="846"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3328"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厂区上风向设一个对照点，下风向设</w:t>
            </w:r>
            <w:r>
              <w:rPr>
                <w:rFonts w:hint="eastAsia" w:ascii="Times New Roman" w:hAnsi="Times New Roman" w:cs="Times New Roman"/>
                <w:sz w:val="21"/>
                <w:szCs w:val="21"/>
                <w:lang w:eastAsia="zh-CN"/>
              </w:rPr>
              <w:t>三</w:t>
            </w:r>
            <w:r>
              <w:rPr>
                <w:rFonts w:hint="default" w:ascii="Times New Roman" w:hAnsi="Times New Roman" w:cs="Times New Roman"/>
                <w:sz w:val="21"/>
                <w:szCs w:val="21"/>
              </w:rPr>
              <w:t>个监控点</w:t>
            </w:r>
          </w:p>
        </w:tc>
        <w:tc>
          <w:tcPr>
            <w:tcW w:w="2800"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颗粒物、</w:t>
            </w:r>
            <w:r>
              <w:rPr>
                <w:rFonts w:hint="default" w:ascii="Times New Roman" w:hAnsi="Times New Roman" w:cs="Times New Roman"/>
                <w:sz w:val="21"/>
                <w:szCs w:val="21"/>
              </w:rPr>
              <w:t>NMHC</w:t>
            </w:r>
          </w:p>
        </w:tc>
        <w:tc>
          <w:tcPr>
            <w:tcW w:w="1254" w:type="dxa"/>
            <w:noWrap w:val="0"/>
            <w:vAlign w:val="center"/>
          </w:tcPr>
          <w:p>
            <w:pPr>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一次/</w:t>
            </w:r>
            <w:r>
              <w:rPr>
                <w:rFonts w:hint="eastAsia" w:cs="Times New Roman"/>
                <w:sz w:val="21"/>
                <w:szCs w:val="21"/>
                <w:lang w:eastAsia="zh-CN"/>
              </w:rPr>
              <w:t>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8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3328"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2800" w:type="dxa"/>
            <w:noWrap w:val="0"/>
            <w:vAlign w:val="center"/>
          </w:tcPr>
          <w:p>
            <w:pPr>
              <w:spacing w:line="240" w:lineRule="auto"/>
              <w:ind w:firstLine="0"/>
              <w:jc w:val="center"/>
              <w:rPr>
                <w:rFonts w:hint="eastAsia" w:cs="Times New Roman"/>
                <w:sz w:val="21"/>
                <w:szCs w:val="21"/>
                <w:lang w:eastAsia="zh-CN"/>
              </w:rPr>
            </w:pP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2</w:t>
            </w:r>
            <w:r>
              <w:rPr>
                <w:rFonts w:hint="eastAsia" w:ascii="Times New Roman" w:hAnsi="Times New Roman" w:cs="Times New Roman"/>
                <w:sz w:val="21"/>
                <w:szCs w:val="21"/>
                <w:lang w:val="en-US" w:eastAsia="zh-CN"/>
              </w:rPr>
              <w:t>S</w:t>
            </w:r>
            <w:r>
              <w:rPr>
                <w:rFonts w:hint="eastAsia" w:ascii="Times New Roman" w:cs="Times New Roman"/>
                <w:sz w:val="21"/>
                <w:szCs w:val="21"/>
                <w:lang w:val="en-US" w:eastAsia="zh-CN"/>
              </w:rPr>
              <w:t>、</w:t>
            </w:r>
            <w:r>
              <w:rPr>
                <w:rFonts w:hint="eastAsia" w:ascii="Times New Roman" w:hAnsi="Times New Roman" w:cs="Times New Roman"/>
                <w:sz w:val="21"/>
                <w:szCs w:val="21"/>
                <w:lang w:val="en-US" w:eastAsia="zh-CN"/>
              </w:rPr>
              <w:t>NH</w:t>
            </w:r>
            <w:r>
              <w:rPr>
                <w:rFonts w:hint="eastAsia" w:ascii="Times New Roman" w:hAnsi="Times New Roman" w:cs="Times New Roman"/>
                <w:sz w:val="21"/>
                <w:szCs w:val="21"/>
                <w:vertAlign w:val="subscript"/>
                <w:lang w:val="en-US" w:eastAsia="zh-CN"/>
              </w:rPr>
              <w:t>3</w:t>
            </w:r>
          </w:p>
        </w:tc>
        <w:tc>
          <w:tcPr>
            <w:tcW w:w="1254" w:type="dxa"/>
            <w:noWrap w:val="0"/>
            <w:vAlign w:val="center"/>
          </w:tcPr>
          <w:p>
            <w:pPr>
              <w:spacing w:line="240" w:lineRule="auto"/>
              <w:ind w:firstLine="0"/>
              <w:jc w:val="center"/>
              <w:rPr>
                <w:rFonts w:hint="eastAsia" w:ascii="Times New Roman" w:hAnsi="Times New Roman" w:eastAsia="宋体" w:cs="Times New Roman"/>
                <w:sz w:val="21"/>
                <w:szCs w:val="21"/>
                <w:lang w:eastAsia="zh-CN"/>
              </w:rPr>
            </w:pPr>
            <w:r>
              <w:rPr>
                <w:rFonts w:hint="eastAsia" w:cs="Times New Roman"/>
                <w:sz w:val="21"/>
                <w:szCs w:val="21"/>
                <w:lang w:eastAsia="zh-CN"/>
              </w:rPr>
              <w:t>一次</w:t>
            </w:r>
            <w:r>
              <w:rPr>
                <w:rFonts w:hint="eastAsia" w:cs="Times New Roman"/>
                <w:sz w:val="21"/>
                <w:szCs w:val="21"/>
                <w:lang w:val="en-US" w:eastAsia="zh-CN"/>
              </w:rPr>
              <w:t>/</w:t>
            </w:r>
            <w:r>
              <w:rPr>
                <w:rFonts w:hint="eastAsia" w:cs="Times New Roman"/>
                <w:sz w:val="21"/>
                <w:szCs w:val="21"/>
                <w:lang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0" w:type="auto"/>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3328"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厂界四周外</w:t>
            </w:r>
            <w:r>
              <w:rPr>
                <w:rFonts w:hint="default" w:ascii="Times New Roman" w:hAnsi="Times New Roman" w:cs="Times New Roman"/>
                <w:sz w:val="21"/>
                <w:szCs w:val="21"/>
              </w:rPr>
              <w:t>1m</w:t>
            </w:r>
          </w:p>
        </w:tc>
        <w:tc>
          <w:tcPr>
            <w:tcW w:w="2800"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等效</w:t>
            </w:r>
            <w:r>
              <w:rPr>
                <w:rFonts w:hint="eastAsia" w:ascii="Times New Roman" w:hAnsi="Times New Roman" w:cs="Times New Roman"/>
                <w:sz w:val="21"/>
                <w:szCs w:val="21"/>
                <w:lang w:eastAsia="zh-CN"/>
              </w:rPr>
              <w:t>连续</w:t>
            </w:r>
            <w:r>
              <w:rPr>
                <w:rFonts w:hint="default" w:ascii="Times New Roman" w:hAnsi="Times New Roman" w:cs="Times New Roman"/>
                <w:sz w:val="21"/>
                <w:szCs w:val="21"/>
              </w:rPr>
              <w:t>A</w:t>
            </w:r>
            <w:r>
              <w:rPr>
                <w:rFonts w:hint="default" w:ascii="Times New Roman" w:hAnsi="Times New Roman" w:cs="Times New Roman"/>
                <w:sz w:val="21"/>
                <w:szCs w:val="21"/>
              </w:rPr>
              <w:t>声级</w:t>
            </w:r>
          </w:p>
        </w:tc>
        <w:tc>
          <w:tcPr>
            <w:tcW w:w="1254" w:type="dxa"/>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一次/</w:t>
            </w:r>
            <w:r>
              <w:rPr>
                <w:rFonts w:hint="default" w:ascii="Times New Roman" w:hAnsi="Times New Roman" w:cs="Times New Roman"/>
                <w:sz w:val="21"/>
                <w:szCs w:val="21"/>
                <w:lang w:eastAsia="zh-CN"/>
              </w:rPr>
              <w:t>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46" w:type="dxa"/>
            <w:vMerge w:val="restart"/>
            <w:noWrap w:val="0"/>
            <w:vAlign w:val="center"/>
          </w:tcPr>
          <w:p>
            <w:pPr>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厂</w:t>
            </w:r>
            <w:r>
              <w:rPr>
                <w:rFonts w:hint="default" w:ascii="Times New Roman" w:hAnsi="Times New Roman" w:cs="Times New Roman"/>
                <w:sz w:val="21"/>
                <w:szCs w:val="21"/>
                <w:lang w:eastAsia="zh-CN"/>
              </w:rPr>
              <w:t>区</w:t>
            </w:r>
            <w:r>
              <w:rPr>
                <w:rFonts w:hint="default" w:ascii="Times New Roman" w:hAnsi="Times New Roman" w:cs="Times New Roman"/>
                <w:sz w:val="21"/>
                <w:szCs w:val="21"/>
              </w:rPr>
              <w:t>控制监测</w:t>
            </w:r>
          </w:p>
        </w:tc>
        <w:tc>
          <w:tcPr>
            <w:tcW w:w="0" w:type="auto"/>
            <w:noWrap w:val="0"/>
            <w:vAlign w:val="center"/>
          </w:tcPr>
          <w:p>
            <w:pPr>
              <w:spacing w:line="240" w:lineRule="auto"/>
              <w:ind w:firstLine="0" w:firstLineChars="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废气</w:t>
            </w:r>
          </w:p>
        </w:tc>
        <w:tc>
          <w:tcPr>
            <w:tcW w:w="3328" w:type="dxa"/>
            <w:noWrap w:val="0"/>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厂内任意点</w:t>
            </w:r>
            <w:r>
              <w:rPr>
                <w:rFonts w:hint="eastAsia" w:ascii="Times New Roman" w:hAnsi="Times New Roman" w:cs="Times New Roman"/>
                <w:sz w:val="21"/>
                <w:szCs w:val="21"/>
                <w:lang w:val="en-US" w:eastAsia="zh-CN"/>
              </w:rPr>
              <w:t>*</w:t>
            </w:r>
          </w:p>
        </w:tc>
        <w:tc>
          <w:tcPr>
            <w:tcW w:w="2800" w:type="dxa"/>
            <w:noWrap w:val="0"/>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r>
              <w:rPr>
                <w:rFonts w:hint="eastAsia" w:ascii="Times New Roman" w:hAnsi="Times New Roman" w:cs="Times New Roman"/>
                <w:sz w:val="21"/>
                <w:szCs w:val="21"/>
                <w:lang w:val="en-US" w:eastAsia="zh-CN"/>
              </w:rPr>
              <w:t>（以</w:t>
            </w:r>
            <w:r>
              <w:rPr>
                <w:rFonts w:hint="eastAsia" w:ascii="Times New Roman" w:hAnsi="Times New Roman" w:cs="Times New Roman"/>
                <w:sz w:val="21"/>
                <w:szCs w:val="21"/>
                <w:lang w:val="en-US" w:eastAsia="zh-CN"/>
              </w:rPr>
              <w:t>NMHC</w:t>
            </w:r>
            <w:r>
              <w:rPr>
                <w:rFonts w:hint="eastAsia" w:ascii="Times New Roman" w:hAnsi="Times New Roman" w:cs="Times New Roman"/>
                <w:sz w:val="21"/>
                <w:szCs w:val="21"/>
                <w:lang w:val="en-US" w:eastAsia="zh-CN"/>
              </w:rPr>
              <w:t>计）</w:t>
            </w:r>
          </w:p>
        </w:tc>
        <w:tc>
          <w:tcPr>
            <w:tcW w:w="1254" w:type="dxa"/>
            <w:noWrap w:val="0"/>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一次</w:t>
            </w:r>
            <w:r>
              <w:rPr>
                <w:rFonts w:hint="eastAsia" w:ascii="Times New Roman" w:hAnsi="Times New Roman" w:cs="Times New Roman"/>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9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0" w:type="auto"/>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地下水</w:t>
            </w:r>
          </w:p>
        </w:tc>
        <w:tc>
          <w:tcPr>
            <w:tcW w:w="3328"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监控井</w:t>
            </w:r>
            <w:r>
              <w:rPr>
                <w:rFonts w:hint="eastAsia" w:cs="Times New Roman"/>
                <w:sz w:val="21"/>
                <w:szCs w:val="21"/>
                <w:lang w:eastAsia="zh-CN"/>
              </w:rPr>
              <w:t>（上游、厂区、下游）</w:t>
            </w:r>
          </w:p>
        </w:tc>
        <w:tc>
          <w:tcPr>
            <w:tcW w:w="2800"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pH</w:t>
            </w:r>
            <w:r>
              <w:rPr>
                <w:rFonts w:hint="default" w:ascii="Times New Roman" w:hAnsi="Times New Roman" w:cs="Times New Roman"/>
                <w:sz w:val="21"/>
                <w:szCs w:val="21"/>
                <w:lang w:val="en-US" w:eastAsia="zh-CN"/>
              </w:rPr>
              <w:t>、氨氮、</w:t>
            </w:r>
            <w:r>
              <w:rPr>
                <w:rFonts w:hint="eastAsia" w:cs="Times New Roman"/>
                <w:sz w:val="21"/>
                <w:szCs w:val="21"/>
                <w:lang w:val="en-US" w:eastAsia="zh-CN"/>
              </w:rPr>
              <w:t>耗氧量</w:t>
            </w:r>
          </w:p>
        </w:tc>
        <w:tc>
          <w:tcPr>
            <w:tcW w:w="1254"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一次</w:t>
            </w:r>
            <w:r>
              <w:rPr>
                <w:rFonts w:hint="default" w:ascii="Times New Roman" w:hAnsi="Times New Roman" w:cs="Times New Roman"/>
                <w:sz w:val="21"/>
                <w:szCs w:val="21"/>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46" w:type="dxa"/>
            <w:vMerge w:val="continue"/>
            <w:noWrap w:val="0"/>
            <w:vAlign w:val="center"/>
          </w:tcPr>
          <w:p>
            <w:pPr>
              <w:spacing w:line="240" w:lineRule="auto"/>
              <w:ind w:firstLine="0"/>
              <w:jc w:val="center"/>
              <w:rPr>
                <w:rFonts w:hint="default" w:ascii="Times New Roman" w:hAnsi="Times New Roman" w:cs="Times New Roman"/>
                <w:sz w:val="21"/>
                <w:szCs w:val="21"/>
              </w:rPr>
            </w:pPr>
          </w:p>
        </w:tc>
        <w:tc>
          <w:tcPr>
            <w:tcW w:w="0" w:type="auto"/>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土壤</w:t>
            </w:r>
          </w:p>
        </w:tc>
        <w:tc>
          <w:tcPr>
            <w:tcW w:w="3328"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eastAsia="zh-CN"/>
              </w:rPr>
              <w:t>煤场</w:t>
            </w:r>
            <w:r>
              <w:rPr>
                <w:rFonts w:hint="default" w:ascii="Times New Roman" w:hAnsi="Times New Roman" w:cs="Times New Roman"/>
                <w:sz w:val="21"/>
                <w:szCs w:val="21"/>
              </w:rPr>
              <w:t>、</w:t>
            </w:r>
            <w:r>
              <w:rPr>
                <w:rFonts w:hint="eastAsia" w:cs="Times New Roman"/>
                <w:sz w:val="21"/>
                <w:szCs w:val="21"/>
                <w:lang w:eastAsia="zh-CN"/>
              </w:rPr>
              <w:t>储罐装卸区、固废暂存库、危险废物贮存库</w:t>
            </w:r>
            <w:r>
              <w:rPr>
                <w:rFonts w:hint="default" w:ascii="Times New Roman" w:hAnsi="Times New Roman" w:cs="Times New Roman"/>
                <w:sz w:val="21"/>
                <w:szCs w:val="21"/>
              </w:rPr>
              <w:t>或污水站附近随机选取</w:t>
            </w:r>
          </w:p>
        </w:tc>
        <w:tc>
          <w:tcPr>
            <w:tcW w:w="2800"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eastAsia="zh-CN"/>
              </w:rPr>
              <w:t>重金属（砷、镉、铬（六价）、铜、铅、汞、镍）</w:t>
            </w:r>
          </w:p>
        </w:tc>
        <w:tc>
          <w:tcPr>
            <w:tcW w:w="1254" w:type="dxa"/>
            <w:noWrap w:val="0"/>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一次/</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174" w:type="dxa"/>
            <w:gridSpan w:val="5"/>
            <w:noWrap w:val="0"/>
            <w:vAlign w:val="center"/>
          </w:tcPr>
          <w:p>
            <w:pPr>
              <w:spacing w:line="240" w:lineRule="auto"/>
              <w:ind w:firstLine="0" w:firstLineChars="0"/>
              <w:jc w:val="lef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注：*为本项目实施后增加</w:t>
            </w:r>
          </w:p>
        </w:tc>
      </w:tr>
    </w:tbl>
    <w:p>
      <w:pPr>
        <w:pStyle w:val="6"/>
        <w:bidi w:val="0"/>
        <w:rPr>
          <w:rFonts w:hint="eastAsia"/>
        </w:rPr>
      </w:pPr>
      <w:r>
        <w:rPr>
          <w:rFonts w:hint="eastAsia" w:ascii="Times New Roman" w:hAnsi="Times New Roman"/>
          <w:lang w:val="en-US" w:eastAsia="zh-CN"/>
        </w:rPr>
        <w:t>9</w:t>
      </w:r>
      <w:r>
        <w:rPr>
          <w:rFonts w:hint="eastAsia"/>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rPr>
        <w:t>监测数据的记录和报告</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hAnsi="宋体" w:eastAsia="宋体"/>
          <w:bCs/>
          <w:lang w:val="en-US" w:eastAsia="zh-CN"/>
        </w:rPr>
      </w:pPr>
      <w:r>
        <w:rPr>
          <w:rFonts w:hint="eastAsia"/>
          <w:bCs/>
        </w:rPr>
        <w:t>（</w:t>
      </w:r>
      <w:r>
        <w:rPr>
          <w:rFonts w:hint="eastAsia" w:ascii="Times New Roman" w:hAnsi="Times New Roman"/>
          <w:bCs/>
        </w:rPr>
        <w:t>1</w:t>
      </w:r>
      <w:r>
        <w:rPr>
          <w:rFonts w:hint="eastAsia"/>
          <w:bCs/>
        </w:rPr>
        <w:t>）</w:t>
      </w:r>
      <w:r>
        <w:rPr>
          <w:rFonts w:hint="eastAsia" w:hAnsi="宋体"/>
          <w:bCs/>
        </w:rPr>
        <w:t>手工监测记录和自动监测记录按照</w:t>
      </w:r>
      <w:r>
        <w:rPr>
          <w:rFonts w:hint="eastAsia" w:ascii="Times New Roman" w:hAnsi="Times New Roman"/>
          <w:bCs/>
        </w:rPr>
        <w:t>HJ819</w:t>
      </w:r>
      <w:r>
        <w:rPr>
          <w:rFonts w:hint="eastAsia" w:hAnsi="宋体"/>
          <w:bCs/>
        </w:rPr>
        <w:t>执行</w:t>
      </w:r>
      <w:r>
        <w:rPr>
          <w:rFonts w:hint="eastAsia"/>
          <w:bCs/>
          <w:lang w:eastAsia="zh-CN"/>
        </w:rPr>
        <w:t>。</w:t>
      </w:r>
      <w:r>
        <w:rPr>
          <w:rFonts w:hint="eastAsia"/>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hAnsi="宋体"/>
          <w:bCs/>
        </w:rPr>
      </w:pPr>
      <w:r>
        <w:rPr>
          <w:rFonts w:hint="eastAsia"/>
          <w:bCs/>
        </w:rPr>
        <w:t>（</w:t>
      </w:r>
      <w:r>
        <w:rPr>
          <w:rFonts w:hint="eastAsia" w:ascii="Times New Roman" w:hAnsi="Times New Roman"/>
          <w:bCs/>
        </w:rPr>
        <w:t>2</w:t>
      </w:r>
      <w:r>
        <w:rPr>
          <w:rFonts w:hint="eastAsia"/>
          <w:bCs/>
        </w:rPr>
        <w:t>）</w:t>
      </w:r>
      <w:r>
        <w:rPr>
          <w:rFonts w:hint="eastAsia" w:hAnsi="宋体"/>
          <w:bCs/>
        </w:rPr>
        <w:t>详细记录排污单位主体</w:t>
      </w:r>
      <w:r>
        <w:rPr>
          <w:rFonts w:hint="eastAsia"/>
          <w:bCs/>
          <w:lang w:eastAsia="zh-CN"/>
        </w:rPr>
        <w:t>工程</w:t>
      </w:r>
      <w:r>
        <w:rPr>
          <w:rFonts w:hint="eastAsia" w:hAnsi="宋体"/>
          <w:bCs/>
        </w:rPr>
        <w:t>、公辅</w:t>
      </w:r>
      <w:r>
        <w:rPr>
          <w:rFonts w:hint="eastAsia"/>
          <w:bCs/>
          <w:lang w:eastAsia="zh-CN"/>
        </w:rPr>
        <w:t>工程</w:t>
      </w:r>
      <w:r>
        <w:rPr>
          <w:rFonts w:hint="eastAsia" w:hAnsi="宋体"/>
          <w:bCs/>
        </w:rPr>
        <w:t>、全厂运行情况</w:t>
      </w:r>
      <w:r>
        <w:rPr>
          <w:rFonts w:hint="eastAsia"/>
          <w:bCs/>
          <w:lang w:eastAsia="zh-CN"/>
        </w:rPr>
        <w:t>等</w:t>
      </w:r>
      <w:r>
        <w:rPr>
          <w:rFonts w:hint="eastAsia" w:hAnsi="宋体"/>
          <w:bCs/>
        </w:rPr>
        <w:t>，包括以下方面：</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lang w:eastAsia="zh-CN"/>
        </w:rPr>
      </w:pPr>
      <w:r>
        <w:rPr>
          <w:rFonts w:hint="eastAsia"/>
        </w:rPr>
        <w:t>①主体</w:t>
      </w:r>
      <w:r>
        <w:rPr>
          <w:rFonts w:hint="eastAsia"/>
          <w:lang w:eastAsia="zh-CN"/>
        </w:rPr>
        <w:t>工程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包括各类主要生产装置等，重点记录各装置的原料用量、产品产量、</w:t>
      </w:r>
      <w:r>
        <w:rPr>
          <w:rFonts w:hint="eastAsia"/>
          <w:lang w:eastAsia="zh-CN"/>
        </w:rPr>
        <w:t>耗</w:t>
      </w:r>
      <w:r>
        <w:rPr>
          <w:rFonts w:hint="eastAsia"/>
        </w:rPr>
        <w:t>水量（新鲜水）、废水排放量、</w:t>
      </w:r>
      <w:r>
        <w:rPr>
          <w:rFonts w:hint="eastAsia"/>
          <w:lang w:eastAsia="zh-CN"/>
        </w:rPr>
        <w:t>蒸汽</w:t>
      </w:r>
      <w:r>
        <w:rPr>
          <w:rFonts w:hint="eastAsia"/>
        </w:rPr>
        <w:t>消耗量、运行时间等参数情况。</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lang w:eastAsia="zh-CN"/>
        </w:rPr>
      </w:pPr>
      <w:r>
        <w:rPr>
          <w:rFonts w:hint="eastAsia"/>
        </w:rPr>
        <w:t>②公辅</w:t>
      </w:r>
      <w:r>
        <w:rPr>
          <w:rFonts w:hint="eastAsia"/>
          <w:lang w:eastAsia="zh-CN"/>
        </w:rPr>
        <w:t>工程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储罐包括设计规模、工艺参数（温度、液位、周转量）等。</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③全厂运行情况</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年生产时间分正常工况和非正常工况（生产装置或设施开停工、检维修）、主要产品产量</w:t>
      </w:r>
      <w:r>
        <w:rPr>
          <w:rFonts w:hint="eastAsia"/>
          <w:lang w:eastAsia="zh-CN"/>
        </w:rPr>
        <w:t>及</w:t>
      </w:r>
      <w:r>
        <w:rPr>
          <w:rFonts w:hint="eastAsia"/>
        </w:rPr>
        <w:t>与污染治理设施和污染物排放相关的内容。</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hAnsi="宋体"/>
          <w:bCs/>
        </w:rPr>
      </w:pPr>
      <w:r>
        <w:rPr>
          <w:rFonts w:hint="eastAsia"/>
          <w:bCs/>
        </w:rPr>
        <w:t>（</w:t>
      </w:r>
      <w:r>
        <w:rPr>
          <w:rFonts w:hint="eastAsia" w:ascii="Times New Roman" w:hAnsi="Times New Roman"/>
          <w:bCs/>
        </w:rPr>
        <w:t>3</w:t>
      </w:r>
      <w:r>
        <w:rPr>
          <w:rFonts w:hint="eastAsia"/>
          <w:bCs/>
        </w:rPr>
        <w:t>）</w:t>
      </w:r>
      <w:r>
        <w:rPr>
          <w:rFonts w:hint="eastAsia" w:hAnsi="宋体"/>
          <w:bCs/>
        </w:rPr>
        <w:t>污染治理设施的运行状况</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污染治理设施运行管理信息应当包括设备运行校验关键参数，能充分反映生产设施及治理设施运行管理情况。</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FF0000"/>
        </w:rPr>
      </w:pPr>
      <w:r>
        <w:rPr>
          <w:rFonts w:hint="eastAsia"/>
        </w:rPr>
        <w:t>①有组织废气治理设施需记录污染治理设施运行时间、参数（包括运行工况等）、使用药剂、投放频次等。如出现设施停运、检维修、事故等异常情况，需记录设施停运、检维修、事故等异常情况及处理措施。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②无组织废气主要记录</w:t>
      </w:r>
      <w:r>
        <w:rPr>
          <w:rFonts w:hint="eastAsia"/>
          <w:lang w:eastAsia="zh-CN"/>
        </w:rPr>
        <w:t>相关</w:t>
      </w:r>
      <w:r>
        <w:rPr>
          <w:rFonts w:hint="eastAsia"/>
        </w:rPr>
        <w:t>污染治理设施相应的运行、维护、管理相关的信息，可用于说明上述设施的运行情况和效果。</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w:t>
      </w:r>
      <w:r>
        <w:rPr>
          <w:rFonts w:hint="eastAsia" w:ascii="Times New Roman" w:hAnsi="Times New Roman"/>
        </w:rPr>
        <w:t>4</w:t>
      </w:r>
      <w:r>
        <w:rPr>
          <w:rFonts w:hint="eastAsia"/>
        </w:rPr>
        <w:t>）危险废物记录</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eastAsia="宋体"/>
          <w:bCs/>
          <w:lang w:eastAsia="zh-CN"/>
        </w:rPr>
      </w:pPr>
      <w:r>
        <w:rPr>
          <w:rFonts w:hint="eastAsia"/>
          <w:bCs/>
          <w:lang w:eastAsia="zh-CN"/>
        </w:rPr>
        <w:t>根据《危险废物产生单位管理计划制定指南》（环境保护部</w:t>
      </w:r>
      <w:r>
        <w:rPr>
          <w:rFonts w:hint="eastAsia" w:ascii="Times New Roman" w:hAnsi="Times New Roman"/>
          <w:bCs/>
          <w:lang w:val="en-US" w:eastAsia="zh-CN"/>
        </w:rPr>
        <w:t>2016</w:t>
      </w:r>
      <w:r>
        <w:rPr>
          <w:rFonts w:hint="eastAsia"/>
          <w:bCs/>
          <w:lang w:val="en-US" w:eastAsia="zh-CN"/>
        </w:rPr>
        <w:t>年第</w:t>
      </w:r>
      <w:r>
        <w:rPr>
          <w:rFonts w:hint="eastAsia" w:ascii="Times New Roman" w:hAnsi="Times New Roman"/>
          <w:bCs/>
          <w:lang w:val="en-US" w:eastAsia="zh-CN"/>
        </w:rPr>
        <w:t>7</w:t>
      </w:r>
      <w:r>
        <w:rPr>
          <w:rFonts w:hint="eastAsia"/>
          <w:bCs/>
          <w:lang w:val="en-US" w:eastAsia="zh-CN"/>
        </w:rPr>
        <w:t>号</w:t>
      </w:r>
      <w:r>
        <w:rPr>
          <w:rFonts w:hint="eastAsia"/>
          <w:bCs/>
          <w:lang w:eastAsia="zh-CN"/>
        </w:rPr>
        <w:t>），产废单位要结合自身实际情况，与生成记录相衔接，建立危险废物管理台账，如实记载产生危险废物的种类、数量、流向、贮存、利用处置等信息。鼓励产废单位采用信息化手段建立危险废物台账。产废单位应在台账工作的基础上向所在地县级以上人民政府环境保护主管部门申报危险废物的种类、产生量、流向、贮存、处置等有关资料。</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hAnsi="宋体"/>
          <w:bCs/>
        </w:rPr>
      </w:pPr>
      <w:r>
        <w:rPr>
          <w:rFonts w:hint="eastAsia"/>
          <w:bCs/>
        </w:rPr>
        <w:t>（</w:t>
      </w:r>
      <w:r>
        <w:rPr>
          <w:rFonts w:hint="eastAsia" w:ascii="Times New Roman" w:hAnsi="Times New Roman"/>
          <w:bCs/>
        </w:rPr>
        <w:t>5</w:t>
      </w:r>
      <w:r>
        <w:rPr>
          <w:rFonts w:hint="eastAsia"/>
          <w:bCs/>
        </w:rPr>
        <w:t>）</w:t>
      </w:r>
      <w:r>
        <w:rPr>
          <w:rFonts w:hint="eastAsia" w:hAnsi="宋体"/>
          <w:bCs/>
        </w:rPr>
        <w:t>信息报告、应急监测报告、信息公开按照</w:t>
      </w:r>
      <w:r>
        <w:rPr>
          <w:rFonts w:hint="eastAsia" w:ascii="Times New Roman" w:hAnsi="Times New Roman"/>
          <w:bCs/>
        </w:rPr>
        <w:t>HJ819</w:t>
      </w:r>
      <w:r>
        <w:rPr>
          <w:rFonts w:hint="eastAsia" w:hAnsi="宋体"/>
          <w:bCs/>
        </w:rPr>
        <w:t>执行。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rPr>
      </w:pPr>
      <w:r>
        <w:rPr>
          <w:rFonts w:hint="eastAsia"/>
        </w:rPr>
        <w:t>（</w:t>
      </w:r>
      <w:r>
        <w:rPr>
          <w:rFonts w:hint="eastAsia" w:ascii="Times New Roman" w:hAnsi="Times New Roman"/>
        </w:rPr>
        <w:t>6</w:t>
      </w:r>
      <w:r>
        <w:rPr>
          <w:rFonts w:hint="eastAsia"/>
        </w:rPr>
        <w:t>）排污单位应如实记录手工监测期间的工况（包括生产负荷、污染治理设施运行情况等），确保监测数据具有代表性。</w:t>
      </w:r>
    </w:p>
    <w:p>
      <w:pPr>
        <w:pStyle w:val="4"/>
        <w:tabs>
          <w:tab w:val="left" w:pos="0"/>
          <w:tab w:val="left" w:pos="575"/>
        </w:tabs>
        <w:spacing w:before="165" w:after="165"/>
      </w:pPr>
      <w:bookmarkStart w:id="269" w:name="_Toc27573"/>
      <w:bookmarkStart w:id="270" w:name="_Toc20226"/>
      <w:bookmarkStart w:id="271" w:name="_Toc30414"/>
      <w:bookmarkStart w:id="272" w:name="_Toc25758"/>
      <w:bookmarkStart w:id="273" w:name="_Toc28851"/>
      <w:bookmarkStart w:id="274" w:name="_Toc27517"/>
      <w:r>
        <w:rPr>
          <w:rFonts w:hint="eastAsia" w:ascii="Times New Roman" w:hAnsi="Times New Roman"/>
          <w:lang w:val="en-US" w:eastAsia="zh-CN"/>
        </w:rPr>
        <w:t>9</w:t>
      </w:r>
      <w:r>
        <w:rPr>
          <w:rFonts w:hint="eastAsia"/>
        </w:rPr>
        <w:t>.</w:t>
      </w:r>
      <w:r>
        <w:rPr>
          <w:rFonts w:hint="eastAsia" w:ascii="Times New Roman" w:hAnsi="Times New Roman"/>
        </w:rPr>
        <w:t>3</w:t>
      </w:r>
      <w:r>
        <w:rPr>
          <w:rFonts w:hint="eastAsia"/>
        </w:rPr>
        <w:t>环境保护“三同时”</w:t>
      </w:r>
      <w:bookmarkEnd w:id="269"/>
      <w:bookmarkEnd w:id="270"/>
      <w:bookmarkEnd w:id="271"/>
      <w:bookmarkEnd w:id="272"/>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w:t>
      </w:r>
      <w:r>
        <w:rPr>
          <w:rFonts w:hint="eastAsia" w:ascii="Times New Roman" w:hAnsi="Times New Roman"/>
        </w:rPr>
        <w:t>1</w:t>
      </w:r>
      <w:r>
        <w:rPr>
          <w:rFonts w:hint="eastAsia"/>
        </w:rPr>
        <w:t>）“三同时”总体要求</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建设项目的环境保护设施，应当与主体工程同时设计、同时施工、同时投产使用。</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w:t>
      </w:r>
      <w:r>
        <w:rPr>
          <w:rFonts w:hint="eastAsia" w:ascii="Times New Roman" w:hAnsi="Times New Roman"/>
        </w:rPr>
        <w:t>2</w:t>
      </w:r>
      <w:r>
        <w:rPr>
          <w:rFonts w:hint="eastAsia"/>
        </w:rPr>
        <w:t>）同时设计</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t>按照环评文件及其批复要求，</w:t>
      </w:r>
      <w:r>
        <w:rPr>
          <w:rFonts w:hint="eastAsia"/>
        </w:rPr>
        <w:t>按照环境保护设计规范的要求，在设计文件中落实防止、减少环境污染和生态破坏的环境保护措施以及投资概算。</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w:t>
      </w:r>
      <w:r>
        <w:rPr>
          <w:rFonts w:hint="eastAsia" w:ascii="Times New Roman" w:hAnsi="Times New Roman"/>
        </w:rPr>
        <w:t>3</w:t>
      </w:r>
      <w:r>
        <w:rPr>
          <w:rFonts w:hint="eastAsia"/>
        </w:rPr>
        <w:t>）同时施工</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建设项目施工阶段，应当将环境保护设施纳入项目的施工合同和计划，保障其建设进度和资金落实，并采取防止、减少施工期环境污染和生态破坏的措施，开展施工期环境监测。</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w:t>
      </w:r>
      <w:r>
        <w:rPr>
          <w:rFonts w:hint="eastAsia" w:ascii="Times New Roman" w:hAnsi="Times New Roman"/>
        </w:rPr>
        <w:t>4</w:t>
      </w:r>
      <w:r>
        <w:rPr>
          <w:rFonts w:hint="eastAsia"/>
        </w:rPr>
        <w:t>）排污许可管理要求</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投产前向负有排污许可监督管理职责的</w:t>
      </w:r>
      <w:r>
        <w:rPr>
          <w:rFonts w:hint="eastAsia"/>
          <w:lang w:eastAsia="zh-CN"/>
        </w:rPr>
        <w:t>生态</w:t>
      </w:r>
      <w:r>
        <w:rPr>
          <w:rFonts w:hint="eastAsia"/>
        </w:rPr>
        <w:t>环境主管部门提交排污许可申请，严格按照排污许可证规定的污染物排放种类、浓度、总量等排污。</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w:t>
      </w:r>
      <w:r>
        <w:rPr>
          <w:rFonts w:hint="eastAsia" w:ascii="Times New Roman" w:hAnsi="Times New Roman"/>
          <w:lang w:val="en-US" w:eastAsia="zh-CN"/>
        </w:rPr>
        <w:t>5</w:t>
      </w:r>
      <w:r>
        <w:rPr>
          <w:rFonts w:hint="eastAsia"/>
        </w:rPr>
        <w:t>）</w:t>
      </w:r>
      <w:r>
        <w:t>验收标准与范围</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①根据</w:t>
      </w:r>
      <w:r>
        <w:t>《建设项目竣工环境保护</w:t>
      </w:r>
      <w:r>
        <w:rPr>
          <w:rFonts w:hint="eastAsia"/>
        </w:rPr>
        <w:t>验收暂行</w:t>
      </w:r>
      <w:r>
        <w:t>办法》</w:t>
      </w:r>
      <w:r>
        <w:rPr>
          <w:rFonts w:hint="eastAsia"/>
        </w:rPr>
        <w:t>（国环规环评[</w:t>
      </w:r>
      <w:r>
        <w:rPr>
          <w:rFonts w:hint="eastAsia" w:ascii="Times New Roman" w:hAnsi="Times New Roman"/>
        </w:rPr>
        <w:t>2017</w:t>
      </w:r>
      <w:r>
        <w:rPr>
          <w:rFonts w:hint="eastAsia"/>
        </w:rPr>
        <w:t>]</w:t>
      </w:r>
      <w:r>
        <w:rPr>
          <w:rFonts w:hint="eastAsia" w:ascii="Times New Roman" w:hAnsi="Times New Roman"/>
        </w:rPr>
        <w:t>4</w:t>
      </w:r>
      <w:r>
        <w:rPr>
          <w:rFonts w:hint="eastAsia"/>
        </w:rPr>
        <w:t>号）</w:t>
      </w:r>
      <w:r>
        <w:t>的中有关规定执行；</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②</w:t>
      </w:r>
      <w:r>
        <w:t>与工程有关的各项环保设施，包括为污染防治和保护环境</w:t>
      </w:r>
      <w:r>
        <w:rPr>
          <w:rFonts w:hint="eastAsia"/>
        </w:rPr>
        <w:t>设施</w:t>
      </w:r>
      <w:r>
        <w:t>建成或配套建成的工程、设备、装置，以及各项生态保护、水土保持绿化设施；</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③</w:t>
      </w:r>
      <w:r>
        <w:t>本报告书及其批复文件和有关设计文件规定应采取的其他各项环保措施。</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pPr>
      <w:r>
        <w:rPr>
          <w:rFonts w:hint="eastAsia"/>
        </w:rPr>
        <w:t>（</w:t>
      </w:r>
      <w:r>
        <w:rPr>
          <w:rFonts w:hint="eastAsia" w:ascii="Times New Roman" w:hAnsi="Times New Roman"/>
          <w:lang w:val="en-US" w:eastAsia="zh-CN"/>
        </w:rPr>
        <w:t>6</w:t>
      </w:r>
      <w:r>
        <w:rPr>
          <w:rFonts w:hint="eastAsia"/>
        </w:rPr>
        <w:t>）</w:t>
      </w:r>
      <w:r>
        <w:t>竣工验收</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hint="eastAsia"/>
        </w:rPr>
      </w:pPr>
      <w:r>
        <w:rPr>
          <w:rFonts w:hint="eastAsia"/>
          <w:lang w:eastAsia="zh-CN"/>
        </w:rPr>
        <w:t>根据《建设项目竣工环境保护验收暂行办法》，</w:t>
      </w:r>
      <w:r>
        <w:rPr>
          <w:rFonts w:hint="eastAsia"/>
        </w:rPr>
        <w:t>建设单位或委托编制单位</w:t>
      </w:r>
      <w:r>
        <w:rPr>
          <w:rFonts w:hint="eastAsia"/>
          <w:lang w:eastAsia="zh-CN"/>
        </w:rPr>
        <w:t>应</w:t>
      </w:r>
      <w:r>
        <w:t>如实查验、监测、记载建设项目环境保护设施的建设和调试情况，同时还应如实记载其他环境保护对策措施</w:t>
      </w:r>
      <w:r>
        <w:rPr>
          <w:rFonts w:hint="eastAsia"/>
        </w:rPr>
        <w:t>“</w:t>
      </w:r>
      <w:r>
        <w:t>三同时</w:t>
      </w:r>
      <w:r>
        <w:rPr>
          <w:rFonts w:hint="eastAsia"/>
        </w:rPr>
        <w:t>”</w:t>
      </w:r>
      <w:r>
        <w:t>落实情况，编制竣工环境保护验收报告</w:t>
      </w:r>
      <w:r>
        <w:rPr>
          <w:rFonts w:hint="eastAsia"/>
        </w:rPr>
        <w:t>。</w:t>
      </w:r>
      <w:r>
        <w:t>验收报告编制完成后，建设单位应组织成立验收工作组</w:t>
      </w:r>
      <w:r>
        <w:rPr>
          <w:rFonts w:hint="eastAsia"/>
        </w:rPr>
        <w:t>。</w:t>
      </w:r>
      <w:r>
        <w:t>建设项目配套建设的环境保护设施经验收合格后，其主体工程才可以投入生产或者使用。</w:t>
      </w:r>
    </w:p>
    <w:p>
      <w:pPr>
        <w:pStyle w:val="4"/>
        <w:tabs>
          <w:tab w:val="left" w:pos="0"/>
          <w:tab w:val="left" w:pos="575"/>
        </w:tabs>
        <w:spacing w:before="165" w:after="165"/>
        <w:rPr>
          <w:rFonts w:hint="eastAsia"/>
        </w:rPr>
      </w:pPr>
      <w:bookmarkStart w:id="275" w:name="_Toc22025"/>
      <w:bookmarkStart w:id="276" w:name="_Toc20383"/>
      <w:bookmarkStart w:id="277" w:name="_Toc2367"/>
      <w:bookmarkStart w:id="278" w:name="_Toc21350"/>
      <w:r>
        <w:rPr>
          <w:rFonts w:hint="eastAsia" w:ascii="Times New Roman" w:hAnsi="Times New Roman"/>
          <w:lang w:val="en-US" w:eastAsia="zh-CN"/>
        </w:rPr>
        <w:t>9</w:t>
      </w:r>
      <w:r>
        <w:rPr>
          <w:rFonts w:hint="eastAsia"/>
        </w:rPr>
        <w:t>.</w:t>
      </w:r>
      <w:bookmarkEnd w:id="275"/>
      <w:bookmarkEnd w:id="276"/>
      <w:bookmarkStart w:id="279" w:name="_Toc24976"/>
      <w:bookmarkStart w:id="280" w:name="_Toc27933"/>
      <w:r>
        <w:rPr>
          <w:rFonts w:hint="eastAsia" w:ascii="Times New Roman" w:hAnsi="Times New Roman"/>
          <w:lang w:val="en-US" w:eastAsia="zh-CN"/>
        </w:rPr>
        <w:t>4</w:t>
      </w:r>
      <w:r>
        <w:rPr>
          <w:rFonts w:hint="eastAsia"/>
        </w:rPr>
        <w:t>污染物排放清单</w:t>
      </w:r>
      <w:bookmarkEnd w:id="277"/>
      <w:bookmarkEnd w:id="278"/>
      <w:bookmarkEnd w:id="279"/>
      <w:bookmarkEnd w:id="280"/>
    </w:p>
    <w:p>
      <w:pPr>
        <w:ind w:firstLine="480"/>
        <w:rPr>
          <w:rFonts w:hint="eastAsia"/>
        </w:rPr>
      </w:pPr>
      <w:r>
        <w:rPr>
          <w:rFonts w:hint="eastAsia"/>
        </w:rPr>
        <w:t>环境影响评价文件及其批复是建设项目排污许可证管理、环境监测等事中、事后管理的技术依据，本次评价列出项目污染物排放清单的具体内容。</w:t>
      </w:r>
    </w:p>
    <w:p>
      <w:pPr>
        <w:pStyle w:val="5"/>
        <w:bidi w:val="0"/>
        <w:rPr>
          <w:rFonts w:hint="eastAsia" w:eastAsia="华文楷体"/>
          <w:lang w:eastAsia="zh-CN"/>
        </w:rPr>
      </w:pPr>
      <w:r>
        <w:rPr>
          <w:rFonts w:hint="eastAsia" w:ascii="Times New Roman" w:hAnsi="Times New Roman"/>
          <w:lang w:val="en-US" w:eastAsia="zh-CN"/>
        </w:rPr>
        <w:t>9</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1</w:t>
      </w:r>
      <w:r>
        <w:rPr>
          <w:rFonts w:hint="eastAsia"/>
        </w:rPr>
        <w:t>排污口</w:t>
      </w:r>
      <w:r>
        <w:rPr>
          <w:rFonts w:hint="eastAsia"/>
          <w:lang w:eastAsia="zh-CN"/>
        </w:rPr>
        <w:t>规范化</w:t>
      </w:r>
    </w:p>
    <w:p>
      <w:pPr>
        <w:spacing w:line="440" w:lineRule="exact"/>
        <w:rPr>
          <w:rFonts w:hint="eastAsia"/>
        </w:rPr>
      </w:pPr>
      <w:r>
        <w:rPr>
          <w:rFonts w:hint="eastAsia"/>
        </w:rPr>
        <w:t>（</w:t>
      </w:r>
      <w:r>
        <w:rPr>
          <w:rFonts w:hint="eastAsia" w:ascii="Times New Roman" w:hAnsi="Times New Roman"/>
        </w:rPr>
        <w:t>1</w:t>
      </w:r>
      <w:r>
        <w:rPr>
          <w:rFonts w:hint="eastAsia"/>
        </w:rPr>
        <w:t>）排污口设置</w:t>
      </w:r>
    </w:p>
    <w:p>
      <w:pPr>
        <w:spacing w:line="440" w:lineRule="exact"/>
        <w:rPr>
          <w:rFonts w:hint="eastAsia"/>
        </w:rPr>
      </w:pPr>
      <w:r>
        <w:rPr>
          <w:rFonts w:hint="eastAsia"/>
        </w:rPr>
        <w:t>本项目排污口主要包括</w:t>
      </w:r>
      <w:r>
        <w:rPr>
          <w:rFonts w:hint="eastAsia"/>
          <w:lang w:eastAsia="zh-CN"/>
        </w:rPr>
        <w:t>尾气吸收塔废气</w:t>
      </w:r>
      <w:r>
        <w:rPr>
          <w:rFonts w:hint="eastAsia"/>
        </w:rPr>
        <w:t>排口。</w:t>
      </w:r>
    </w:p>
    <w:p>
      <w:pPr>
        <w:spacing w:line="440" w:lineRule="exact"/>
        <w:rPr>
          <w:rFonts w:hint="eastAsia"/>
        </w:rPr>
      </w:pPr>
      <w:r>
        <w:rPr>
          <w:rFonts w:hint="eastAsia"/>
        </w:rPr>
        <w:t>（</w:t>
      </w:r>
      <w:r>
        <w:rPr>
          <w:rFonts w:hint="eastAsia" w:ascii="Times New Roman" w:hAnsi="Times New Roman"/>
        </w:rPr>
        <w:t>2</w:t>
      </w:r>
      <w:r>
        <w:rPr>
          <w:rFonts w:hint="eastAsia"/>
        </w:rPr>
        <w:t>）排污口规范化管理</w:t>
      </w:r>
    </w:p>
    <w:p>
      <w:pPr>
        <w:spacing w:line="440" w:lineRule="exact"/>
        <w:rPr>
          <w:rFonts w:hint="eastAsia"/>
        </w:rPr>
      </w:pPr>
      <w:r>
        <w:rPr>
          <w:rFonts w:hint="eastAsia"/>
        </w:rPr>
        <w:t>根据国家标准《环境保护图形标志 排放口（源）》和国家环境保护总局《污染源监测技术规范》的文件要求，企业所有排放口（包括水、气、声）必须按照“便于采样、便于计量检测、便于日常现场监督检查”的原则和规范进行设置，在</w:t>
      </w:r>
      <w:r>
        <w:rPr>
          <w:rFonts w:hint="eastAsia"/>
          <w:lang w:eastAsia="zh-CN"/>
        </w:rPr>
        <w:t>各</w:t>
      </w:r>
      <w:r>
        <w:rPr>
          <w:rFonts w:hint="eastAsia"/>
        </w:rPr>
        <w:t>水、气、声排污口（源）</w:t>
      </w:r>
      <w:r>
        <w:rPr>
          <w:rFonts w:hint="eastAsia"/>
          <w:lang w:eastAsia="zh-CN"/>
        </w:rPr>
        <w:t>、固体废物污染源</w:t>
      </w:r>
      <w:r>
        <w:rPr>
          <w:rFonts w:hint="eastAsia"/>
        </w:rPr>
        <w:t>设置与之相适应的环境保护图形标志牌，绘制企业排放口分布图。</w:t>
      </w:r>
    </w:p>
    <w:p>
      <w:pPr>
        <w:spacing w:line="440" w:lineRule="exact"/>
        <w:rPr>
          <w:rFonts w:hint="eastAsia"/>
        </w:rPr>
      </w:pPr>
      <w:r>
        <w:rPr>
          <w:rFonts w:hint="eastAsia"/>
        </w:rPr>
        <w:t>规范化排污口的有关设置（如图形标志牌、计量装置、监控装置等）属环保设施，排污单位必须负责日常的维护保养，任何单位和个人不得擅自拆除，如需要变更的需报</w:t>
      </w:r>
      <w:r>
        <w:rPr>
          <w:rFonts w:hint="eastAsia"/>
          <w:lang w:eastAsia="zh-CN"/>
        </w:rPr>
        <w:t>生态环境</w:t>
      </w:r>
      <w:r>
        <w:rPr>
          <w:rFonts w:hint="eastAsia"/>
        </w:rPr>
        <w:t>管理部门同意并办理变更手续。</w:t>
      </w:r>
      <w:r>
        <w:rPr>
          <w:rFonts w:hint="eastAsia"/>
          <w:lang w:eastAsia="zh-CN"/>
        </w:rPr>
        <w:t>本项目涉及的</w:t>
      </w:r>
      <w:r>
        <w:rPr>
          <w:rFonts w:hint="eastAsia"/>
        </w:rPr>
        <w:t>排放源环境标识见</w:t>
      </w:r>
      <w:r>
        <w:rPr>
          <w:rFonts w:hint="eastAsia"/>
          <w:lang w:eastAsia="zh-CN"/>
        </w:rPr>
        <w:t>图</w:t>
      </w:r>
      <w:r>
        <w:rPr>
          <w:rFonts w:hint="eastAsia" w:ascii="Times New Roman" w:hAnsi="Times New Roman"/>
          <w:lang w:val="en-US" w:eastAsia="zh-CN"/>
        </w:rPr>
        <w:t>9</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1</w:t>
      </w:r>
      <w:r>
        <w:rPr>
          <w:rFonts w:hint="eastAsia"/>
        </w:rPr>
        <w:t>。</w:t>
      </w:r>
    </w:p>
    <w:bookmarkEnd w:id="273"/>
    <w:bookmarkEnd w:id="274"/>
    <w:p>
      <w:pPr>
        <w:bidi w:val="0"/>
        <w:rPr>
          <w:rFonts w:hint="eastAsia"/>
          <w:lang w:val="en-US" w:eastAsia="zh-CN"/>
        </w:rPr>
      </w:pPr>
    </w:p>
    <w:p>
      <w:pPr>
        <w:bidi w:val="0"/>
        <w:rPr>
          <w:rFonts w:hint="eastAsia"/>
          <w:lang w:val="en-US" w:eastAsia="zh-CN"/>
        </w:rPr>
      </w:pPr>
      <w:r>
        <w:drawing>
          <wp:inline distT="0" distB="0" distL="114300" distR="114300">
            <wp:extent cx="4957445" cy="1423670"/>
            <wp:effectExtent l="0" t="0" r="14605" b="50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00"/>
                    <a:stretch>
                      <a:fillRect/>
                    </a:stretch>
                  </pic:blipFill>
                  <pic:spPr>
                    <a:xfrm>
                      <a:off x="0" y="0"/>
                      <a:ext cx="4957445" cy="1423670"/>
                    </a:xfrm>
                    <a:prstGeom prst="rect">
                      <a:avLst/>
                    </a:prstGeom>
                    <a:noFill/>
                    <a:ln>
                      <a:noFill/>
                    </a:ln>
                  </pic:spPr>
                </pic:pic>
              </a:graphicData>
            </a:graphic>
          </wp:inline>
        </w:drawing>
      </w:r>
    </w:p>
    <w:p>
      <w:pPr>
        <w:pStyle w:val="20"/>
        <w:bidi w:val="0"/>
        <w:rPr>
          <w:rFonts w:hint="default"/>
          <w:lang w:val="en-US" w:eastAsia="zh-CN"/>
        </w:rPr>
      </w:pPr>
      <w:r>
        <w:rPr>
          <w:rFonts w:hint="eastAsia"/>
          <w:lang w:val="en-US" w:eastAsia="zh-CN"/>
        </w:rPr>
        <w:t>图</w:t>
      </w:r>
      <w:r>
        <w:rPr>
          <w:rFonts w:hint="eastAsia" w:ascii="Times New Roman" w:hAnsi="Times New Roman"/>
          <w:lang w:val="en-US" w:eastAsia="zh-CN"/>
        </w:rPr>
        <w:t>9</w:t>
      </w:r>
      <w:r>
        <w:rPr>
          <w:rFonts w:hint="eastAsia"/>
          <w:lang w:val="en-US" w:eastAsia="zh-CN"/>
        </w:rPr>
        <w:t>.</w:t>
      </w:r>
      <w:r>
        <w:rPr>
          <w:rFonts w:hint="eastAsia" w:ascii="Times New Roman" w:hAnsi="Times New Roman"/>
          <w:lang w:val="en-US" w:eastAsia="zh-CN"/>
        </w:rPr>
        <w:t>4</w:t>
      </w:r>
      <w:r>
        <w:rPr>
          <w:rFonts w:hint="eastAsia"/>
          <w:lang w:val="en-US" w:eastAsia="zh-CN"/>
        </w:rPr>
        <w:t>-</w:t>
      </w:r>
      <w:r>
        <w:rPr>
          <w:rFonts w:hint="eastAsia" w:ascii="Times New Roman" w:hAnsi="Times New Roman"/>
          <w:lang w:val="en-US" w:eastAsia="zh-CN"/>
        </w:rPr>
        <w:t>1</w:t>
      </w:r>
      <w:r>
        <w:rPr>
          <w:rFonts w:hint="eastAsia"/>
          <w:lang w:val="en-US" w:eastAsia="zh-CN"/>
        </w:rPr>
        <w:t xml:space="preserve">  本项目排放口图形标志</w:t>
      </w:r>
    </w:p>
    <w:p>
      <w:pPr>
        <w:pStyle w:val="5"/>
        <w:spacing w:before="165"/>
        <w:rPr>
          <w:rFonts w:hint="eastAsia"/>
        </w:rPr>
      </w:pPr>
      <w:r>
        <w:rPr>
          <w:rFonts w:hint="eastAsia" w:ascii="Times New Roman" w:hAnsi="Times New Roman"/>
          <w:lang w:val="en-US" w:eastAsia="zh-CN"/>
        </w:rPr>
        <w:t>9</w:t>
      </w:r>
      <w:r>
        <w:rPr>
          <w:rFonts w:hint="eastAsia"/>
        </w:rPr>
        <w:t>.</w:t>
      </w:r>
      <w:r>
        <w:rPr>
          <w:rFonts w:hint="eastAsia" w:ascii="Times New Roman" w:hAnsi="Times New Roman"/>
          <w:lang w:val="en-US" w:eastAsia="zh-CN"/>
        </w:rPr>
        <w:t>4</w:t>
      </w:r>
      <w:r>
        <w:rPr>
          <w:rFonts w:hint="eastAsia"/>
        </w:rPr>
        <w:t>.</w:t>
      </w:r>
      <w:r>
        <w:rPr>
          <w:rFonts w:hint="eastAsia" w:ascii="Times New Roman" w:hAnsi="Times New Roman"/>
        </w:rPr>
        <w:t>2</w:t>
      </w:r>
      <w:r>
        <w:rPr>
          <w:rFonts w:hint="eastAsia"/>
        </w:rPr>
        <w:t>污染物排放信息</w:t>
      </w:r>
    </w:p>
    <w:p>
      <w:pPr>
        <w:ind w:firstLine="480"/>
        <w:rPr>
          <w:rFonts w:hint="eastAsia"/>
        </w:rPr>
      </w:pPr>
      <w:r>
        <w:rPr>
          <w:rFonts w:hint="eastAsia"/>
        </w:rPr>
        <w:t>本项目污染物排放信息见表</w:t>
      </w:r>
      <w:r>
        <w:rPr>
          <w:rFonts w:hint="eastAsia" w:ascii="Times New Roman" w:hAnsi="Times New Roman"/>
          <w:lang w:val="en-US" w:eastAsia="zh-CN"/>
        </w:rPr>
        <w:t>9</w:t>
      </w:r>
      <w:r>
        <w:rPr>
          <w:rFonts w:hint="eastAsia" w:ascii="Times New Roman"/>
          <w:lang w:val="en-US" w:eastAsia="zh-CN"/>
        </w:rPr>
        <w:t>.</w:t>
      </w:r>
      <w:r>
        <w:rPr>
          <w:rFonts w:hint="eastAsia" w:ascii="Times New Roman" w:hAnsi="Times New Roman"/>
          <w:lang w:val="en-US" w:eastAsia="zh-CN"/>
        </w:rPr>
        <w:t>4</w:t>
      </w:r>
      <w:r>
        <w:rPr>
          <w:rFonts w:hint="eastAsia" w:ascii="Times New Roman"/>
          <w:lang w:val="en-US" w:eastAsia="zh-CN"/>
        </w:rPr>
        <w:t>-</w:t>
      </w:r>
      <w:r>
        <w:rPr>
          <w:rFonts w:hint="eastAsia" w:ascii="Times New Roman" w:hAnsi="Times New Roman"/>
          <w:lang w:val="en-US" w:eastAsia="zh-CN"/>
        </w:rPr>
        <w:t>1</w:t>
      </w:r>
      <w:r>
        <w:rPr>
          <w:rFonts w:hint="eastAsia"/>
        </w:rPr>
        <w:t>。</w:t>
      </w:r>
    </w:p>
    <w:p>
      <w:pPr>
        <w:rPr>
          <w:rFonts w:hint="eastAsia"/>
        </w:rPr>
        <w:sectPr>
          <w:pgSz w:w="11906" w:h="16838"/>
          <w:pgMar w:top="1474" w:right="1474" w:bottom="1474" w:left="1474" w:header="850" w:footer="992" w:gutter="0"/>
          <w:pgBorders>
            <w:top w:val="none" w:sz="0" w:space="0"/>
            <w:left w:val="none" w:sz="0" w:space="0"/>
            <w:bottom w:val="none" w:sz="0" w:space="0"/>
            <w:right w:val="none" w:sz="0" w:space="0"/>
          </w:pgBorders>
          <w:cols w:space="720" w:num="1"/>
          <w:docGrid w:type="lines" w:linePitch="331" w:charSpace="0"/>
        </w:sectPr>
      </w:pPr>
    </w:p>
    <w:p>
      <w:pPr>
        <w:pStyle w:val="20"/>
        <w:spacing w:before="0" w:beforeLines="0"/>
        <w:rPr>
          <w:rFonts w:hint="eastAsia" w:eastAsia="宋体"/>
          <w:lang w:eastAsia="zh-CN"/>
        </w:rPr>
      </w:pPr>
      <w:r>
        <w:rPr>
          <w:rFonts w:hint="eastAsia"/>
        </w:rPr>
        <w:t>表</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4</w:t>
      </w:r>
      <w:r>
        <w:rPr>
          <w:rFonts w:hint="eastAsia" w:ascii="Times New Roman" w:hAnsi="Times New Roman"/>
          <w:lang w:val="en-US" w:eastAsia="zh-CN"/>
        </w:rPr>
        <w:t>-</w:t>
      </w:r>
      <w:r>
        <w:rPr>
          <w:rFonts w:hint="eastAsia" w:ascii="Times New Roman" w:hAnsi="Times New Roman"/>
          <w:lang w:val="en-US" w:eastAsia="zh-CN"/>
        </w:rPr>
        <w:t>1</w:t>
      </w:r>
      <w:r>
        <w:rPr>
          <w:rFonts w:hint="eastAsia"/>
        </w:rPr>
        <w:t xml:space="preserve">  项目污染物排放清单</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267"/>
        <w:gridCol w:w="1700"/>
        <w:gridCol w:w="1150"/>
        <w:gridCol w:w="1631"/>
        <w:gridCol w:w="979"/>
        <w:gridCol w:w="3111"/>
        <w:gridCol w:w="1224"/>
        <w:gridCol w:w="1492"/>
        <w:gridCol w:w="1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0" w:type="dxa"/>
            <w:noWrap w:val="0"/>
            <w:vAlign w:val="center"/>
          </w:tcPr>
          <w:p>
            <w:pPr>
              <w:spacing w:line="220" w:lineRule="exact"/>
              <w:ind w:firstLine="0"/>
              <w:jc w:val="center"/>
              <w:rPr>
                <w:rFonts w:hint="eastAsia"/>
                <w:spacing w:val="-11"/>
                <w:sz w:val="20"/>
              </w:rPr>
            </w:pPr>
            <w:r>
              <w:rPr>
                <w:rFonts w:hint="eastAsia"/>
                <w:spacing w:val="-11"/>
                <w:sz w:val="20"/>
              </w:rPr>
              <w:t>类别</w:t>
            </w:r>
          </w:p>
        </w:tc>
        <w:tc>
          <w:tcPr>
            <w:tcW w:w="1267" w:type="dxa"/>
            <w:noWrap w:val="0"/>
            <w:vAlign w:val="center"/>
          </w:tcPr>
          <w:p>
            <w:pPr>
              <w:spacing w:line="220" w:lineRule="exact"/>
              <w:ind w:firstLine="0"/>
              <w:jc w:val="center"/>
              <w:rPr>
                <w:rFonts w:hint="eastAsia"/>
                <w:spacing w:val="-11"/>
                <w:sz w:val="20"/>
              </w:rPr>
            </w:pPr>
            <w:r>
              <w:rPr>
                <w:rFonts w:hint="eastAsia"/>
                <w:spacing w:val="-11"/>
                <w:sz w:val="20"/>
              </w:rPr>
              <w:t>产生位置</w:t>
            </w:r>
          </w:p>
        </w:tc>
        <w:tc>
          <w:tcPr>
            <w:tcW w:w="1700" w:type="dxa"/>
            <w:noWrap w:val="0"/>
            <w:vAlign w:val="center"/>
          </w:tcPr>
          <w:p>
            <w:pPr>
              <w:spacing w:line="220" w:lineRule="exact"/>
              <w:ind w:firstLine="0"/>
              <w:jc w:val="center"/>
              <w:rPr>
                <w:rFonts w:hint="eastAsia"/>
                <w:spacing w:val="-11"/>
                <w:sz w:val="20"/>
              </w:rPr>
            </w:pPr>
            <w:r>
              <w:rPr>
                <w:rFonts w:hint="eastAsia"/>
                <w:spacing w:val="-11"/>
                <w:sz w:val="20"/>
              </w:rPr>
              <w:t>污染物种类</w:t>
            </w:r>
          </w:p>
        </w:tc>
        <w:tc>
          <w:tcPr>
            <w:tcW w:w="1150" w:type="dxa"/>
            <w:noWrap w:val="0"/>
            <w:vAlign w:val="center"/>
          </w:tcPr>
          <w:p>
            <w:pPr>
              <w:spacing w:line="220" w:lineRule="exact"/>
              <w:ind w:firstLine="0"/>
              <w:jc w:val="center"/>
              <w:rPr>
                <w:rFonts w:hint="eastAsia"/>
                <w:spacing w:val="-11"/>
                <w:sz w:val="20"/>
              </w:rPr>
            </w:pPr>
            <w:r>
              <w:rPr>
                <w:rFonts w:hint="eastAsia"/>
                <w:spacing w:val="-11"/>
                <w:sz w:val="20"/>
              </w:rPr>
              <w:t>环保措施</w:t>
            </w:r>
          </w:p>
        </w:tc>
        <w:tc>
          <w:tcPr>
            <w:tcW w:w="1631" w:type="dxa"/>
            <w:noWrap w:val="0"/>
            <w:vAlign w:val="center"/>
          </w:tcPr>
          <w:p>
            <w:pPr>
              <w:spacing w:line="220" w:lineRule="exact"/>
              <w:ind w:firstLine="0"/>
              <w:jc w:val="center"/>
              <w:rPr>
                <w:rFonts w:hint="eastAsia"/>
                <w:spacing w:val="-11"/>
                <w:sz w:val="20"/>
              </w:rPr>
            </w:pPr>
            <w:r>
              <w:rPr>
                <w:rFonts w:hint="eastAsia"/>
                <w:spacing w:val="-11"/>
                <w:sz w:val="20"/>
              </w:rPr>
              <w:t>排放浓度</w:t>
            </w:r>
          </w:p>
          <w:p>
            <w:pPr>
              <w:spacing w:line="220" w:lineRule="exact"/>
              <w:ind w:firstLine="0"/>
              <w:jc w:val="center"/>
              <w:rPr>
                <w:rFonts w:hint="eastAsia"/>
                <w:spacing w:val="-11"/>
                <w:sz w:val="20"/>
              </w:rPr>
            </w:pPr>
            <w:r>
              <w:rPr>
                <w:rFonts w:hint="eastAsia"/>
                <w:spacing w:val="-11"/>
                <w:sz w:val="20"/>
              </w:rPr>
              <w:t>（</w:t>
            </w:r>
            <w:r>
              <w:rPr>
                <w:rFonts w:hint="eastAsia" w:ascii="Times New Roman" w:hAnsi="Times New Roman"/>
                <w:spacing w:val="-11"/>
                <w:sz w:val="20"/>
              </w:rPr>
              <w:t>mg</w:t>
            </w:r>
            <w:r>
              <w:rPr>
                <w:rFonts w:hint="eastAsia"/>
                <w:spacing w:val="-11"/>
                <w:sz w:val="20"/>
              </w:rPr>
              <w:t>/</w:t>
            </w:r>
            <w:r>
              <w:rPr>
                <w:rFonts w:hint="eastAsia" w:ascii="Times New Roman" w:hAnsi="Times New Roman"/>
                <w:spacing w:val="-11"/>
                <w:sz w:val="20"/>
              </w:rPr>
              <w:t>m</w:t>
            </w:r>
            <w:r>
              <w:rPr>
                <w:rFonts w:hint="eastAsia"/>
                <w:spacing w:val="-11"/>
                <w:sz w:val="20"/>
              </w:rPr>
              <w:t>³）</w:t>
            </w:r>
          </w:p>
        </w:tc>
        <w:tc>
          <w:tcPr>
            <w:tcW w:w="979" w:type="dxa"/>
            <w:noWrap w:val="0"/>
            <w:vAlign w:val="center"/>
          </w:tcPr>
          <w:p>
            <w:pPr>
              <w:spacing w:line="220" w:lineRule="exact"/>
              <w:ind w:firstLine="0"/>
              <w:jc w:val="center"/>
              <w:rPr>
                <w:rFonts w:hint="eastAsia"/>
                <w:spacing w:val="-11"/>
                <w:sz w:val="20"/>
              </w:rPr>
            </w:pPr>
            <w:r>
              <w:rPr>
                <w:rFonts w:hint="eastAsia"/>
                <w:spacing w:val="-11"/>
                <w:sz w:val="20"/>
              </w:rPr>
              <w:t>总量指标（</w:t>
            </w:r>
            <w:r>
              <w:rPr>
                <w:rFonts w:hint="eastAsia" w:ascii="Times New Roman" w:hAnsi="Times New Roman"/>
                <w:spacing w:val="-11"/>
                <w:sz w:val="20"/>
              </w:rPr>
              <w:t>t</w:t>
            </w:r>
            <w:r>
              <w:rPr>
                <w:rFonts w:hint="eastAsia"/>
                <w:spacing w:val="-11"/>
                <w:sz w:val="20"/>
              </w:rPr>
              <w:t>/</w:t>
            </w:r>
            <w:r>
              <w:rPr>
                <w:rFonts w:hint="eastAsia" w:ascii="Times New Roman" w:hAnsi="Times New Roman"/>
                <w:spacing w:val="-11"/>
                <w:sz w:val="20"/>
              </w:rPr>
              <w:t>a</w:t>
            </w:r>
            <w:r>
              <w:rPr>
                <w:rFonts w:hint="eastAsia"/>
                <w:spacing w:val="-11"/>
                <w:sz w:val="20"/>
              </w:rPr>
              <w:t>）</w:t>
            </w:r>
          </w:p>
        </w:tc>
        <w:tc>
          <w:tcPr>
            <w:tcW w:w="3111" w:type="dxa"/>
            <w:noWrap w:val="0"/>
            <w:vAlign w:val="center"/>
          </w:tcPr>
          <w:p>
            <w:pPr>
              <w:spacing w:line="220" w:lineRule="exact"/>
              <w:ind w:firstLine="0"/>
              <w:jc w:val="center"/>
              <w:rPr>
                <w:rFonts w:hint="eastAsia"/>
                <w:spacing w:val="-11"/>
                <w:sz w:val="20"/>
              </w:rPr>
            </w:pPr>
            <w:r>
              <w:rPr>
                <w:rFonts w:hint="eastAsia"/>
                <w:spacing w:val="-11"/>
                <w:sz w:val="20"/>
              </w:rPr>
              <w:t>遵循标准</w:t>
            </w:r>
          </w:p>
        </w:tc>
        <w:tc>
          <w:tcPr>
            <w:tcW w:w="1224" w:type="dxa"/>
            <w:noWrap w:val="0"/>
            <w:vAlign w:val="center"/>
          </w:tcPr>
          <w:p>
            <w:pPr>
              <w:spacing w:line="220" w:lineRule="exact"/>
              <w:ind w:firstLine="0"/>
              <w:jc w:val="center"/>
              <w:rPr>
                <w:rFonts w:hint="eastAsia"/>
                <w:spacing w:val="-11"/>
                <w:sz w:val="20"/>
              </w:rPr>
            </w:pPr>
            <w:r>
              <w:rPr>
                <w:rFonts w:hint="eastAsia"/>
                <w:spacing w:val="-11"/>
                <w:sz w:val="20"/>
              </w:rPr>
              <w:t>风险防范</w:t>
            </w:r>
          </w:p>
        </w:tc>
        <w:tc>
          <w:tcPr>
            <w:tcW w:w="1492" w:type="dxa"/>
            <w:noWrap w:val="0"/>
            <w:vAlign w:val="center"/>
          </w:tcPr>
          <w:p>
            <w:pPr>
              <w:spacing w:line="220" w:lineRule="exact"/>
              <w:ind w:firstLine="0"/>
              <w:jc w:val="center"/>
              <w:rPr>
                <w:rFonts w:hint="eastAsia"/>
                <w:spacing w:val="-11"/>
                <w:sz w:val="20"/>
              </w:rPr>
            </w:pPr>
            <w:r>
              <w:rPr>
                <w:rFonts w:hint="eastAsia"/>
                <w:spacing w:val="-11"/>
                <w:sz w:val="20"/>
              </w:rPr>
              <w:t>监测项目</w:t>
            </w:r>
          </w:p>
        </w:tc>
        <w:tc>
          <w:tcPr>
            <w:tcW w:w="1006" w:type="dxa"/>
            <w:noWrap w:val="0"/>
            <w:vAlign w:val="center"/>
          </w:tcPr>
          <w:p>
            <w:pPr>
              <w:spacing w:line="220" w:lineRule="exact"/>
              <w:ind w:firstLine="0"/>
              <w:jc w:val="center"/>
              <w:rPr>
                <w:rFonts w:hint="eastAsia"/>
                <w:spacing w:val="-11"/>
                <w:sz w:val="20"/>
              </w:rPr>
            </w:pPr>
            <w:r>
              <w:rPr>
                <w:rFonts w:hint="eastAsia"/>
                <w:spacing w:val="-11"/>
                <w:sz w:val="20"/>
              </w:rPr>
              <w:t>排放口</w:t>
            </w:r>
          </w:p>
          <w:p>
            <w:pPr>
              <w:spacing w:line="220" w:lineRule="exact"/>
              <w:ind w:firstLine="0"/>
              <w:jc w:val="center"/>
              <w:rPr>
                <w:rFonts w:hint="eastAsia"/>
                <w:spacing w:val="-11"/>
                <w:sz w:val="20"/>
              </w:rPr>
            </w:pPr>
            <w:r>
              <w:rPr>
                <w:rFonts w:hint="eastAsia"/>
                <w:spacing w:val="-11"/>
                <w:sz w:val="20"/>
              </w:rPr>
              <w:t>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0" w:type="dxa"/>
            <w:vMerge w:val="restart"/>
            <w:noWrap w:val="0"/>
            <w:vAlign w:val="center"/>
          </w:tcPr>
          <w:p>
            <w:pPr>
              <w:spacing w:line="220" w:lineRule="exact"/>
              <w:ind w:firstLine="0"/>
              <w:jc w:val="center"/>
              <w:rPr>
                <w:rFonts w:hint="eastAsia"/>
                <w:spacing w:val="-11"/>
                <w:sz w:val="20"/>
              </w:rPr>
            </w:pPr>
            <w:r>
              <w:rPr>
                <w:rFonts w:hint="eastAsia"/>
                <w:spacing w:val="-11"/>
                <w:sz w:val="20"/>
              </w:rPr>
              <w:t>废气</w:t>
            </w:r>
          </w:p>
        </w:tc>
        <w:tc>
          <w:tcPr>
            <w:tcW w:w="1267" w:type="dxa"/>
            <w:noWrap w:val="0"/>
            <w:vAlign w:val="center"/>
          </w:tcPr>
          <w:p>
            <w:pPr>
              <w:spacing w:line="220" w:lineRule="exact"/>
              <w:ind w:firstLine="0"/>
              <w:jc w:val="center"/>
              <w:rPr>
                <w:rFonts w:hint="eastAsia" w:eastAsia="宋体"/>
                <w:spacing w:val="-11"/>
                <w:sz w:val="20"/>
                <w:lang w:eastAsia="zh-CN"/>
              </w:rPr>
            </w:pPr>
            <w:r>
              <w:rPr>
                <w:rFonts w:hint="eastAsia" w:ascii="Times New Roman"/>
                <w:spacing w:val="-11"/>
                <w:sz w:val="20"/>
                <w:lang w:val="en-US" w:eastAsia="zh-CN"/>
              </w:rPr>
              <w:t>尾气吸收塔</w:t>
            </w:r>
          </w:p>
        </w:tc>
        <w:tc>
          <w:tcPr>
            <w:tcW w:w="1700"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r>
              <w:rPr>
                <w:rFonts w:hint="eastAsia" w:ascii="Times New Roman"/>
                <w:spacing w:val="-11"/>
                <w:sz w:val="20"/>
                <w:lang w:val="en-US" w:eastAsia="zh-CN"/>
              </w:rPr>
              <w:t>、</w:t>
            </w:r>
            <w:r>
              <w:rPr>
                <w:rFonts w:hint="eastAsia" w:ascii="Times New Roman" w:hAnsi="Times New Roman"/>
                <w:spacing w:val="-11"/>
                <w:sz w:val="20"/>
                <w:lang w:val="en-US" w:eastAsia="zh-CN"/>
              </w:rPr>
              <w:t>NMHC</w:t>
            </w:r>
          </w:p>
        </w:tc>
        <w:tc>
          <w:tcPr>
            <w:tcW w:w="1150"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spacing w:val="-11"/>
                <w:sz w:val="20"/>
                <w:lang w:eastAsia="zh-CN"/>
              </w:rPr>
              <w:t>一级水吸收</w:t>
            </w:r>
            <w:r>
              <w:rPr>
                <w:rFonts w:hint="eastAsia" w:ascii="Times New Roman"/>
                <w:spacing w:val="-11"/>
                <w:sz w:val="20"/>
                <w:lang w:val="en-US" w:eastAsia="zh-CN"/>
              </w:rPr>
              <w:t>+二级酸吸收</w:t>
            </w:r>
          </w:p>
        </w:tc>
        <w:tc>
          <w:tcPr>
            <w:tcW w:w="1631"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r>
              <w:rPr>
                <w:rFonts w:hint="eastAsia" w:ascii="Times New Roman"/>
                <w:spacing w:val="-11"/>
                <w:sz w:val="20"/>
                <w:lang w:val="en-US" w:eastAsia="zh-CN"/>
              </w:rPr>
              <w:t>：</w:t>
            </w:r>
            <w:r>
              <w:rPr>
                <w:rFonts w:hint="eastAsia" w:ascii="Times New Roman" w:hAnsi="Times New Roman"/>
                <w:spacing w:val="-11"/>
                <w:sz w:val="20"/>
                <w:lang w:val="en-US" w:eastAsia="zh-CN"/>
              </w:rPr>
              <w:t>202</w:t>
            </w:r>
            <w:r>
              <w:rPr>
                <w:rFonts w:hint="eastAsia" w:ascii="Times New Roman" w:hAnsi="Times New Roman"/>
                <w:spacing w:val="-11"/>
                <w:sz w:val="20"/>
                <w:lang w:val="en-US" w:eastAsia="zh-CN"/>
              </w:rPr>
              <w:t>.</w:t>
            </w:r>
            <w:r>
              <w:rPr>
                <w:rFonts w:hint="eastAsia" w:ascii="Times New Roman" w:hAnsi="Times New Roman"/>
                <w:spacing w:val="-11"/>
                <w:sz w:val="20"/>
                <w:lang w:val="en-US" w:eastAsia="zh-CN"/>
              </w:rPr>
              <w:t>5</w:t>
            </w:r>
            <w:r>
              <w:rPr>
                <w:rFonts w:hint="eastAsia" w:ascii="Times New Roman"/>
                <w:spacing w:val="-11"/>
                <w:sz w:val="20"/>
                <w:lang w:val="en-US" w:eastAsia="zh-CN"/>
              </w:rPr>
              <w:t>、</w:t>
            </w:r>
            <w:r>
              <w:rPr>
                <w:rFonts w:hint="eastAsia" w:ascii="Times New Roman" w:hAnsi="Times New Roman"/>
                <w:spacing w:val="-11"/>
                <w:sz w:val="20"/>
                <w:lang w:val="en-US" w:eastAsia="zh-CN"/>
              </w:rPr>
              <w:t>NMHC</w:t>
            </w:r>
            <w:r>
              <w:rPr>
                <w:rFonts w:hint="eastAsia" w:ascii="Times New Roman"/>
                <w:spacing w:val="-11"/>
                <w:sz w:val="20"/>
                <w:lang w:val="en-US" w:eastAsia="zh-CN"/>
              </w:rPr>
              <w:t>：</w:t>
            </w:r>
            <w:r>
              <w:rPr>
                <w:rFonts w:hint="eastAsia" w:ascii="Times New Roman" w:hAnsi="Times New Roman"/>
                <w:spacing w:val="-11"/>
                <w:sz w:val="20"/>
                <w:lang w:val="en-US" w:eastAsia="zh-CN"/>
              </w:rPr>
              <w:t>0</w:t>
            </w:r>
            <w:r>
              <w:rPr>
                <w:rFonts w:hint="eastAsia" w:ascii="Times New Roman" w:hAnsi="Times New Roman"/>
                <w:spacing w:val="-11"/>
                <w:sz w:val="20"/>
                <w:lang w:val="en-US" w:eastAsia="zh-CN"/>
              </w:rPr>
              <w:t>.</w:t>
            </w:r>
            <w:r>
              <w:rPr>
                <w:rFonts w:hint="eastAsia" w:ascii="Times New Roman" w:hAnsi="Times New Roman"/>
                <w:spacing w:val="-11"/>
                <w:sz w:val="20"/>
                <w:lang w:val="en-US" w:eastAsia="zh-CN"/>
              </w:rPr>
              <w:t>09</w:t>
            </w:r>
          </w:p>
        </w:tc>
        <w:tc>
          <w:tcPr>
            <w:tcW w:w="979"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hAnsi="Times New Roman"/>
                <w:spacing w:val="-11"/>
                <w:sz w:val="20"/>
                <w:lang w:val="en-US" w:eastAsia="zh-CN"/>
              </w:rPr>
              <w:t>NMHC</w:t>
            </w:r>
            <w:r>
              <w:rPr>
                <w:rFonts w:hint="eastAsia" w:ascii="Times New Roman"/>
                <w:spacing w:val="-11"/>
                <w:sz w:val="20"/>
                <w:lang w:val="en-US" w:eastAsia="zh-CN"/>
              </w:rPr>
              <w:t>：</w:t>
            </w:r>
            <w:r>
              <w:rPr>
                <w:rFonts w:hint="eastAsia" w:ascii="Times New Roman" w:hAnsi="Times New Roman"/>
                <w:spacing w:val="-11"/>
                <w:sz w:val="20"/>
                <w:lang w:val="en-US" w:eastAsia="zh-CN"/>
              </w:rPr>
              <w:t>0</w:t>
            </w:r>
            <w:r>
              <w:rPr>
                <w:rFonts w:hint="eastAsia" w:ascii="Times New Roman" w:hAnsi="Times New Roman"/>
                <w:spacing w:val="-11"/>
                <w:sz w:val="20"/>
                <w:lang w:val="en-US" w:eastAsia="zh-CN"/>
              </w:rPr>
              <w:t>.</w:t>
            </w:r>
            <w:r>
              <w:rPr>
                <w:rFonts w:hint="eastAsia" w:ascii="Times New Roman" w:hAnsi="Times New Roman"/>
                <w:spacing w:val="-11"/>
                <w:sz w:val="20"/>
                <w:lang w:val="en-US" w:eastAsia="zh-CN"/>
              </w:rPr>
              <w:t>0011</w:t>
            </w:r>
          </w:p>
        </w:tc>
        <w:tc>
          <w:tcPr>
            <w:tcW w:w="3111" w:type="dxa"/>
            <w:noWrap w:val="0"/>
            <w:vAlign w:val="center"/>
          </w:tcPr>
          <w:p>
            <w:pPr>
              <w:spacing w:line="220" w:lineRule="exact"/>
              <w:ind w:firstLine="0"/>
              <w:jc w:val="center"/>
              <w:rPr>
                <w:rFonts w:hint="eastAsia" w:eastAsia="宋体"/>
                <w:spacing w:val="-11"/>
                <w:sz w:val="20"/>
                <w:lang w:eastAsia="zh-CN"/>
              </w:rPr>
            </w:pP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r>
              <w:rPr>
                <w:rFonts w:hint="eastAsia"/>
                <w:spacing w:val="-11"/>
                <w:sz w:val="20"/>
                <w:lang w:val="en-US" w:eastAsia="zh-CN"/>
              </w:rPr>
              <w:t>执行</w:t>
            </w:r>
            <w:r>
              <w:rPr>
                <w:rFonts w:hint="eastAsia"/>
                <w:spacing w:val="-11"/>
                <w:sz w:val="20"/>
              </w:rPr>
              <w:t>《</w:t>
            </w:r>
            <w:r>
              <w:rPr>
                <w:rFonts w:hint="eastAsia"/>
                <w:spacing w:val="-11"/>
                <w:sz w:val="20"/>
                <w:lang w:eastAsia="zh-CN"/>
              </w:rPr>
              <w:t>恶臭</w:t>
            </w:r>
            <w:r>
              <w:rPr>
                <w:rFonts w:hint="eastAsia"/>
                <w:spacing w:val="-11"/>
                <w:sz w:val="20"/>
              </w:rPr>
              <w:t>污染物排放标准》</w:t>
            </w:r>
            <w:r>
              <w:rPr>
                <w:rFonts w:hint="eastAsia"/>
                <w:spacing w:val="-11"/>
                <w:sz w:val="20"/>
                <w:lang w:eastAsia="zh-CN"/>
              </w:rPr>
              <w:t>（</w:t>
            </w:r>
            <w:r>
              <w:rPr>
                <w:rFonts w:hint="eastAsia" w:ascii="Times New Roman" w:hAnsi="Times New Roman"/>
                <w:spacing w:val="-11"/>
                <w:sz w:val="20"/>
                <w:lang w:val="en-US" w:eastAsia="zh-CN"/>
              </w:rPr>
              <w:t>GB14554</w:t>
            </w:r>
            <w:r>
              <w:rPr>
                <w:rFonts w:hint="eastAsia"/>
                <w:spacing w:val="-11"/>
                <w:sz w:val="20"/>
                <w:lang w:val="en-US" w:eastAsia="zh-CN"/>
              </w:rPr>
              <w:t>-</w:t>
            </w:r>
            <w:r>
              <w:rPr>
                <w:rFonts w:hint="eastAsia" w:ascii="Times New Roman" w:hAnsi="Times New Roman"/>
                <w:spacing w:val="-11"/>
                <w:sz w:val="20"/>
                <w:lang w:val="en-US" w:eastAsia="zh-CN"/>
              </w:rPr>
              <w:t>93</w:t>
            </w:r>
            <w:r>
              <w:rPr>
                <w:rFonts w:hint="eastAsia"/>
                <w:spacing w:val="-11"/>
                <w:sz w:val="20"/>
                <w:lang w:eastAsia="zh-CN"/>
              </w:rPr>
              <w:t>）表</w:t>
            </w:r>
            <w:r>
              <w:rPr>
                <w:rFonts w:hint="eastAsia" w:ascii="Times New Roman" w:hAnsi="Times New Roman"/>
                <w:spacing w:val="-11"/>
                <w:sz w:val="20"/>
                <w:lang w:val="en-US" w:eastAsia="zh-CN"/>
              </w:rPr>
              <w:t>2</w:t>
            </w:r>
            <w:r>
              <w:rPr>
                <w:rFonts w:hint="eastAsia"/>
                <w:spacing w:val="-11"/>
                <w:sz w:val="20"/>
                <w:lang w:val="en-US" w:eastAsia="zh-CN"/>
              </w:rPr>
              <w:t>，</w:t>
            </w:r>
            <w:r>
              <w:rPr>
                <w:rFonts w:hint="eastAsia" w:ascii="Times New Roman" w:hAnsi="Times New Roman"/>
                <w:spacing w:val="-11"/>
                <w:sz w:val="20"/>
                <w:lang w:val="en-US" w:eastAsia="zh-CN"/>
              </w:rPr>
              <w:t>NMHC</w:t>
            </w:r>
            <w:r>
              <w:rPr>
                <w:rFonts w:hint="eastAsia"/>
                <w:spacing w:val="-11"/>
                <w:sz w:val="20"/>
                <w:lang w:val="en-US" w:eastAsia="zh-CN"/>
              </w:rPr>
              <w:t>执行《大气污染物综合排放标准》（</w:t>
            </w:r>
            <w:r>
              <w:rPr>
                <w:rFonts w:hint="eastAsia" w:ascii="Times New Roman" w:hAnsi="Times New Roman"/>
                <w:spacing w:val="-11"/>
                <w:sz w:val="20"/>
                <w:lang w:val="en-US" w:eastAsia="zh-CN"/>
              </w:rPr>
              <w:t>GB16297</w:t>
            </w:r>
            <w:r>
              <w:rPr>
                <w:rFonts w:hint="eastAsia"/>
                <w:spacing w:val="-11"/>
                <w:sz w:val="20"/>
                <w:lang w:val="en-US" w:eastAsia="zh-CN"/>
              </w:rPr>
              <w:t>-</w:t>
            </w:r>
            <w:r>
              <w:rPr>
                <w:rFonts w:hint="eastAsia" w:ascii="Times New Roman" w:hAnsi="Times New Roman"/>
                <w:spacing w:val="-11"/>
                <w:sz w:val="20"/>
                <w:lang w:val="en-US" w:eastAsia="zh-CN"/>
              </w:rPr>
              <w:t>1996</w:t>
            </w:r>
            <w:r>
              <w:rPr>
                <w:rFonts w:hint="eastAsia"/>
                <w:spacing w:val="-11"/>
                <w:sz w:val="20"/>
                <w:lang w:val="en-US" w:eastAsia="zh-CN"/>
              </w:rPr>
              <w:t>）表</w:t>
            </w:r>
            <w:r>
              <w:rPr>
                <w:rFonts w:hint="eastAsia" w:ascii="Times New Roman" w:hAnsi="Times New Roman"/>
                <w:spacing w:val="-11"/>
                <w:sz w:val="20"/>
                <w:lang w:val="en-US" w:eastAsia="zh-CN"/>
              </w:rPr>
              <w:t>2</w:t>
            </w:r>
          </w:p>
        </w:tc>
        <w:tc>
          <w:tcPr>
            <w:tcW w:w="1224"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1492"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r>
              <w:rPr>
                <w:rFonts w:hint="eastAsia"/>
                <w:spacing w:val="-11"/>
                <w:sz w:val="20"/>
                <w:lang w:val="en-US" w:eastAsia="zh-CN"/>
              </w:rPr>
              <w:t>、</w:t>
            </w:r>
            <w:r>
              <w:rPr>
                <w:rFonts w:hint="eastAsia" w:ascii="Times New Roman" w:hAnsi="Times New Roman"/>
                <w:spacing w:val="-11"/>
                <w:sz w:val="20"/>
                <w:lang w:val="en-US" w:eastAsia="zh-CN"/>
              </w:rPr>
              <w:t>NMHC</w:t>
            </w:r>
          </w:p>
        </w:tc>
        <w:tc>
          <w:tcPr>
            <w:tcW w:w="1006"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hAnsi="Times New Roman"/>
                <w:spacing w:val="-11"/>
                <w:sz w:val="20"/>
                <w:lang w:val="en-US" w:eastAsia="zh-CN"/>
              </w:rPr>
              <w:t>15m</w:t>
            </w:r>
            <w:r>
              <w:rPr>
                <w:rFonts w:hint="eastAsia"/>
                <w:spacing w:val="-11"/>
                <w:sz w:val="20"/>
                <w:lang w:val="en-US" w:eastAsia="zh-CN"/>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0" w:type="dxa"/>
            <w:vMerge w:val="continue"/>
            <w:noWrap w:val="0"/>
            <w:vAlign w:val="center"/>
          </w:tcPr>
          <w:p>
            <w:pPr>
              <w:spacing w:line="220" w:lineRule="exact"/>
              <w:ind w:firstLine="0"/>
              <w:jc w:val="center"/>
              <w:rPr>
                <w:rFonts w:hint="eastAsia"/>
                <w:spacing w:val="-11"/>
                <w:sz w:val="20"/>
              </w:rPr>
            </w:pPr>
          </w:p>
        </w:tc>
        <w:tc>
          <w:tcPr>
            <w:tcW w:w="1267" w:type="dxa"/>
            <w:noWrap w:val="0"/>
            <w:vAlign w:val="center"/>
          </w:tcPr>
          <w:p>
            <w:pPr>
              <w:spacing w:line="220" w:lineRule="exact"/>
              <w:ind w:firstLine="0"/>
              <w:jc w:val="center"/>
              <w:rPr>
                <w:rFonts w:hint="default" w:ascii="Times New Roman"/>
                <w:spacing w:val="-11"/>
                <w:sz w:val="20"/>
                <w:lang w:val="en-US" w:eastAsia="zh-CN"/>
              </w:rPr>
            </w:pPr>
            <w:r>
              <w:rPr>
                <w:rFonts w:hint="eastAsia" w:ascii="Times New Roman"/>
                <w:spacing w:val="-11"/>
                <w:sz w:val="20"/>
                <w:lang w:val="en-US" w:eastAsia="zh-CN"/>
              </w:rPr>
              <w:t>罐区无组织</w:t>
            </w:r>
          </w:p>
        </w:tc>
        <w:tc>
          <w:tcPr>
            <w:tcW w:w="1700" w:type="dxa"/>
            <w:noWrap w:val="0"/>
            <w:vAlign w:val="center"/>
          </w:tcPr>
          <w:p>
            <w:pPr>
              <w:spacing w:line="220" w:lineRule="exact"/>
              <w:ind w:firstLine="0"/>
              <w:jc w:val="center"/>
              <w:rPr>
                <w:rFonts w:hint="default" w:ascii="Times New Roman"/>
                <w:spacing w:val="-11"/>
                <w:sz w:val="20"/>
                <w:lang w:val="en-US" w:eastAsia="zh-CN"/>
              </w:rPr>
            </w:pPr>
            <w:r>
              <w:rPr>
                <w:rFonts w:hint="eastAsia" w:ascii="Times New Roman" w:hAnsi="Times New Roman"/>
                <w:spacing w:val="-11"/>
                <w:sz w:val="20"/>
                <w:lang w:val="en-US" w:eastAsia="zh-CN"/>
              </w:rPr>
              <w:t>NMHC</w:t>
            </w:r>
          </w:p>
        </w:tc>
        <w:tc>
          <w:tcPr>
            <w:tcW w:w="1150" w:type="dxa"/>
            <w:noWrap w:val="0"/>
            <w:vAlign w:val="center"/>
          </w:tcPr>
          <w:p>
            <w:pPr>
              <w:spacing w:line="220" w:lineRule="exact"/>
              <w:ind w:firstLine="0"/>
              <w:jc w:val="center"/>
              <w:rPr>
                <w:rFonts w:hint="default" w:ascii="Times New Roman"/>
                <w:spacing w:val="-11"/>
                <w:sz w:val="20"/>
                <w:lang w:val="en-US" w:eastAsia="zh-CN"/>
              </w:rPr>
            </w:pPr>
            <w:r>
              <w:rPr>
                <w:rFonts w:hint="eastAsia" w:ascii="Times New Roman"/>
                <w:spacing w:val="-11"/>
                <w:sz w:val="20"/>
                <w:lang w:val="en-US" w:eastAsia="zh-CN"/>
              </w:rPr>
              <w:t>储罐密闭、双鹤管气相平衡</w:t>
            </w:r>
          </w:p>
        </w:tc>
        <w:tc>
          <w:tcPr>
            <w:tcW w:w="1631" w:type="dxa"/>
            <w:noWrap w:val="0"/>
            <w:vAlign w:val="center"/>
          </w:tcPr>
          <w:p>
            <w:pPr>
              <w:spacing w:line="220" w:lineRule="exact"/>
              <w:ind w:firstLine="0"/>
              <w:jc w:val="center"/>
              <w:rPr>
                <w:rFonts w:hint="default" w:ascii="Times New Roman"/>
                <w:spacing w:val="-11"/>
                <w:sz w:val="20"/>
                <w:lang w:val="en-US" w:eastAsia="zh-CN"/>
              </w:rPr>
            </w:pPr>
            <w:r>
              <w:rPr>
                <w:rFonts w:hint="eastAsia" w:ascii="Times New Roman"/>
                <w:spacing w:val="-11"/>
                <w:sz w:val="20"/>
                <w:lang w:val="en-US" w:eastAsia="zh-CN"/>
              </w:rPr>
              <w:t>/</w:t>
            </w:r>
          </w:p>
        </w:tc>
        <w:tc>
          <w:tcPr>
            <w:tcW w:w="979" w:type="dxa"/>
            <w:noWrap w:val="0"/>
            <w:vAlign w:val="center"/>
          </w:tcPr>
          <w:p>
            <w:pPr>
              <w:spacing w:line="220" w:lineRule="exact"/>
              <w:ind w:firstLine="0"/>
              <w:jc w:val="center"/>
              <w:rPr>
                <w:rFonts w:hint="default" w:ascii="Times New Roman"/>
                <w:spacing w:val="-11"/>
                <w:sz w:val="20"/>
                <w:lang w:val="en-US" w:eastAsia="zh-CN"/>
              </w:rPr>
            </w:pPr>
            <w:r>
              <w:rPr>
                <w:rFonts w:hint="eastAsia" w:ascii="Times New Roman"/>
                <w:spacing w:val="-11"/>
                <w:sz w:val="20"/>
                <w:lang w:val="en-US" w:eastAsia="zh-CN"/>
              </w:rPr>
              <w:t>/</w:t>
            </w:r>
          </w:p>
        </w:tc>
        <w:tc>
          <w:tcPr>
            <w:tcW w:w="3111" w:type="dxa"/>
            <w:noWrap w:val="0"/>
            <w:vAlign w:val="center"/>
          </w:tcPr>
          <w:p>
            <w:pPr>
              <w:spacing w:line="220" w:lineRule="exact"/>
              <w:ind w:firstLine="0"/>
              <w:jc w:val="center"/>
              <w:rPr>
                <w:rFonts w:hint="default"/>
                <w:spacing w:val="-11"/>
                <w:sz w:val="20"/>
                <w:lang w:val="en-US" w:eastAsia="zh-CN"/>
              </w:rPr>
            </w:pPr>
            <w:r>
              <w:rPr>
                <w:rFonts w:hint="eastAsia"/>
                <w:spacing w:val="-11"/>
                <w:sz w:val="20"/>
              </w:rPr>
              <w:t>《</w:t>
            </w:r>
            <w:r>
              <w:rPr>
                <w:rFonts w:hint="eastAsia"/>
                <w:spacing w:val="-11"/>
                <w:sz w:val="20"/>
                <w:lang w:eastAsia="zh-CN"/>
              </w:rPr>
              <w:t>恶臭</w:t>
            </w:r>
            <w:r>
              <w:rPr>
                <w:rFonts w:hint="eastAsia"/>
                <w:spacing w:val="-11"/>
                <w:sz w:val="20"/>
              </w:rPr>
              <w:t>污染物排放标准》</w:t>
            </w:r>
            <w:r>
              <w:rPr>
                <w:rFonts w:hint="eastAsia"/>
                <w:spacing w:val="-11"/>
                <w:sz w:val="20"/>
                <w:lang w:eastAsia="zh-CN"/>
              </w:rPr>
              <w:t>（</w:t>
            </w:r>
            <w:r>
              <w:rPr>
                <w:rFonts w:hint="eastAsia" w:ascii="Times New Roman" w:hAnsi="Times New Roman"/>
                <w:spacing w:val="-11"/>
                <w:sz w:val="20"/>
                <w:lang w:val="en-US" w:eastAsia="zh-CN"/>
              </w:rPr>
              <w:t>GB14554</w:t>
            </w:r>
            <w:r>
              <w:rPr>
                <w:rFonts w:hint="eastAsia"/>
                <w:spacing w:val="-11"/>
                <w:sz w:val="20"/>
                <w:lang w:val="en-US" w:eastAsia="zh-CN"/>
              </w:rPr>
              <w:t>-</w:t>
            </w:r>
            <w:r>
              <w:rPr>
                <w:rFonts w:hint="eastAsia" w:ascii="Times New Roman" w:hAnsi="Times New Roman"/>
                <w:spacing w:val="-11"/>
                <w:sz w:val="20"/>
                <w:lang w:val="en-US" w:eastAsia="zh-CN"/>
              </w:rPr>
              <w:t>93</w:t>
            </w:r>
            <w:r>
              <w:rPr>
                <w:rFonts w:hint="eastAsia"/>
                <w:spacing w:val="-11"/>
                <w:sz w:val="20"/>
                <w:lang w:eastAsia="zh-CN"/>
              </w:rPr>
              <w:t>）</w:t>
            </w:r>
            <w:r>
              <w:rPr>
                <w:rFonts w:hint="eastAsia"/>
                <w:spacing w:val="-11"/>
                <w:sz w:val="20"/>
                <w:lang w:val="en-US" w:eastAsia="zh-CN"/>
              </w:rPr>
              <w:t>表</w:t>
            </w:r>
            <w:r>
              <w:rPr>
                <w:rFonts w:hint="eastAsia" w:ascii="Times New Roman" w:hAnsi="Times New Roman"/>
                <w:spacing w:val="-11"/>
                <w:sz w:val="20"/>
                <w:lang w:val="en-US" w:eastAsia="zh-CN"/>
              </w:rPr>
              <w:t>1</w:t>
            </w:r>
          </w:p>
        </w:tc>
        <w:tc>
          <w:tcPr>
            <w:tcW w:w="1224" w:type="dxa"/>
            <w:noWrap w:val="0"/>
            <w:vAlign w:val="center"/>
          </w:tcPr>
          <w:p>
            <w:pPr>
              <w:spacing w:line="220" w:lineRule="exact"/>
              <w:ind w:firstLine="0"/>
              <w:jc w:val="center"/>
              <w:rPr>
                <w:rFonts w:hint="default" w:eastAsia="宋体"/>
                <w:spacing w:val="-11"/>
                <w:sz w:val="20"/>
                <w:lang w:val="en-US" w:eastAsia="zh-CN"/>
              </w:rPr>
            </w:pPr>
            <w:r>
              <w:rPr>
                <w:rFonts w:hint="eastAsia"/>
                <w:spacing w:val="-11"/>
                <w:sz w:val="20"/>
                <w:lang w:val="en-US" w:eastAsia="zh-CN"/>
              </w:rPr>
              <w:t>液位报警</w:t>
            </w:r>
          </w:p>
        </w:tc>
        <w:tc>
          <w:tcPr>
            <w:tcW w:w="1492" w:type="dxa"/>
            <w:noWrap w:val="0"/>
            <w:vAlign w:val="center"/>
          </w:tcPr>
          <w:p>
            <w:pPr>
              <w:spacing w:line="220" w:lineRule="exact"/>
              <w:ind w:firstLine="0"/>
              <w:jc w:val="center"/>
              <w:rPr>
                <w:rFonts w:hint="eastAsia"/>
                <w:spacing w:val="-11"/>
                <w:sz w:val="20"/>
                <w:lang w:val="en-US" w:eastAsia="zh-CN"/>
              </w:rPr>
            </w:pP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p>
        </w:tc>
        <w:tc>
          <w:tcPr>
            <w:tcW w:w="1006" w:type="dxa"/>
            <w:noWrap w:val="0"/>
            <w:vAlign w:val="center"/>
          </w:tcPr>
          <w:p>
            <w:pPr>
              <w:spacing w:line="220" w:lineRule="exact"/>
              <w:ind w:firstLine="0"/>
              <w:jc w:val="center"/>
              <w:rPr>
                <w:rFonts w:hint="default"/>
                <w:spacing w:val="-11"/>
                <w:sz w:val="20"/>
                <w:lang w:val="en-US" w:eastAsia="zh-CN"/>
              </w:rPr>
            </w:pPr>
            <w:r>
              <w:rPr>
                <w:rFonts w:hint="eastAsia"/>
                <w:spacing w:val="-11"/>
                <w:sz w:val="20"/>
                <w:lang w:val="en-US" w:eastAsia="zh-CN"/>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0" w:type="dxa"/>
            <w:noWrap w:val="0"/>
            <w:vAlign w:val="center"/>
          </w:tcPr>
          <w:p>
            <w:pPr>
              <w:spacing w:line="220" w:lineRule="exact"/>
              <w:ind w:firstLine="0"/>
              <w:jc w:val="center"/>
              <w:rPr>
                <w:rFonts w:hint="eastAsia"/>
                <w:spacing w:val="-11"/>
                <w:sz w:val="20"/>
              </w:rPr>
            </w:pPr>
            <w:r>
              <w:rPr>
                <w:rFonts w:hint="eastAsia"/>
                <w:spacing w:val="-11"/>
                <w:sz w:val="20"/>
              </w:rPr>
              <w:t>废水</w:t>
            </w:r>
          </w:p>
        </w:tc>
        <w:tc>
          <w:tcPr>
            <w:tcW w:w="1267" w:type="dxa"/>
            <w:noWrap w:val="0"/>
            <w:vAlign w:val="center"/>
          </w:tcPr>
          <w:p>
            <w:pPr>
              <w:spacing w:line="220" w:lineRule="exact"/>
              <w:ind w:firstLine="0"/>
              <w:jc w:val="center"/>
              <w:rPr>
                <w:rFonts w:hint="eastAsia" w:eastAsia="宋体"/>
                <w:spacing w:val="-11"/>
                <w:sz w:val="20"/>
                <w:lang w:eastAsia="zh-CN"/>
              </w:rPr>
            </w:pPr>
            <w:r>
              <w:rPr>
                <w:rFonts w:hint="eastAsia"/>
                <w:spacing w:val="-11"/>
                <w:sz w:val="20"/>
                <w:lang w:eastAsia="zh-CN"/>
              </w:rPr>
              <w:t>生产装置区、办公生活区</w:t>
            </w:r>
          </w:p>
        </w:tc>
        <w:tc>
          <w:tcPr>
            <w:tcW w:w="1700"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hAnsi="Times New Roman"/>
                <w:spacing w:val="-11"/>
                <w:sz w:val="20"/>
                <w:lang w:val="en-US" w:eastAsia="zh-CN"/>
              </w:rPr>
              <w:t>COD</w:t>
            </w:r>
            <w:r>
              <w:rPr>
                <w:rFonts w:hint="eastAsia"/>
                <w:spacing w:val="-11"/>
                <w:sz w:val="20"/>
              </w:rPr>
              <w:t>、</w:t>
            </w:r>
            <w:r>
              <w:rPr>
                <w:rFonts w:hint="eastAsia" w:ascii="Times New Roman" w:hAnsi="Times New Roman"/>
                <w:spacing w:val="-11"/>
                <w:sz w:val="20"/>
                <w:lang w:val="en-US" w:eastAsia="zh-CN"/>
              </w:rPr>
              <w:t>BOD</w:t>
            </w:r>
            <w:r>
              <w:rPr>
                <w:rFonts w:hint="eastAsia" w:ascii="Times New Roman" w:hAnsi="Times New Roman"/>
                <w:spacing w:val="-11"/>
                <w:sz w:val="20"/>
                <w:vertAlign w:val="subscript"/>
                <w:lang w:val="en-US" w:eastAsia="zh-CN"/>
              </w:rPr>
              <w:t>5</w:t>
            </w:r>
            <w:r>
              <w:rPr>
                <w:rFonts w:hint="eastAsia"/>
                <w:spacing w:val="-11"/>
                <w:sz w:val="20"/>
                <w:lang w:val="en-US" w:eastAsia="zh-CN"/>
              </w:rPr>
              <w:t>、</w:t>
            </w: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r>
              <w:rPr>
                <w:rFonts w:hint="eastAsia"/>
                <w:spacing w:val="-11"/>
                <w:sz w:val="20"/>
                <w:lang w:val="en-US" w:eastAsia="zh-CN"/>
              </w:rPr>
              <w:t>-</w:t>
            </w:r>
            <w:r>
              <w:rPr>
                <w:rFonts w:hint="eastAsia" w:ascii="Times New Roman" w:hAnsi="Times New Roman"/>
                <w:spacing w:val="-11"/>
                <w:sz w:val="20"/>
                <w:lang w:val="en-US" w:eastAsia="zh-CN"/>
              </w:rPr>
              <w:t>N</w:t>
            </w:r>
          </w:p>
        </w:tc>
        <w:tc>
          <w:tcPr>
            <w:tcW w:w="1150" w:type="dxa"/>
            <w:noWrap w:val="0"/>
            <w:vAlign w:val="center"/>
          </w:tcPr>
          <w:p>
            <w:pPr>
              <w:spacing w:line="220" w:lineRule="exact"/>
              <w:ind w:firstLine="0"/>
              <w:jc w:val="center"/>
              <w:rPr>
                <w:rFonts w:hint="default" w:eastAsia="宋体"/>
                <w:spacing w:val="-11"/>
                <w:sz w:val="20"/>
                <w:lang w:val="en-US" w:eastAsia="zh-CN"/>
              </w:rPr>
            </w:pPr>
            <w:r>
              <w:rPr>
                <w:rFonts w:hint="eastAsia"/>
                <w:spacing w:val="-11"/>
                <w:sz w:val="20"/>
                <w:lang w:eastAsia="zh-CN"/>
              </w:rPr>
              <w:t>预处理</w:t>
            </w:r>
            <w:r>
              <w:rPr>
                <w:rFonts w:hint="eastAsia"/>
                <w:spacing w:val="-11"/>
                <w:sz w:val="20"/>
                <w:lang w:val="en-US" w:eastAsia="zh-CN"/>
              </w:rPr>
              <w:t>+生化处理</w:t>
            </w:r>
          </w:p>
        </w:tc>
        <w:tc>
          <w:tcPr>
            <w:tcW w:w="1631" w:type="dxa"/>
            <w:noWrap w:val="0"/>
            <w:vAlign w:val="center"/>
          </w:tcPr>
          <w:p>
            <w:pPr>
              <w:spacing w:line="220" w:lineRule="exact"/>
              <w:ind w:firstLine="0"/>
              <w:jc w:val="center"/>
              <w:rPr>
                <w:rFonts w:hint="default" w:eastAsia="宋体"/>
                <w:spacing w:val="-11"/>
                <w:sz w:val="20"/>
                <w:lang w:val="en-US" w:eastAsia="zh-CN"/>
              </w:rPr>
            </w:pPr>
            <w:r>
              <w:rPr>
                <w:rFonts w:hint="eastAsia" w:ascii="Times New Roman"/>
                <w:spacing w:val="-11"/>
                <w:sz w:val="20"/>
                <w:lang w:val="en-US" w:eastAsia="zh-CN"/>
              </w:rPr>
              <w:t>综合浓度：</w:t>
            </w:r>
            <w:r>
              <w:rPr>
                <w:rFonts w:hint="eastAsia" w:ascii="Times New Roman" w:hAnsi="Times New Roman"/>
                <w:spacing w:val="-11"/>
                <w:sz w:val="20"/>
                <w:lang w:val="en-US" w:eastAsia="zh-CN"/>
              </w:rPr>
              <w:t>COD</w:t>
            </w:r>
            <w:r>
              <w:rPr>
                <w:rFonts w:hint="eastAsia"/>
                <w:spacing w:val="-11"/>
                <w:sz w:val="20"/>
              </w:rPr>
              <w:t>：</w:t>
            </w:r>
            <w:r>
              <w:rPr>
                <w:rFonts w:hint="eastAsia" w:ascii="Times New Roman" w:hAnsi="Times New Roman"/>
                <w:spacing w:val="-11"/>
                <w:sz w:val="20"/>
                <w:lang w:val="en-US" w:eastAsia="zh-CN"/>
              </w:rPr>
              <w:t>110mg</w:t>
            </w:r>
            <w:r>
              <w:rPr>
                <w:rFonts w:hint="eastAsia"/>
                <w:spacing w:val="-11"/>
                <w:sz w:val="20"/>
                <w:lang w:val="en-US" w:eastAsia="zh-CN"/>
              </w:rPr>
              <w:t>/</w:t>
            </w:r>
            <w:r>
              <w:rPr>
                <w:rFonts w:hint="eastAsia" w:ascii="Times New Roman" w:hAnsi="Times New Roman"/>
                <w:spacing w:val="-11"/>
                <w:sz w:val="20"/>
                <w:lang w:val="en-US" w:eastAsia="zh-CN"/>
              </w:rPr>
              <w:t>L</w:t>
            </w:r>
            <w:r>
              <w:rPr>
                <w:rFonts w:hint="eastAsia"/>
                <w:spacing w:val="-11"/>
                <w:sz w:val="20"/>
              </w:rPr>
              <w:t>、</w:t>
            </w:r>
            <w:r>
              <w:rPr>
                <w:rFonts w:hint="eastAsia" w:ascii="Times New Roman" w:hAnsi="Times New Roman"/>
                <w:spacing w:val="-11"/>
                <w:sz w:val="20"/>
                <w:lang w:val="en-US" w:eastAsia="zh-CN"/>
              </w:rPr>
              <w:t>BOD</w:t>
            </w:r>
            <w:r>
              <w:rPr>
                <w:rFonts w:hint="eastAsia" w:ascii="Times New Roman" w:hAnsi="Times New Roman"/>
                <w:spacing w:val="-11"/>
                <w:sz w:val="20"/>
                <w:vertAlign w:val="subscript"/>
                <w:lang w:val="en-US" w:eastAsia="zh-CN"/>
              </w:rPr>
              <w:t>5</w:t>
            </w:r>
            <w:r>
              <w:rPr>
                <w:rFonts w:hint="eastAsia"/>
                <w:spacing w:val="-11"/>
                <w:sz w:val="20"/>
                <w:lang w:val="en-US" w:eastAsia="zh-CN"/>
              </w:rPr>
              <w:t>:</w:t>
            </w:r>
            <w:r>
              <w:rPr>
                <w:rFonts w:hint="eastAsia" w:ascii="Times New Roman" w:hAnsi="Times New Roman"/>
                <w:spacing w:val="-11"/>
                <w:sz w:val="20"/>
                <w:lang w:val="en-US" w:eastAsia="zh-CN"/>
              </w:rPr>
              <w:t>109mg</w:t>
            </w:r>
            <w:r>
              <w:rPr>
                <w:rFonts w:hint="eastAsia"/>
                <w:spacing w:val="-11"/>
                <w:sz w:val="20"/>
                <w:lang w:val="en-US" w:eastAsia="zh-CN"/>
              </w:rPr>
              <w:t>/</w:t>
            </w:r>
            <w:r>
              <w:rPr>
                <w:rFonts w:hint="eastAsia" w:ascii="Times New Roman" w:hAnsi="Times New Roman"/>
                <w:spacing w:val="-11"/>
                <w:sz w:val="20"/>
                <w:lang w:val="en-US" w:eastAsia="zh-CN"/>
              </w:rPr>
              <w:t>L</w:t>
            </w:r>
            <w:r>
              <w:rPr>
                <w:rFonts w:hint="eastAsia"/>
                <w:spacing w:val="-11"/>
                <w:sz w:val="20"/>
                <w:lang w:val="en-US" w:eastAsia="zh-CN"/>
              </w:rPr>
              <w:t>、</w:t>
            </w: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r>
              <w:rPr>
                <w:rFonts w:hint="eastAsia"/>
                <w:spacing w:val="-11"/>
                <w:sz w:val="20"/>
                <w:lang w:val="en-US" w:eastAsia="zh-CN"/>
              </w:rPr>
              <w:t>-</w:t>
            </w:r>
            <w:r>
              <w:rPr>
                <w:rFonts w:hint="eastAsia" w:ascii="Times New Roman" w:hAnsi="Times New Roman"/>
                <w:spacing w:val="-11"/>
                <w:sz w:val="20"/>
                <w:lang w:val="en-US" w:eastAsia="zh-CN"/>
              </w:rPr>
              <w:t>N</w:t>
            </w:r>
            <w:r>
              <w:rPr>
                <w:rFonts w:hint="eastAsia"/>
                <w:spacing w:val="-11"/>
                <w:sz w:val="20"/>
                <w:lang w:val="en-US" w:eastAsia="zh-CN"/>
              </w:rPr>
              <w:t>：</w:t>
            </w:r>
            <w:r>
              <w:rPr>
                <w:rFonts w:hint="eastAsia" w:ascii="Times New Roman" w:hAnsi="Times New Roman"/>
                <w:spacing w:val="-11"/>
                <w:sz w:val="20"/>
                <w:lang w:val="en-US" w:eastAsia="zh-CN"/>
              </w:rPr>
              <w:t>4</w:t>
            </w:r>
            <w:r>
              <w:rPr>
                <w:rFonts w:hint="eastAsia"/>
                <w:spacing w:val="-11"/>
                <w:sz w:val="20"/>
                <w:lang w:val="en-US" w:eastAsia="zh-CN"/>
              </w:rPr>
              <w:t>.</w:t>
            </w:r>
            <w:r>
              <w:rPr>
                <w:rFonts w:hint="eastAsia" w:ascii="Times New Roman" w:hAnsi="Times New Roman"/>
                <w:spacing w:val="-11"/>
                <w:sz w:val="20"/>
                <w:lang w:val="en-US" w:eastAsia="zh-CN"/>
              </w:rPr>
              <w:t>7mg</w:t>
            </w:r>
            <w:r>
              <w:rPr>
                <w:rFonts w:hint="eastAsia"/>
                <w:spacing w:val="-11"/>
                <w:sz w:val="20"/>
                <w:lang w:val="en-US" w:eastAsia="zh-CN"/>
              </w:rPr>
              <w:t>/</w:t>
            </w:r>
            <w:r>
              <w:rPr>
                <w:rFonts w:hint="eastAsia" w:ascii="Times New Roman" w:hAnsi="Times New Roman"/>
                <w:spacing w:val="-11"/>
                <w:sz w:val="20"/>
                <w:lang w:val="en-US" w:eastAsia="zh-CN"/>
              </w:rPr>
              <w:t>L</w:t>
            </w:r>
          </w:p>
        </w:tc>
        <w:tc>
          <w:tcPr>
            <w:tcW w:w="979" w:type="dxa"/>
            <w:noWrap w:val="0"/>
            <w:vAlign w:val="center"/>
          </w:tcPr>
          <w:p>
            <w:pPr>
              <w:spacing w:line="220" w:lineRule="exact"/>
              <w:ind w:firstLine="0"/>
              <w:jc w:val="center"/>
              <w:rPr>
                <w:rFonts w:hint="default"/>
                <w:spacing w:val="-11"/>
                <w:sz w:val="20"/>
                <w:lang w:val="en-US"/>
              </w:rPr>
            </w:pPr>
            <w:r>
              <w:rPr>
                <w:rFonts w:hint="eastAsia"/>
                <w:spacing w:val="-11"/>
                <w:sz w:val="20"/>
                <w:lang w:val="en-US" w:eastAsia="zh-CN"/>
              </w:rPr>
              <w:t>/</w:t>
            </w:r>
          </w:p>
        </w:tc>
        <w:tc>
          <w:tcPr>
            <w:tcW w:w="3111" w:type="dxa"/>
            <w:noWrap w:val="0"/>
            <w:vAlign w:val="center"/>
          </w:tcPr>
          <w:p>
            <w:pPr>
              <w:spacing w:line="220" w:lineRule="exact"/>
              <w:ind w:firstLine="0"/>
              <w:jc w:val="center"/>
              <w:rPr>
                <w:rFonts w:hint="eastAsia" w:eastAsia="宋体"/>
                <w:spacing w:val="-11"/>
                <w:sz w:val="20"/>
                <w:lang w:eastAsia="zh-CN"/>
              </w:rPr>
            </w:pPr>
            <w:r>
              <w:rPr>
                <w:rFonts w:hint="eastAsia"/>
                <w:spacing w:val="-11"/>
                <w:sz w:val="20"/>
                <w:lang w:eastAsia="zh-CN"/>
              </w:rPr>
              <w:t>《污水排入城镇下水道水质标准》（</w:t>
            </w:r>
            <w:r>
              <w:rPr>
                <w:rFonts w:hint="eastAsia" w:ascii="Times New Roman" w:hAnsi="Times New Roman"/>
                <w:spacing w:val="-11"/>
                <w:sz w:val="20"/>
                <w:lang w:val="en-US" w:eastAsia="zh-CN"/>
              </w:rPr>
              <w:t>GB</w:t>
            </w:r>
            <w:r>
              <w:rPr>
                <w:rFonts w:hint="eastAsia"/>
                <w:spacing w:val="-11"/>
                <w:sz w:val="20"/>
                <w:lang w:val="en-US" w:eastAsia="zh-CN"/>
              </w:rPr>
              <w:t>/</w:t>
            </w:r>
            <w:r>
              <w:rPr>
                <w:rFonts w:hint="eastAsia" w:ascii="Times New Roman" w:hAnsi="Times New Roman"/>
                <w:spacing w:val="-11"/>
                <w:sz w:val="20"/>
                <w:lang w:val="en-US" w:eastAsia="zh-CN"/>
              </w:rPr>
              <w:t>T31962</w:t>
            </w:r>
            <w:r>
              <w:rPr>
                <w:rFonts w:hint="eastAsia"/>
                <w:spacing w:val="-11"/>
                <w:sz w:val="20"/>
                <w:lang w:val="en-US" w:eastAsia="zh-CN"/>
              </w:rPr>
              <w:t>-</w:t>
            </w:r>
            <w:r>
              <w:rPr>
                <w:rFonts w:hint="eastAsia" w:ascii="Times New Roman" w:hAnsi="Times New Roman"/>
                <w:spacing w:val="-11"/>
                <w:sz w:val="20"/>
                <w:lang w:val="en-US" w:eastAsia="zh-CN"/>
              </w:rPr>
              <w:t>2015</w:t>
            </w:r>
            <w:r>
              <w:rPr>
                <w:rFonts w:hint="eastAsia"/>
                <w:spacing w:val="-11"/>
                <w:sz w:val="20"/>
                <w:lang w:eastAsia="zh-CN"/>
              </w:rPr>
              <w:t>）表</w:t>
            </w:r>
            <w:r>
              <w:rPr>
                <w:rFonts w:hint="eastAsia" w:ascii="Times New Roman" w:hAnsi="Times New Roman"/>
                <w:spacing w:val="-11"/>
                <w:sz w:val="20"/>
                <w:lang w:val="en-US" w:eastAsia="zh-CN"/>
              </w:rPr>
              <w:t>1B</w:t>
            </w:r>
            <w:r>
              <w:rPr>
                <w:rFonts w:hint="eastAsia"/>
                <w:spacing w:val="-11"/>
                <w:sz w:val="20"/>
                <w:lang w:val="en-US" w:eastAsia="zh-CN"/>
              </w:rPr>
              <w:t>级</w:t>
            </w:r>
          </w:p>
        </w:tc>
        <w:tc>
          <w:tcPr>
            <w:tcW w:w="1224"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1492" w:type="dxa"/>
            <w:noWrap w:val="0"/>
            <w:vAlign w:val="center"/>
          </w:tcPr>
          <w:p>
            <w:pPr>
              <w:spacing w:line="220" w:lineRule="exact"/>
              <w:ind w:firstLine="0"/>
              <w:jc w:val="center"/>
              <w:rPr>
                <w:rFonts w:hint="eastAsia"/>
                <w:spacing w:val="-11"/>
                <w:sz w:val="20"/>
              </w:rPr>
            </w:pPr>
            <w:r>
              <w:rPr>
                <w:rFonts w:hint="eastAsia" w:ascii="Times New Roman" w:hAnsi="Times New Roman"/>
                <w:spacing w:val="-11"/>
                <w:sz w:val="20"/>
                <w:lang w:val="en-US" w:eastAsia="zh-CN"/>
              </w:rPr>
              <w:t>COD</w:t>
            </w:r>
            <w:r>
              <w:rPr>
                <w:rFonts w:hint="eastAsia"/>
                <w:spacing w:val="-11"/>
                <w:sz w:val="20"/>
              </w:rPr>
              <w:t>、</w:t>
            </w:r>
            <w:r>
              <w:rPr>
                <w:rFonts w:hint="eastAsia" w:ascii="Times New Roman" w:hAnsi="Times New Roman"/>
                <w:spacing w:val="-11"/>
                <w:sz w:val="20"/>
                <w:lang w:val="en-US" w:eastAsia="zh-CN"/>
              </w:rPr>
              <w:t>BOD</w:t>
            </w:r>
            <w:r>
              <w:rPr>
                <w:rFonts w:hint="eastAsia" w:ascii="Times New Roman" w:hAnsi="Times New Roman"/>
                <w:spacing w:val="-11"/>
                <w:sz w:val="20"/>
                <w:vertAlign w:val="subscript"/>
                <w:lang w:val="en-US" w:eastAsia="zh-CN"/>
              </w:rPr>
              <w:t>5</w:t>
            </w:r>
            <w:r>
              <w:rPr>
                <w:rFonts w:hint="eastAsia"/>
                <w:spacing w:val="-11"/>
                <w:sz w:val="20"/>
                <w:lang w:val="en-US" w:eastAsia="zh-CN"/>
              </w:rPr>
              <w:t>、</w:t>
            </w:r>
            <w:r>
              <w:rPr>
                <w:rFonts w:hint="eastAsia" w:ascii="Times New Roman" w:hAnsi="Times New Roman"/>
                <w:spacing w:val="-11"/>
                <w:sz w:val="20"/>
                <w:lang w:val="en-US" w:eastAsia="zh-CN"/>
              </w:rPr>
              <w:t>NH</w:t>
            </w:r>
            <w:r>
              <w:rPr>
                <w:rFonts w:hint="eastAsia" w:ascii="Times New Roman" w:hAnsi="Times New Roman"/>
                <w:spacing w:val="-11"/>
                <w:sz w:val="20"/>
                <w:vertAlign w:val="subscript"/>
                <w:lang w:val="en-US" w:eastAsia="zh-CN"/>
              </w:rPr>
              <w:t>3</w:t>
            </w:r>
            <w:r>
              <w:rPr>
                <w:rFonts w:hint="eastAsia"/>
                <w:spacing w:val="-11"/>
                <w:sz w:val="20"/>
                <w:lang w:val="en-US" w:eastAsia="zh-CN"/>
              </w:rPr>
              <w:t>-</w:t>
            </w:r>
            <w:r>
              <w:rPr>
                <w:rFonts w:hint="eastAsia" w:ascii="Times New Roman" w:hAnsi="Times New Roman"/>
                <w:spacing w:val="-11"/>
                <w:sz w:val="20"/>
                <w:lang w:val="en-US" w:eastAsia="zh-CN"/>
              </w:rPr>
              <w:t>N</w:t>
            </w:r>
          </w:p>
        </w:tc>
        <w:tc>
          <w:tcPr>
            <w:tcW w:w="1006" w:type="dxa"/>
            <w:noWrap w:val="0"/>
            <w:vAlign w:val="center"/>
          </w:tcPr>
          <w:p>
            <w:pPr>
              <w:spacing w:line="220" w:lineRule="exact"/>
              <w:ind w:firstLine="0"/>
              <w:jc w:val="center"/>
              <w:rPr>
                <w:rFonts w:hint="eastAsia" w:eastAsia="宋体"/>
                <w:spacing w:val="-11"/>
                <w:sz w:val="20"/>
                <w:lang w:eastAsia="zh-CN"/>
              </w:rPr>
            </w:pPr>
            <w:r>
              <w:rPr>
                <w:rFonts w:hint="eastAsia"/>
                <w:spacing w:val="-11"/>
                <w:sz w:val="20"/>
                <w:lang w:eastAsia="zh-CN"/>
              </w:rPr>
              <w:t>总排放口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0" w:type="dxa"/>
            <w:vMerge w:val="restart"/>
            <w:noWrap w:val="0"/>
            <w:vAlign w:val="center"/>
          </w:tcPr>
          <w:p>
            <w:pPr>
              <w:spacing w:line="220" w:lineRule="exact"/>
              <w:ind w:firstLine="0"/>
              <w:jc w:val="center"/>
              <w:rPr>
                <w:rFonts w:hint="eastAsia"/>
                <w:spacing w:val="-11"/>
                <w:sz w:val="20"/>
              </w:rPr>
            </w:pPr>
            <w:r>
              <w:rPr>
                <w:rFonts w:hint="eastAsia"/>
                <w:spacing w:val="-11"/>
                <w:sz w:val="20"/>
              </w:rPr>
              <w:t>固体</w:t>
            </w:r>
          </w:p>
        </w:tc>
        <w:tc>
          <w:tcPr>
            <w:tcW w:w="1267" w:type="dxa"/>
            <w:noWrap w:val="0"/>
            <w:vAlign w:val="center"/>
          </w:tcPr>
          <w:p>
            <w:pPr>
              <w:spacing w:line="220" w:lineRule="exact"/>
              <w:ind w:firstLine="0"/>
              <w:jc w:val="center"/>
              <w:rPr>
                <w:rFonts w:hint="eastAsia" w:eastAsia="宋体"/>
                <w:spacing w:val="-11"/>
                <w:sz w:val="20"/>
                <w:lang w:eastAsia="zh-CN"/>
              </w:rPr>
            </w:pPr>
            <w:r>
              <w:rPr>
                <w:rFonts w:hint="eastAsia"/>
                <w:spacing w:val="-11"/>
                <w:sz w:val="20"/>
                <w:lang w:eastAsia="zh-CN"/>
              </w:rPr>
              <w:t>危险废物贮存库</w:t>
            </w:r>
          </w:p>
        </w:tc>
        <w:tc>
          <w:tcPr>
            <w:tcW w:w="1700" w:type="dxa"/>
            <w:noWrap w:val="0"/>
            <w:vAlign w:val="center"/>
          </w:tcPr>
          <w:p>
            <w:pPr>
              <w:spacing w:line="220" w:lineRule="exact"/>
              <w:ind w:firstLine="0"/>
              <w:jc w:val="center"/>
              <w:rPr>
                <w:rFonts w:hint="eastAsia"/>
                <w:spacing w:val="-11"/>
                <w:sz w:val="20"/>
              </w:rPr>
            </w:pPr>
            <w:r>
              <w:rPr>
                <w:rFonts w:hint="eastAsia"/>
                <w:spacing w:val="-11"/>
                <w:sz w:val="20"/>
              </w:rPr>
              <w:t>废</w:t>
            </w:r>
            <w:r>
              <w:rPr>
                <w:rFonts w:hint="eastAsia"/>
                <w:spacing w:val="-11"/>
                <w:sz w:val="20"/>
                <w:lang w:eastAsia="zh-CN"/>
              </w:rPr>
              <w:t>催化剂</w:t>
            </w:r>
            <w:r>
              <w:rPr>
                <w:rFonts w:hint="eastAsia"/>
                <w:spacing w:val="-11"/>
                <w:sz w:val="20"/>
              </w:rPr>
              <w:t>等</w:t>
            </w:r>
          </w:p>
        </w:tc>
        <w:tc>
          <w:tcPr>
            <w:tcW w:w="1150" w:type="dxa"/>
            <w:noWrap w:val="0"/>
            <w:vAlign w:val="center"/>
          </w:tcPr>
          <w:p>
            <w:pPr>
              <w:spacing w:line="220" w:lineRule="exact"/>
              <w:ind w:firstLine="0"/>
              <w:jc w:val="center"/>
              <w:rPr>
                <w:rFonts w:hint="eastAsia" w:eastAsia="宋体"/>
                <w:spacing w:val="-11"/>
                <w:sz w:val="20"/>
                <w:lang w:eastAsia="zh-CN"/>
              </w:rPr>
            </w:pPr>
            <w:r>
              <w:rPr>
                <w:rFonts w:hint="eastAsia"/>
                <w:spacing w:val="-11"/>
                <w:sz w:val="20"/>
              </w:rPr>
              <w:t>规范收集</w:t>
            </w:r>
            <w:r>
              <w:rPr>
                <w:rFonts w:hint="eastAsia"/>
                <w:spacing w:val="-11"/>
                <w:sz w:val="20"/>
                <w:lang w:eastAsia="zh-CN"/>
              </w:rPr>
              <w:t>、委托处理</w:t>
            </w:r>
          </w:p>
        </w:tc>
        <w:tc>
          <w:tcPr>
            <w:tcW w:w="1631"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979"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3111" w:type="dxa"/>
            <w:noWrap w:val="0"/>
            <w:vAlign w:val="center"/>
          </w:tcPr>
          <w:p>
            <w:pPr>
              <w:spacing w:line="220" w:lineRule="exact"/>
              <w:ind w:firstLine="0"/>
              <w:jc w:val="center"/>
              <w:rPr>
                <w:rFonts w:hint="eastAsia"/>
                <w:spacing w:val="-11"/>
                <w:sz w:val="20"/>
              </w:rPr>
            </w:pPr>
            <w:r>
              <w:rPr>
                <w:rFonts w:hint="eastAsia"/>
                <w:spacing w:val="-11"/>
                <w:sz w:val="20"/>
              </w:rPr>
              <w:t>《危险废物贮存污染控制标准》（</w:t>
            </w:r>
            <w:r>
              <w:rPr>
                <w:rFonts w:hint="eastAsia" w:ascii="Times New Roman" w:hAnsi="Times New Roman"/>
                <w:spacing w:val="-11"/>
                <w:sz w:val="20"/>
              </w:rPr>
              <w:t>GB18597</w:t>
            </w:r>
            <w:r>
              <w:rPr>
                <w:rFonts w:hint="eastAsia"/>
                <w:spacing w:val="-11"/>
                <w:sz w:val="20"/>
              </w:rPr>
              <w:t>-</w:t>
            </w:r>
            <w:r>
              <w:rPr>
                <w:rFonts w:hint="eastAsia" w:ascii="Times New Roman" w:hAnsi="Times New Roman"/>
                <w:spacing w:val="-11"/>
                <w:sz w:val="20"/>
              </w:rPr>
              <w:t>20</w:t>
            </w:r>
            <w:r>
              <w:rPr>
                <w:rFonts w:hint="eastAsia" w:ascii="Times New Roman" w:hAnsi="Times New Roman"/>
                <w:spacing w:val="-11"/>
                <w:sz w:val="20"/>
                <w:lang w:val="en-US" w:eastAsia="zh-CN"/>
              </w:rPr>
              <w:t>23</w:t>
            </w:r>
            <w:r>
              <w:rPr>
                <w:rFonts w:hint="eastAsia"/>
                <w:spacing w:val="-11"/>
                <w:sz w:val="20"/>
              </w:rPr>
              <w:t>）</w:t>
            </w:r>
          </w:p>
        </w:tc>
        <w:tc>
          <w:tcPr>
            <w:tcW w:w="1224" w:type="dxa"/>
            <w:noWrap w:val="0"/>
            <w:vAlign w:val="center"/>
          </w:tcPr>
          <w:p>
            <w:pPr>
              <w:spacing w:line="220" w:lineRule="exact"/>
              <w:ind w:firstLine="0"/>
              <w:jc w:val="center"/>
              <w:rPr>
                <w:rFonts w:hint="eastAsia" w:eastAsia="宋体"/>
                <w:spacing w:val="-11"/>
                <w:sz w:val="20"/>
                <w:lang w:eastAsia="zh-CN"/>
              </w:rPr>
            </w:pPr>
            <w:r>
              <w:rPr>
                <w:rFonts w:hint="eastAsia"/>
                <w:spacing w:val="-11"/>
                <w:sz w:val="20"/>
              </w:rPr>
              <w:t>密封包装、</w:t>
            </w:r>
            <w:r>
              <w:rPr>
                <w:rFonts w:hint="eastAsia"/>
                <w:spacing w:val="-11"/>
                <w:sz w:val="20"/>
                <w:lang w:eastAsia="zh-CN"/>
              </w:rPr>
              <w:t>依托现有危险废物贮存库</w:t>
            </w:r>
          </w:p>
        </w:tc>
        <w:tc>
          <w:tcPr>
            <w:tcW w:w="1492"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1006" w:type="dxa"/>
            <w:noWrap w:val="0"/>
            <w:vAlign w:val="center"/>
          </w:tcPr>
          <w:p>
            <w:pPr>
              <w:spacing w:line="220" w:lineRule="exact"/>
              <w:ind w:firstLine="0"/>
              <w:jc w:val="center"/>
              <w:rPr>
                <w:rFonts w:hint="eastAsia"/>
                <w:spacing w:val="-11"/>
                <w:sz w:val="20"/>
              </w:rPr>
            </w:pPr>
            <w:r>
              <w:rPr>
                <w:rFonts w:hint="eastAsia"/>
                <w:spacing w:val="-11"/>
                <w:sz w:val="20"/>
              </w:rPr>
              <w:t>危废堆放点标识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0" w:type="dxa"/>
            <w:vMerge w:val="continue"/>
            <w:noWrap w:val="0"/>
            <w:vAlign w:val="center"/>
          </w:tcPr>
          <w:p>
            <w:pPr>
              <w:spacing w:line="220" w:lineRule="exact"/>
              <w:ind w:firstLine="0"/>
              <w:jc w:val="center"/>
              <w:rPr>
                <w:rFonts w:hint="eastAsia"/>
                <w:spacing w:val="-11"/>
                <w:sz w:val="20"/>
              </w:rPr>
            </w:pPr>
          </w:p>
        </w:tc>
        <w:tc>
          <w:tcPr>
            <w:tcW w:w="1267" w:type="dxa"/>
            <w:noWrap w:val="0"/>
            <w:vAlign w:val="center"/>
          </w:tcPr>
          <w:p>
            <w:pPr>
              <w:spacing w:line="220" w:lineRule="exact"/>
              <w:ind w:firstLine="0"/>
              <w:jc w:val="center"/>
              <w:rPr>
                <w:rFonts w:hint="eastAsia"/>
                <w:spacing w:val="-11"/>
                <w:sz w:val="20"/>
              </w:rPr>
            </w:pPr>
            <w:r>
              <w:rPr>
                <w:rFonts w:hint="eastAsia"/>
                <w:spacing w:val="-11"/>
                <w:sz w:val="20"/>
              </w:rPr>
              <w:t>办公生活区</w:t>
            </w:r>
          </w:p>
        </w:tc>
        <w:tc>
          <w:tcPr>
            <w:tcW w:w="1700" w:type="dxa"/>
            <w:noWrap w:val="0"/>
            <w:vAlign w:val="center"/>
          </w:tcPr>
          <w:p>
            <w:pPr>
              <w:spacing w:line="220" w:lineRule="exact"/>
              <w:ind w:firstLine="0"/>
              <w:jc w:val="center"/>
              <w:rPr>
                <w:rFonts w:hint="eastAsia"/>
                <w:spacing w:val="-11"/>
                <w:sz w:val="20"/>
              </w:rPr>
            </w:pPr>
            <w:r>
              <w:rPr>
                <w:rFonts w:hint="eastAsia"/>
                <w:spacing w:val="-11"/>
                <w:sz w:val="20"/>
              </w:rPr>
              <w:t>生活垃圾</w:t>
            </w:r>
          </w:p>
        </w:tc>
        <w:tc>
          <w:tcPr>
            <w:tcW w:w="1150" w:type="dxa"/>
            <w:noWrap w:val="0"/>
            <w:vAlign w:val="center"/>
          </w:tcPr>
          <w:p>
            <w:pPr>
              <w:spacing w:line="220" w:lineRule="exact"/>
              <w:ind w:firstLine="0"/>
              <w:jc w:val="center"/>
              <w:rPr>
                <w:rFonts w:hint="eastAsia"/>
                <w:spacing w:val="-11"/>
                <w:sz w:val="20"/>
              </w:rPr>
            </w:pPr>
            <w:r>
              <w:rPr>
                <w:rFonts w:hint="eastAsia"/>
                <w:spacing w:val="-11"/>
                <w:sz w:val="20"/>
              </w:rPr>
              <w:t>集中</w:t>
            </w:r>
            <w:r>
              <w:rPr>
                <w:rFonts w:hint="eastAsia"/>
                <w:spacing w:val="-11"/>
                <w:sz w:val="20"/>
                <w:lang w:eastAsia="zh-CN"/>
              </w:rPr>
              <w:t>分类</w:t>
            </w:r>
            <w:r>
              <w:rPr>
                <w:rFonts w:hint="eastAsia"/>
                <w:spacing w:val="-11"/>
                <w:sz w:val="20"/>
              </w:rPr>
              <w:t>收集</w:t>
            </w:r>
          </w:p>
        </w:tc>
        <w:tc>
          <w:tcPr>
            <w:tcW w:w="1631"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979"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3111"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1224" w:type="dxa"/>
            <w:noWrap w:val="0"/>
            <w:vAlign w:val="center"/>
          </w:tcPr>
          <w:p>
            <w:pPr>
              <w:spacing w:line="220" w:lineRule="exact"/>
              <w:ind w:firstLine="0"/>
              <w:jc w:val="center"/>
              <w:rPr>
                <w:rFonts w:hint="eastAsia"/>
                <w:spacing w:val="-11"/>
                <w:sz w:val="20"/>
              </w:rPr>
            </w:pPr>
            <w:r>
              <w:rPr>
                <w:rFonts w:hint="eastAsia"/>
                <w:spacing w:val="-11"/>
                <w:sz w:val="20"/>
              </w:rPr>
              <w:t>定期清运</w:t>
            </w:r>
          </w:p>
        </w:tc>
        <w:tc>
          <w:tcPr>
            <w:tcW w:w="1492"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1006" w:type="dxa"/>
            <w:noWrap w:val="0"/>
            <w:vAlign w:val="center"/>
          </w:tcPr>
          <w:p>
            <w:pPr>
              <w:spacing w:line="220" w:lineRule="exact"/>
              <w:ind w:firstLine="0"/>
              <w:jc w:val="center"/>
              <w:rPr>
                <w:spacing w:val="-11"/>
                <w:sz w:val="20"/>
              </w:rPr>
            </w:pPr>
            <w:r>
              <w:rPr>
                <w:rFonts w:hint="eastAsia"/>
                <w:spacing w:val="-11"/>
                <w:sz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 w:type="dxa"/>
            <w:noWrap w:val="0"/>
            <w:vAlign w:val="center"/>
          </w:tcPr>
          <w:p>
            <w:pPr>
              <w:spacing w:line="220" w:lineRule="exact"/>
              <w:ind w:firstLine="0"/>
              <w:jc w:val="center"/>
              <w:rPr>
                <w:rFonts w:hint="eastAsia"/>
                <w:spacing w:val="-11"/>
                <w:sz w:val="20"/>
              </w:rPr>
            </w:pPr>
            <w:r>
              <w:rPr>
                <w:rFonts w:hint="eastAsia"/>
                <w:spacing w:val="-11"/>
                <w:sz w:val="20"/>
              </w:rPr>
              <w:t>噪声</w:t>
            </w:r>
          </w:p>
        </w:tc>
        <w:tc>
          <w:tcPr>
            <w:tcW w:w="1267" w:type="dxa"/>
            <w:noWrap w:val="0"/>
            <w:vAlign w:val="center"/>
          </w:tcPr>
          <w:p>
            <w:pPr>
              <w:spacing w:line="220" w:lineRule="exact"/>
              <w:ind w:firstLine="0"/>
              <w:jc w:val="center"/>
              <w:rPr>
                <w:rFonts w:hint="eastAsia"/>
                <w:spacing w:val="-11"/>
                <w:sz w:val="20"/>
              </w:rPr>
            </w:pPr>
            <w:r>
              <w:rPr>
                <w:rFonts w:hint="eastAsia"/>
                <w:spacing w:val="-11"/>
                <w:sz w:val="20"/>
              </w:rPr>
              <w:t>真空装置、</w:t>
            </w:r>
            <w:r>
              <w:rPr>
                <w:rFonts w:hint="eastAsia"/>
                <w:spacing w:val="-11"/>
                <w:sz w:val="20"/>
                <w:lang w:eastAsia="zh-CN"/>
              </w:rPr>
              <w:t>泵机</w:t>
            </w:r>
            <w:r>
              <w:rPr>
                <w:rFonts w:hint="eastAsia"/>
                <w:spacing w:val="-11"/>
                <w:sz w:val="20"/>
              </w:rPr>
              <w:t>等</w:t>
            </w:r>
          </w:p>
        </w:tc>
        <w:tc>
          <w:tcPr>
            <w:tcW w:w="1700" w:type="dxa"/>
            <w:noWrap w:val="0"/>
            <w:vAlign w:val="center"/>
          </w:tcPr>
          <w:p>
            <w:pPr>
              <w:spacing w:line="220" w:lineRule="exact"/>
              <w:ind w:firstLine="0"/>
              <w:jc w:val="center"/>
              <w:rPr>
                <w:rFonts w:hint="eastAsia"/>
                <w:spacing w:val="-11"/>
                <w:sz w:val="20"/>
              </w:rPr>
            </w:pPr>
            <w:r>
              <w:rPr>
                <w:rFonts w:hint="eastAsia"/>
                <w:spacing w:val="-11"/>
                <w:sz w:val="20"/>
              </w:rPr>
              <w:t>等效</w:t>
            </w:r>
            <w:r>
              <w:rPr>
                <w:rFonts w:hint="eastAsia" w:ascii="Times New Roman" w:hAnsi="Times New Roman"/>
                <w:spacing w:val="-11"/>
                <w:sz w:val="20"/>
              </w:rPr>
              <w:t>A</w:t>
            </w:r>
            <w:r>
              <w:rPr>
                <w:rFonts w:hint="eastAsia"/>
                <w:spacing w:val="-11"/>
                <w:sz w:val="20"/>
              </w:rPr>
              <w:t>声级</w:t>
            </w:r>
          </w:p>
        </w:tc>
        <w:tc>
          <w:tcPr>
            <w:tcW w:w="1150" w:type="dxa"/>
            <w:noWrap w:val="0"/>
            <w:vAlign w:val="center"/>
          </w:tcPr>
          <w:p>
            <w:pPr>
              <w:spacing w:line="220" w:lineRule="exact"/>
              <w:ind w:firstLine="0"/>
              <w:jc w:val="center"/>
              <w:rPr>
                <w:rFonts w:hint="eastAsia"/>
                <w:spacing w:val="-11"/>
                <w:sz w:val="20"/>
              </w:rPr>
            </w:pPr>
            <w:r>
              <w:rPr>
                <w:rFonts w:hint="eastAsia"/>
                <w:spacing w:val="-11"/>
                <w:sz w:val="20"/>
              </w:rPr>
              <w:t>隔声、减振等</w:t>
            </w:r>
          </w:p>
        </w:tc>
        <w:tc>
          <w:tcPr>
            <w:tcW w:w="1631"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979"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3111" w:type="dxa"/>
            <w:noWrap w:val="0"/>
            <w:vAlign w:val="center"/>
          </w:tcPr>
          <w:p>
            <w:pPr>
              <w:spacing w:line="220" w:lineRule="exact"/>
              <w:ind w:firstLine="0"/>
              <w:jc w:val="center"/>
              <w:rPr>
                <w:rFonts w:hint="eastAsia"/>
                <w:spacing w:val="-11"/>
                <w:sz w:val="20"/>
              </w:rPr>
            </w:pPr>
            <w:r>
              <w:rPr>
                <w:rFonts w:hint="eastAsia" w:hAnsi="宋体"/>
                <w:bCs/>
                <w:spacing w:val="-11"/>
                <w:sz w:val="20"/>
              </w:rPr>
              <w:t>《工业企业厂界环境噪声排放标准》（</w:t>
            </w:r>
            <w:r>
              <w:rPr>
                <w:rFonts w:hint="eastAsia" w:ascii="Times New Roman" w:hAnsi="Times New Roman"/>
                <w:bCs/>
                <w:spacing w:val="-11"/>
                <w:sz w:val="20"/>
              </w:rPr>
              <w:t>GB12349</w:t>
            </w:r>
            <w:r>
              <w:rPr>
                <w:rFonts w:hint="eastAsia" w:hAnsi="宋体"/>
                <w:bCs/>
                <w:spacing w:val="-11"/>
                <w:sz w:val="20"/>
              </w:rPr>
              <w:t>-</w:t>
            </w:r>
            <w:r>
              <w:rPr>
                <w:rFonts w:hint="eastAsia" w:ascii="Times New Roman" w:hAnsi="Times New Roman"/>
                <w:bCs/>
                <w:spacing w:val="-11"/>
                <w:sz w:val="20"/>
              </w:rPr>
              <w:t>2008</w:t>
            </w:r>
            <w:r>
              <w:rPr>
                <w:rFonts w:hint="eastAsia" w:hAnsi="宋体"/>
                <w:bCs/>
                <w:spacing w:val="-11"/>
                <w:sz w:val="20"/>
              </w:rPr>
              <w:t>）</w:t>
            </w:r>
            <w:r>
              <w:rPr>
                <w:rFonts w:hint="eastAsia" w:ascii="Times New Roman" w:hAnsi="Times New Roman"/>
                <w:bCs/>
                <w:spacing w:val="-11"/>
                <w:sz w:val="20"/>
              </w:rPr>
              <w:t>3</w:t>
            </w:r>
            <w:r>
              <w:rPr>
                <w:rFonts w:hint="eastAsia" w:hAnsi="宋体"/>
                <w:bCs/>
                <w:spacing w:val="-11"/>
                <w:sz w:val="20"/>
              </w:rPr>
              <w:t>类标准</w:t>
            </w:r>
          </w:p>
        </w:tc>
        <w:tc>
          <w:tcPr>
            <w:tcW w:w="1224"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1492" w:type="dxa"/>
            <w:noWrap w:val="0"/>
            <w:vAlign w:val="center"/>
          </w:tcPr>
          <w:p>
            <w:pPr>
              <w:spacing w:line="220" w:lineRule="exact"/>
              <w:ind w:firstLine="0"/>
              <w:jc w:val="center"/>
              <w:rPr>
                <w:rFonts w:hint="eastAsia"/>
                <w:spacing w:val="-11"/>
                <w:sz w:val="20"/>
              </w:rPr>
            </w:pPr>
            <w:r>
              <w:rPr>
                <w:rFonts w:hint="eastAsia"/>
                <w:spacing w:val="-11"/>
                <w:sz w:val="20"/>
              </w:rPr>
              <w:t>/</w:t>
            </w:r>
          </w:p>
        </w:tc>
        <w:tc>
          <w:tcPr>
            <w:tcW w:w="1006" w:type="dxa"/>
            <w:noWrap w:val="0"/>
            <w:vAlign w:val="center"/>
          </w:tcPr>
          <w:p>
            <w:pPr>
              <w:spacing w:line="220" w:lineRule="exact"/>
              <w:ind w:firstLine="0"/>
              <w:jc w:val="center"/>
              <w:rPr>
                <w:rFonts w:hint="eastAsia"/>
                <w:spacing w:val="-11"/>
                <w:sz w:val="20"/>
              </w:rPr>
            </w:pPr>
            <w:r>
              <w:rPr>
                <w:rFonts w:hint="eastAsia"/>
                <w:spacing w:val="-11"/>
                <w:sz w:val="20"/>
              </w:rPr>
              <w:t>永久噪声源标志</w:t>
            </w:r>
          </w:p>
        </w:tc>
      </w:tr>
    </w:tbl>
    <w:p>
      <w:pPr>
        <w:pStyle w:val="2"/>
        <w:rPr>
          <w:rFonts w:hint="eastAsia"/>
        </w:rPr>
        <w:sectPr>
          <w:footerReference r:id="rId11" w:type="default"/>
          <w:pgSz w:w="16838" w:h="11906" w:orient="landscape"/>
          <w:pgMar w:top="1474" w:right="1474" w:bottom="1474" w:left="1474" w:header="850" w:footer="992" w:gutter="0"/>
          <w:pgBorders>
            <w:top w:val="none" w:sz="0" w:space="0"/>
            <w:left w:val="none" w:sz="0" w:space="0"/>
            <w:bottom w:val="none" w:sz="0" w:space="0"/>
            <w:right w:val="none" w:sz="0" w:space="0"/>
          </w:pgBorders>
          <w:pgNumType w:start="312"/>
          <w:cols w:space="720" w:num="1"/>
          <w:docGrid w:type="lines" w:linePitch="331" w:charSpace="0"/>
        </w:sectPr>
      </w:pPr>
    </w:p>
    <w:p>
      <w:pPr>
        <w:pStyle w:val="5"/>
        <w:rPr>
          <w:rFonts w:hint="default"/>
          <w:color w:val="auto"/>
          <w:lang w:val="en-US" w:eastAsia="zh-CN"/>
        </w:rPr>
      </w:pPr>
      <w:bookmarkStart w:id="281" w:name="_Toc28562"/>
      <w:bookmarkStart w:id="282" w:name="_Toc26404"/>
      <w:r>
        <w:rPr>
          <w:rFonts w:hint="eastAsia" w:ascii="Times New Roman" w:hAnsi="Times New Roman"/>
          <w:color w:val="auto"/>
          <w:lang w:val="en-US" w:eastAsia="zh-CN"/>
        </w:rPr>
        <w:t>9</w:t>
      </w:r>
      <w:r>
        <w:rPr>
          <w:rFonts w:hint="eastAsia" w:hAnsi="Times New Roman"/>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排污许可与总量控制</w:t>
      </w:r>
    </w:p>
    <w:p>
      <w:pPr>
        <w:rPr>
          <w:color w:val="auto"/>
        </w:rPr>
      </w:pPr>
      <w:r>
        <w:rPr>
          <w:color w:val="auto"/>
        </w:rPr>
        <w:t>建设单位</w:t>
      </w:r>
      <w:r>
        <w:rPr>
          <w:rFonts w:hint="eastAsia"/>
          <w:color w:val="auto"/>
          <w:lang w:eastAsia="zh-CN"/>
        </w:rPr>
        <w:t>根据</w:t>
      </w:r>
      <w:r>
        <w:rPr>
          <w:color w:val="auto"/>
        </w:rPr>
        <w:t>申办排污许可证</w:t>
      </w:r>
      <w:r>
        <w:rPr>
          <w:rFonts w:hint="eastAsia"/>
          <w:color w:val="auto"/>
          <w:lang w:eastAsia="zh-CN"/>
        </w:rPr>
        <w:t>的流程</w:t>
      </w:r>
      <w:r>
        <w:rPr>
          <w:color w:val="auto"/>
        </w:rPr>
        <w:t>，在排污许可证管理信息平台申报系统填报排污许可证申请表中的相应信息。主要包括排污单位基本信息，主要产品及产能，主要原辅料及燃料，产排污环节、污染物及污染治理设施等。</w:t>
      </w:r>
    </w:p>
    <w:p>
      <w:pPr>
        <w:rPr>
          <w:rFonts w:hint="eastAsia" w:eastAsia="宋体"/>
          <w:color w:val="auto"/>
          <w:lang w:eastAsia="zh-CN"/>
        </w:rPr>
      </w:pPr>
      <w:r>
        <w:rPr>
          <w:rFonts w:hint="eastAsia"/>
          <w:color w:val="auto"/>
          <w:lang w:eastAsia="zh-CN"/>
        </w:rPr>
        <w:t>（</w:t>
      </w:r>
      <w:r>
        <w:rPr>
          <w:rFonts w:hint="eastAsia" w:ascii="Times New Roman" w:hAnsi="Times New Roman"/>
          <w:color w:val="auto"/>
          <w:lang w:val="en-US" w:eastAsia="zh-CN"/>
        </w:rPr>
        <w:t>1</w:t>
      </w:r>
      <w:r>
        <w:rPr>
          <w:rFonts w:hint="eastAsia"/>
          <w:color w:val="auto"/>
          <w:lang w:eastAsia="zh-CN"/>
        </w:rPr>
        <w:t>）排污许可限值</w:t>
      </w:r>
    </w:p>
    <w:p>
      <w:pPr>
        <w:rPr>
          <w:rFonts w:hint="default" w:eastAsia="宋体"/>
          <w:color w:val="auto"/>
          <w:lang w:val="en-US" w:eastAsia="zh-CN"/>
        </w:rPr>
      </w:pPr>
      <w:r>
        <w:rPr>
          <w:rFonts w:hint="eastAsia"/>
          <w:color w:val="auto"/>
          <w:lang w:eastAsia="zh-CN"/>
        </w:rPr>
        <w:t>根据《排污许可证申请与核发技术规范</w:t>
      </w:r>
      <w:r>
        <w:rPr>
          <w:rFonts w:hint="eastAsia"/>
          <w:color w:val="auto"/>
          <w:lang w:val="en-US" w:eastAsia="zh-CN"/>
        </w:rPr>
        <w:t xml:space="preserve"> 总则</w:t>
      </w:r>
      <w:r>
        <w:rPr>
          <w:rFonts w:hint="eastAsia"/>
          <w:color w:val="auto"/>
          <w:lang w:eastAsia="zh-CN"/>
        </w:rPr>
        <w:t>》（</w:t>
      </w:r>
      <w:r>
        <w:rPr>
          <w:rFonts w:hint="eastAsia" w:ascii="Times New Roman" w:hAnsi="Times New Roman"/>
          <w:color w:val="auto"/>
          <w:lang w:val="en-US" w:eastAsia="zh-CN"/>
        </w:rPr>
        <w:t>HJ942</w:t>
      </w:r>
      <w:r>
        <w:rPr>
          <w:rFonts w:hint="eastAsia"/>
          <w:color w:val="auto"/>
          <w:lang w:val="en-US" w:eastAsia="zh-CN"/>
        </w:rPr>
        <w:t>-</w:t>
      </w:r>
      <w:r>
        <w:rPr>
          <w:rFonts w:hint="eastAsia" w:ascii="Times New Roman" w:hAnsi="Times New Roman"/>
          <w:color w:val="auto"/>
          <w:lang w:val="en-US" w:eastAsia="zh-CN"/>
        </w:rPr>
        <w:t>2018</w:t>
      </w:r>
      <w:r>
        <w:rPr>
          <w:rFonts w:hint="eastAsia"/>
          <w:color w:val="auto"/>
          <w:lang w:eastAsia="zh-CN"/>
        </w:rPr>
        <w:t>），本项目排污许可限值建议见表</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p>
    <w:p>
      <w:pPr>
        <w:pStyle w:val="20"/>
        <w:rPr>
          <w:color w:val="auto"/>
        </w:rPr>
      </w:pPr>
      <w:r>
        <w:rPr>
          <w:color w:val="auto"/>
        </w:rPr>
        <w:t>表</w:t>
      </w:r>
      <w:r>
        <w:rPr>
          <w:rFonts w:hint="eastAsia" w:ascii="Times New Roman" w:hAnsi="Times New Roman"/>
          <w:color w:val="auto"/>
          <w:lang w:val="en-US" w:eastAsia="zh-CN"/>
        </w:rPr>
        <w:t>9</w:t>
      </w:r>
      <w:r>
        <w:rPr>
          <w:rFonts w:hint="eastAsia" w:ascii="Times New Roman" w:hAnsi="Times New Roman"/>
          <w:color w:val="auto"/>
          <w:lang w:val="en-US" w:eastAsia="zh-CN"/>
        </w:rPr>
        <w:t>.</w:t>
      </w:r>
      <w:r>
        <w:rPr>
          <w:rFonts w:hint="eastAsia" w:ascii="Times New Roman" w:hAnsi="Times New Roman"/>
          <w:color w:val="auto"/>
          <w:lang w:val="en-US" w:eastAsia="zh-CN"/>
        </w:rPr>
        <w:t>4</w:t>
      </w:r>
      <w:r>
        <w:rPr>
          <w:rFonts w:hint="eastAsia" w:ascii="Times New Roman" w:hAnsi="Times New Roman"/>
          <w:color w:val="auto"/>
          <w:lang w:val="en-US" w:eastAsia="zh-CN"/>
        </w:rPr>
        <w:t>-</w:t>
      </w:r>
      <w:r>
        <w:rPr>
          <w:rFonts w:hint="eastAsia" w:ascii="Times New Roman" w:hAnsi="Times New Roman"/>
          <w:color w:val="auto"/>
          <w:lang w:val="en-US" w:eastAsia="zh-CN"/>
        </w:rPr>
        <w:t>2</w:t>
      </w:r>
      <w:r>
        <w:rPr>
          <w:color w:val="auto"/>
        </w:rPr>
        <w:t xml:space="preserve">  排污许可限值建议一览表</w:t>
      </w:r>
    </w:p>
    <w:tbl>
      <w:tblPr>
        <w:tblStyle w:val="80"/>
        <w:tblW w:w="9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1530"/>
        <w:gridCol w:w="2145"/>
        <w:gridCol w:w="2142"/>
        <w:gridCol w:w="11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258" w:type="dxa"/>
            <w:tcBorders>
              <w:tl2br w:val="nil"/>
              <w:tr2bl w:val="nil"/>
            </w:tcBorders>
            <w:vAlign w:val="center"/>
          </w:tcPr>
          <w:p>
            <w:pPr>
              <w:widowControl w:val="0"/>
              <w:wordWrap/>
              <w:adjustRightInd/>
              <w:snapToGrid/>
              <w:spacing w:line="240" w:lineRule="auto"/>
              <w:ind w:firstLine="0"/>
              <w:jc w:val="center"/>
              <w:textAlignment w:val="auto"/>
              <w:rPr>
                <w:color w:val="auto"/>
                <w:sz w:val="21"/>
                <w:szCs w:val="21"/>
              </w:rPr>
            </w:pPr>
            <w:r>
              <w:rPr>
                <w:color w:val="auto"/>
                <w:sz w:val="21"/>
                <w:szCs w:val="21"/>
              </w:rPr>
              <w:t>排放源</w:t>
            </w:r>
          </w:p>
        </w:tc>
        <w:tc>
          <w:tcPr>
            <w:tcW w:w="1530" w:type="dxa"/>
            <w:tcBorders>
              <w:tl2br w:val="nil"/>
              <w:tr2bl w:val="nil"/>
            </w:tcBorders>
            <w:vAlign w:val="center"/>
          </w:tcPr>
          <w:p>
            <w:pPr>
              <w:widowControl w:val="0"/>
              <w:wordWrap/>
              <w:adjustRightInd/>
              <w:snapToGrid/>
              <w:spacing w:line="240" w:lineRule="auto"/>
              <w:ind w:firstLine="0"/>
              <w:jc w:val="center"/>
              <w:textAlignment w:val="auto"/>
              <w:rPr>
                <w:color w:val="auto"/>
                <w:sz w:val="21"/>
                <w:szCs w:val="21"/>
              </w:rPr>
            </w:pPr>
            <w:r>
              <w:rPr>
                <w:color w:val="auto"/>
                <w:sz w:val="21"/>
                <w:szCs w:val="21"/>
              </w:rPr>
              <w:t>污染因子</w:t>
            </w:r>
          </w:p>
        </w:tc>
        <w:tc>
          <w:tcPr>
            <w:tcW w:w="2145" w:type="dxa"/>
            <w:tcBorders>
              <w:tl2br w:val="nil"/>
              <w:tr2bl w:val="nil"/>
            </w:tcBorders>
            <w:vAlign w:val="center"/>
          </w:tcPr>
          <w:p>
            <w:pPr>
              <w:widowControl w:val="0"/>
              <w:wordWrap/>
              <w:adjustRightInd/>
              <w:snapToGrid/>
              <w:spacing w:line="240" w:lineRule="auto"/>
              <w:ind w:firstLine="0"/>
              <w:jc w:val="center"/>
              <w:textAlignment w:val="auto"/>
              <w:rPr>
                <w:color w:val="auto"/>
                <w:sz w:val="21"/>
                <w:szCs w:val="21"/>
              </w:rPr>
            </w:pPr>
            <w:r>
              <w:rPr>
                <w:color w:val="auto"/>
                <w:sz w:val="21"/>
                <w:szCs w:val="21"/>
              </w:rPr>
              <w:t>许可浓度（</w:t>
            </w:r>
            <w:r>
              <w:rPr>
                <w:rFonts w:ascii="Times New Roman" w:hAnsi="Times New Roman"/>
                <w:color w:val="auto"/>
                <w:sz w:val="21"/>
                <w:szCs w:val="21"/>
              </w:rPr>
              <w:t>Nmg</w:t>
            </w:r>
            <w:r>
              <w:rPr>
                <w:color w:val="auto"/>
                <w:sz w:val="21"/>
                <w:szCs w:val="21"/>
              </w:rPr>
              <w:t>/</w:t>
            </w:r>
            <w:r>
              <w:rPr>
                <w:rFonts w:hint="eastAsia" w:ascii="Times New Roman" w:hAnsi="Times New Roman"/>
                <w:color w:val="auto"/>
                <w:sz w:val="21"/>
                <w:szCs w:val="21"/>
                <w:lang w:val="en-US" w:eastAsia="zh-CN"/>
              </w:rPr>
              <w:t>m</w:t>
            </w:r>
            <w:r>
              <w:rPr>
                <w:rFonts w:hint="eastAsia"/>
                <w:color w:val="auto"/>
                <w:sz w:val="21"/>
                <w:szCs w:val="21"/>
                <w:lang w:val="en-US" w:eastAsia="zh-CN"/>
              </w:rPr>
              <w:t>³</w:t>
            </w:r>
            <w:r>
              <w:rPr>
                <w:color w:val="auto"/>
                <w:sz w:val="21"/>
                <w:szCs w:val="21"/>
              </w:rPr>
              <w:t>）</w:t>
            </w:r>
          </w:p>
        </w:tc>
        <w:tc>
          <w:tcPr>
            <w:tcW w:w="2142" w:type="dxa"/>
            <w:tcBorders>
              <w:tl2br w:val="nil"/>
              <w:tr2bl w:val="nil"/>
            </w:tcBorders>
            <w:vAlign w:val="center"/>
          </w:tcPr>
          <w:p>
            <w:pPr>
              <w:widowControl w:val="0"/>
              <w:wordWrap/>
              <w:adjustRightInd/>
              <w:snapToGrid/>
              <w:spacing w:line="240" w:lineRule="auto"/>
              <w:ind w:firstLine="0"/>
              <w:jc w:val="center"/>
              <w:textAlignment w:val="auto"/>
              <w:rPr>
                <w:color w:val="auto"/>
                <w:sz w:val="21"/>
                <w:szCs w:val="21"/>
              </w:rPr>
            </w:pPr>
            <w:r>
              <w:rPr>
                <w:color w:val="auto"/>
                <w:sz w:val="21"/>
                <w:szCs w:val="21"/>
              </w:rPr>
              <w:t>建议许可量（</w:t>
            </w:r>
            <w:r>
              <w:rPr>
                <w:rFonts w:ascii="Times New Roman" w:hAnsi="Times New Roman"/>
                <w:color w:val="auto"/>
                <w:sz w:val="21"/>
                <w:szCs w:val="21"/>
              </w:rPr>
              <w:t>t</w:t>
            </w:r>
            <w:r>
              <w:rPr>
                <w:color w:val="auto"/>
                <w:sz w:val="21"/>
                <w:szCs w:val="21"/>
              </w:rPr>
              <w:t>/</w:t>
            </w:r>
            <w:r>
              <w:rPr>
                <w:rFonts w:ascii="Times New Roman" w:hAnsi="Times New Roman"/>
                <w:color w:val="auto"/>
                <w:sz w:val="21"/>
                <w:szCs w:val="21"/>
              </w:rPr>
              <w:t>a</w:t>
            </w:r>
            <w:r>
              <w:rPr>
                <w:color w:val="auto"/>
                <w:sz w:val="21"/>
                <w:szCs w:val="21"/>
              </w:rPr>
              <w:t>）</w:t>
            </w:r>
          </w:p>
        </w:tc>
        <w:tc>
          <w:tcPr>
            <w:tcW w:w="1143" w:type="dxa"/>
            <w:tcBorders>
              <w:tl2br w:val="nil"/>
              <w:tr2bl w:val="nil"/>
            </w:tcBorders>
            <w:vAlign w:val="center"/>
          </w:tcPr>
          <w:p>
            <w:pPr>
              <w:widowControl w:val="0"/>
              <w:wordWrap/>
              <w:adjustRightInd/>
              <w:snapToGrid/>
              <w:spacing w:line="240" w:lineRule="auto"/>
              <w:ind w:firstLine="0"/>
              <w:jc w:val="center"/>
              <w:textAlignment w:val="auto"/>
              <w:rPr>
                <w:color w:val="auto"/>
                <w:sz w:val="21"/>
                <w:szCs w:val="21"/>
              </w:rPr>
            </w:pPr>
            <w:r>
              <w:rPr>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8" w:type="dxa"/>
            <w:vMerge w:val="restart"/>
            <w:tcBorders>
              <w:tl2br w:val="nil"/>
              <w:tr2bl w:val="nil"/>
            </w:tcBorders>
            <w:vAlign w:val="center"/>
          </w:tcPr>
          <w:p>
            <w:pPr>
              <w:widowControl w:val="0"/>
              <w:wordWrap/>
              <w:adjustRightInd/>
              <w:snapToGrid/>
              <w:spacing w:line="240" w:lineRule="auto"/>
              <w:ind w:firstLine="0"/>
              <w:jc w:val="center"/>
              <w:textAlignment w:val="auto"/>
              <w:rPr>
                <w:rFonts w:hint="default"/>
                <w:color w:val="auto"/>
                <w:sz w:val="21"/>
                <w:szCs w:val="21"/>
                <w:lang w:val="en-US" w:eastAsia="zh-CN"/>
              </w:rPr>
            </w:pPr>
            <w:r>
              <w:rPr>
                <w:rFonts w:hint="eastAsia"/>
                <w:color w:val="auto"/>
                <w:sz w:val="21"/>
                <w:szCs w:val="21"/>
                <w:lang w:val="en-US" w:eastAsia="zh-CN"/>
              </w:rPr>
              <w:t>尾气吸收塔+</w:t>
            </w:r>
            <w:r>
              <w:rPr>
                <w:rFonts w:hint="eastAsia" w:ascii="Times New Roman" w:hAnsi="Times New Roman"/>
                <w:color w:val="auto"/>
                <w:sz w:val="21"/>
                <w:szCs w:val="21"/>
                <w:lang w:val="en-US" w:eastAsia="zh-CN"/>
              </w:rPr>
              <w:t>15m</w:t>
            </w:r>
            <w:r>
              <w:rPr>
                <w:rFonts w:hint="eastAsia"/>
                <w:color w:val="auto"/>
                <w:sz w:val="21"/>
                <w:szCs w:val="21"/>
                <w:lang w:val="en-US" w:eastAsia="zh-CN"/>
              </w:rPr>
              <w:t>排气筒</w:t>
            </w:r>
          </w:p>
        </w:tc>
        <w:tc>
          <w:tcPr>
            <w:tcW w:w="1530" w:type="dxa"/>
            <w:tcBorders>
              <w:tl2br w:val="nil"/>
              <w:tr2bl w:val="nil"/>
            </w:tcBorders>
            <w:vAlign w:val="center"/>
          </w:tcPr>
          <w:p>
            <w:pPr>
              <w:widowControl w:val="0"/>
              <w:wordWrap/>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NH</w:t>
            </w:r>
            <w:r>
              <w:rPr>
                <w:rFonts w:hint="eastAsia" w:ascii="Times New Roman" w:hAnsi="Times New Roman"/>
                <w:color w:val="auto"/>
                <w:sz w:val="21"/>
                <w:szCs w:val="21"/>
                <w:vertAlign w:val="subscript"/>
                <w:lang w:val="en-US" w:eastAsia="zh-CN"/>
              </w:rPr>
              <w:t>3</w:t>
            </w:r>
          </w:p>
        </w:tc>
        <w:tc>
          <w:tcPr>
            <w:tcW w:w="2145" w:type="dxa"/>
            <w:tcBorders>
              <w:tl2br w:val="nil"/>
              <w:tr2bl w:val="nil"/>
            </w:tcBorders>
            <w:vAlign w:val="center"/>
          </w:tcPr>
          <w:p>
            <w:pPr>
              <w:widowControl w:val="0"/>
              <w:wordWrap/>
              <w:adjustRightInd/>
              <w:snapToGrid/>
              <w:spacing w:line="240" w:lineRule="auto"/>
              <w:ind w:firstLine="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2142" w:type="dxa"/>
            <w:tcBorders>
              <w:tl2br w:val="nil"/>
              <w:tr2bl w:val="nil"/>
            </w:tcBorders>
            <w:vAlign w:val="center"/>
          </w:tcPr>
          <w:p>
            <w:pPr>
              <w:widowControl w:val="0"/>
              <w:wordWrap/>
              <w:adjustRightInd/>
              <w:snapToGrid/>
              <w:spacing w:line="240" w:lineRule="auto"/>
              <w:ind w:firstLine="0"/>
              <w:jc w:val="center"/>
              <w:textAlignment w:val="auto"/>
              <w:rPr>
                <w:rFonts w:hint="default" w:eastAsia="宋体"/>
                <w:color w:val="auto"/>
                <w:sz w:val="21"/>
                <w:szCs w:val="21"/>
                <w:lang w:val="en-US" w:eastAsia="zh-CN"/>
              </w:rPr>
            </w:pPr>
            <w:r>
              <w:rPr>
                <w:rFonts w:hint="eastAsia" w:ascii="Times New Roman" w:hAnsi="Times New Roman"/>
                <w:color w:val="auto"/>
                <w:sz w:val="21"/>
                <w:szCs w:val="21"/>
                <w:lang w:val="en-US" w:eastAsia="zh-CN"/>
              </w:rPr>
              <w:t>2</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43</w:t>
            </w:r>
          </w:p>
        </w:tc>
        <w:tc>
          <w:tcPr>
            <w:tcW w:w="1143" w:type="dxa"/>
            <w:vMerge w:val="restart"/>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eastAsia="zh-CN"/>
              </w:rPr>
            </w:pPr>
            <w:r>
              <w:rPr>
                <w:rFonts w:hint="eastAsia"/>
                <w:color w:val="auto"/>
                <w:sz w:val="21"/>
                <w:szCs w:val="21"/>
                <w:lang w:eastAsia="zh-CN"/>
              </w:rPr>
              <w:t>运行期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8" w:type="dxa"/>
            <w:vMerge w:val="continue"/>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eastAsia="zh-CN"/>
              </w:rPr>
            </w:pPr>
          </w:p>
        </w:tc>
        <w:tc>
          <w:tcPr>
            <w:tcW w:w="1530" w:type="dxa"/>
            <w:tcBorders>
              <w:tl2br w:val="nil"/>
              <w:tr2bl w:val="nil"/>
            </w:tcBorders>
            <w:vAlign w:val="center"/>
          </w:tcPr>
          <w:p>
            <w:pPr>
              <w:widowControl w:val="0"/>
              <w:wordWrap/>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Times New Roman" w:hAnsi="Times New Roman"/>
                <w:color w:val="auto"/>
                <w:sz w:val="21"/>
                <w:szCs w:val="21"/>
                <w:lang w:val="en-US" w:eastAsia="zh-CN"/>
              </w:rPr>
              <w:t>NMHC</w:t>
            </w:r>
          </w:p>
        </w:tc>
        <w:tc>
          <w:tcPr>
            <w:tcW w:w="2145" w:type="dxa"/>
            <w:tcBorders>
              <w:tl2br w:val="nil"/>
              <w:tr2bl w:val="nil"/>
            </w:tcBorders>
            <w:vAlign w:val="center"/>
          </w:tcPr>
          <w:p>
            <w:pPr>
              <w:widowControl w:val="0"/>
              <w:wordWrap/>
              <w:adjustRightInd/>
              <w:snapToGrid/>
              <w:spacing w:line="240" w:lineRule="auto"/>
              <w:ind w:firstLine="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120</w:t>
            </w:r>
          </w:p>
        </w:tc>
        <w:tc>
          <w:tcPr>
            <w:tcW w:w="2142" w:type="dxa"/>
            <w:tcBorders>
              <w:tl2br w:val="nil"/>
              <w:tr2bl w:val="nil"/>
            </w:tcBorders>
            <w:vAlign w:val="center"/>
          </w:tcPr>
          <w:p>
            <w:pPr>
              <w:widowControl w:val="0"/>
              <w:wordWrap/>
              <w:adjustRightInd/>
              <w:snapToGrid/>
              <w:spacing w:line="240" w:lineRule="auto"/>
              <w:ind w:firstLine="0"/>
              <w:jc w:val="center"/>
              <w:textAlignment w:val="auto"/>
              <w:rPr>
                <w:rFonts w:hint="default" w:eastAsia="宋体"/>
                <w:color w:val="auto"/>
                <w:sz w:val="21"/>
                <w:szCs w:val="21"/>
                <w:lang w:val="en-US" w:eastAsia="zh-CN"/>
              </w:rPr>
            </w:pPr>
            <w:r>
              <w:rPr>
                <w:rFonts w:hint="eastAsia" w:ascii="Times New Roman" w:hAnsi="Times New Roman"/>
                <w:color w:val="auto"/>
                <w:sz w:val="21"/>
                <w:szCs w:val="21"/>
                <w:lang w:val="en-US" w:eastAsia="zh-CN"/>
              </w:rPr>
              <w:t>0</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0011</w:t>
            </w:r>
          </w:p>
        </w:tc>
        <w:tc>
          <w:tcPr>
            <w:tcW w:w="1143" w:type="dxa"/>
            <w:vMerge w:val="continue"/>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8" w:type="dxa"/>
            <w:vMerge w:val="restart"/>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eastAsia="zh-CN"/>
              </w:rPr>
            </w:pPr>
            <w:r>
              <w:rPr>
                <w:rFonts w:hint="eastAsia"/>
                <w:color w:val="auto"/>
                <w:sz w:val="21"/>
                <w:szCs w:val="21"/>
                <w:lang w:eastAsia="zh-CN"/>
              </w:rPr>
              <w:t>全厂无组织</w:t>
            </w:r>
          </w:p>
        </w:tc>
        <w:tc>
          <w:tcPr>
            <w:tcW w:w="1530" w:type="dxa"/>
            <w:tcBorders>
              <w:tl2br w:val="nil"/>
              <w:tr2bl w:val="nil"/>
            </w:tcBorders>
            <w:vAlign w:val="center"/>
          </w:tcPr>
          <w:p>
            <w:pPr>
              <w:widowControl w:val="0"/>
              <w:wordWrap/>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lang w:val="en-US" w:eastAsia="zh-CN"/>
              </w:rPr>
              <w:t>NH</w:t>
            </w:r>
            <w:r>
              <w:rPr>
                <w:rFonts w:hint="eastAsia" w:ascii="Times New Roman" w:hAnsi="Times New Roman"/>
                <w:color w:val="auto"/>
                <w:sz w:val="21"/>
                <w:szCs w:val="21"/>
                <w:vertAlign w:val="subscript"/>
                <w:lang w:val="en-US" w:eastAsia="zh-CN"/>
              </w:rPr>
              <w:t>3</w:t>
            </w:r>
          </w:p>
        </w:tc>
        <w:tc>
          <w:tcPr>
            <w:tcW w:w="2145" w:type="dxa"/>
            <w:tcBorders>
              <w:tl2br w:val="nil"/>
              <w:tr2bl w:val="nil"/>
            </w:tcBorders>
            <w:vAlign w:val="center"/>
          </w:tcPr>
          <w:p>
            <w:pPr>
              <w:widowControl w:val="0"/>
              <w:wordWrap/>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eastAsia="zh-CN"/>
              </w:rPr>
              <w:t>5</w:t>
            </w:r>
          </w:p>
        </w:tc>
        <w:tc>
          <w:tcPr>
            <w:tcW w:w="2142" w:type="dxa"/>
            <w:tcBorders>
              <w:tl2br w:val="nil"/>
              <w:tr2bl w:val="nil"/>
            </w:tcBorders>
            <w:vAlign w:val="center"/>
          </w:tcPr>
          <w:p>
            <w:pPr>
              <w:spacing w:line="260" w:lineRule="exact"/>
              <w:ind w:firstLine="0" w:firstLineChars="0"/>
              <w:jc w:val="center"/>
              <w:rPr>
                <w:rFonts w:hint="default" w:ascii="宋体" w:hAnsi="宋体" w:eastAsia="宋体" w:cs="Times New Roman"/>
                <w:sz w:val="21"/>
                <w:szCs w:val="21"/>
                <w:lang w:val="en-US" w:eastAsia="zh-CN" w:bidi="ar-SA"/>
              </w:rPr>
            </w:pPr>
            <w:r>
              <w:rPr>
                <w:rFonts w:hint="eastAsia" w:cs="Times New Roman"/>
                <w:sz w:val="21"/>
                <w:szCs w:val="21"/>
                <w:lang w:val="en-US" w:eastAsia="zh-CN" w:bidi="ar-SA"/>
              </w:rPr>
              <w:t>/</w:t>
            </w:r>
          </w:p>
        </w:tc>
        <w:tc>
          <w:tcPr>
            <w:tcW w:w="1143" w:type="dxa"/>
            <w:vMerge w:val="restart"/>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eastAsia="zh-CN"/>
              </w:rPr>
            </w:pPr>
            <w:r>
              <w:rPr>
                <w:rFonts w:hint="eastAsia"/>
                <w:color w:val="auto"/>
                <w:sz w:val="21"/>
                <w:szCs w:val="21"/>
              </w:rPr>
              <w:t>全阶段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58" w:type="dxa"/>
            <w:vMerge w:val="continue"/>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eastAsia="zh-CN"/>
              </w:rPr>
            </w:pPr>
          </w:p>
        </w:tc>
        <w:tc>
          <w:tcPr>
            <w:tcW w:w="1530" w:type="dxa"/>
            <w:tcBorders>
              <w:tl2br w:val="nil"/>
              <w:tr2bl w:val="nil"/>
            </w:tcBorders>
            <w:vAlign w:val="center"/>
          </w:tcPr>
          <w:p>
            <w:pPr>
              <w:widowControl w:val="0"/>
              <w:wordWrap/>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lang w:val="en-US" w:eastAsia="zh-CN"/>
              </w:rPr>
              <w:t>NMHC</w:t>
            </w:r>
          </w:p>
        </w:tc>
        <w:tc>
          <w:tcPr>
            <w:tcW w:w="2145" w:type="dxa"/>
            <w:tcBorders>
              <w:tl2br w:val="nil"/>
              <w:tr2bl w:val="nil"/>
            </w:tcBorders>
            <w:vAlign w:val="center"/>
          </w:tcPr>
          <w:p>
            <w:pPr>
              <w:widowControl w:val="0"/>
              <w:wordWrap/>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color w:val="auto"/>
                <w:sz w:val="21"/>
                <w:szCs w:val="21"/>
                <w:lang w:val="en-US" w:eastAsia="zh-CN"/>
              </w:rPr>
              <w:t>4</w:t>
            </w:r>
          </w:p>
        </w:tc>
        <w:tc>
          <w:tcPr>
            <w:tcW w:w="2142" w:type="dxa"/>
            <w:tcBorders>
              <w:tl2br w:val="nil"/>
              <w:tr2bl w:val="nil"/>
            </w:tcBorders>
            <w:vAlign w:val="center"/>
          </w:tcPr>
          <w:p>
            <w:pPr>
              <w:spacing w:line="260" w:lineRule="exact"/>
              <w:ind w:firstLine="0" w:firstLineChars="0"/>
              <w:jc w:val="center"/>
              <w:rPr>
                <w:rFonts w:hint="default" w:ascii="宋体" w:hAnsi="宋体" w:eastAsia="宋体" w:cs="Times New Roman"/>
                <w:sz w:val="21"/>
                <w:szCs w:val="21"/>
                <w:lang w:val="en-US" w:eastAsia="zh-CN" w:bidi="ar-SA"/>
              </w:rPr>
            </w:pPr>
            <w:r>
              <w:rPr>
                <w:rFonts w:hint="eastAsia" w:cs="Times New Roman"/>
                <w:sz w:val="21"/>
                <w:szCs w:val="21"/>
                <w:lang w:val="en-US" w:eastAsia="zh-CN" w:bidi="ar-SA"/>
              </w:rPr>
              <w:t>/</w:t>
            </w:r>
          </w:p>
        </w:tc>
        <w:tc>
          <w:tcPr>
            <w:tcW w:w="1143" w:type="dxa"/>
            <w:vMerge w:val="continue"/>
            <w:tcBorders>
              <w:tl2br w:val="nil"/>
              <w:tr2bl w:val="nil"/>
            </w:tcBorders>
            <w:vAlign w:val="center"/>
          </w:tcPr>
          <w:p>
            <w:pPr>
              <w:widowControl w:val="0"/>
              <w:wordWrap/>
              <w:adjustRightInd/>
              <w:snapToGrid/>
              <w:spacing w:line="240" w:lineRule="auto"/>
              <w:ind w:firstLine="0"/>
              <w:jc w:val="center"/>
              <w:textAlignment w:val="auto"/>
              <w:rPr>
                <w:rFonts w:hint="eastAsia"/>
                <w:color w:val="auto"/>
                <w:sz w:val="21"/>
                <w:szCs w:val="21"/>
                <w:lang w:eastAsia="zh-CN"/>
              </w:rPr>
            </w:pPr>
          </w:p>
        </w:tc>
      </w:tr>
    </w:tbl>
    <w:p>
      <w:pPr>
        <w:rPr>
          <w:rFonts w:hint="eastAsia" w:eastAsia="宋体"/>
          <w:color w:val="auto"/>
          <w:lang w:eastAsia="zh-CN"/>
        </w:rPr>
      </w:pPr>
      <w:r>
        <w:rPr>
          <w:rFonts w:hint="eastAsia"/>
          <w:color w:val="auto"/>
          <w:lang w:eastAsia="zh-CN"/>
        </w:rPr>
        <w:t>（</w:t>
      </w:r>
      <w:r>
        <w:rPr>
          <w:rFonts w:hint="eastAsia" w:ascii="Times New Roman" w:hAnsi="Times New Roman"/>
          <w:color w:val="auto"/>
          <w:lang w:val="en-US" w:eastAsia="zh-CN"/>
        </w:rPr>
        <w:t>2</w:t>
      </w:r>
      <w:r>
        <w:rPr>
          <w:rFonts w:hint="eastAsia"/>
          <w:color w:val="auto"/>
          <w:lang w:eastAsia="zh-CN"/>
        </w:rPr>
        <w:t>）总量控制</w:t>
      </w:r>
    </w:p>
    <w:p>
      <w:pPr>
        <w:bidi w:val="0"/>
        <w:rPr>
          <w:rFonts w:hint="eastAsia"/>
          <w:lang w:val="en-US" w:eastAsia="zh-CN"/>
        </w:rPr>
      </w:pPr>
      <w:r>
        <w:rPr>
          <w:rFonts w:hint="eastAsia"/>
          <w:lang w:val="en-US" w:eastAsia="zh-CN"/>
        </w:rPr>
        <w:t>本项目总量控制污染物排放量为：</w:t>
      </w:r>
      <w:r>
        <w:rPr>
          <w:rFonts w:hint="eastAsia" w:ascii="Times New Roman" w:hAnsi="Times New Roman"/>
          <w:lang w:val="en-US" w:eastAsia="zh-CN"/>
        </w:rPr>
        <w:t>VOCs</w:t>
      </w:r>
      <w:r>
        <w:rPr>
          <w:rFonts w:hint="eastAsia"/>
          <w:lang w:val="en-US" w:eastAsia="zh-CN"/>
        </w:rPr>
        <w:t>（以</w:t>
      </w:r>
      <w:r>
        <w:rPr>
          <w:rFonts w:hint="eastAsia" w:ascii="Times New Roman" w:hAnsi="Times New Roman"/>
          <w:lang w:val="en-US" w:eastAsia="zh-CN"/>
        </w:rPr>
        <w:t>NMHC</w:t>
      </w:r>
      <w:r>
        <w:rPr>
          <w:rFonts w:hint="eastAsia"/>
          <w:lang w:val="en-US" w:eastAsia="zh-CN"/>
        </w:rPr>
        <w:t>计）：</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0011t</w:t>
      </w:r>
      <w:r>
        <w:rPr>
          <w:rFonts w:hint="eastAsia"/>
          <w:lang w:val="en-US" w:eastAsia="zh-CN"/>
        </w:rPr>
        <w:t>/</w:t>
      </w:r>
      <w:r>
        <w:rPr>
          <w:rFonts w:hint="eastAsia" w:ascii="Times New Roman" w:hAnsi="Times New Roman"/>
          <w:lang w:val="en-US" w:eastAsia="zh-CN"/>
        </w:rPr>
        <w:t>a</w:t>
      </w:r>
      <w:r>
        <w:rPr>
          <w:rFonts w:hint="eastAsia"/>
          <w:lang w:val="en-US" w:eastAsia="zh-CN"/>
        </w:rPr>
        <w:t xml:space="preserve">。 </w:t>
      </w:r>
      <w:bookmarkEnd w:id="281"/>
      <w:bookmarkEnd w:id="282"/>
      <w:bookmarkStart w:id="283" w:name="_Toc3043"/>
      <w:bookmarkStart w:id="284" w:name="_Toc119753609"/>
      <w:bookmarkStart w:id="285" w:name="_Toc226883572"/>
      <w:bookmarkStart w:id="286" w:name="_Toc122653923"/>
      <w:bookmarkStart w:id="287" w:name="_Toc112838106"/>
      <w:bookmarkStart w:id="288" w:name="_Toc12539"/>
      <w:bookmarkStart w:id="289" w:name="_Toc332975379"/>
      <w:bookmarkStart w:id="290" w:name="_Toc323212389"/>
      <w:bookmarkStart w:id="291" w:name="_Toc298430009"/>
      <w:bookmarkStart w:id="292" w:name="_Toc214344529"/>
      <w:bookmarkStart w:id="293" w:name="_Toc341867295"/>
    </w:p>
    <w:p>
      <w:pPr>
        <w:pStyle w:val="4"/>
        <w:bidi w:val="0"/>
        <w:rPr>
          <w:rFonts w:hint="eastAsia"/>
        </w:rPr>
      </w:pPr>
      <w:bookmarkStart w:id="294" w:name="_Toc20316"/>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5</w:t>
      </w:r>
      <w:r>
        <w:rPr>
          <w:rFonts w:hint="eastAsia"/>
        </w:rPr>
        <w:t>“三同时”竣工验收</w:t>
      </w:r>
      <w:bookmarkEnd w:id="283"/>
      <w:bookmarkEnd w:id="294"/>
    </w:p>
    <w:p>
      <w:pPr>
        <w:ind w:firstLine="480"/>
        <w:rPr>
          <w:rFonts w:hint="eastAsia"/>
        </w:rPr>
      </w:pPr>
      <w:r>
        <w:rPr>
          <w:rFonts w:hint="eastAsia"/>
        </w:rPr>
        <w:t>根据《建设项目竣工环境保护验收暂行办法》（国环规环评[</w:t>
      </w:r>
      <w:r>
        <w:rPr>
          <w:rFonts w:hint="eastAsia" w:ascii="Times New Roman" w:hAnsi="Times New Roman"/>
        </w:rPr>
        <w:t>2017</w:t>
      </w:r>
      <w:r>
        <w:rPr>
          <w:rFonts w:hint="eastAsia"/>
        </w:rPr>
        <w:t>]</w:t>
      </w:r>
      <w:r>
        <w:rPr>
          <w:rFonts w:hint="eastAsia" w:ascii="Times New Roman" w:hAnsi="Times New Roman"/>
        </w:rPr>
        <w:t>4</w:t>
      </w:r>
      <w:r>
        <w:rPr>
          <w:rFonts w:hint="eastAsia"/>
        </w:rPr>
        <w:t>号）的要求，项目建成后，应全面检查工厂周围环境改变及环保设施“三同时”情况。项目试运行一段时间，达到生产正常、稳定后（一般不超过三个月），由建设单位成立验收组自行进行验收。本项目竣工验收建议具体内容见表</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5</w:t>
      </w:r>
      <w:r>
        <w:rPr>
          <w:rFonts w:hint="eastAsia" w:ascii="Times New Roman" w:hAnsi="Times New Roman"/>
          <w:lang w:val="en-US" w:eastAsia="zh-CN"/>
        </w:rPr>
        <w:t>-</w:t>
      </w:r>
      <w:r>
        <w:rPr>
          <w:rFonts w:hint="eastAsia" w:ascii="Times New Roman" w:hAnsi="Times New Roman"/>
          <w:lang w:val="en-US" w:eastAsia="zh-CN"/>
        </w:rPr>
        <w:t>1</w:t>
      </w:r>
      <w:r>
        <w:rPr>
          <w:rFonts w:hint="eastAsia"/>
        </w:rPr>
        <w:t>。</w:t>
      </w:r>
    </w:p>
    <w:p>
      <w:pPr>
        <w:pStyle w:val="20"/>
        <w:spacing w:before="165"/>
        <w:rPr>
          <w:rFonts w:hint="eastAsia"/>
        </w:rPr>
      </w:pPr>
      <w:r>
        <w:rPr>
          <w:rFonts w:hint="eastAsia"/>
        </w:rPr>
        <w:t xml:space="preserve"> 表</w:t>
      </w:r>
      <w:r>
        <w:rPr>
          <w:rFonts w:hint="eastAsia" w:ascii="Times New Roman" w:hAnsi="Times New Roman"/>
          <w:lang w:val="en-US" w:eastAsia="zh-CN"/>
        </w:rPr>
        <w:t>9</w:t>
      </w:r>
      <w:r>
        <w:rPr>
          <w:rFonts w:hint="eastAsia" w:ascii="Times New Roman" w:hAnsi="Times New Roman"/>
          <w:lang w:val="en-US" w:eastAsia="zh-CN"/>
        </w:rPr>
        <w:t>.</w:t>
      </w:r>
      <w:r>
        <w:rPr>
          <w:rFonts w:hint="eastAsia" w:ascii="Times New Roman" w:hAnsi="Times New Roman"/>
          <w:lang w:val="en-US" w:eastAsia="zh-CN"/>
        </w:rPr>
        <w:t>5</w:t>
      </w:r>
      <w:r>
        <w:rPr>
          <w:rFonts w:hint="eastAsia"/>
        </w:rPr>
        <w:t>-</w:t>
      </w:r>
      <w:r>
        <w:rPr>
          <w:rFonts w:hint="eastAsia" w:ascii="Times New Roman" w:hAnsi="Times New Roman"/>
        </w:rPr>
        <w:t>1</w:t>
      </w:r>
      <w:r>
        <w:rPr>
          <w:rFonts w:hint="eastAsia"/>
        </w:rPr>
        <w:t xml:space="preserve">  “三同时”竣工验收一览表</w:t>
      </w:r>
    </w:p>
    <w:tbl>
      <w:tblPr>
        <w:tblStyle w:val="8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17"/>
        <w:gridCol w:w="1631"/>
        <w:gridCol w:w="1486"/>
        <w:gridCol w:w="1333"/>
        <w:gridCol w:w="3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noWrap w:val="0"/>
            <w:vAlign w:val="center"/>
          </w:tcPr>
          <w:p>
            <w:pPr>
              <w:spacing w:line="280" w:lineRule="exact"/>
              <w:ind w:firstLine="0"/>
              <w:jc w:val="center"/>
              <w:rPr>
                <w:rFonts w:hint="eastAsia"/>
                <w:spacing w:val="-6"/>
                <w:sz w:val="21"/>
                <w:szCs w:val="21"/>
              </w:rPr>
            </w:pPr>
            <w:r>
              <w:rPr>
                <w:rFonts w:hint="eastAsia"/>
                <w:spacing w:val="-6"/>
                <w:sz w:val="21"/>
                <w:szCs w:val="21"/>
              </w:rPr>
              <w:t>类别</w:t>
            </w:r>
          </w:p>
        </w:tc>
        <w:tc>
          <w:tcPr>
            <w:tcW w:w="917" w:type="dxa"/>
            <w:noWrap w:val="0"/>
            <w:vAlign w:val="center"/>
          </w:tcPr>
          <w:p>
            <w:pPr>
              <w:spacing w:line="280" w:lineRule="exact"/>
              <w:ind w:firstLine="0"/>
              <w:jc w:val="center"/>
              <w:rPr>
                <w:rFonts w:hint="eastAsia"/>
                <w:spacing w:val="-6"/>
                <w:sz w:val="21"/>
                <w:szCs w:val="21"/>
              </w:rPr>
            </w:pPr>
            <w:r>
              <w:rPr>
                <w:rFonts w:hint="eastAsia"/>
                <w:spacing w:val="-6"/>
                <w:sz w:val="21"/>
                <w:szCs w:val="21"/>
              </w:rPr>
              <w:t>污染源</w:t>
            </w:r>
          </w:p>
        </w:tc>
        <w:tc>
          <w:tcPr>
            <w:tcW w:w="1631" w:type="dxa"/>
            <w:noWrap w:val="0"/>
            <w:vAlign w:val="center"/>
          </w:tcPr>
          <w:p>
            <w:pPr>
              <w:spacing w:line="280" w:lineRule="exact"/>
              <w:ind w:firstLine="0"/>
              <w:jc w:val="center"/>
              <w:rPr>
                <w:rFonts w:hint="eastAsia"/>
                <w:spacing w:val="-6"/>
                <w:sz w:val="21"/>
                <w:szCs w:val="21"/>
              </w:rPr>
            </w:pPr>
            <w:r>
              <w:rPr>
                <w:rFonts w:hint="eastAsia"/>
                <w:spacing w:val="-6"/>
                <w:sz w:val="21"/>
                <w:szCs w:val="21"/>
              </w:rPr>
              <w:t>监测部位</w:t>
            </w:r>
          </w:p>
        </w:tc>
        <w:tc>
          <w:tcPr>
            <w:tcW w:w="1486" w:type="dxa"/>
            <w:noWrap w:val="0"/>
            <w:vAlign w:val="center"/>
          </w:tcPr>
          <w:p>
            <w:pPr>
              <w:spacing w:line="280" w:lineRule="exact"/>
              <w:ind w:firstLine="0"/>
              <w:jc w:val="center"/>
              <w:rPr>
                <w:rFonts w:hint="eastAsia"/>
                <w:spacing w:val="-6"/>
                <w:sz w:val="21"/>
                <w:szCs w:val="21"/>
              </w:rPr>
            </w:pPr>
            <w:r>
              <w:rPr>
                <w:rFonts w:hint="eastAsia"/>
                <w:spacing w:val="-6"/>
                <w:sz w:val="21"/>
                <w:szCs w:val="21"/>
              </w:rPr>
              <w:t>环保设施</w:t>
            </w:r>
          </w:p>
        </w:tc>
        <w:tc>
          <w:tcPr>
            <w:tcW w:w="1333" w:type="dxa"/>
            <w:noWrap w:val="0"/>
            <w:vAlign w:val="center"/>
          </w:tcPr>
          <w:p>
            <w:pPr>
              <w:spacing w:line="280" w:lineRule="exact"/>
              <w:ind w:firstLine="0"/>
              <w:jc w:val="center"/>
              <w:rPr>
                <w:rFonts w:hint="eastAsia"/>
                <w:spacing w:val="-6"/>
                <w:sz w:val="21"/>
                <w:szCs w:val="21"/>
              </w:rPr>
            </w:pPr>
            <w:r>
              <w:rPr>
                <w:rFonts w:hint="eastAsia"/>
                <w:spacing w:val="-6"/>
                <w:sz w:val="21"/>
                <w:szCs w:val="21"/>
              </w:rPr>
              <w:t>监控因子</w:t>
            </w:r>
          </w:p>
        </w:tc>
        <w:tc>
          <w:tcPr>
            <w:tcW w:w="3145" w:type="dxa"/>
            <w:noWrap w:val="0"/>
            <w:vAlign w:val="center"/>
          </w:tcPr>
          <w:p>
            <w:pPr>
              <w:spacing w:line="280" w:lineRule="exact"/>
              <w:ind w:firstLine="0"/>
              <w:jc w:val="center"/>
              <w:rPr>
                <w:rFonts w:hint="eastAsia"/>
                <w:spacing w:val="-6"/>
                <w:sz w:val="21"/>
                <w:szCs w:val="21"/>
              </w:rPr>
            </w:pPr>
            <w:r>
              <w:rPr>
                <w:rFonts w:hint="eastAsia"/>
                <w:spacing w:val="-6"/>
                <w:sz w:val="21"/>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vMerge w:val="restart"/>
            <w:noWrap w:val="0"/>
            <w:vAlign w:val="center"/>
          </w:tcPr>
          <w:p>
            <w:pPr>
              <w:spacing w:line="280" w:lineRule="exact"/>
              <w:ind w:firstLine="0"/>
              <w:jc w:val="center"/>
              <w:rPr>
                <w:rFonts w:hint="eastAsia"/>
                <w:spacing w:val="-6"/>
                <w:sz w:val="21"/>
                <w:szCs w:val="21"/>
              </w:rPr>
            </w:pPr>
            <w:r>
              <w:rPr>
                <w:rFonts w:hint="eastAsia"/>
                <w:spacing w:val="-6"/>
                <w:sz w:val="21"/>
                <w:szCs w:val="21"/>
              </w:rPr>
              <w:t>废气</w:t>
            </w:r>
          </w:p>
        </w:tc>
        <w:tc>
          <w:tcPr>
            <w:tcW w:w="917" w:type="dxa"/>
            <w:noWrap w:val="0"/>
            <w:vAlign w:val="center"/>
          </w:tcPr>
          <w:p>
            <w:pPr>
              <w:spacing w:line="280" w:lineRule="exact"/>
              <w:ind w:firstLine="0"/>
              <w:jc w:val="center"/>
              <w:rPr>
                <w:rFonts w:hint="eastAsia"/>
                <w:spacing w:val="-6"/>
                <w:sz w:val="21"/>
                <w:szCs w:val="21"/>
              </w:rPr>
            </w:pPr>
            <w:r>
              <w:rPr>
                <w:rFonts w:hint="eastAsia"/>
                <w:spacing w:val="-6"/>
                <w:sz w:val="21"/>
                <w:szCs w:val="21"/>
              </w:rPr>
              <w:t>有组织排放</w:t>
            </w:r>
          </w:p>
        </w:tc>
        <w:tc>
          <w:tcPr>
            <w:tcW w:w="1631" w:type="dxa"/>
            <w:noWrap w:val="0"/>
            <w:vAlign w:val="center"/>
          </w:tcPr>
          <w:p>
            <w:pPr>
              <w:spacing w:line="280" w:lineRule="exact"/>
              <w:ind w:firstLine="0"/>
              <w:jc w:val="center"/>
              <w:rPr>
                <w:rFonts w:hint="default" w:eastAsia="宋体"/>
                <w:spacing w:val="-6"/>
                <w:sz w:val="21"/>
                <w:szCs w:val="21"/>
                <w:lang w:val="en-US" w:eastAsia="zh-CN"/>
              </w:rPr>
            </w:pPr>
            <w:r>
              <w:rPr>
                <w:rFonts w:hint="eastAsia" w:ascii="Times New Roman"/>
                <w:spacing w:val="-6"/>
                <w:sz w:val="21"/>
                <w:szCs w:val="21"/>
                <w:lang w:val="en-US" w:eastAsia="zh-CN"/>
              </w:rPr>
              <w:t>尾气吸收塔（一级水吸收+二级酸吸收）+</w:t>
            </w:r>
            <w:r>
              <w:rPr>
                <w:rFonts w:hint="eastAsia" w:ascii="Times New Roman" w:hAnsi="Times New Roman"/>
                <w:spacing w:val="-6"/>
                <w:sz w:val="21"/>
                <w:szCs w:val="21"/>
                <w:lang w:val="en-US" w:eastAsia="zh-CN"/>
              </w:rPr>
              <w:t>15m</w:t>
            </w:r>
            <w:r>
              <w:rPr>
                <w:rFonts w:hint="eastAsia" w:ascii="Times New Roman"/>
                <w:spacing w:val="-6"/>
                <w:sz w:val="21"/>
                <w:szCs w:val="21"/>
                <w:lang w:val="en-US" w:eastAsia="zh-CN"/>
              </w:rPr>
              <w:t>排气筒</w:t>
            </w:r>
          </w:p>
        </w:tc>
        <w:tc>
          <w:tcPr>
            <w:tcW w:w="1486"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尾气吸收塔</w:t>
            </w:r>
          </w:p>
        </w:tc>
        <w:tc>
          <w:tcPr>
            <w:tcW w:w="1333" w:type="dxa"/>
            <w:noWrap w:val="0"/>
            <w:vAlign w:val="center"/>
          </w:tcPr>
          <w:p>
            <w:pPr>
              <w:spacing w:line="280" w:lineRule="exact"/>
              <w:ind w:firstLine="0"/>
              <w:jc w:val="center"/>
              <w:rPr>
                <w:rFonts w:hint="default" w:eastAsia="宋体"/>
                <w:spacing w:val="-6"/>
                <w:sz w:val="21"/>
                <w:szCs w:val="21"/>
                <w:lang w:val="en-US" w:eastAsia="zh-CN"/>
              </w:rPr>
            </w:pPr>
            <w:r>
              <w:rPr>
                <w:rFonts w:hint="eastAsia" w:ascii="Times New Roman" w:hAnsi="Times New Roman"/>
                <w:spacing w:val="-6"/>
                <w:sz w:val="21"/>
                <w:szCs w:val="21"/>
                <w:lang w:val="en-US" w:eastAsia="zh-CN"/>
              </w:rPr>
              <w:t>NH</w:t>
            </w:r>
            <w:r>
              <w:rPr>
                <w:rFonts w:hint="eastAsia" w:ascii="Times New Roman" w:hAnsi="Times New Roman"/>
                <w:spacing w:val="-6"/>
                <w:sz w:val="21"/>
                <w:szCs w:val="21"/>
                <w:vertAlign w:val="subscript"/>
                <w:lang w:val="en-US" w:eastAsia="zh-CN"/>
              </w:rPr>
              <w:t>3</w:t>
            </w:r>
            <w:r>
              <w:rPr>
                <w:rFonts w:hint="eastAsia"/>
                <w:spacing w:val="-6"/>
                <w:sz w:val="21"/>
                <w:szCs w:val="21"/>
              </w:rPr>
              <w:t>、</w:t>
            </w:r>
            <w:r>
              <w:rPr>
                <w:rFonts w:hint="eastAsia" w:ascii="Times New Roman" w:hAnsi="Times New Roman"/>
                <w:spacing w:val="-6"/>
                <w:sz w:val="21"/>
                <w:szCs w:val="21"/>
                <w:lang w:val="en-US" w:eastAsia="zh-CN"/>
              </w:rPr>
              <w:t>NMHC</w:t>
            </w:r>
          </w:p>
        </w:tc>
        <w:tc>
          <w:tcPr>
            <w:tcW w:w="3145" w:type="dxa"/>
            <w:noWrap w:val="0"/>
            <w:vAlign w:val="center"/>
          </w:tcPr>
          <w:p>
            <w:pPr>
              <w:spacing w:line="280" w:lineRule="exact"/>
              <w:ind w:firstLine="0"/>
              <w:jc w:val="center"/>
              <w:rPr>
                <w:rFonts w:hint="default" w:eastAsia="宋体"/>
                <w:spacing w:val="-6"/>
                <w:sz w:val="21"/>
                <w:szCs w:val="21"/>
                <w:lang w:val="en-US" w:eastAsia="zh-CN"/>
              </w:rPr>
            </w:pPr>
            <w:r>
              <w:rPr>
                <w:rFonts w:hint="eastAsia" w:ascii="Times New Roman" w:hAnsi="Times New Roman"/>
                <w:spacing w:val="-6"/>
                <w:sz w:val="21"/>
                <w:szCs w:val="21"/>
                <w:lang w:val="en-US" w:eastAsia="zh-CN"/>
              </w:rPr>
              <w:t>NH</w:t>
            </w:r>
            <w:r>
              <w:rPr>
                <w:rFonts w:hint="eastAsia" w:ascii="Times New Roman" w:hAnsi="Times New Roman"/>
                <w:spacing w:val="-6"/>
                <w:sz w:val="21"/>
                <w:szCs w:val="21"/>
                <w:vertAlign w:val="subscript"/>
                <w:lang w:val="en-US" w:eastAsia="zh-CN"/>
              </w:rPr>
              <w:t>3</w:t>
            </w:r>
            <w:r>
              <w:rPr>
                <w:rFonts w:hint="eastAsia" w:ascii="Times New Roman"/>
                <w:spacing w:val="-6"/>
                <w:sz w:val="21"/>
                <w:szCs w:val="21"/>
                <w:lang w:val="en-US" w:eastAsia="zh-CN"/>
              </w:rPr>
              <w:t>执行</w:t>
            </w:r>
            <w:r>
              <w:rPr>
                <w:rFonts w:hint="eastAsia"/>
                <w:spacing w:val="-6"/>
                <w:sz w:val="21"/>
                <w:szCs w:val="21"/>
                <w:lang w:eastAsia="zh-CN"/>
              </w:rPr>
              <w:t>《恶臭污染物排放标准》（</w:t>
            </w:r>
            <w:r>
              <w:rPr>
                <w:rFonts w:hint="eastAsia" w:ascii="Times New Roman" w:hAnsi="Times New Roman"/>
                <w:spacing w:val="-6"/>
                <w:sz w:val="21"/>
                <w:szCs w:val="21"/>
                <w:lang w:val="en-US" w:eastAsia="zh-CN"/>
              </w:rPr>
              <w:t>GB14554</w:t>
            </w:r>
            <w:r>
              <w:rPr>
                <w:rFonts w:hint="eastAsia"/>
                <w:spacing w:val="-6"/>
                <w:sz w:val="21"/>
                <w:szCs w:val="21"/>
                <w:lang w:val="en-US" w:eastAsia="zh-CN"/>
              </w:rPr>
              <w:t>-</w:t>
            </w:r>
            <w:r>
              <w:rPr>
                <w:rFonts w:hint="eastAsia" w:ascii="Times New Roman" w:hAnsi="Times New Roman"/>
                <w:spacing w:val="-6"/>
                <w:sz w:val="21"/>
                <w:szCs w:val="21"/>
                <w:lang w:val="en-US" w:eastAsia="zh-CN"/>
              </w:rPr>
              <w:t>93</w:t>
            </w:r>
            <w:r>
              <w:rPr>
                <w:rFonts w:hint="eastAsia"/>
                <w:spacing w:val="-6"/>
                <w:sz w:val="21"/>
                <w:szCs w:val="21"/>
                <w:lang w:eastAsia="zh-CN"/>
              </w:rPr>
              <w:t>）表</w:t>
            </w:r>
            <w:r>
              <w:rPr>
                <w:rFonts w:hint="eastAsia" w:ascii="Times New Roman" w:hAnsi="Times New Roman"/>
                <w:spacing w:val="-6"/>
                <w:sz w:val="21"/>
                <w:szCs w:val="21"/>
                <w:lang w:val="en-US" w:eastAsia="zh-CN"/>
              </w:rPr>
              <w:t>2</w:t>
            </w:r>
            <w:r>
              <w:rPr>
                <w:rFonts w:hint="eastAsia"/>
                <w:spacing w:val="-6"/>
                <w:sz w:val="21"/>
                <w:szCs w:val="21"/>
                <w:lang w:val="en-US" w:eastAsia="zh-CN"/>
              </w:rPr>
              <w:t>；</w:t>
            </w:r>
            <w:r>
              <w:rPr>
                <w:rFonts w:hint="eastAsia" w:ascii="Times New Roman" w:hAnsi="Times New Roman"/>
                <w:spacing w:val="-6"/>
                <w:sz w:val="21"/>
                <w:szCs w:val="21"/>
                <w:lang w:val="en-US" w:eastAsia="zh-CN"/>
              </w:rPr>
              <w:t>NMHC</w:t>
            </w:r>
            <w:r>
              <w:rPr>
                <w:rFonts w:hint="eastAsia"/>
                <w:spacing w:val="-6"/>
                <w:sz w:val="21"/>
                <w:szCs w:val="21"/>
                <w:lang w:val="en-US" w:eastAsia="zh-CN"/>
              </w:rPr>
              <w:t>执行</w:t>
            </w:r>
            <w:r>
              <w:rPr>
                <w:rFonts w:hint="eastAsia" w:ascii="Times New Roman"/>
                <w:spacing w:val="-6"/>
                <w:sz w:val="21"/>
                <w:szCs w:val="21"/>
                <w:lang w:eastAsia="zh-CN"/>
              </w:rPr>
              <w:t>《大气污染物综合排放标准》（</w:t>
            </w:r>
            <w:r>
              <w:rPr>
                <w:rFonts w:hint="eastAsia" w:ascii="Times New Roman" w:hAnsi="Times New Roman"/>
                <w:spacing w:val="-6"/>
                <w:sz w:val="21"/>
                <w:szCs w:val="21"/>
                <w:lang w:val="en-US" w:eastAsia="zh-CN"/>
              </w:rPr>
              <w:t>GB16297</w:t>
            </w:r>
            <w:r>
              <w:rPr>
                <w:rFonts w:hint="eastAsia" w:ascii="Times New Roman"/>
                <w:spacing w:val="-6"/>
                <w:sz w:val="21"/>
                <w:szCs w:val="21"/>
                <w:lang w:val="en-US" w:eastAsia="zh-CN"/>
              </w:rPr>
              <w:t>-</w:t>
            </w:r>
            <w:r>
              <w:rPr>
                <w:rFonts w:hint="eastAsia" w:ascii="Times New Roman" w:hAnsi="Times New Roman"/>
                <w:spacing w:val="-6"/>
                <w:sz w:val="21"/>
                <w:szCs w:val="21"/>
                <w:lang w:val="en-US" w:eastAsia="zh-CN"/>
              </w:rPr>
              <w:t>1996</w:t>
            </w:r>
            <w:r>
              <w:rPr>
                <w:rFonts w:hint="eastAsia" w:ascii="Times New Roman"/>
                <w:spacing w:val="-6"/>
                <w:sz w:val="21"/>
                <w:szCs w:val="21"/>
                <w:lang w:eastAsia="zh-CN"/>
              </w:rPr>
              <w:t>）表</w:t>
            </w:r>
            <w:r>
              <w:rPr>
                <w:rFonts w:hint="eastAsia" w:ascii="Times New Roman" w:hAnsi="Times New Roman"/>
                <w:spacing w:val="-6"/>
                <w:sz w:val="21"/>
                <w:szCs w:val="21"/>
                <w:lang w:val="en-US" w:eastAsia="zh-CN"/>
              </w:rPr>
              <w:t>2</w:t>
            </w:r>
            <w:r>
              <w:rPr>
                <w:rFonts w:hint="eastAsia" w:ascii="Times New Roman"/>
                <w:spacing w:val="-6"/>
                <w:sz w:val="21"/>
                <w:szCs w:val="21"/>
                <w:lang w:val="en-US" w:eastAsia="zh-CN"/>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vMerge w:val="continue"/>
            <w:noWrap w:val="0"/>
            <w:vAlign w:val="center"/>
          </w:tcPr>
          <w:p>
            <w:pPr>
              <w:spacing w:line="280" w:lineRule="exact"/>
              <w:ind w:firstLine="0"/>
              <w:jc w:val="center"/>
              <w:rPr>
                <w:rFonts w:hint="eastAsia"/>
                <w:spacing w:val="-6"/>
                <w:sz w:val="21"/>
                <w:szCs w:val="21"/>
              </w:rPr>
            </w:pPr>
          </w:p>
        </w:tc>
        <w:tc>
          <w:tcPr>
            <w:tcW w:w="917" w:type="dxa"/>
            <w:noWrap w:val="0"/>
            <w:vAlign w:val="center"/>
          </w:tcPr>
          <w:p>
            <w:pPr>
              <w:spacing w:line="280" w:lineRule="exact"/>
              <w:ind w:firstLine="0"/>
              <w:jc w:val="center"/>
              <w:rPr>
                <w:rFonts w:hint="eastAsia"/>
                <w:spacing w:val="-6"/>
                <w:sz w:val="21"/>
                <w:szCs w:val="21"/>
              </w:rPr>
            </w:pPr>
            <w:r>
              <w:rPr>
                <w:rFonts w:hint="eastAsia"/>
                <w:spacing w:val="-6"/>
                <w:sz w:val="21"/>
                <w:szCs w:val="21"/>
              </w:rPr>
              <w:t>厂界无组织排放</w:t>
            </w:r>
          </w:p>
        </w:tc>
        <w:tc>
          <w:tcPr>
            <w:tcW w:w="1631" w:type="dxa"/>
            <w:noWrap w:val="0"/>
            <w:vAlign w:val="center"/>
          </w:tcPr>
          <w:p>
            <w:pPr>
              <w:spacing w:line="280" w:lineRule="exact"/>
              <w:ind w:firstLine="0"/>
              <w:jc w:val="center"/>
              <w:rPr>
                <w:rFonts w:hint="eastAsia"/>
                <w:spacing w:val="-6"/>
                <w:sz w:val="21"/>
                <w:szCs w:val="21"/>
              </w:rPr>
            </w:pPr>
            <w:r>
              <w:rPr>
                <w:rFonts w:hint="eastAsia"/>
                <w:spacing w:val="-6"/>
                <w:sz w:val="21"/>
                <w:szCs w:val="21"/>
              </w:rPr>
              <w:t>厂界上下风向</w:t>
            </w:r>
          </w:p>
        </w:tc>
        <w:tc>
          <w:tcPr>
            <w:tcW w:w="1486" w:type="dxa"/>
            <w:noWrap w:val="0"/>
            <w:vAlign w:val="center"/>
          </w:tcPr>
          <w:p>
            <w:pPr>
              <w:spacing w:line="280" w:lineRule="exact"/>
              <w:ind w:firstLine="0"/>
              <w:jc w:val="center"/>
              <w:rPr>
                <w:rFonts w:hint="default" w:eastAsia="宋体"/>
                <w:spacing w:val="-6"/>
                <w:sz w:val="21"/>
                <w:szCs w:val="21"/>
                <w:lang w:val="en-US" w:eastAsia="zh-CN"/>
              </w:rPr>
            </w:pPr>
            <w:r>
              <w:rPr>
                <w:rFonts w:hint="eastAsia"/>
                <w:spacing w:val="-6"/>
                <w:sz w:val="21"/>
                <w:szCs w:val="21"/>
                <w:lang w:val="en-US" w:eastAsia="zh-CN"/>
              </w:rPr>
              <w:t>储罐区装卸采用双鹤管、严加密闭</w:t>
            </w:r>
          </w:p>
        </w:tc>
        <w:tc>
          <w:tcPr>
            <w:tcW w:w="1333" w:type="dxa"/>
            <w:noWrap w:val="0"/>
            <w:vAlign w:val="center"/>
          </w:tcPr>
          <w:p>
            <w:pPr>
              <w:spacing w:line="280" w:lineRule="exact"/>
              <w:ind w:firstLine="0"/>
              <w:jc w:val="center"/>
              <w:rPr>
                <w:rFonts w:hint="default" w:eastAsia="宋体"/>
                <w:spacing w:val="-6"/>
                <w:sz w:val="21"/>
                <w:szCs w:val="21"/>
                <w:lang w:val="en-US" w:eastAsia="zh-CN"/>
              </w:rPr>
            </w:pPr>
            <w:r>
              <w:rPr>
                <w:rFonts w:hint="eastAsia" w:ascii="Times New Roman" w:hAnsi="Times New Roman"/>
                <w:spacing w:val="-6"/>
                <w:sz w:val="21"/>
                <w:szCs w:val="21"/>
                <w:lang w:val="en-US" w:eastAsia="zh-CN"/>
              </w:rPr>
              <w:t>NMHC</w:t>
            </w:r>
          </w:p>
        </w:tc>
        <w:tc>
          <w:tcPr>
            <w:tcW w:w="3145" w:type="dxa"/>
            <w:noWrap w:val="0"/>
            <w:vAlign w:val="center"/>
          </w:tcPr>
          <w:p>
            <w:pPr>
              <w:spacing w:line="280" w:lineRule="exact"/>
              <w:ind w:firstLine="0"/>
              <w:jc w:val="center"/>
              <w:rPr>
                <w:rFonts w:hint="default"/>
                <w:spacing w:val="-6"/>
                <w:sz w:val="21"/>
                <w:szCs w:val="21"/>
                <w:lang w:val="en-US"/>
              </w:rPr>
            </w:pPr>
            <w:r>
              <w:rPr>
                <w:rFonts w:hint="eastAsia"/>
                <w:spacing w:val="-6"/>
                <w:sz w:val="21"/>
                <w:szCs w:val="21"/>
                <w:lang w:eastAsia="zh-CN"/>
              </w:rPr>
              <w:t>厂界执行《合成树脂工业污染物排放标准》（</w:t>
            </w:r>
            <w:r>
              <w:rPr>
                <w:rFonts w:hint="eastAsia" w:ascii="Times New Roman" w:hAnsi="Times New Roman"/>
                <w:spacing w:val="-6"/>
                <w:sz w:val="21"/>
                <w:szCs w:val="21"/>
                <w:lang w:val="en-US" w:eastAsia="zh-CN"/>
              </w:rPr>
              <w:t>GB31572</w:t>
            </w:r>
            <w:r>
              <w:rPr>
                <w:rFonts w:hint="eastAsia"/>
                <w:spacing w:val="-6"/>
                <w:sz w:val="21"/>
                <w:szCs w:val="21"/>
                <w:lang w:val="en-US" w:eastAsia="zh-CN"/>
              </w:rPr>
              <w:t>-</w:t>
            </w:r>
            <w:r>
              <w:rPr>
                <w:rFonts w:hint="eastAsia" w:ascii="Times New Roman" w:hAnsi="Times New Roman"/>
                <w:spacing w:val="-6"/>
                <w:sz w:val="21"/>
                <w:szCs w:val="21"/>
                <w:lang w:val="en-US" w:eastAsia="zh-CN"/>
              </w:rPr>
              <w:t>2015</w:t>
            </w:r>
            <w:r>
              <w:rPr>
                <w:rFonts w:hint="eastAsia"/>
                <w:spacing w:val="-6"/>
                <w:sz w:val="21"/>
                <w:szCs w:val="21"/>
                <w:lang w:eastAsia="zh-CN"/>
              </w:rPr>
              <w:t>）表</w:t>
            </w:r>
            <w:r>
              <w:rPr>
                <w:rFonts w:hint="eastAsia" w:ascii="Times New Roman" w:hAnsi="Times New Roman"/>
                <w:spacing w:val="-6"/>
                <w:sz w:val="21"/>
                <w:szCs w:val="21"/>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vMerge w:val="continue"/>
            <w:noWrap w:val="0"/>
            <w:vAlign w:val="center"/>
          </w:tcPr>
          <w:p>
            <w:pPr>
              <w:spacing w:line="280" w:lineRule="exact"/>
              <w:ind w:firstLine="0"/>
              <w:jc w:val="center"/>
              <w:rPr>
                <w:rFonts w:hint="eastAsia"/>
                <w:spacing w:val="-6"/>
                <w:sz w:val="21"/>
                <w:szCs w:val="21"/>
              </w:rPr>
            </w:pPr>
          </w:p>
        </w:tc>
        <w:tc>
          <w:tcPr>
            <w:tcW w:w="917"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厂内</w:t>
            </w:r>
          </w:p>
        </w:tc>
        <w:tc>
          <w:tcPr>
            <w:tcW w:w="1631"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厂内任意点</w:t>
            </w:r>
          </w:p>
        </w:tc>
        <w:tc>
          <w:tcPr>
            <w:tcW w:w="1486" w:type="dxa"/>
            <w:noWrap w:val="0"/>
            <w:vAlign w:val="center"/>
          </w:tcPr>
          <w:p>
            <w:pPr>
              <w:spacing w:line="280" w:lineRule="exact"/>
              <w:ind w:firstLine="0"/>
              <w:jc w:val="center"/>
              <w:rPr>
                <w:rFonts w:hint="eastAsia"/>
                <w:spacing w:val="-6"/>
                <w:sz w:val="21"/>
                <w:szCs w:val="21"/>
                <w:lang w:val="en-US" w:eastAsia="zh-CN"/>
              </w:rPr>
            </w:pPr>
            <w:r>
              <w:rPr>
                <w:rFonts w:hint="eastAsia"/>
                <w:spacing w:val="-6"/>
                <w:sz w:val="21"/>
                <w:szCs w:val="21"/>
                <w:lang w:val="en-US" w:eastAsia="zh-CN"/>
              </w:rPr>
              <w:t>厂房外监测点</w:t>
            </w:r>
          </w:p>
        </w:tc>
        <w:tc>
          <w:tcPr>
            <w:tcW w:w="1333" w:type="dxa"/>
            <w:noWrap w:val="0"/>
            <w:vAlign w:val="center"/>
          </w:tcPr>
          <w:p>
            <w:pPr>
              <w:spacing w:line="280" w:lineRule="exact"/>
              <w:ind w:firstLine="0"/>
              <w:jc w:val="center"/>
              <w:rPr>
                <w:rFonts w:hint="default"/>
                <w:spacing w:val="-6"/>
                <w:sz w:val="21"/>
                <w:szCs w:val="21"/>
                <w:lang w:val="en-US" w:eastAsia="zh-CN"/>
              </w:rPr>
            </w:pPr>
            <w:r>
              <w:rPr>
                <w:rFonts w:hint="eastAsia" w:ascii="Times New Roman" w:hAnsi="Times New Roman"/>
                <w:spacing w:val="-6"/>
                <w:sz w:val="21"/>
                <w:szCs w:val="21"/>
                <w:lang w:val="en-US" w:eastAsia="zh-CN"/>
              </w:rPr>
              <w:t>NMHC</w:t>
            </w:r>
          </w:p>
        </w:tc>
        <w:tc>
          <w:tcPr>
            <w:tcW w:w="3145" w:type="dxa"/>
            <w:noWrap w:val="0"/>
            <w:vAlign w:val="center"/>
          </w:tcPr>
          <w:p>
            <w:pPr>
              <w:spacing w:line="280" w:lineRule="exact"/>
              <w:ind w:firstLine="0"/>
              <w:jc w:val="center"/>
              <w:rPr>
                <w:rFonts w:hint="default"/>
                <w:spacing w:val="-6"/>
                <w:sz w:val="21"/>
                <w:szCs w:val="21"/>
                <w:lang w:val="en-US" w:eastAsia="zh-CN"/>
              </w:rPr>
            </w:pPr>
            <w:r>
              <w:rPr>
                <w:rFonts w:hint="eastAsia"/>
                <w:spacing w:val="-6"/>
                <w:sz w:val="21"/>
                <w:szCs w:val="21"/>
                <w:lang w:eastAsia="zh-CN"/>
              </w:rPr>
              <w:t>《挥发性无组织排放控制标准》（</w:t>
            </w:r>
            <w:r>
              <w:rPr>
                <w:rFonts w:hint="eastAsia" w:ascii="Times New Roman" w:hAnsi="Times New Roman"/>
                <w:spacing w:val="-6"/>
                <w:sz w:val="21"/>
                <w:szCs w:val="21"/>
                <w:lang w:val="en-US" w:eastAsia="zh-CN"/>
              </w:rPr>
              <w:t>GB37822</w:t>
            </w:r>
            <w:r>
              <w:rPr>
                <w:rFonts w:hint="eastAsia"/>
                <w:spacing w:val="-6"/>
                <w:sz w:val="21"/>
                <w:szCs w:val="21"/>
                <w:lang w:val="en-US" w:eastAsia="zh-CN"/>
              </w:rPr>
              <w:t>-</w:t>
            </w:r>
            <w:r>
              <w:rPr>
                <w:rFonts w:hint="eastAsia" w:ascii="Times New Roman" w:hAnsi="Times New Roman"/>
                <w:spacing w:val="-6"/>
                <w:sz w:val="21"/>
                <w:szCs w:val="21"/>
                <w:lang w:val="en-US" w:eastAsia="zh-CN"/>
              </w:rPr>
              <w:t>2018</w:t>
            </w:r>
            <w:r>
              <w:rPr>
                <w:rFonts w:hint="eastAsia"/>
                <w:spacing w:val="-6"/>
                <w:sz w:val="21"/>
                <w:szCs w:val="21"/>
                <w:lang w:eastAsia="zh-CN"/>
              </w:rPr>
              <w:t>）表</w:t>
            </w:r>
            <w:r>
              <w:rPr>
                <w:rFonts w:hint="eastAsia" w:ascii="Times New Roman" w:hAnsi="Times New Roman"/>
                <w:spacing w:val="-6"/>
                <w:sz w:val="21"/>
                <w:szCs w:val="21"/>
                <w:lang w:val="en-US" w:eastAsia="zh-CN"/>
              </w:rPr>
              <w:t>A</w:t>
            </w:r>
            <w:r>
              <w:rPr>
                <w:rFonts w:hint="eastAsia"/>
                <w:spacing w:val="-6"/>
                <w:sz w:val="21"/>
                <w:szCs w:val="21"/>
                <w:lang w:val="en-US" w:eastAsia="zh-CN"/>
              </w:rPr>
              <w:t>.</w:t>
            </w:r>
            <w:r>
              <w:rPr>
                <w:rFonts w:hint="eastAsia" w:ascii="Times New Roman" w:hAnsi="Times New Roman"/>
                <w:spacing w:val="-6"/>
                <w:sz w:val="21"/>
                <w:szCs w:val="21"/>
                <w:lang w:val="en-US" w:eastAsia="zh-CN"/>
              </w:rPr>
              <w:t>1</w:t>
            </w:r>
            <w:r>
              <w:rPr>
                <w:rFonts w:hint="eastAsia"/>
                <w:spacing w:val="-6"/>
                <w:sz w:val="21"/>
                <w:szCs w:val="21"/>
                <w:lang w:val="en-US" w:eastAsia="zh-CN"/>
              </w:rPr>
              <w:t>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vMerge w:val="continue"/>
            <w:noWrap w:val="0"/>
            <w:vAlign w:val="center"/>
          </w:tcPr>
          <w:p>
            <w:pPr>
              <w:spacing w:line="280" w:lineRule="exact"/>
              <w:ind w:firstLine="0"/>
              <w:jc w:val="center"/>
              <w:rPr>
                <w:rFonts w:hint="eastAsia"/>
                <w:spacing w:val="-6"/>
                <w:sz w:val="21"/>
                <w:szCs w:val="21"/>
              </w:rPr>
            </w:pPr>
          </w:p>
        </w:tc>
        <w:tc>
          <w:tcPr>
            <w:tcW w:w="917" w:type="dxa"/>
            <w:noWrap w:val="0"/>
            <w:vAlign w:val="center"/>
          </w:tcPr>
          <w:p>
            <w:pPr>
              <w:spacing w:line="280" w:lineRule="exact"/>
              <w:ind w:firstLine="0"/>
              <w:jc w:val="center"/>
              <w:rPr>
                <w:rFonts w:hint="eastAsia"/>
                <w:spacing w:val="-6"/>
                <w:sz w:val="21"/>
                <w:szCs w:val="21"/>
              </w:rPr>
            </w:pPr>
            <w:r>
              <w:rPr>
                <w:rFonts w:hint="eastAsia"/>
                <w:spacing w:val="-6"/>
                <w:sz w:val="21"/>
                <w:szCs w:val="21"/>
              </w:rPr>
              <w:t>排放口</w:t>
            </w:r>
          </w:p>
        </w:tc>
        <w:tc>
          <w:tcPr>
            <w:tcW w:w="1631" w:type="dxa"/>
            <w:noWrap w:val="0"/>
            <w:vAlign w:val="center"/>
          </w:tcPr>
          <w:p>
            <w:pPr>
              <w:spacing w:line="280" w:lineRule="exact"/>
              <w:ind w:firstLine="0"/>
              <w:jc w:val="center"/>
              <w:rPr>
                <w:rFonts w:hint="default" w:eastAsia="宋体"/>
                <w:spacing w:val="-6"/>
                <w:sz w:val="21"/>
                <w:szCs w:val="21"/>
                <w:lang w:val="en-US" w:eastAsia="zh-CN"/>
              </w:rPr>
            </w:pPr>
            <w:r>
              <w:rPr>
                <w:rFonts w:hint="eastAsia" w:ascii="Times New Roman"/>
                <w:spacing w:val="-6"/>
                <w:sz w:val="21"/>
                <w:szCs w:val="21"/>
                <w:lang w:eastAsia="zh-CN"/>
              </w:rPr>
              <w:t>尾气吸收塔</w:t>
            </w:r>
            <w:r>
              <w:rPr>
                <w:rFonts w:hint="eastAsia" w:ascii="Times New Roman"/>
                <w:spacing w:val="-6"/>
                <w:sz w:val="21"/>
                <w:szCs w:val="21"/>
                <w:lang w:val="en-US" w:eastAsia="zh-CN"/>
              </w:rPr>
              <w:t>排口</w:t>
            </w:r>
          </w:p>
        </w:tc>
        <w:tc>
          <w:tcPr>
            <w:tcW w:w="1486" w:type="dxa"/>
            <w:noWrap w:val="0"/>
            <w:vAlign w:val="center"/>
          </w:tcPr>
          <w:p>
            <w:pPr>
              <w:spacing w:line="280" w:lineRule="exact"/>
              <w:ind w:firstLine="0"/>
              <w:jc w:val="center"/>
              <w:rPr>
                <w:rFonts w:hint="eastAsia"/>
                <w:spacing w:val="-6"/>
                <w:sz w:val="21"/>
                <w:szCs w:val="21"/>
              </w:rPr>
            </w:pPr>
            <w:r>
              <w:rPr>
                <w:rFonts w:hint="eastAsia"/>
                <w:spacing w:val="-6"/>
                <w:sz w:val="21"/>
                <w:szCs w:val="21"/>
              </w:rPr>
              <w:t>废气排口标识</w:t>
            </w:r>
          </w:p>
        </w:tc>
        <w:tc>
          <w:tcPr>
            <w:tcW w:w="1333" w:type="dxa"/>
            <w:noWrap w:val="0"/>
            <w:vAlign w:val="center"/>
          </w:tcPr>
          <w:p>
            <w:pPr>
              <w:spacing w:line="280" w:lineRule="exact"/>
              <w:ind w:firstLine="0"/>
              <w:jc w:val="center"/>
              <w:rPr>
                <w:rFonts w:hint="eastAsia"/>
                <w:spacing w:val="-6"/>
                <w:sz w:val="21"/>
                <w:szCs w:val="21"/>
              </w:rPr>
            </w:pPr>
            <w:r>
              <w:rPr>
                <w:rFonts w:hint="eastAsia"/>
                <w:spacing w:val="-6"/>
                <w:sz w:val="21"/>
                <w:szCs w:val="21"/>
              </w:rPr>
              <w:t>/</w:t>
            </w:r>
          </w:p>
        </w:tc>
        <w:tc>
          <w:tcPr>
            <w:tcW w:w="3145" w:type="dxa"/>
            <w:noWrap w:val="0"/>
            <w:vAlign w:val="center"/>
          </w:tcPr>
          <w:p>
            <w:pPr>
              <w:spacing w:line="280" w:lineRule="exact"/>
              <w:ind w:firstLine="0"/>
              <w:jc w:val="center"/>
              <w:rPr>
                <w:rFonts w:hint="eastAsia"/>
                <w:spacing w:val="-6"/>
                <w:sz w:val="21"/>
                <w:szCs w:val="21"/>
              </w:rPr>
            </w:pPr>
            <w:r>
              <w:rPr>
                <w:rFonts w:hint="eastAsia"/>
                <w:spacing w:val="-6"/>
                <w:sz w:val="21"/>
                <w:szCs w:val="21"/>
              </w:rPr>
              <w:t>是否按要求设置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vMerge w:val="restart"/>
            <w:noWrap w:val="0"/>
            <w:vAlign w:val="center"/>
          </w:tcPr>
          <w:p>
            <w:pPr>
              <w:spacing w:line="280" w:lineRule="exact"/>
              <w:ind w:firstLine="0"/>
              <w:jc w:val="center"/>
              <w:rPr>
                <w:rFonts w:hint="eastAsia"/>
                <w:spacing w:val="-6"/>
                <w:sz w:val="21"/>
                <w:szCs w:val="21"/>
              </w:rPr>
            </w:pPr>
            <w:r>
              <w:rPr>
                <w:rFonts w:hint="eastAsia"/>
                <w:spacing w:val="-6"/>
                <w:sz w:val="21"/>
                <w:szCs w:val="21"/>
              </w:rPr>
              <w:t>噪声</w:t>
            </w:r>
          </w:p>
        </w:tc>
        <w:tc>
          <w:tcPr>
            <w:tcW w:w="917" w:type="dxa"/>
            <w:vMerge w:val="restart"/>
            <w:noWrap w:val="0"/>
            <w:vAlign w:val="center"/>
          </w:tcPr>
          <w:p>
            <w:pPr>
              <w:spacing w:line="280" w:lineRule="exact"/>
              <w:ind w:firstLine="0"/>
              <w:jc w:val="center"/>
              <w:rPr>
                <w:rFonts w:hint="eastAsia"/>
                <w:spacing w:val="-6"/>
                <w:sz w:val="21"/>
                <w:szCs w:val="21"/>
              </w:rPr>
            </w:pPr>
            <w:r>
              <w:rPr>
                <w:rFonts w:hint="eastAsia"/>
                <w:spacing w:val="-6"/>
                <w:sz w:val="21"/>
                <w:szCs w:val="21"/>
              </w:rPr>
              <w:t>生产设备和辅助设备</w:t>
            </w:r>
          </w:p>
        </w:tc>
        <w:tc>
          <w:tcPr>
            <w:tcW w:w="1631" w:type="dxa"/>
            <w:noWrap w:val="0"/>
            <w:vAlign w:val="center"/>
          </w:tcPr>
          <w:p>
            <w:pPr>
              <w:spacing w:line="280" w:lineRule="exact"/>
              <w:ind w:firstLine="0"/>
              <w:jc w:val="center"/>
              <w:rPr>
                <w:rFonts w:hint="eastAsia"/>
                <w:spacing w:val="-6"/>
                <w:sz w:val="21"/>
                <w:szCs w:val="21"/>
              </w:rPr>
            </w:pPr>
            <w:r>
              <w:rPr>
                <w:rFonts w:hint="eastAsia"/>
                <w:spacing w:val="-6"/>
                <w:sz w:val="21"/>
                <w:szCs w:val="21"/>
              </w:rPr>
              <w:t>厂界</w:t>
            </w:r>
          </w:p>
        </w:tc>
        <w:tc>
          <w:tcPr>
            <w:tcW w:w="1486"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基础</w:t>
            </w:r>
            <w:r>
              <w:rPr>
                <w:rFonts w:hint="eastAsia"/>
                <w:spacing w:val="-6"/>
                <w:sz w:val="21"/>
                <w:szCs w:val="21"/>
              </w:rPr>
              <w:t>减振</w:t>
            </w:r>
            <w:r>
              <w:rPr>
                <w:rFonts w:hint="eastAsia"/>
                <w:spacing w:val="-6"/>
                <w:sz w:val="21"/>
                <w:szCs w:val="21"/>
                <w:lang w:eastAsia="zh-CN"/>
              </w:rPr>
              <w:t>、泵机设置于泵房</w:t>
            </w:r>
          </w:p>
        </w:tc>
        <w:tc>
          <w:tcPr>
            <w:tcW w:w="1333" w:type="dxa"/>
            <w:noWrap w:val="0"/>
            <w:vAlign w:val="center"/>
          </w:tcPr>
          <w:p>
            <w:pPr>
              <w:spacing w:line="280" w:lineRule="exact"/>
              <w:ind w:firstLine="0"/>
              <w:jc w:val="center"/>
              <w:rPr>
                <w:rFonts w:hint="eastAsia"/>
                <w:spacing w:val="-6"/>
                <w:sz w:val="21"/>
                <w:szCs w:val="21"/>
              </w:rPr>
            </w:pPr>
            <w:r>
              <w:rPr>
                <w:rFonts w:hint="eastAsia"/>
                <w:spacing w:val="-6"/>
                <w:sz w:val="21"/>
                <w:szCs w:val="21"/>
              </w:rPr>
              <w:t>等效</w:t>
            </w:r>
            <w:r>
              <w:rPr>
                <w:rFonts w:hint="eastAsia"/>
                <w:spacing w:val="-6"/>
                <w:sz w:val="21"/>
                <w:szCs w:val="21"/>
                <w:lang w:eastAsia="zh-CN"/>
              </w:rPr>
              <w:t>连续</w:t>
            </w:r>
            <w:r>
              <w:rPr>
                <w:rFonts w:hint="eastAsia" w:ascii="Times New Roman" w:hAnsi="Times New Roman"/>
                <w:spacing w:val="-6"/>
                <w:sz w:val="21"/>
                <w:szCs w:val="21"/>
              </w:rPr>
              <w:t>A</w:t>
            </w:r>
            <w:r>
              <w:rPr>
                <w:rFonts w:hint="eastAsia"/>
                <w:spacing w:val="-6"/>
                <w:sz w:val="21"/>
                <w:szCs w:val="21"/>
              </w:rPr>
              <w:t>声级</w:t>
            </w:r>
          </w:p>
        </w:tc>
        <w:tc>
          <w:tcPr>
            <w:tcW w:w="3145" w:type="dxa"/>
            <w:noWrap w:val="0"/>
            <w:vAlign w:val="center"/>
          </w:tcPr>
          <w:p>
            <w:pPr>
              <w:spacing w:line="280" w:lineRule="exact"/>
              <w:ind w:firstLine="0"/>
              <w:jc w:val="center"/>
              <w:rPr>
                <w:rFonts w:hint="eastAsia"/>
                <w:spacing w:val="-6"/>
                <w:sz w:val="21"/>
                <w:szCs w:val="21"/>
              </w:rPr>
            </w:pPr>
            <w:r>
              <w:rPr>
                <w:rFonts w:hint="eastAsia"/>
                <w:spacing w:val="-6"/>
                <w:sz w:val="21"/>
                <w:szCs w:val="21"/>
              </w:rPr>
              <w:t>《工业企业厂界环境噪声排放标准》（</w:t>
            </w:r>
            <w:r>
              <w:rPr>
                <w:rFonts w:hint="eastAsia" w:ascii="Times New Roman" w:hAnsi="Times New Roman"/>
                <w:spacing w:val="-6"/>
                <w:sz w:val="21"/>
                <w:szCs w:val="21"/>
              </w:rPr>
              <w:t>GB12348</w:t>
            </w:r>
            <w:r>
              <w:rPr>
                <w:rFonts w:hint="eastAsia"/>
                <w:spacing w:val="-6"/>
                <w:sz w:val="21"/>
                <w:szCs w:val="21"/>
              </w:rPr>
              <w:t>-</w:t>
            </w:r>
            <w:r>
              <w:rPr>
                <w:rFonts w:hint="eastAsia" w:ascii="Times New Roman" w:hAnsi="Times New Roman"/>
                <w:spacing w:val="-6"/>
                <w:sz w:val="21"/>
                <w:szCs w:val="21"/>
              </w:rPr>
              <w:t>2008</w:t>
            </w:r>
            <w:r>
              <w:rPr>
                <w:rFonts w:hint="eastAsia"/>
                <w:spacing w:val="-6"/>
                <w:sz w:val="21"/>
                <w:szCs w:val="21"/>
              </w:rPr>
              <w:t>）</w:t>
            </w:r>
            <w:r>
              <w:rPr>
                <w:rFonts w:hint="eastAsia" w:ascii="Times New Roman" w:hAnsi="Times New Roman"/>
                <w:spacing w:val="-6"/>
                <w:sz w:val="21"/>
                <w:szCs w:val="21"/>
              </w:rPr>
              <w:t>3</w:t>
            </w:r>
            <w:r>
              <w:rPr>
                <w:rFonts w:hint="eastAsia"/>
                <w:spacing w:val="-6"/>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vMerge w:val="continue"/>
            <w:noWrap w:val="0"/>
            <w:vAlign w:val="center"/>
          </w:tcPr>
          <w:p>
            <w:pPr>
              <w:spacing w:line="280" w:lineRule="exact"/>
              <w:ind w:firstLine="0"/>
              <w:jc w:val="center"/>
              <w:rPr>
                <w:rFonts w:hint="eastAsia"/>
                <w:spacing w:val="-6"/>
                <w:sz w:val="21"/>
                <w:szCs w:val="21"/>
              </w:rPr>
            </w:pPr>
          </w:p>
        </w:tc>
        <w:tc>
          <w:tcPr>
            <w:tcW w:w="917" w:type="dxa"/>
            <w:vMerge w:val="continue"/>
            <w:noWrap w:val="0"/>
            <w:vAlign w:val="center"/>
          </w:tcPr>
          <w:p>
            <w:pPr>
              <w:spacing w:line="280" w:lineRule="exact"/>
              <w:ind w:firstLine="0"/>
              <w:jc w:val="center"/>
              <w:rPr>
                <w:rFonts w:hint="eastAsia"/>
                <w:spacing w:val="-6"/>
                <w:sz w:val="21"/>
                <w:szCs w:val="21"/>
              </w:rPr>
            </w:pPr>
          </w:p>
        </w:tc>
        <w:tc>
          <w:tcPr>
            <w:tcW w:w="1631"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泵房</w:t>
            </w:r>
          </w:p>
        </w:tc>
        <w:tc>
          <w:tcPr>
            <w:tcW w:w="1486" w:type="dxa"/>
            <w:noWrap w:val="0"/>
            <w:vAlign w:val="center"/>
          </w:tcPr>
          <w:p>
            <w:pPr>
              <w:spacing w:line="280" w:lineRule="exact"/>
              <w:ind w:firstLine="0"/>
              <w:jc w:val="center"/>
              <w:rPr>
                <w:rFonts w:hint="eastAsia"/>
                <w:spacing w:val="-6"/>
                <w:sz w:val="21"/>
                <w:szCs w:val="21"/>
              </w:rPr>
            </w:pPr>
            <w:r>
              <w:rPr>
                <w:rFonts w:hint="eastAsia"/>
                <w:spacing w:val="-6"/>
                <w:sz w:val="21"/>
                <w:szCs w:val="21"/>
              </w:rPr>
              <w:t>噪声源标识</w:t>
            </w:r>
          </w:p>
        </w:tc>
        <w:tc>
          <w:tcPr>
            <w:tcW w:w="1333" w:type="dxa"/>
            <w:noWrap w:val="0"/>
            <w:vAlign w:val="center"/>
          </w:tcPr>
          <w:p>
            <w:pPr>
              <w:spacing w:line="280" w:lineRule="exact"/>
              <w:ind w:firstLine="0"/>
              <w:jc w:val="center"/>
              <w:rPr>
                <w:rFonts w:hint="eastAsia"/>
                <w:spacing w:val="-6"/>
                <w:sz w:val="21"/>
                <w:szCs w:val="21"/>
              </w:rPr>
            </w:pPr>
            <w:r>
              <w:rPr>
                <w:rFonts w:hint="eastAsia"/>
                <w:spacing w:val="-6"/>
                <w:sz w:val="21"/>
                <w:szCs w:val="21"/>
              </w:rPr>
              <w:t>/</w:t>
            </w:r>
          </w:p>
        </w:tc>
        <w:tc>
          <w:tcPr>
            <w:tcW w:w="3145" w:type="dxa"/>
            <w:noWrap w:val="0"/>
            <w:vAlign w:val="center"/>
          </w:tcPr>
          <w:p>
            <w:pPr>
              <w:spacing w:line="280" w:lineRule="exact"/>
              <w:ind w:firstLine="0"/>
              <w:jc w:val="center"/>
              <w:rPr>
                <w:rFonts w:hint="eastAsia"/>
                <w:spacing w:val="-6"/>
                <w:sz w:val="21"/>
                <w:szCs w:val="21"/>
              </w:rPr>
            </w:pPr>
            <w:r>
              <w:rPr>
                <w:rFonts w:hint="eastAsia"/>
                <w:spacing w:val="-6"/>
                <w:sz w:val="21"/>
                <w:szCs w:val="21"/>
              </w:rPr>
              <w:t>是否按要求设置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62" w:type="dxa"/>
            <w:noWrap w:val="0"/>
            <w:vAlign w:val="center"/>
          </w:tcPr>
          <w:p>
            <w:pPr>
              <w:spacing w:line="280" w:lineRule="exact"/>
              <w:ind w:firstLine="0"/>
              <w:jc w:val="center"/>
              <w:rPr>
                <w:rFonts w:hint="eastAsia"/>
                <w:spacing w:val="-6"/>
                <w:sz w:val="21"/>
                <w:szCs w:val="21"/>
              </w:rPr>
            </w:pPr>
            <w:r>
              <w:rPr>
                <w:rFonts w:hint="eastAsia"/>
                <w:spacing w:val="-6"/>
                <w:sz w:val="21"/>
                <w:szCs w:val="21"/>
              </w:rPr>
              <w:t>固体废物</w:t>
            </w:r>
          </w:p>
        </w:tc>
        <w:tc>
          <w:tcPr>
            <w:tcW w:w="917" w:type="dxa"/>
            <w:noWrap w:val="0"/>
            <w:vAlign w:val="center"/>
          </w:tcPr>
          <w:p>
            <w:pPr>
              <w:spacing w:line="280" w:lineRule="exact"/>
              <w:ind w:firstLine="0"/>
              <w:jc w:val="center"/>
              <w:rPr>
                <w:rFonts w:hint="eastAsia"/>
                <w:spacing w:val="-6"/>
                <w:sz w:val="21"/>
                <w:szCs w:val="21"/>
              </w:rPr>
            </w:pPr>
            <w:r>
              <w:rPr>
                <w:rFonts w:hint="eastAsia"/>
                <w:spacing w:val="-6"/>
                <w:sz w:val="21"/>
                <w:szCs w:val="21"/>
              </w:rPr>
              <w:t>工业</w:t>
            </w:r>
            <w:r>
              <w:rPr>
                <w:rFonts w:hint="eastAsia"/>
                <w:spacing w:val="-6"/>
                <w:sz w:val="21"/>
                <w:szCs w:val="21"/>
                <w:lang w:eastAsia="zh-CN"/>
              </w:rPr>
              <w:t>固体</w:t>
            </w:r>
            <w:r>
              <w:rPr>
                <w:rFonts w:hint="eastAsia"/>
                <w:spacing w:val="-6"/>
                <w:sz w:val="21"/>
                <w:szCs w:val="21"/>
              </w:rPr>
              <w:t>废物</w:t>
            </w:r>
          </w:p>
        </w:tc>
        <w:tc>
          <w:tcPr>
            <w:tcW w:w="1631" w:type="dxa"/>
            <w:noWrap w:val="0"/>
            <w:vAlign w:val="center"/>
          </w:tcPr>
          <w:p>
            <w:pPr>
              <w:spacing w:line="280" w:lineRule="exact"/>
              <w:ind w:firstLine="0"/>
              <w:jc w:val="center"/>
              <w:rPr>
                <w:rFonts w:hint="eastAsia" w:eastAsia="宋体"/>
                <w:spacing w:val="-6"/>
                <w:sz w:val="21"/>
                <w:szCs w:val="21"/>
                <w:lang w:eastAsia="zh-CN"/>
              </w:rPr>
            </w:pPr>
            <w:r>
              <w:rPr>
                <w:rFonts w:hint="eastAsia" w:ascii="Times New Roman" w:hAnsi="Times New Roman"/>
                <w:spacing w:val="-6"/>
                <w:sz w:val="21"/>
                <w:szCs w:val="21"/>
                <w:lang w:eastAsia="zh-CN"/>
              </w:rPr>
              <w:t>PD</w:t>
            </w:r>
            <w:r>
              <w:rPr>
                <w:rFonts w:hint="eastAsia"/>
                <w:spacing w:val="-6"/>
                <w:sz w:val="21"/>
                <w:szCs w:val="21"/>
                <w:lang w:eastAsia="zh-CN"/>
              </w:rPr>
              <w:t>反应器</w:t>
            </w:r>
          </w:p>
        </w:tc>
        <w:tc>
          <w:tcPr>
            <w:tcW w:w="1486"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危险废物贮存库</w:t>
            </w:r>
          </w:p>
        </w:tc>
        <w:tc>
          <w:tcPr>
            <w:tcW w:w="1333"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废催化剂</w:t>
            </w:r>
          </w:p>
        </w:tc>
        <w:tc>
          <w:tcPr>
            <w:tcW w:w="3145"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具备委托处理协议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2" w:type="dxa"/>
            <w:noWrap w:val="0"/>
            <w:vAlign w:val="center"/>
          </w:tcPr>
          <w:p>
            <w:pPr>
              <w:spacing w:line="280" w:lineRule="exact"/>
              <w:ind w:firstLine="0"/>
              <w:jc w:val="center"/>
              <w:rPr>
                <w:rFonts w:hint="eastAsia"/>
                <w:spacing w:val="-6"/>
                <w:sz w:val="21"/>
                <w:szCs w:val="21"/>
              </w:rPr>
            </w:pPr>
            <w:r>
              <w:rPr>
                <w:rFonts w:hint="eastAsia"/>
                <w:spacing w:val="-6"/>
                <w:sz w:val="21"/>
                <w:szCs w:val="21"/>
              </w:rPr>
              <w:t>环境风险</w:t>
            </w:r>
          </w:p>
        </w:tc>
        <w:tc>
          <w:tcPr>
            <w:tcW w:w="917" w:type="dxa"/>
            <w:noWrap w:val="0"/>
            <w:vAlign w:val="center"/>
          </w:tcPr>
          <w:p>
            <w:pPr>
              <w:spacing w:line="280" w:lineRule="exact"/>
              <w:ind w:firstLine="0"/>
              <w:jc w:val="center"/>
              <w:rPr>
                <w:rFonts w:hint="eastAsia" w:eastAsia="宋体"/>
                <w:spacing w:val="-6"/>
                <w:sz w:val="21"/>
                <w:szCs w:val="21"/>
                <w:lang w:eastAsia="zh-CN"/>
              </w:rPr>
            </w:pPr>
            <w:r>
              <w:rPr>
                <w:rFonts w:hint="eastAsia"/>
                <w:spacing w:val="-6"/>
                <w:sz w:val="21"/>
                <w:szCs w:val="21"/>
                <w:lang w:eastAsia="zh-CN"/>
              </w:rPr>
              <w:t>罐区、尾气吸收塔</w:t>
            </w:r>
          </w:p>
        </w:tc>
        <w:tc>
          <w:tcPr>
            <w:tcW w:w="1631" w:type="dxa"/>
            <w:noWrap w:val="0"/>
            <w:vAlign w:val="center"/>
          </w:tcPr>
          <w:p>
            <w:pPr>
              <w:spacing w:line="280" w:lineRule="exact"/>
              <w:ind w:firstLine="0" w:firstLineChars="0"/>
              <w:jc w:val="center"/>
              <w:rPr>
                <w:rFonts w:hint="eastAsia" w:ascii="宋体" w:hAnsi="宋体" w:eastAsia="宋体" w:cs="Times New Roman"/>
                <w:spacing w:val="-6"/>
                <w:sz w:val="21"/>
                <w:szCs w:val="21"/>
                <w:lang w:val="en-US" w:eastAsia="zh-CN" w:bidi="ar-SA"/>
              </w:rPr>
            </w:pPr>
            <w:r>
              <w:rPr>
                <w:rFonts w:hint="eastAsia"/>
                <w:spacing w:val="-6"/>
                <w:sz w:val="21"/>
                <w:szCs w:val="21"/>
                <w:lang w:eastAsia="zh-CN"/>
              </w:rPr>
              <w:t>尾气吸收塔池体底板和壁板</w:t>
            </w:r>
            <w:r>
              <w:rPr>
                <w:rFonts w:hint="eastAsia"/>
                <w:spacing w:val="-6"/>
                <w:sz w:val="21"/>
                <w:szCs w:val="21"/>
              </w:rPr>
              <w:t>、</w:t>
            </w:r>
            <w:r>
              <w:rPr>
                <w:rFonts w:hint="eastAsia"/>
                <w:spacing w:val="-6"/>
                <w:sz w:val="21"/>
                <w:szCs w:val="21"/>
                <w:lang w:eastAsia="zh-CN"/>
              </w:rPr>
              <w:t>储罐基础</w:t>
            </w:r>
          </w:p>
        </w:tc>
        <w:tc>
          <w:tcPr>
            <w:tcW w:w="1486" w:type="dxa"/>
            <w:noWrap w:val="0"/>
            <w:vAlign w:val="center"/>
          </w:tcPr>
          <w:p>
            <w:pPr>
              <w:spacing w:line="280" w:lineRule="exact"/>
              <w:ind w:firstLine="0" w:firstLineChars="0"/>
              <w:jc w:val="center"/>
              <w:rPr>
                <w:rFonts w:hint="eastAsia" w:ascii="宋体" w:hAnsi="宋体" w:eastAsia="宋体" w:cs="Times New Roman"/>
                <w:spacing w:val="-6"/>
                <w:sz w:val="21"/>
                <w:szCs w:val="21"/>
                <w:lang w:val="en-US" w:eastAsia="zh-CN" w:bidi="ar-SA"/>
              </w:rPr>
            </w:pPr>
            <w:r>
              <w:rPr>
                <w:rFonts w:hint="eastAsia"/>
                <w:spacing w:val="-6"/>
                <w:sz w:val="21"/>
                <w:szCs w:val="21"/>
              </w:rPr>
              <w:t>重点防渗</w:t>
            </w:r>
          </w:p>
        </w:tc>
        <w:tc>
          <w:tcPr>
            <w:tcW w:w="1333" w:type="dxa"/>
            <w:noWrap w:val="0"/>
            <w:vAlign w:val="center"/>
          </w:tcPr>
          <w:p>
            <w:pPr>
              <w:spacing w:line="280" w:lineRule="exact"/>
              <w:ind w:firstLine="0" w:firstLineChars="0"/>
              <w:jc w:val="center"/>
              <w:rPr>
                <w:rFonts w:hint="eastAsia" w:ascii="宋体" w:hAnsi="宋体" w:eastAsia="宋体" w:cs="Times New Roman"/>
                <w:spacing w:val="-6"/>
                <w:sz w:val="21"/>
                <w:szCs w:val="21"/>
                <w:lang w:val="en-US" w:eastAsia="zh-CN" w:bidi="ar-SA"/>
              </w:rPr>
            </w:pPr>
            <w:r>
              <w:rPr>
                <w:rFonts w:hint="eastAsia"/>
                <w:spacing w:val="-6"/>
                <w:sz w:val="21"/>
                <w:szCs w:val="21"/>
              </w:rPr>
              <w:t>/</w:t>
            </w:r>
          </w:p>
        </w:tc>
        <w:tc>
          <w:tcPr>
            <w:tcW w:w="3145" w:type="dxa"/>
            <w:noWrap w:val="0"/>
            <w:vAlign w:val="center"/>
          </w:tcPr>
          <w:p>
            <w:pPr>
              <w:spacing w:line="280" w:lineRule="exact"/>
              <w:ind w:firstLine="0"/>
              <w:jc w:val="center"/>
              <w:rPr>
                <w:rFonts w:hint="eastAsia"/>
                <w:spacing w:val="-6"/>
                <w:sz w:val="21"/>
                <w:szCs w:val="21"/>
              </w:rPr>
            </w:pPr>
            <w:r>
              <w:rPr>
                <w:rFonts w:hint="eastAsia"/>
                <w:spacing w:val="-6"/>
                <w:sz w:val="21"/>
                <w:szCs w:val="21"/>
              </w:rPr>
              <w:t>按要求</w:t>
            </w:r>
            <w:r>
              <w:rPr>
                <w:rFonts w:hint="eastAsia"/>
                <w:spacing w:val="-6"/>
                <w:sz w:val="21"/>
                <w:szCs w:val="21"/>
                <w:lang w:eastAsia="zh-CN"/>
              </w:rPr>
              <w:t>落实</w:t>
            </w:r>
            <w:r>
              <w:rPr>
                <w:rFonts w:hint="eastAsia"/>
                <w:spacing w:val="-6"/>
                <w:sz w:val="21"/>
                <w:szCs w:val="21"/>
              </w:rPr>
              <w:t>厂区分区防渗，</w:t>
            </w:r>
            <w:r>
              <w:rPr>
                <w:rFonts w:hint="eastAsia"/>
                <w:spacing w:val="-6"/>
                <w:sz w:val="21"/>
                <w:szCs w:val="21"/>
                <w:lang w:eastAsia="zh-CN"/>
              </w:rPr>
              <w:t>具备监理资料，本项目纳入环境</w:t>
            </w:r>
            <w:r>
              <w:rPr>
                <w:rFonts w:hint="eastAsia"/>
                <w:spacing w:val="-6"/>
                <w:sz w:val="21"/>
                <w:szCs w:val="21"/>
              </w:rPr>
              <w:t>风险应急预案</w:t>
            </w:r>
          </w:p>
        </w:tc>
      </w:tr>
    </w:tbl>
    <w:p>
      <w:pPr>
        <w:bidi w:val="0"/>
        <w:rPr>
          <w:rFonts w:hint="eastAsia"/>
          <w:lang w:val="en-US" w:eastAsia="zh-CN"/>
        </w:rPr>
      </w:pPr>
    </w:p>
    <w:p>
      <w:pPr>
        <w:rPr>
          <w:rFonts w:hint="eastAsia" w:ascii="Times New Roman" w:hAnsi="Times New Roman"/>
          <w:lang w:val="en-US" w:eastAsia="zh-CN"/>
        </w:rPr>
      </w:pPr>
      <w:r>
        <w:rPr>
          <w:rFonts w:hint="eastAsia" w:ascii="Times New Roman" w:hAnsi="Times New Roman"/>
          <w:lang w:val="en-US" w:eastAsia="zh-CN"/>
        </w:rPr>
        <w:br w:type="page"/>
      </w:r>
    </w:p>
    <w:p>
      <w:pPr>
        <w:pStyle w:val="3"/>
        <w:numPr>
          <w:ilvl w:val="0"/>
          <w:numId w:val="0"/>
        </w:numPr>
        <w:tabs>
          <w:tab w:val="left" w:pos="4140"/>
        </w:tabs>
        <w:spacing w:before="0" w:after="0"/>
        <w:rPr>
          <w:rFonts w:hint="eastAsia" w:ascii="宋体" w:hAnsi="宋体"/>
          <w:sz w:val="32"/>
        </w:rPr>
      </w:pPr>
      <w:bookmarkStart w:id="295" w:name="_Toc1605"/>
      <w:r>
        <w:rPr>
          <w:rFonts w:hint="eastAsia" w:ascii="Times New Roman" w:hAnsi="Times New Roman"/>
          <w:lang w:val="en-US" w:eastAsia="zh-CN"/>
        </w:rPr>
        <w:t>10</w:t>
      </w:r>
      <w:r>
        <w:rPr>
          <w:rFonts w:hint="eastAsia"/>
          <w:lang w:val="en-US" w:eastAsia="zh-CN"/>
        </w:rPr>
        <w:t>环境影响评价</w:t>
      </w:r>
      <w:r>
        <w:rPr>
          <w:rFonts w:hint="eastAsia"/>
        </w:rPr>
        <w:t>结论</w:t>
      </w:r>
      <w:bookmarkEnd w:id="284"/>
      <w:bookmarkEnd w:id="285"/>
      <w:bookmarkEnd w:id="286"/>
      <w:bookmarkEnd w:id="287"/>
      <w:bookmarkEnd w:id="288"/>
      <w:bookmarkEnd w:id="289"/>
      <w:bookmarkEnd w:id="290"/>
      <w:bookmarkEnd w:id="291"/>
      <w:bookmarkEnd w:id="292"/>
      <w:bookmarkEnd w:id="293"/>
      <w:bookmarkEnd w:id="295"/>
    </w:p>
    <w:p>
      <w:pPr>
        <w:pStyle w:val="4"/>
        <w:spacing w:before="169" w:after="169"/>
        <w:rPr>
          <w:rFonts w:hint="eastAsia"/>
          <w:bCs w:val="0"/>
        </w:rPr>
      </w:pPr>
      <w:bookmarkStart w:id="296" w:name="_Toc112838107"/>
      <w:bookmarkStart w:id="297" w:name="_Toc323212390"/>
      <w:bookmarkStart w:id="298" w:name="_Toc214344530"/>
      <w:bookmarkStart w:id="299" w:name="_Toc119753610"/>
      <w:bookmarkStart w:id="300" w:name="_Toc298430010"/>
      <w:bookmarkStart w:id="301" w:name="_Toc341867296"/>
      <w:bookmarkStart w:id="302" w:name="_Toc122653924"/>
      <w:bookmarkStart w:id="303" w:name="_Toc226883573"/>
      <w:bookmarkStart w:id="304" w:name="_Toc2725"/>
      <w:bookmarkStart w:id="305" w:name="_Toc332975380"/>
      <w:bookmarkStart w:id="306" w:name="_Toc21882"/>
      <w:r>
        <w:rPr>
          <w:rFonts w:hint="eastAsia" w:ascii="Times New Roman" w:hAnsi="Times New Roman"/>
          <w:bCs w:val="0"/>
          <w:lang w:val="en-US" w:eastAsia="zh-CN"/>
        </w:rPr>
        <w:t>10</w:t>
      </w:r>
      <w:r>
        <w:rPr>
          <w:rFonts w:hint="eastAsia"/>
          <w:bCs w:val="0"/>
        </w:rPr>
        <w:t>.</w:t>
      </w:r>
      <w:r>
        <w:rPr>
          <w:rFonts w:hint="eastAsia" w:ascii="Times New Roman" w:hAnsi="Times New Roman"/>
          <w:bCs w:val="0"/>
        </w:rPr>
        <w:t>1</w:t>
      </w:r>
      <w:bookmarkEnd w:id="296"/>
      <w:r>
        <w:rPr>
          <w:rFonts w:hint="eastAsia"/>
          <w:bCs w:val="0"/>
        </w:rPr>
        <w:t>建设项目概况</w:t>
      </w:r>
      <w:bookmarkEnd w:id="297"/>
      <w:bookmarkEnd w:id="298"/>
      <w:bookmarkEnd w:id="299"/>
      <w:bookmarkEnd w:id="300"/>
      <w:bookmarkEnd w:id="301"/>
      <w:bookmarkEnd w:id="302"/>
      <w:bookmarkEnd w:id="303"/>
      <w:bookmarkEnd w:id="304"/>
      <w:bookmarkEnd w:id="305"/>
      <w:bookmarkEnd w:id="306"/>
    </w:p>
    <w:p>
      <w:pPr>
        <w:pStyle w:val="5"/>
        <w:spacing w:before="169"/>
        <w:rPr>
          <w:rFonts w:hint="eastAsia"/>
        </w:rPr>
      </w:pPr>
      <w:bookmarkStart w:id="307" w:name="_Toc298430013"/>
      <w:bookmarkStart w:id="308" w:name="_Toc323212393"/>
      <w:bookmarkStart w:id="309" w:name="_Toc332975383"/>
      <w:r>
        <w:rPr>
          <w:rFonts w:hint="eastAsia" w:ascii="Times New Roman" w:hAnsi="Times New Roman"/>
          <w:lang w:val="en-US" w:eastAsia="zh-CN"/>
        </w:rPr>
        <w:t>10</w:t>
      </w:r>
      <w:r>
        <w:rPr>
          <w:rFonts w:hint="eastAsia"/>
        </w:rPr>
        <w:t>.</w:t>
      </w:r>
      <w:r>
        <w:rPr>
          <w:rFonts w:hint="eastAsia" w:ascii="Times New Roman" w:hAnsi="Times New Roman"/>
        </w:rPr>
        <w:t>1</w:t>
      </w:r>
      <w:r>
        <w:rPr>
          <w:rFonts w:hint="eastAsia"/>
        </w:rPr>
        <w:t>.</w:t>
      </w:r>
      <w:r>
        <w:rPr>
          <w:rFonts w:hint="eastAsia" w:ascii="Times New Roman" w:hAnsi="Times New Roman"/>
        </w:rPr>
        <w:t>1</w:t>
      </w:r>
      <w:r>
        <w:rPr>
          <w:rFonts w:hint="eastAsia"/>
        </w:rPr>
        <w:t>基本情况</w:t>
      </w:r>
    </w:p>
    <w:p>
      <w:pPr>
        <w:ind w:firstLine="480"/>
        <w:rPr>
          <w:rFonts w:hint="eastAsia"/>
        </w:rPr>
      </w:pPr>
      <w:r>
        <w:rPr>
          <w:rFonts w:hint="eastAsia"/>
        </w:rPr>
        <w:t>项目名称：</w:t>
      </w:r>
      <w:r>
        <w:rPr>
          <w:rFonts w:hint="eastAsia"/>
          <w:lang w:eastAsia="zh-CN"/>
        </w:rPr>
        <w:t>凯赛（乌苏）生物材料有限公司年产</w:t>
      </w:r>
      <w:r>
        <w:rPr>
          <w:rFonts w:hint="eastAsia" w:ascii="Times New Roman" w:hAnsi="Times New Roman"/>
          <w:lang w:eastAsia="zh-CN"/>
        </w:rPr>
        <w:t>10000</w:t>
      </w:r>
      <w:r>
        <w:rPr>
          <w:rFonts w:hint="eastAsia"/>
          <w:lang w:eastAsia="zh-CN"/>
        </w:rPr>
        <w:t>吨</w:t>
      </w:r>
      <w:r>
        <w:rPr>
          <w:rFonts w:hint="eastAsia" w:ascii="Times New Roman" w:hAnsi="Times New Roman"/>
          <w:lang w:eastAsia="zh-CN"/>
        </w:rPr>
        <w:t>PD</w:t>
      </w:r>
      <w:r>
        <w:rPr>
          <w:rFonts w:hint="eastAsia"/>
        </w:rPr>
        <w:t>项目</w:t>
      </w:r>
    </w:p>
    <w:p>
      <w:pPr>
        <w:ind w:firstLine="480"/>
        <w:rPr>
          <w:rFonts w:hint="eastAsia"/>
        </w:rPr>
      </w:pPr>
      <w:r>
        <w:rPr>
          <w:rFonts w:hint="eastAsia"/>
        </w:rPr>
        <w:t>建设单位：</w:t>
      </w:r>
      <w:r>
        <w:rPr>
          <w:rFonts w:hint="eastAsia"/>
          <w:lang w:eastAsia="zh-CN"/>
        </w:rPr>
        <w:t>凯赛（乌苏）生物材料</w:t>
      </w:r>
      <w:r>
        <w:rPr>
          <w:rFonts w:hint="eastAsia"/>
        </w:rPr>
        <w:t>有限公司</w:t>
      </w:r>
    </w:p>
    <w:p>
      <w:pPr>
        <w:ind w:firstLine="480"/>
        <w:rPr>
          <w:rFonts w:hint="eastAsia"/>
        </w:rPr>
      </w:pPr>
      <w:r>
        <w:rPr>
          <w:rFonts w:hint="eastAsia"/>
        </w:rPr>
        <w:t>建设性质：</w:t>
      </w:r>
      <w:r>
        <w:rPr>
          <w:rFonts w:hint="eastAsia"/>
          <w:lang w:eastAsia="zh-CN"/>
        </w:rPr>
        <w:t>改扩</w:t>
      </w:r>
      <w:r>
        <w:rPr>
          <w:rFonts w:hint="eastAsia"/>
        </w:rPr>
        <w:t>建</w:t>
      </w:r>
    </w:p>
    <w:p>
      <w:pPr>
        <w:ind w:firstLine="480"/>
        <w:rPr>
          <w:rFonts w:hint="eastAsia" w:eastAsia="宋体"/>
          <w:lang w:eastAsia="zh-CN"/>
        </w:rPr>
      </w:pPr>
      <w:r>
        <w:rPr>
          <w:rFonts w:hint="eastAsia"/>
        </w:rPr>
        <w:t>建设地点：</w:t>
      </w:r>
      <w:r>
        <w:rPr>
          <w:rFonts w:hint="eastAsia"/>
          <w:lang w:eastAsia="zh-CN"/>
        </w:rPr>
        <w:t>乌苏工业园区西区</w:t>
      </w:r>
      <w:r>
        <w:rPr>
          <w:rFonts w:hint="eastAsia"/>
        </w:rPr>
        <w:t>，</w:t>
      </w:r>
      <w:r>
        <w:rPr>
          <w:rFonts w:hint="eastAsia"/>
          <w:lang w:eastAsia="zh-CN"/>
        </w:rPr>
        <w:t>项目</w:t>
      </w:r>
      <w:r>
        <w:rPr>
          <w:rFonts w:hint="eastAsia"/>
        </w:rPr>
        <w:t>中心地理坐标为：</w:t>
      </w:r>
      <w:r>
        <w:rPr>
          <w:rFonts w:hint="eastAsia" w:hAnsi="宋体" w:cs="宋体"/>
          <w:color w:val="auto"/>
          <w:highlight w:val="none"/>
        </w:rPr>
        <w:t xml:space="preserve">北纬 </w:t>
      </w:r>
      <w:r>
        <w:rPr>
          <w:rFonts w:hint="eastAsia" w:ascii="Times New Roman" w:hAnsi="Times New Roman" w:cs="宋体"/>
          <w:color w:val="auto"/>
          <w:highlight w:val="none"/>
        </w:rPr>
        <w:t>44</w:t>
      </w:r>
      <w:r>
        <w:rPr>
          <w:rFonts w:hint="eastAsia" w:hAnsi="宋体" w:cs="宋体"/>
          <w:color w:val="auto"/>
          <w:highlight w:val="none"/>
        </w:rPr>
        <w:t>°</w:t>
      </w:r>
      <w:r>
        <w:rPr>
          <w:rFonts w:hint="eastAsia" w:ascii="Times New Roman" w:hAnsi="Times New Roman" w:cs="宋体"/>
          <w:color w:val="auto"/>
          <w:highlight w:val="none"/>
        </w:rPr>
        <w:t>20</w:t>
      </w:r>
      <w:r>
        <w:rPr>
          <w:rFonts w:hint="eastAsia" w:hAnsi="宋体" w:cs="宋体"/>
          <w:color w:val="auto"/>
          <w:highlight w:val="none"/>
        </w:rPr>
        <w:t>′</w:t>
      </w:r>
      <w:r>
        <w:rPr>
          <w:rFonts w:hint="eastAsia" w:ascii="Times New Roman" w:hAnsi="Times New Roman" w:cs="宋体"/>
          <w:color w:val="auto"/>
          <w:highlight w:val="none"/>
          <w:lang w:val="en-US" w:eastAsia="zh-CN"/>
        </w:rPr>
        <w:t>16</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551</w:t>
      </w:r>
      <w:r>
        <w:rPr>
          <w:rFonts w:hint="eastAsia" w:cs="宋体"/>
          <w:color w:val="auto"/>
          <w:highlight w:val="none"/>
          <w:lang w:val="en-US" w:eastAsia="zh-CN"/>
        </w:rPr>
        <w:t>″</w:t>
      </w:r>
      <w:r>
        <w:rPr>
          <w:rFonts w:hint="eastAsia" w:hAnsi="宋体" w:cs="宋体"/>
          <w:color w:val="auto"/>
          <w:highlight w:val="none"/>
        </w:rPr>
        <w:t xml:space="preserve">，东经 </w:t>
      </w:r>
      <w:r>
        <w:rPr>
          <w:rFonts w:hint="eastAsia" w:ascii="Times New Roman" w:hAnsi="Times New Roman" w:cs="宋体"/>
          <w:color w:val="auto"/>
          <w:highlight w:val="none"/>
        </w:rPr>
        <w:t>84</w:t>
      </w:r>
      <w:r>
        <w:rPr>
          <w:rFonts w:hint="eastAsia" w:hAnsi="宋体" w:cs="宋体"/>
          <w:color w:val="auto"/>
          <w:highlight w:val="none"/>
        </w:rPr>
        <w:t>°</w:t>
      </w:r>
      <w:r>
        <w:rPr>
          <w:rFonts w:hint="eastAsia" w:ascii="Times New Roman" w:hAnsi="Times New Roman" w:cs="宋体"/>
          <w:color w:val="auto"/>
          <w:highlight w:val="none"/>
        </w:rPr>
        <w:t>16</w:t>
      </w:r>
      <w:r>
        <w:rPr>
          <w:rFonts w:hint="eastAsia" w:hAnsi="宋体" w:cs="宋体"/>
          <w:color w:val="auto"/>
          <w:highlight w:val="none"/>
        </w:rPr>
        <w:t>′</w:t>
      </w:r>
      <w:r>
        <w:rPr>
          <w:rFonts w:hint="eastAsia" w:ascii="Times New Roman" w:hAnsi="Times New Roman" w:cs="宋体"/>
          <w:color w:val="auto"/>
          <w:highlight w:val="none"/>
          <w:lang w:val="en-US" w:eastAsia="zh-CN"/>
        </w:rPr>
        <w:t>27</w:t>
      </w:r>
      <w:r>
        <w:rPr>
          <w:rFonts w:hint="eastAsia" w:cs="宋体"/>
          <w:color w:val="auto"/>
          <w:highlight w:val="none"/>
          <w:lang w:val="en-US" w:eastAsia="zh-CN"/>
        </w:rPr>
        <w:t>.</w:t>
      </w:r>
      <w:r>
        <w:rPr>
          <w:rFonts w:hint="eastAsia" w:ascii="Times New Roman" w:hAnsi="Times New Roman" w:cs="宋体"/>
          <w:color w:val="auto"/>
          <w:highlight w:val="none"/>
          <w:lang w:val="en-US" w:eastAsia="zh-CN"/>
        </w:rPr>
        <w:t>149</w:t>
      </w:r>
      <w:r>
        <w:rPr>
          <w:rFonts w:hint="eastAsia" w:cs="宋体"/>
          <w:color w:val="auto"/>
          <w:highlight w:val="none"/>
          <w:lang w:val="en-US" w:eastAsia="zh-CN"/>
        </w:rPr>
        <w:t>″</w:t>
      </w:r>
      <w:r>
        <w:rPr>
          <w:rFonts w:hint="eastAsia" w:hAnsi="宋体" w:cs="宋体"/>
          <w:color w:val="auto"/>
          <w:highlight w:val="none"/>
        </w:rPr>
        <w:t>。</w:t>
      </w:r>
    </w:p>
    <w:p>
      <w:pPr>
        <w:ind w:firstLine="480"/>
        <w:rPr>
          <w:rFonts w:hint="eastAsia"/>
        </w:rPr>
      </w:pPr>
      <w:r>
        <w:rPr>
          <w:rFonts w:hint="eastAsia"/>
        </w:rPr>
        <w:t>投资及环保投资：</w:t>
      </w:r>
      <w:r>
        <w:rPr>
          <w:rFonts w:hint="eastAsia"/>
          <w:lang w:eastAsia="zh-CN"/>
        </w:rPr>
        <w:t>本项目投资</w:t>
      </w:r>
      <w:r>
        <w:rPr>
          <w:rFonts w:hint="eastAsia" w:ascii="Times New Roman" w:hAnsi="Times New Roman"/>
          <w:lang w:val="en-US" w:eastAsia="zh-CN"/>
        </w:rPr>
        <w:t>1373</w:t>
      </w:r>
      <w:r>
        <w:rPr>
          <w:rFonts w:hint="eastAsia"/>
          <w:lang w:val="en-US" w:eastAsia="zh-CN"/>
        </w:rPr>
        <w:t>.</w:t>
      </w:r>
      <w:r>
        <w:rPr>
          <w:rFonts w:hint="eastAsia" w:ascii="Times New Roman" w:hAnsi="Times New Roman"/>
          <w:lang w:val="en-US" w:eastAsia="zh-CN"/>
        </w:rPr>
        <w:t>63</w:t>
      </w:r>
      <w:r>
        <w:rPr>
          <w:rFonts w:hint="eastAsia"/>
          <w:lang w:val="en-US" w:eastAsia="zh-CN"/>
        </w:rPr>
        <w:t>万元，</w:t>
      </w:r>
      <w:r>
        <w:rPr>
          <w:rFonts w:hint="default"/>
        </w:rPr>
        <w:t>其中环保投资</w:t>
      </w:r>
      <w:r>
        <w:rPr>
          <w:rFonts w:hint="eastAsia" w:ascii="Times New Roman" w:hAnsi="Times New Roman"/>
          <w:lang w:val="en-US" w:eastAsia="zh-CN"/>
        </w:rPr>
        <w:t>105</w:t>
      </w:r>
      <w:r>
        <w:rPr>
          <w:rFonts w:hint="default"/>
        </w:rPr>
        <w:t>万元，占总投资的</w:t>
      </w:r>
      <w:r>
        <w:rPr>
          <w:rFonts w:hint="eastAsia" w:ascii="Times New Roman" w:hAnsi="Times New Roman"/>
          <w:lang w:val="en-US" w:eastAsia="zh-CN"/>
        </w:rPr>
        <w:t>7</w:t>
      </w:r>
      <w:r>
        <w:rPr>
          <w:rFonts w:hint="eastAsia"/>
          <w:lang w:val="en-US" w:eastAsia="zh-CN"/>
        </w:rPr>
        <w:t>.</w:t>
      </w:r>
      <w:r>
        <w:rPr>
          <w:rFonts w:hint="eastAsia" w:ascii="Times New Roman" w:hAnsi="Times New Roman"/>
          <w:lang w:val="en-US" w:eastAsia="zh-CN"/>
        </w:rPr>
        <w:t>64</w:t>
      </w:r>
      <w:r>
        <w:rPr>
          <w:rFonts w:hint="default"/>
          <w:lang w:val="en-US"/>
        </w:rPr>
        <w:t>%</w:t>
      </w:r>
      <w:r>
        <w:rPr>
          <w:rFonts w:hint="default"/>
        </w:rPr>
        <w:t>。</w:t>
      </w:r>
    </w:p>
    <w:p>
      <w:pPr>
        <w:ind w:firstLine="480"/>
        <w:rPr>
          <w:rFonts w:hint="eastAsia"/>
        </w:rPr>
      </w:pPr>
      <w:r>
        <w:rPr>
          <w:rFonts w:hint="eastAsia"/>
        </w:rPr>
        <w:t>劳动定员及工作制度：</w:t>
      </w:r>
      <w:r>
        <w:rPr>
          <w:rFonts w:hint="eastAsia"/>
          <w:lang w:eastAsia="zh-CN"/>
        </w:rPr>
        <w:t>新增劳动定员</w:t>
      </w:r>
      <w:r>
        <w:rPr>
          <w:rFonts w:hint="eastAsia" w:ascii="Times New Roman" w:hAnsi="Times New Roman"/>
          <w:lang w:val="en-US" w:eastAsia="zh-CN"/>
        </w:rPr>
        <w:t>8</w:t>
      </w:r>
      <w:r>
        <w:rPr>
          <w:rFonts w:hint="eastAsia"/>
          <w:lang w:val="en-US" w:eastAsia="zh-CN"/>
        </w:rPr>
        <w:t>人，</w:t>
      </w:r>
      <w:r>
        <w:rPr>
          <w:rFonts w:hint="eastAsia"/>
          <w:lang w:eastAsia="zh-CN"/>
        </w:rPr>
        <w:t>三班制连续生产，</w:t>
      </w:r>
      <w:r>
        <w:rPr>
          <w:rFonts w:hint="default"/>
        </w:rPr>
        <w:t>年</w:t>
      </w:r>
      <w:r>
        <w:rPr>
          <w:rFonts w:hint="eastAsia"/>
          <w:lang w:eastAsia="zh-CN"/>
        </w:rPr>
        <w:t>操作时间</w:t>
      </w:r>
      <w:r>
        <w:rPr>
          <w:rFonts w:hint="eastAsia" w:ascii="Times New Roman" w:hAnsi="Times New Roman"/>
          <w:lang w:val="en-US" w:eastAsia="zh-CN"/>
        </w:rPr>
        <w:t>8000</w:t>
      </w:r>
      <w:r>
        <w:rPr>
          <w:rFonts w:hint="default" w:ascii="Times New Roman" w:hAnsi="Times New Roman"/>
        </w:rPr>
        <w:t>h</w:t>
      </w:r>
      <w:r>
        <w:rPr>
          <w:rFonts w:hint="default"/>
        </w:rPr>
        <w:t>/</w:t>
      </w:r>
      <w:r>
        <w:rPr>
          <w:rFonts w:hint="default" w:ascii="Times New Roman" w:hAnsi="Times New Roman"/>
        </w:rPr>
        <w:t>a</w:t>
      </w:r>
      <w:r>
        <w:rPr>
          <w:rFonts w:hint="default"/>
        </w:rPr>
        <w:t>。</w:t>
      </w:r>
    </w:p>
    <w:p>
      <w:pPr>
        <w:pStyle w:val="5"/>
        <w:spacing w:before="169"/>
        <w:rPr>
          <w:rFonts w:hint="eastAsia"/>
        </w:rPr>
      </w:pPr>
      <w:r>
        <w:rPr>
          <w:rFonts w:hint="eastAsia" w:ascii="Times New Roman" w:hAnsi="Times New Roman"/>
          <w:lang w:val="en-US" w:eastAsia="zh-CN"/>
        </w:rPr>
        <w:t>10</w:t>
      </w:r>
      <w:r>
        <w:rPr>
          <w:rFonts w:hint="eastAsia"/>
        </w:rPr>
        <w:t>.</w:t>
      </w:r>
      <w:r>
        <w:rPr>
          <w:rFonts w:hint="eastAsia" w:ascii="Times New Roman" w:hAnsi="Times New Roman"/>
        </w:rPr>
        <w:t>1</w:t>
      </w:r>
      <w:r>
        <w:rPr>
          <w:rFonts w:hint="eastAsia"/>
        </w:rPr>
        <w:t>.</w:t>
      </w:r>
      <w:r>
        <w:rPr>
          <w:rFonts w:hint="eastAsia" w:ascii="Times New Roman" w:hAnsi="Times New Roman"/>
        </w:rPr>
        <w:t>2</w:t>
      </w:r>
      <w:r>
        <w:rPr>
          <w:rFonts w:hint="eastAsia"/>
        </w:rPr>
        <w:t>建设内容</w:t>
      </w:r>
    </w:p>
    <w:p>
      <w:pPr>
        <w:ind w:firstLine="480"/>
        <w:rPr>
          <w:rFonts w:hint="eastAsia"/>
        </w:rPr>
      </w:pPr>
      <w:r>
        <w:rPr>
          <w:rFonts w:hint="eastAsia"/>
          <w:lang w:eastAsia="zh-CN"/>
        </w:rPr>
        <w:t>本项目依托现有工程的中间产物为原料，在厂区内建设年产</w:t>
      </w:r>
      <w:r>
        <w:rPr>
          <w:rFonts w:hint="eastAsia" w:ascii="Times New Roman" w:hAnsi="Times New Roman"/>
          <w:lang w:val="en-US" w:eastAsia="zh-CN"/>
        </w:rPr>
        <w:t>PD10000</w:t>
      </w:r>
      <w:r>
        <w:rPr>
          <w:rFonts w:hint="eastAsia"/>
          <w:lang w:val="en-US" w:eastAsia="zh-CN"/>
        </w:rPr>
        <w:t>吨生产线生产线，项目主要原料、给排水、供电、蒸汽等均依托厂内现有工程。</w:t>
      </w:r>
    </w:p>
    <w:p>
      <w:pPr>
        <w:pStyle w:val="5"/>
        <w:spacing w:before="169"/>
        <w:rPr>
          <w:rFonts w:hint="eastAsia"/>
        </w:rPr>
      </w:pPr>
      <w:r>
        <w:rPr>
          <w:rFonts w:hint="eastAsia" w:ascii="Times New Roman" w:hAnsi="Times New Roman"/>
          <w:lang w:val="en-US" w:eastAsia="zh-CN"/>
        </w:rPr>
        <w:t>10</w:t>
      </w:r>
      <w:r>
        <w:rPr>
          <w:rFonts w:hint="eastAsia"/>
        </w:rPr>
        <w:t>.</w:t>
      </w:r>
      <w:r>
        <w:rPr>
          <w:rFonts w:hint="eastAsia" w:ascii="Times New Roman" w:hAnsi="Times New Roman"/>
        </w:rPr>
        <w:t>1</w:t>
      </w:r>
      <w:r>
        <w:rPr>
          <w:rFonts w:hint="eastAsia"/>
        </w:rPr>
        <w:t>.</w:t>
      </w:r>
      <w:r>
        <w:rPr>
          <w:rFonts w:hint="eastAsia" w:ascii="Times New Roman" w:hAnsi="Times New Roman"/>
        </w:rPr>
        <w:t>3</w:t>
      </w:r>
      <w:r>
        <w:rPr>
          <w:rFonts w:hint="eastAsia"/>
        </w:rPr>
        <w:t>公用工程情况</w:t>
      </w:r>
    </w:p>
    <w:p>
      <w:pPr>
        <w:ind w:firstLine="480"/>
        <w:rPr>
          <w:rFonts w:hint="default"/>
          <w:lang w:val="en-US" w:eastAsia="zh-CN"/>
        </w:rPr>
      </w:pPr>
      <w:r>
        <w:rPr>
          <w:rFonts w:hint="eastAsia"/>
        </w:rPr>
        <w:t>给水：本项目用水</w:t>
      </w:r>
      <w:r>
        <w:rPr>
          <w:rFonts w:hint="eastAsia"/>
          <w:lang w:eastAsia="zh-CN"/>
        </w:rPr>
        <w:t>来自厂内现有工程给水管道</w:t>
      </w:r>
      <w:r>
        <w:rPr>
          <w:rFonts w:hint="eastAsia"/>
        </w:rPr>
        <w:t>，</w:t>
      </w:r>
      <w:r>
        <w:rPr>
          <w:rFonts w:hint="eastAsia"/>
          <w:lang w:eastAsia="zh-CN"/>
        </w:rPr>
        <w:t>包括循环水系统补水、纯水系统补水、吸收塔补水、装置地面冲洗用水、新增员工生活用水和未预见水。生产生活用水量为</w:t>
      </w:r>
      <w:r>
        <w:rPr>
          <w:rFonts w:hint="eastAsia" w:ascii="Times New Roman" w:hAnsi="Times New Roman"/>
          <w:lang w:val="en-US" w:eastAsia="zh-CN"/>
        </w:rPr>
        <w:t>13198</w:t>
      </w:r>
      <w:r>
        <w:rPr>
          <w:rFonts w:hint="eastAsia" w:ascii="Times New Roman" w:hAnsi="Times New Roman"/>
          <w:lang w:val="en-US" w:eastAsia="zh-CN"/>
        </w:rPr>
        <w:t>.</w:t>
      </w:r>
      <w:r>
        <w:rPr>
          <w:rFonts w:hint="eastAsia" w:ascii="Times New Roman" w:hAnsi="Times New Roman"/>
          <w:lang w:val="en-US" w:eastAsia="zh-CN"/>
        </w:rPr>
        <w:t>48m</w:t>
      </w:r>
      <w:r>
        <w:rPr>
          <w:rFonts w:hint="eastAsia"/>
          <w:lang w:val="en-US" w:eastAsia="zh-CN"/>
        </w:rPr>
        <w:t>³/</w:t>
      </w:r>
      <w:r>
        <w:rPr>
          <w:rFonts w:hint="eastAsia" w:ascii="Times New Roman" w:hAnsi="Times New Roman"/>
          <w:lang w:val="en-US" w:eastAsia="zh-CN"/>
        </w:rPr>
        <w:t>a</w:t>
      </w:r>
      <w:r>
        <w:rPr>
          <w:rFonts w:hint="eastAsia"/>
          <w:lang w:val="en-US" w:eastAsia="zh-CN"/>
        </w:rPr>
        <w:t>，纯水用量为</w:t>
      </w:r>
      <w:r>
        <w:rPr>
          <w:rFonts w:hint="eastAsia" w:ascii="Times New Roman" w:hAnsi="Times New Roman"/>
          <w:lang w:val="en-US" w:eastAsia="zh-CN"/>
        </w:rPr>
        <w:t>3600m</w:t>
      </w:r>
      <w:r>
        <w:rPr>
          <w:rFonts w:hint="eastAsia"/>
          <w:lang w:val="en-US" w:eastAsia="zh-CN"/>
        </w:rPr>
        <w:t>³/</w:t>
      </w:r>
      <w:r>
        <w:rPr>
          <w:rFonts w:hint="eastAsia" w:ascii="Times New Roman" w:hAnsi="Times New Roman"/>
          <w:lang w:val="en-US" w:eastAsia="zh-CN"/>
        </w:rPr>
        <w:t>a</w:t>
      </w:r>
      <w:r>
        <w:rPr>
          <w:rFonts w:hint="eastAsia"/>
          <w:lang w:val="en-US" w:eastAsia="zh-CN"/>
        </w:rPr>
        <w:t>。</w:t>
      </w:r>
    </w:p>
    <w:p>
      <w:pPr>
        <w:ind w:firstLine="480"/>
        <w:rPr>
          <w:rFonts w:hint="eastAsia" w:eastAsia="宋体"/>
          <w:lang w:eastAsia="zh-CN"/>
        </w:rPr>
      </w:pPr>
      <w:r>
        <w:rPr>
          <w:rFonts w:hint="eastAsia"/>
        </w:rPr>
        <w:t>排水：本项目</w:t>
      </w:r>
      <w:r>
        <w:rPr>
          <w:rFonts w:hint="eastAsia"/>
          <w:lang w:eastAsia="zh-CN"/>
        </w:rPr>
        <w:t>生产工艺过程不产生废水，废水主要来自装置地面冲洗废水（</w:t>
      </w:r>
      <w:r>
        <w:rPr>
          <w:rFonts w:hint="eastAsia" w:ascii="Times New Roman" w:hAnsi="Times New Roman"/>
          <w:lang w:val="en-US" w:eastAsia="zh-CN"/>
        </w:rPr>
        <w:t>266</w:t>
      </w:r>
      <w:r>
        <w:rPr>
          <w:rFonts w:hint="eastAsia" w:ascii="Times New Roman" w:hAnsi="Times New Roman"/>
          <w:lang w:val="en-US" w:eastAsia="zh-CN"/>
        </w:rPr>
        <w:t>.</w:t>
      </w:r>
      <w:r>
        <w:rPr>
          <w:rFonts w:hint="eastAsia" w:ascii="Times New Roman" w:hAnsi="Times New Roman"/>
          <w:lang w:val="en-US" w:eastAsia="zh-CN"/>
        </w:rPr>
        <w:t>02m</w:t>
      </w:r>
      <w:r>
        <w:rPr>
          <w:rFonts w:hint="eastAsia"/>
          <w:lang w:val="en-US" w:eastAsia="zh-CN"/>
        </w:rPr>
        <w:t>³/</w:t>
      </w:r>
      <w:r>
        <w:rPr>
          <w:rFonts w:hint="eastAsia" w:ascii="Times New Roman" w:hAnsi="Times New Roman"/>
          <w:lang w:val="en-US" w:eastAsia="zh-CN"/>
        </w:rPr>
        <w:t>a</w:t>
      </w:r>
      <w:r>
        <w:rPr>
          <w:rFonts w:hint="eastAsia"/>
          <w:lang w:eastAsia="zh-CN"/>
        </w:rPr>
        <w:t>）和新增员工生活污水（</w:t>
      </w:r>
      <w:r>
        <w:rPr>
          <w:rFonts w:hint="eastAsia" w:ascii="Times New Roman" w:hAnsi="Times New Roman"/>
          <w:lang w:val="en-US" w:eastAsia="zh-CN"/>
        </w:rPr>
        <w:t>213</w:t>
      </w:r>
      <w:r>
        <w:rPr>
          <w:rFonts w:hint="eastAsia" w:ascii="Times New Roman" w:hAnsi="Times New Roman"/>
          <w:lang w:val="en-US" w:eastAsia="zh-CN"/>
        </w:rPr>
        <w:t>.</w:t>
      </w:r>
      <w:r>
        <w:rPr>
          <w:rFonts w:hint="eastAsia" w:ascii="Times New Roman" w:hAnsi="Times New Roman"/>
          <w:lang w:val="en-US" w:eastAsia="zh-CN"/>
        </w:rPr>
        <w:t>12m</w:t>
      </w:r>
      <w:r>
        <w:rPr>
          <w:rFonts w:hint="eastAsia"/>
          <w:lang w:val="en-US" w:eastAsia="zh-CN"/>
        </w:rPr>
        <w:t>³/</w:t>
      </w:r>
      <w:r>
        <w:rPr>
          <w:rFonts w:hint="eastAsia" w:ascii="Times New Roman" w:hAnsi="Times New Roman"/>
          <w:lang w:val="en-US" w:eastAsia="zh-CN"/>
        </w:rPr>
        <w:t>a</w:t>
      </w:r>
      <w:r>
        <w:rPr>
          <w:rFonts w:hint="eastAsia"/>
          <w:lang w:eastAsia="zh-CN"/>
        </w:rPr>
        <w:t>）。</w:t>
      </w:r>
    </w:p>
    <w:p>
      <w:pPr>
        <w:ind w:firstLine="480"/>
        <w:rPr>
          <w:rFonts w:hint="eastAsia"/>
        </w:rPr>
      </w:pPr>
      <w:r>
        <w:rPr>
          <w:rFonts w:hint="eastAsia"/>
        </w:rPr>
        <w:t>供电：厂内建设变电所变电后使用</w:t>
      </w:r>
      <w:r>
        <w:rPr>
          <w:rFonts w:hint="eastAsia"/>
          <w:lang w:eastAsia="zh-CN"/>
        </w:rPr>
        <w:t>，泵项目新增配电室</w:t>
      </w:r>
      <w:r>
        <w:rPr>
          <w:rFonts w:hint="eastAsia"/>
        </w:rPr>
        <w:t>。</w:t>
      </w:r>
    </w:p>
    <w:p>
      <w:pPr>
        <w:ind w:firstLine="480"/>
        <w:rPr>
          <w:rFonts w:hint="eastAsia"/>
          <w:lang w:val="en-US" w:eastAsia="zh-CN"/>
        </w:rPr>
      </w:pPr>
      <w:r>
        <w:rPr>
          <w:rFonts w:hint="eastAsia"/>
          <w:lang w:eastAsia="zh-CN"/>
        </w:rPr>
        <w:t>氮气：本项目使用</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6MPa</w:t>
      </w:r>
      <w:r>
        <w:rPr>
          <w:rFonts w:hint="eastAsia"/>
          <w:lang w:val="en-US" w:eastAsia="zh-CN"/>
        </w:rPr>
        <w:t>（</w:t>
      </w:r>
      <w:r>
        <w:rPr>
          <w:rFonts w:hint="eastAsia" w:ascii="Times New Roman" w:hAnsi="Times New Roman"/>
          <w:lang w:val="en-US" w:eastAsia="zh-CN"/>
        </w:rPr>
        <w:t>G</w:t>
      </w:r>
      <w:r>
        <w:rPr>
          <w:rFonts w:hint="eastAsia"/>
          <w:lang w:val="en-US" w:eastAsia="zh-CN"/>
        </w:rPr>
        <w:t>）氮气作为工艺过程物料氮封使用，氮气来自现有工程氮气站。</w:t>
      </w:r>
    </w:p>
    <w:p>
      <w:pPr>
        <w:ind w:firstLine="480"/>
        <w:rPr>
          <w:rFonts w:hint="eastAsia"/>
        </w:rPr>
      </w:pPr>
      <w:r>
        <w:rPr>
          <w:rFonts w:hint="eastAsia"/>
        </w:rPr>
        <w:t>采暖通风：本项目</w:t>
      </w:r>
      <w:r>
        <w:rPr>
          <w:rFonts w:hint="eastAsia"/>
          <w:lang w:eastAsia="zh-CN"/>
        </w:rPr>
        <w:t>生产</w:t>
      </w:r>
      <w:r>
        <w:rPr>
          <w:rFonts w:hint="eastAsia"/>
        </w:rPr>
        <w:t>依托界区蒸汽管网</w:t>
      </w:r>
      <w:r>
        <w:rPr>
          <w:rFonts w:hint="eastAsia" w:ascii="Times New Roman" w:hAnsi="Times New Roman"/>
        </w:rPr>
        <w:t>0</w:t>
      </w:r>
      <w:r>
        <w:rPr>
          <w:rFonts w:hint="eastAsia"/>
        </w:rPr>
        <w:t>.</w:t>
      </w:r>
      <w:r>
        <w:rPr>
          <w:rFonts w:hint="eastAsia" w:ascii="Times New Roman" w:hAnsi="Times New Roman"/>
          <w:lang w:val="en-US" w:eastAsia="zh-CN"/>
        </w:rPr>
        <w:t>6</w:t>
      </w:r>
      <w:r>
        <w:rPr>
          <w:rFonts w:hint="eastAsia" w:ascii="Times New Roman" w:hAnsi="Times New Roman"/>
        </w:rPr>
        <w:t>MPa</w:t>
      </w:r>
      <w:r>
        <w:rPr>
          <w:rFonts w:hint="eastAsia"/>
        </w:rPr>
        <w:t>（</w:t>
      </w:r>
      <w:r>
        <w:rPr>
          <w:rFonts w:hint="eastAsia" w:ascii="Times New Roman" w:hAnsi="Times New Roman"/>
        </w:rPr>
        <w:t>G</w:t>
      </w:r>
      <w:r>
        <w:rPr>
          <w:rFonts w:hint="eastAsia"/>
        </w:rPr>
        <w:t>）饱和蒸汽，</w:t>
      </w:r>
      <w:r>
        <w:rPr>
          <w:rFonts w:hint="eastAsia"/>
          <w:lang w:eastAsia="zh-CN"/>
        </w:rPr>
        <w:t>通过</w:t>
      </w:r>
      <w:r>
        <w:rPr>
          <w:rFonts w:hint="eastAsia"/>
        </w:rPr>
        <w:t>减温减压为</w:t>
      </w:r>
      <w:r>
        <w:rPr>
          <w:rFonts w:hint="eastAsia" w:ascii="Times New Roman" w:hAnsi="Times New Roman"/>
          <w:lang w:val="en-US" w:eastAsia="zh-CN"/>
        </w:rPr>
        <w:t>0</w:t>
      </w:r>
      <w:r>
        <w:rPr>
          <w:rFonts w:hint="eastAsia"/>
          <w:lang w:val="en-US" w:eastAsia="zh-CN"/>
        </w:rPr>
        <w:t>.</w:t>
      </w:r>
      <w:r>
        <w:rPr>
          <w:rFonts w:hint="eastAsia" w:ascii="Times New Roman" w:hAnsi="Times New Roman"/>
          <w:lang w:val="en-US" w:eastAsia="zh-CN"/>
        </w:rPr>
        <w:t>3MPa</w:t>
      </w:r>
      <w:r>
        <w:rPr>
          <w:rFonts w:hint="eastAsia"/>
          <w:lang w:val="en-US" w:eastAsia="zh-CN"/>
        </w:rPr>
        <w:t>（</w:t>
      </w:r>
      <w:r>
        <w:rPr>
          <w:rFonts w:hint="eastAsia" w:ascii="Times New Roman" w:hAnsi="Times New Roman"/>
          <w:lang w:val="en-US" w:eastAsia="zh-CN"/>
        </w:rPr>
        <w:t>G</w:t>
      </w:r>
      <w:r>
        <w:rPr>
          <w:rFonts w:hint="eastAsia"/>
          <w:lang w:val="en-US" w:eastAsia="zh-CN"/>
        </w:rPr>
        <w:t>）和</w:t>
      </w:r>
      <w:r>
        <w:rPr>
          <w:rFonts w:hint="eastAsia"/>
        </w:rPr>
        <w:t xml:space="preserve"> </w:t>
      </w:r>
      <w:r>
        <w:rPr>
          <w:rFonts w:hint="eastAsia" w:ascii="Times New Roman" w:hAnsi="Times New Roman"/>
        </w:rPr>
        <w:t>0</w:t>
      </w:r>
      <w:r>
        <w:rPr>
          <w:rFonts w:hint="eastAsia"/>
        </w:rPr>
        <w:t>.</w:t>
      </w:r>
      <w:r>
        <w:rPr>
          <w:rFonts w:hint="eastAsia" w:ascii="Times New Roman" w:hAnsi="Times New Roman"/>
        </w:rPr>
        <w:t>15MPa</w:t>
      </w:r>
      <w:r>
        <w:rPr>
          <w:rFonts w:hint="eastAsia"/>
        </w:rPr>
        <w:t>（</w:t>
      </w:r>
      <w:r>
        <w:rPr>
          <w:rFonts w:hint="eastAsia" w:ascii="Times New Roman" w:hAnsi="Times New Roman"/>
        </w:rPr>
        <w:t>G</w:t>
      </w:r>
      <w:r>
        <w:rPr>
          <w:rFonts w:hint="eastAsia"/>
        </w:rPr>
        <w:t>）</w:t>
      </w:r>
      <w:r>
        <w:rPr>
          <w:rFonts w:hint="eastAsia"/>
          <w:lang w:eastAsia="zh-CN"/>
        </w:rPr>
        <w:t>分别用于管道保温和</w:t>
      </w:r>
      <w:r>
        <w:rPr>
          <w:rFonts w:hint="eastAsia"/>
        </w:rPr>
        <w:t>采暖。</w:t>
      </w:r>
    </w:p>
    <w:p>
      <w:pPr>
        <w:ind w:firstLine="480"/>
        <w:rPr>
          <w:rFonts w:hint="eastAsia"/>
        </w:rPr>
      </w:pPr>
      <w:r>
        <w:rPr>
          <w:rFonts w:hint="eastAsia"/>
          <w:lang w:eastAsia="zh-CN"/>
        </w:rPr>
        <w:t>本项目以自然通风为主，配套机械通风</w:t>
      </w:r>
      <w:r>
        <w:rPr>
          <w:rFonts w:hint="eastAsia"/>
        </w:rPr>
        <w:t>。</w:t>
      </w:r>
    </w:p>
    <w:p>
      <w:pPr>
        <w:pStyle w:val="4"/>
        <w:spacing w:before="169" w:after="169"/>
        <w:rPr>
          <w:rFonts w:hint="eastAsia"/>
          <w:bCs w:val="0"/>
        </w:rPr>
      </w:pPr>
      <w:bookmarkStart w:id="310" w:name="_Toc341867297"/>
      <w:bookmarkStart w:id="311" w:name="_Toc31562"/>
      <w:bookmarkStart w:id="312" w:name="_Toc7421"/>
      <w:r>
        <w:rPr>
          <w:rFonts w:hint="eastAsia" w:ascii="Times New Roman" w:hAnsi="Times New Roman"/>
          <w:bCs w:val="0"/>
          <w:lang w:val="en-US" w:eastAsia="zh-CN"/>
        </w:rPr>
        <w:t>10</w:t>
      </w:r>
      <w:r>
        <w:rPr>
          <w:rFonts w:hint="eastAsia"/>
          <w:bCs w:val="0"/>
        </w:rPr>
        <w:t>.</w:t>
      </w:r>
      <w:r>
        <w:rPr>
          <w:rFonts w:hint="eastAsia" w:ascii="Times New Roman" w:hAnsi="Times New Roman"/>
          <w:bCs w:val="0"/>
        </w:rPr>
        <w:t>2</w:t>
      </w:r>
      <w:r>
        <w:rPr>
          <w:rFonts w:hint="eastAsia"/>
          <w:bCs w:val="0"/>
        </w:rPr>
        <w:t>环境质量现状</w:t>
      </w:r>
      <w:bookmarkEnd w:id="307"/>
      <w:bookmarkEnd w:id="308"/>
      <w:bookmarkEnd w:id="309"/>
      <w:bookmarkEnd w:id="310"/>
      <w:r>
        <w:rPr>
          <w:rFonts w:hint="eastAsia"/>
          <w:bCs w:val="0"/>
        </w:rPr>
        <w:t>结论</w:t>
      </w:r>
      <w:bookmarkEnd w:id="311"/>
      <w:bookmarkEnd w:id="312"/>
    </w:p>
    <w:p>
      <w:pPr>
        <w:pStyle w:val="5"/>
        <w:spacing w:before="169"/>
        <w:rPr>
          <w:rFonts w:hint="eastAsia"/>
        </w:rPr>
      </w:pPr>
      <w:bookmarkStart w:id="313" w:name="_Toc332975384"/>
      <w:bookmarkStart w:id="314" w:name="_Toc323212394"/>
      <w:bookmarkStart w:id="315" w:name="_Toc226883575"/>
      <w:bookmarkStart w:id="316" w:name="_Toc214344532"/>
      <w:bookmarkStart w:id="317" w:name="_Toc298430014"/>
      <w:bookmarkStart w:id="318" w:name="_Toc341867298"/>
      <w:r>
        <w:rPr>
          <w:rFonts w:hint="eastAsia" w:ascii="Times New Roman" w:hAnsi="Times New Roman"/>
          <w:lang w:val="en-US" w:eastAsia="zh-CN"/>
        </w:rPr>
        <w:t>10</w:t>
      </w:r>
      <w:r>
        <w:t>.</w:t>
      </w:r>
      <w:r>
        <w:rPr>
          <w:rFonts w:ascii="Times New Roman" w:hAnsi="Times New Roman"/>
        </w:rPr>
        <w:t>2</w:t>
      </w:r>
      <w:r>
        <w:rPr>
          <w:rFonts w:hint="eastAsia"/>
        </w:rPr>
        <w:t>.</w:t>
      </w:r>
      <w:r>
        <w:rPr>
          <w:rFonts w:hint="eastAsia" w:ascii="Times New Roman" w:hAnsi="Times New Roman"/>
        </w:rPr>
        <w:t>1</w:t>
      </w:r>
      <w:r>
        <w:rPr>
          <w:rFonts w:hint="eastAsia"/>
        </w:rPr>
        <w:t>环境空气</w:t>
      </w:r>
      <w:bookmarkEnd w:id="313"/>
      <w:bookmarkEnd w:id="314"/>
      <w:bookmarkEnd w:id="315"/>
      <w:bookmarkEnd w:id="316"/>
      <w:bookmarkEnd w:id="317"/>
      <w:bookmarkEnd w:id="318"/>
    </w:p>
    <w:p>
      <w:pPr>
        <w:ind w:firstLine="480"/>
        <w:rPr>
          <w:rFonts w:hint="default" w:eastAsia="宋体"/>
          <w:lang w:val="en-US" w:eastAsia="zh-CN"/>
        </w:rPr>
      </w:pPr>
      <w:r>
        <w:rPr>
          <w:rFonts w:hint="eastAsia"/>
        </w:rPr>
        <w:t>根据</w:t>
      </w:r>
      <w:r>
        <w:rPr>
          <w:rFonts w:hint="eastAsia"/>
          <w:lang w:eastAsia="zh-CN"/>
        </w:rPr>
        <w:t>环境空气质量模型技术支持服务系统</w:t>
      </w:r>
      <w:r>
        <w:rPr>
          <w:rFonts w:hint="eastAsia" w:ascii="Times New Roman" w:hAnsi="Times New Roman"/>
          <w:lang w:val="en-US" w:eastAsia="zh-CN"/>
        </w:rPr>
        <w:t>2021</w:t>
      </w:r>
      <w:r>
        <w:rPr>
          <w:rFonts w:hint="eastAsia"/>
          <w:lang w:val="en-US" w:eastAsia="zh-CN"/>
        </w:rPr>
        <w:t>年塔城地区环境空气质量统计数据，项目所在地环境空气质量满足《环境空气质量标准》（</w:t>
      </w:r>
      <w:r>
        <w:rPr>
          <w:rFonts w:hint="eastAsia" w:ascii="Times New Roman" w:hAnsi="Times New Roman"/>
          <w:lang w:val="en-US" w:eastAsia="zh-CN"/>
        </w:rPr>
        <w:t>GB3095</w:t>
      </w:r>
      <w:r>
        <w:rPr>
          <w:rFonts w:hint="eastAsia"/>
          <w:lang w:val="en-US" w:eastAsia="zh-CN"/>
        </w:rPr>
        <w:t>-</w:t>
      </w:r>
      <w:r>
        <w:rPr>
          <w:rFonts w:hint="eastAsia" w:ascii="Times New Roman" w:hAnsi="Times New Roman"/>
          <w:lang w:val="en-US" w:eastAsia="zh-CN"/>
        </w:rPr>
        <w:t>2012</w:t>
      </w:r>
      <w:r>
        <w:rPr>
          <w:rFonts w:hint="eastAsia"/>
          <w:lang w:val="en-US" w:eastAsia="zh-CN"/>
        </w:rPr>
        <w:t>）二级标准，属于环境空气质量达标区</w:t>
      </w:r>
      <w:r>
        <w:rPr>
          <w:rFonts w:hint="eastAsia"/>
        </w:rPr>
        <w:t>。</w:t>
      </w:r>
      <w:r>
        <w:rPr>
          <w:rFonts w:hint="eastAsia"/>
          <w:lang w:eastAsia="zh-CN"/>
        </w:rPr>
        <w:t>根据补充的现状监测，项目特征污染物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eastAsia="zh-CN"/>
        </w:rPr>
        <w:t>浓度满足《环境影响评价技术导则</w:t>
      </w:r>
      <w:r>
        <w:rPr>
          <w:rFonts w:hint="eastAsia"/>
          <w:lang w:val="en-US" w:eastAsia="zh-CN"/>
        </w:rPr>
        <w:t xml:space="preserve"> 大气环境</w:t>
      </w:r>
      <w:r>
        <w:rPr>
          <w:rFonts w:hint="eastAsia"/>
          <w:lang w:eastAsia="zh-CN"/>
        </w:rPr>
        <w:t>》（</w:t>
      </w:r>
      <w:r>
        <w:rPr>
          <w:rFonts w:hint="eastAsia" w:ascii="Times New Roman" w:hAnsi="Times New Roman"/>
          <w:lang w:val="en-US" w:eastAsia="zh-CN"/>
        </w:rPr>
        <w:t>HJ2</w:t>
      </w:r>
      <w:r>
        <w:rPr>
          <w:rFonts w:hint="eastAsia"/>
          <w:lang w:val="en-US" w:eastAsia="zh-CN"/>
        </w:rPr>
        <w:t>.</w:t>
      </w:r>
      <w:r>
        <w:rPr>
          <w:rFonts w:hint="eastAsia" w:ascii="Times New Roman" w:hAnsi="Times New Roman"/>
          <w:lang w:val="en-US" w:eastAsia="zh-CN"/>
        </w:rPr>
        <w:t>2</w:t>
      </w:r>
      <w:r>
        <w:rPr>
          <w:rFonts w:hint="eastAsia"/>
          <w:lang w:val="en-US" w:eastAsia="zh-CN"/>
        </w:rPr>
        <w:t>-</w:t>
      </w:r>
      <w:r>
        <w:rPr>
          <w:rFonts w:hint="eastAsia" w:ascii="Times New Roman" w:hAnsi="Times New Roman"/>
          <w:lang w:val="en-US" w:eastAsia="zh-CN"/>
        </w:rPr>
        <w:t>2018</w:t>
      </w:r>
      <w:r>
        <w:rPr>
          <w:rFonts w:hint="eastAsia"/>
          <w:lang w:eastAsia="zh-CN"/>
        </w:rPr>
        <w:t>）附录</w:t>
      </w:r>
      <w:r>
        <w:rPr>
          <w:rFonts w:hint="eastAsia" w:ascii="Times New Roman" w:hAnsi="Times New Roman"/>
          <w:lang w:val="en-US" w:eastAsia="zh-CN"/>
        </w:rPr>
        <w:t>D</w:t>
      </w:r>
      <w:r>
        <w:rPr>
          <w:rFonts w:hint="eastAsia"/>
          <w:lang w:val="en-US" w:eastAsia="zh-CN"/>
        </w:rPr>
        <w:t>其他污染物空气质量参考浓度。</w:t>
      </w:r>
      <w:r>
        <w:rPr>
          <w:rFonts w:hint="eastAsia" w:ascii="Times New Roman" w:hAnsi="Times New Roman"/>
          <w:lang w:val="en-US" w:eastAsia="zh-CN"/>
        </w:rPr>
        <w:t>NMHC</w:t>
      </w:r>
      <w:r>
        <w:rPr>
          <w:rFonts w:hint="eastAsia"/>
          <w:lang w:val="en-US" w:eastAsia="zh-CN"/>
        </w:rPr>
        <w:t>浓度满足《大气污染物综合排放标准详解》推荐限值。</w:t>
      </w:r>
    </w:p>
    <w:p>
      <w:pPr>
        <w:pStyle w:val="5"/>
        <w:spacing w:before="169"/>
        <w:rPr>
          <w:rFonts w:hint="eastAsia"/>
        </w:rPr>
      </w:pPr>
      <w:bookmarkStart w:id="319" w:name="_Toc226883576"/>
      <w:bookmarkStart w:id="320" w:name="_Toc332975385"/>
      <w:bookmarkStart w:id="321" w:name="_Toc323212395"/>
      <w:bookmarkStart w:id="322" w:name="_Toc298430015"/>
      <w:bookmarkStart w:id="323" w:name="_Toc214344533"/>
      <w:bookmarkStart w:id="324" w:name="_Toc341867299"/>
      <w:r>
        <w:rPr>
          <w:rFonts w:hint="eastAsia" w:ascii="Times New Roman" w:hAnsi="Times New Roman"/>
          <w:lang w:val="en-US" w:eastAsia="zh-CN"/>
        </w:rPr>
        <w:t>10</w:t>
      </w:r>
      <w:r>
        <w:rPr>
          <w:rFonts w:hint="eastAsia"/>
        </w:rPr>
        <w:t>.</w:t>
      </w:r>
      <w:r>
        <w:rPr>
          <w:rFonts w:hint="eastAsia" w:ascii="Times New Roman" w:hAnsi="Times New Roman"/>
        </w:rPr>
        <w:t>2</w:t>
      </w:r>
      <w:r>
        <w:rPr>
          <w:rFonts w:hint="eastAsia"/>
        </w:rPr>
        <w:t>.</w:t>
      </w:r>
      <w:r>
        <w:rPr>
          <w:rFonts w:hint="eastAsia" w:ascii="Times New Roman" w:hAnsi="Times New Roman"/>
        </w:rPr>
        <w:t>2</w:t>
      </w:r>
      <w:bookmarkEnd w:id="319"/>
      <w:bookmarkEnd w:id="320"/>
      <w:bookmarkEnd w:id="321"/>
      <w:bookmarkEnd w:id="322"/>
      <w:bookmarkEnd w:id="323"/>
      <w:bookmarkEnd w:id="324"/>
      <w:bookmarkStart w:id="325" w:name="_Toc341867300"/>
      <w:bookmarkStart w:id="326" w:name="_Toc226883577"/>
      <w:bookmarkStart w:id="327" w:name="_Toc298430016"/>
      <w:bookmarkStart w:id="328" w:name="_Toc214344535"/>
      <w:bookmarkStart w:id="329" w:name="_Toc323212396"/>
      <w:bookmarkStart w:id="330" w:name="_Toc332975386"/>
      <w:r>
        <w:rPr>
          <w:rFonts w:hint="eastAsia"/>
        </w:rPr>
        <w:t>地下水</w:t>
      </w:r>
      <w:bookmarkEnd w:id="325"/>
    </w:p>
    <w:p>
      <w:pPr>
        <w:ind w:firstLine="480"/>
        <w:rPr>
          <w:rFonts w:hint="eastAsia"/>
        </w:rPr>
      </w:pPr>
      <w:bookmarkStart w:id="331" w:name="_Toc341867301"/>
      <w:r>
        <w:rPr>
          <w:rFonts w:hint="eastAsia" w:ascii="Times New Roman"/>
          <w:lang w:eastAsia="zh-CN"/>
        </w:rPr>
        <w:t>根据《凯赛（乌苏）生物材料有限公司年产</w:t>
      </w:r>
      <w:r>
        <w:rPr>
          <w:rFonts w:hint="eastAsia" w:ascii="Times New Roman" w:hAnsi="Times New Roman"/>
          <w:lang w:val="en-US" w:eastAsia="zh-CN"/>
        </w:rPr>
        <w:t>10</w:t>
      </w:r>
      <w:r>
        <w:rPr>
          <w:rFonts w:hint="eastAsia" w:ascii="Times New Roman"/>
          <w:lang w:val="en-US" w:eastAsia="zh-CN"/>
        </w:rPr>
        <w:t>万吨生物基聚酰胺项目</w:t>
      </w:r>
      <w:r>
        <w:rPr>
          <w:rFonts w:hint="eastAsia" w:ascii="Times New Roman"/>
          <w:lang w:eastAsia="zh-CN"/>
        </w:rPr>
        <w:t>环境影响后评价》和《凯赛（乌苏）生物材料有限公司废气废水监测项目</w:t>
      </w:r>
      <w:r>
        <w:rPr>
          <w:rFonts w:hint="eastAsia" w:ascii="Times New Roman" w:hAnsi="Times New Roman"/>
          <w:lang w:val="en-US" w:eastAsia="zh-CN"/>
        </w:rPr>
        <w:t>2022</w:t>
      </w:r>
      <w:r>
        <w:rPr>
          <w:rFonts w:hint="eastAsia" w:ascii="Times New Roman"/>
          <w:lang w:val="en-US" w:eastAsia="zh-CN"/>
        </w:rPr>
        <w:t>年第三季度例行监测报告</w:t>
      </w:r>
      <w:r>
        <w:rPr>
          <w:rFonts w:hint="eastAsia" w:ascii="Times New Roman"/>
          <w:lang w:eastAsia="zh-CN"/>
        </w:rPr>
        <w:t>》，</w:t>
      </w:r>
      <w:r>
        <w:rPr>
          <w:rFonts w:hint="eastAsia" w:ascii="Times New Roman"/>
        </w:rPr>
        <w:t>本项目区域地下水监测因子满足《地下水质量标准》（</w:t>
      </w:r>
      <w:r>
        <w:rPr>
          <w:rFonts w:hint="eastAsia" w:ascii="Times New Roman" w:hAnsi="Times New Roman"/>
        </w:rPr>
        <w:t>GB</w:t>
      </w:r>
      <w:r>
        <w:rPr>
          <w:rFonts w:hint="eastAsia" w:ascii="Times New Roman"/>
        </w:rPr>
        <w:t>/</w:t>
      </w:r>
      <w:r>
        <w:rPr>
          <w:rFonts w:hint="eastAsia" w:ascii="Times New Roman" w:hAnsi="Times New Roman"/>
        </w:rPr>
        <w:t>T14848</w:t>
      </w:r>
      <w:r>
        <w:rPr>
          <w:rFonts w:hint="eastAsia" w:ascii="Times New Roman"/>
        </w:rPr>
        <w:t>-</w:t>
      </w:r>
      <w:r>
        <w:rPr>
          <w:rFonts w:hint="eastAsia" w:ascii="Times New Roman" w:hAnsi="Times New Roman"/>
        </w:rPr>
        <w:t>2017</w:t>
      </w:r>
      <w:r>
        <w:rPr>
          <w:rFonts w:hint="eastAsia" w:ascii="Times New Roman"/>
        </w:rPr>
        <w:t>）Ⅲ类标准。</w:t>
      </w:r>
    </w:p>
    <w:p>
      <w:pPr>
        <w:pStyle w:val="5"/>
        <w:spacing w:before="169"/>
        <w:rPr>
          <w:rFonts w:hint="eastAsia"/>
        </w:rPr>
      </w:pPr>
      <w:r>
        <w:rPr>
          <w:rFonts w:hint="eastAsia" w:ascii="Times New Roman" w:hAnsi="Times New Roman"/>
          <w:lang w:val="en-US" w:eastAsia="zh-CN"/>
        </w:rPr>
        <w:t>10</w:t>
      </w:r>
      <w:r>
        <w:rPr>
          <w:rFonts w:hint="eastAsia"/>
        </w:rPr>
        <w:t>.</w:t>
      </w:r>
      <w:r>
        <w:rPr>
          <w:rFonts w:hint="eastAsia" w:ascii="Times New Roman" w:hAnsi="Times New Roman"/>
        </w:rPr>
        <w:t>2</w:t>
      </w:r>
      <w:r>
        <w:rPr>
          <w:rFonts w:hint="eastAsia"/>
        </w:rPr>
        <w:t>.</w:t>
      </w:r>
      <w:r>
        <w:rPr>
          <w:rFonts w:hint="eastAsia" w:ascii="Times New Roman" w:hAnsi="Times New Roman"/>
        </w:rPr>
        <w:t>3</w:t>
      </w:r>
      <w:r>
        <w:rPr>
          <w:rFonts w:hint="eastAsia"/>
        </w:rPr>
        <w:t>声环境</w:t>
      </w:r>
      <w:bookmarkEnd w:id="326"/>
      <w:bookmarkEnd w:id="327"/>
      <w:bookmarkEnd w:id="328"/>
      <w:bookmarkEnd w:id="329"/>
      <w:bookmarkEnd w:id="330"/>
      <w:bookmarkEnd w:id="331"/>
    </w:p>
    <w:p>
      <w:pPr>
        <w:ind w:firstLine="480"/>
        <w:rPr>
          <w:rFonts w:hint="eastAsia"/>
        </w:rPr>
      </w:pPr>
      <w:r>
        <w:rPr>
          <w:rFonts w:hint="eastAsia"/>
          <w:lang w:eastAsia="zh-CN"/>
        </w:rPr>
        <w:t>根据建设单位</w:t>
      </w:r>
      <w:r>
        <w:rPr>
          <w:rFonts w:hint="eastAsia" w:ascii="Times New Roman" w:hAnsi="Times New Roman"/>
          <w:lang w:val="en-US" w:eastAsia="zh-CN"/>
        </w:rPr>
        <w:t>2023</w:t>
      </w:r>
      <w:r>
        <w:rPr>
          <w:rFonts w:hint="eastAsia"/>
          <w:lang w:val="en-US" w:eastAsia="zh-CN"/>
        </w:rPr>
        <w:t>年第二季度厂界噪声监测</w:t>
      </w:r>
      <w:r>
        <w:t>结果表明，</w:t>
      </w:r>
      <w:r>
        <w:rPr>
          <w:rFonts w:hint="eastAsia"/>
          <w:lang w:eastAsia="zh-CN"/>
        </w:rPr>
        <w:t>本</w:t>
      </w:r>
      <w:r>
        <w:rPr>
          <w:rFonts w:hint="eastAsia"/>
        </w:rPr>
        <w:t>项目</w:t>
      </w:r>
      <w:r>
        <w:rPr>
          <w:rFonts w:hint="eastAsia"/>
          <w:lang w:eastAsia="zh-CN"/>
        </w:rPr>
        <w:t>所在厂区</w:t>
      </w:r>
      <w:r>
        <w:rPr>
          <w:rFonts w:hint="eastAsia"/>
        </w:rPr>
        <w:t>厂界昼间、夜间噪声现状均符合</w:t>
      </w:r>
      <w:r>
        <w:t>《声环境质量标准》</w:t>
      </w:r>
      <w:r>
        <w:rPr>
          <w:rFonts w:hint="eastAsia" w:ascii="Times New Roman" w:hAnsi="Times New Roman"/>
        </w:rPr>
        <w:t>3</w:t>
      </w:r>
      <w:r>
        <w:t>类</w:t>
      </w:r>
      <w:r>
        <w:rPr>
          <w:rFonts w:hint="eastAsia"/>
        </w:rPr>
        <w:t>标准。</w:t>
      </w:r>
    </w:p>
    <w:p>
      <w:pPr>
        <w:pStyle w:val="5"/>
        <w:spacing w:before="169"/>
      </w:pPr>
      <w:bookmarkStart w:id="332" w:name="_Toc1762"/>
      <w:bookmarkStart w:id="333" w:name="_Toc226883578"/>
      <w:bookmarkStart w:id="334" w:name="_Toc298430017"/>
      <w:bookmarkStart w:id="335" w:name="_Toc323212397"/>
      <w:bookmarkStart w:id="336" w:name="_Toc332975387"/>
      <w:bookmarkStart w:id="337" w:name="_Toc214344536"/>
      <w:bookmarkStart w:id="338" w:name="_Toc341867302"/>
      <w:r>
        <w:rPr>
          <w:rFonts w:hint="eastAsia" w:ascii="Times New Roman" w:hAnsi="Times New Roman"/>
          <w:lang w:val="en-US" w:eastAsia="zh-CN"/>
        </w:rPr>
        <w:t>10</w:t>
      </w:r>
      <w:r>
        <w:rPr>
          <w:rFonts w:hint="eastAsia"/>
        </w:rPr>
        <w:t>.</w:t>
      </w:r>
      <w:r>
        <w:rPr>
          <w:rFonts w:hint="eastAsia" w:ascii="Times New Roman" w:hAnsi="Times New Roman"/>
        </w:rPr>
        <w:t>2</w:t>
      </w:r>
      <w:r>
        <w:rPr>
          <w:rFonts w:hint="eastAsia"/>
        </w:rPr>
        <w:t>.</w:t>
      </w:r>
      <w:r>
        <w:rPr>
          <w:rFonts w:hint="eastAsia" w:ascii="Times New Roman" w:hAnsi="Times New Roman"/>
        </w:rPr>
        <w:t>4</w:t>
      </w:r>
      <w:r>
        <w:rPr>
          <w:rFonts w:hint="eastAsia"/>
        </w:rPr>
        <w:t>土壤环境</w:t>
      </w:r>
    </w:p>
    <w:p>
      <w:pPr>
        <w:rPr>
          <w:rFonts w:hint="eastAsia"/>
        </w:rPr>
      </w:pPr>
      <w:r>
        <w:rPr>
          <w:rFonts w:hint="eastAsia"/>
        </w:rPr>
        <w:t>根据</w:t>
      </w:r>
      <w:r>
        <w:rPr>
          <w:rFonts w:hint="eastAsia" w:ascii="Times New Roman"/>
          <w:lang w:eastAsia="zh-CN"/>
        </w:rPr>
        <w:t>《凯赛（乌苏）生物材料有限公司年产</w:t>
      </w:r>
      <w:r>
        <w:rPr>
          <w:rFonts w:hint="eastAsia" w:ascii="Times New Roman" w:hAnsi="Times New Roman"/>
          <w:lang w:val="en-US" w:eastAsia="zh-CN"/>
        </w:rPr>
        <w:t>10</w:t>
      </w:r>
      <w:r>
        <w:rPr>
          <w:rFonts w:hint="eastAsia" w:ascii="Times New Roman"/>
          <w:lang w:val="en-US" w:eastAsia="zh-CN"/>
        </w:rPr>
        <w:t>万吨生物基聚酰胺项目</w:t>
      </w:r>
      <w:r>
        <w:rPr>
          <w:rFonts w:hint="eastAsia" w:ascii="Times New Roman"/>
          <w:lang w:eastAsia="zh-CN"/>
        </w:rPr>
        <w:t>环境影响后评价》和《凯赛（乌苏）生物材料有限公司废气废水监测项目</w:t>
      </w:r>
      <w:r>
        <w:rPr>
          <w:rFonts w:hint="eastAsia" w:ascii="Times New Roman" w:hAnsi="Times New Roman"/>
          <w:lang w:val="en-US" w:eastAsia="zh-CN"/>
        </w:rPr>
        <w:t>2022</w:t>
      </w:r>
      <w:r>
        <w:rPr>
          <w:rFonts w:hint="eastAsia" w:ascii="Times New Roman"/>
          <w:lang w:val="en-US" w:eastAsia="zh-CN"/>
        </w:rPr>
        <w:t>年第三季度例行监测报告</w:t>
      </w:r>
      <w:r>
        <w:rPr>
          <w:rFonts w:hint="eastAsia" w:ascii="Times New Roman"/>
          <w:lang w:eastAsia="zh-CN"/>
        </w:rPr>
        <w:t>》</w:t>
      </w:r>
      <w:r>
        <w:rPr>
          <w:rFonts w:hint="eastAsia"/>
          <w:lang w:eastAsia="zh-CN"/>
        </w:rPr>
        <w:t>，本</w:t>
      </w:r>
      <w:r>
        <w:rPr>
          <w:rFonts w:hint="eastAsia"/>
        </w:rPr>
        <w:t>项目厂区表土及包气带土壤质量符合《土壤环境质量 建设用地土壤污染风险管控标准</w:t>
      </w:r>
      <w:r>
        <w:rPr>
          <w:rFonts w:hint="eastAsia"/>
          <w:lang w:eastAsia="zh-CN"/>
        </w:rPr>
        <w:t>（试行）</w:t>
      </w:r>
      <w:r>
        <w:rPr>
          <w:rFonts w:hint="eastAsia"/>
        </w:rPr>
        <w:t>》（</w:t>
      </w:r>
      <w:r>
        <w:rPr>
          <w:rFonts w:hint="eastAsia" w:ascii="Times New Roman" w:hAnsi="Times New Roman"/>
        </w:rPr>
        <w:t>GB36600</w:t>
      </w:r>
      <w:r>
        <w:rPr>
          <w:rFonts w:hint="eastAsia"/>
        </w:rPr>
        <w:t>-</w:t>
      </w:r>
      <w:r>
        <w:rPr>
          <w:rFonts w:hint="eastAsia" w:ascii="Times New Roman" w:hAnsi="Times New Roman"/>
        </w:rPr>
        <w:t>2018</w:t>
      </w:r>
      <w:r>
        <w:rPr>
          <w:rFonts w:hint="eastAsia"/>
        </w:rPr>
        <w:t>）第二类用地筛选限值。</w:t>
      </w:r>
    </w:p>
    <w:p>
      <w:pPr>
        <w:pStyle w:val="4"/>
        <w:spacing w:before="169" w:after="169"/>
        <w:rPr>
          <w:rFonts w:hint="eastAsia"/>
        </w:rPr>
      </w:pPr>
      <w:bookmarkStart w:id="339" w:name="_Toc13376"/>
      <w:r>
        <w:rPr>
          <w:rFonts w:hint="eastAsia" w:ascii="Times New Roman" w:hAnsi="Times New Roman"/>
          <w:lang w:val="en-US" w:eastAsia="zh-CN"/>
        </w:rPr>
        <w:t>10</w:t>
      </w:r>
      <w:r>
        <w:rPr>
          <w:rFonts w:hint="eastAsia"/>
        </w:rPr>
        <w:t>.</w:t>
      </w:r>
      <w:r>
        <w:rPr>
          <w:rFonts w:hint="eastAsia" w:ascii="Times New Roman" w:hAnsi="Times New Roman"/>
        </w:rPr>
        <w:t>3</w:t>
      </w:r>
      <w:r>
        <w:rPr>
          <w:rFonts w:hint="eastAsia"/>
        </w:rPr>
        <w:t>污染物排放情况结论</w:t>
      </w:r>
      <w:bookmarkEnd w:id="332"/>
      <w:bookmarkEnd w:id="339"/>
    </w:p>
    <w:p>
      <w:pPr>
        <w:ind w:firstLine="480"/>
        <w:rPr>
          <w:rFonts w:hint="eastAsia"/>
        </w:rPr>
      </w:pPr>
      <w:r>
        <w:rPr>
          <w:rFonts w:hint="eastAsia"/>
        </w:rPr>
        <w:t>（</w:t>
      </w:r>
      <w:r>
        <w:rPr>
          <w:rFonts w:hint="eastAsia" w:ascii="Times New Roman" w:hAnsi="Times New Roman"/>
        </w:rPr>
        <w:t>1</w:t>
      </w:r>
      <w:r>
        <w:rPr>
          <w:rFonts w:hint="eastAsia"/>
        </w:rPr>
        <w:t>）废气</w:t>
      </w:r>
    </w:p>
    <w:p>
      <w:pPr>
        <w:rPr>
          <w:rFonts w:hint="eastAsia"/>
        </w:rPr>
      </w:pPr>
      <w:r>
        <w:rPr>
          <w:rFonts w:hint="eastAsia"/>
          <w:lang w:eastAsia="zh-CN"/>
        </w:rPr>
        <w:t>本项目共设置</w:t>
      </w:r>
      <w:r>
        <w:rPr>
          <w:rFonts w:hint="eastAsia" w:ascii="Times New Roman" w:hAnsi="Times New Roman"/>
          <w:lang w:val="en-US" w:eastAsia="zh-CN"/>
        </w:rPr>
        <w:t>1</w:t>
      </w:r>
      <w:r>
        <w:rPr>
          <w:rFonts w:hint="eastAsia"/>
          <w:lang w:val="en-US" w:eastAsia="zh-CN"/>
        </w:rPr>
        <w:t>个排气筒，为一级水吸收+二级酸吸收塔配套的一根</w:t>
      </w:r>
      <w:r>
        <w:rPr>
          <w:rFonts w:hint="eastAsia" w:ascii="Times New Roman" w:hAnsi="Times New Roman"/>
          <w:lang w:val="en-US" w:eastAsia="zh-CN"/>
        </w:rPr>
        <w:t>15m</w:t>
      </w:r>
      <w:r>
        <w:rPr>
          <w:rFonts w:hint="eastAsia"/>
          <w:lang w:val="en-US" w:eastAsia="zh-CN"/>
        </w:rPr>
        <w:t>高排气筒。</w:t>
      </w:r>
    </w:p>
    <w:p>
      <w:pPr>
        <w:rPr>
          <w:rFonts w:hint="eastAsia"/>
          <w:lang w:val="en-US" w:eastAsia="zh-CN"/>
        </w:rPr>
      </w:pPr>
      <w:r>
        <w:rPr>
          <w:rFonts w:hint="eastAsia"/>
          <w:lang w:eastAsia="zh-CN"/>
        </w:rPr>
        <w:t>本项目</w:t>
      </w:r>
      <w:r>
        <w:rPr>
          <w:rFonts w:hint="eastAsia" w:ascii="Times New Roman" w:hAnsi="Times New Roman"/>
          <w:lang w:eastAsia="zh-CN"/>
        </w:rPr>
        <w:t>PD</w:t>
      </w:r>
      <w:r>
        <w:rPr>
          <w:rFonts w:hint="eastAsia"/>
          <w:lang w:eastAsia="zh-CN"/>
        </w:rPr>
        <w:t>反应器不凝气、闪蒸罐废气、</w:t>
      </w:r>
      <w:r>
        <w:rPr>
          <w:rFonts w:hint="eastAsia" w:ascii="Times New Roman" w:hAnsi="Times New Roman"/>
          <w:lang w:eastAsia="zh-CN"/>
        </w:rPr>
        <w:t>PD</w:t>
      </w:r>
      <w:r>
        <w:rPr>
          <w:rFonts w:hint="eastAsia"/>
          <w:lang w:eastAsia="zh-CN"/>
        </w:rPr>
        <w:t>成品塔不凝气、</w:t>
      </w:r>
      <w:r>
        <w:rPr>
          <w:rFonts w:hint="eastAsia" w:ascii="Times New Roman" w:hAnsi="Times New Roman"/>
          <w:lang w:eastAsia="zh-CN"/>
        </w:rPr>
        <w:t>PD</w:t>
      </w:r>
      <w:r>
        <w:rPr>
          <w:rFonts w:hint="eastAsia"/>
          <w:lang w:eastAsia="zh-CN"/>
        </w:rPr>
        <w:t>脱水塔不凝气、脱轻塔不凝气经尾气吸收塔一级水吸收</w:t>
      </w:r>
      <w:r>
        <w:rPr>
          <w:rFonts w:hint="eastAsia"/>
          <w:lang w:val="en-US" w:eastAsia="zh-CN"/>
        </w:rPr>
        <w:t>+二级酸吸收</w:t>
      </w:r>
      <w:r>
        <w:rPr>
          <w:rFonts w:hint="eastAsia"/>
          <w:lang w:eastAsia="zh-CN"/>
        </w:rPr>
        <w:t>处理后，通过</w:t>
      </w:r>
      <w:r>
        <w:rPr>
          <w:rFonts w:hint="eastAsia" w:ascii="Times New Roman" w:hAnsi="Times New Roman"/>
          <w:lang w:val="en-US" w:eastAsia="zh-CN"/>
        </w:rPr>
        <w:t>15m</w:t>
      </w:r>
      <w:r>
        <w:rPr>
          <w:rFonts w:hint="eastAsia"/>
          <w:lang w:val="en-US" w:eastAsia="zh-CN"/>
        </w:rPr>
        <w:t>排气筒排放。废气经处理后，主要污染物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排放满足《恶臭污染物排放标准》（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限值，</w:t>
      </w:r>
      <w:r>
        <w:rPr>
          <w:rFonts w:hint="eastAsia" w:ascii="Times New Roman" w:hAnsi="Times New Roman"/>
          <w:lang w:val="en-US" w:eastAsia="zh-CN"/>
        </w:rPr>
        <w:t>NMHC</w:t>
      </w:r>
      <w:r>
        <w:rPr>
          <w:rFonts w:hint="eastAsia"/>
          <w:lang w:val="en-US" w:eastAsia="zh-CN"/>
        </w:rPr>
        <w:t>排放满足《大气污染物综合排放标准》（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限值。</w:t>
      </w:r>
    </w:p>
    <w:p>
      <w:pPr>
        <w:bidi w:val="0"/>
        <w:rPr>
          <w:rFonts w:hint="eastAsia"/>
          <w:lang w:val="en-US" w:eastAsia="zh-CN"/>
        </w:rPr>
      </w:pPr>
      <w:r>
        <w:rPr>
          <w:rFonts w:hint="eastAsia"/>
          <w:lang w:val="en-US" w:eastAsia="zh-CN"/>
        </w:rPr>
        <w:t>厂内无组织废气主要来自储罐区挥发性有机液体产品的静置损失和工作损失，厂界主要污染物</w:t>
      </w:r>
      <w:r>
        <w:rPr>
          <w:rFonts w:hint="eastAsia" w:ascii="Times New Roman" w:hAnsi="Times New Roman"/>
          <w:lang w:val="en-US" w:eastAsia="zh-CN"/>
        </w:rPr>
        <w:t>NMHC</w:t>
      </w:r>
      <w:r>
        <w:rPr>
          <w:rFonts w:hint="eastAsia"/>
          <w:lang w:val="en-US" w:eastAsia="zh-CN"/>
        </w:rPr>
        <w:t>排放满足《合成树脂工业污染物排放标准》（</w:t>
      </w:r>
      <w:r>
        <w:rPr>
          <w:rFonts w:hint="eastAsia" w:ascii="Times New Roman" w:hAnsi="Times New Roman"/>
          <w:lang w:val="en-US" w:eastAsia="zh-CN"/>
        </w:rPr>
        <w:t>GB31572</w:t>
      </w:r>
      <w:r>
        <w:rPr>
          <w:rFonts w:hint="eastAsia"/>
          <w:lang w:val="en-US" w:eastAsia="zh-CN"/>
        </w:rPr>
        <w:t>-</w:t>
      </w:r>
      <w:r>
        <w:rPr>
          <w:rFonts w:hint="eastAsia" w:ascii="Times New Roman" w:hAnsi="Times New Roman"/>
          <w:lang w:val="en-US" w:eastAsia="zh-CN"/>
        </w:rPr>
        <w:t>2015</w:t>
      </w:r>
      <w:r>
        <w:rPr>
          <w:rFonts w:hint="eastAsia"/>
          <w:lang w:val="en-US" w:eastAsia="zh-CN"/>
        </w:rPr>
        <w:t>）表</w:t>
      </w:r>
      <w:r>
        <w:rPr>
          <w:rFonts w:hint="eastAsia" w:ascii="Times New Roman" w:hAnsi="Times New Roman"/>
          <w:lang w:val="en-US" w:eastAsia="zh-CN"/>
        </w:rPr>
        <w:t>6</w:t>
      </w:r>
      <w:r>
        <w:rPr>
          <w:rFonts w:hint="eastAsia"/>
          <w:lang w:val="en-US" w:eastAsia="zh-CN"/>
        </w:rPr>
        <w:t>厂界限值。</w:t>
      </w:r>
    </w:p>
    <w:p>
      <w:pPr>
        <w:ind w:firstLine="480"/>
        <w:rPr>
          <w:rFonts w:hint="eastAsia"/>
        </w:rPr>
      </w:pPr>
      <w:r>
        <w:rPr>
          <w:rFonts w:hint="eastAsia"/>
        </w:rPr>
        <w:t>（</w:t>
      </w:r>
      <w:r>
        <w:rPr>
          <w:rFonts w:hint="eastAsia" w:ascii="Times New Roman" w:hAnsi="Times New Roman"/>
        </w:rPr>
        <w:t>2</w:t>
      </w:r>
      <w:r>
        <w:rPr>
          <w:rFonts w:hint="eastAsia"/>
        </w:rPr>
        <w:t>）废水</w:t>
      </w:r>
    </w:p>
    <w:p>
      <w:pPr>
        <w:ind w:firstLine="480"/>
        <w:rPr>
          <w:rFonts w:hint="eastAsia"/>
        </w:rPr>
      </w:pPr>
      <w:r>
        <w:rPr>
          <w:rFonts w:hint="eastAsia"/>
          <w:lang w:eastAsia="zh-CN"/>
        </w:rPr>
        <w:t>本项目</w:t>
      </w:r>
      <w:r>
        <w:rPr>
          <w:rFonts w:hint="eastAsia"/>
        </w:rPr>
        <w:t>废水主要</w:t>
      </w:r>
      <w:r>
        <w:rPr>
          <w:rFonts w:hint="eastAsia"/>
          <w:lang w:eastAsia="zh-CN"/>
        </w:rPr>
        <w:t>包括装置地面冲洗废水和新增员工生活污水等</w:t>
      </w:r>
      <w:r>
        <w:rPr>
          <w:rFonts w:hint="eastAsia"/>
        </w:rPr>
        <w:t>。</w:t>
      </w:r>
      <w:r>
        <w:rPr>
          <w:rFonts w:hint="eastAsia"/>
          <w:lang w:eastAsia="zh-CN"/>
        </w:rPr>
        <w:t>经厂内</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万</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d</w:t>
      </w:r>
      <w:r>
        <w:rPr>
          <w:rFonts w:hint="eastAsia"/>
          <w:lang w:eastAsia="zh-CN"/>
        </w:rPr>
        <w:t>污水站预处理</w:t>
      </w:r>
      <w:r>
        <w:rPr>
          <w:rFonts w:hint="eastAsia"/>
          <w:lang w:val="en-US" w:eastAsia="zh-CN"/>
        </w:rPr>
        <w:t>后，</w:t>
      </w:r>
      <w:r>
        <w:rPr>
          <w:rFonts w:hint="eastAsia"/>
          <w:lang w:eastAsia="zh-CN"/>
        </w:rPr>
        <w:t>主要污染物</w:t>
      </w:r>
      <w:r>
        <w:rPr>
          <w:rFonts w:hint="eastAsia" w:ascii="Times New Roman" w:hAnsi="Times New Roman"/>
          <w:lang w:val="en-US" w:eastAsia="zh-CN"/>
        </w:rPr>
        <w:t>COD</w:t>
      </w:r>
      <w:r>
        <w:rPr>
          <w:rFonts w:hint="eastAsia"/>
          <w:lang w:val="en-US" w:eastAsia="zh-CN"/>
        </w:rPr>
        <w:t>、</w:t>
      </w:r>
      <w:r>
        <w:rPr>
          <w:rFonts w:hint="eastAsia" w:ascii="Times New Roman" w:hAnsi="Times New Roman"/>
          <w:lang w:val="en-US" w:eastAsia="zh-CN"/>
        </w:rPr>
        <w:t>BOD5</w:t>
      </w:r>
      <w:r>
        <w:rPr>
          <w:rFonts w:hint="eastAsia"/>
          <w:lang w:val="en-US" w:eastAsia="zh-CN"/>
        </w:rPr>
        <w:t>、</w:t>
      </w:r>
      <w:r>
        <w:rPr>
          <w:rFonts w:hint="eastAsia" w:ascii="Times New Roman" w:hAnsi="Times New Roman"/>
          <w:lang w:val="en-US" w:eastAsia="zh-CN"/>
        </w:rPr>
        <w:t>NH3</w:t>
      </w:r>
      <w:r>
        <w:rPr>
          <w:rFonts w:hint="eastAsia"/>
          <w:lang w:val="en-US" w:eastAsia="zh-CN"/>
        </w:rPr>
        <w:t>-</w:t>
      </w:r>
      <w:r>
        <w:rPr>
          <w:rFonts w:hint="eastAsia" w:ascii="Times New Roman" w:hAnsi="Times New Roman"/>
          <w:lang w:val="en-US" w:eastAsia="zh-CN"/>
        </w:rPr>
        <w:t>N</w:t>
      </w:r>
      <w:r>
        <w:rPr>
          <w:rFonts w:hint="eastAsia"/>
          <w:lang w:eastAsia="zh-CN"/>
        </w:rPr>
        <w:t>满足《污水排入城镇下水道水质标准》（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2105</w:t>
      </w:r>
      <w:r>
        <w:rPr>
          <w:rFonts w:hint="eastAsia"/>
          <w:lang w:eastAsia="zh-CN"/>
        </w:rPr>
        <w:t>）表</w:t>
      </w:r>
      <w:r>
        <w:rPr>
          <w:rFonts w:hint="eastAsia" w:ascii="Times New Roman" w:hAnsi="Times New Roman"/>
          <w:lang w:val="en-US" w:eastAsia="zh-CN"/>
        </w:rPr>
        <w:t>1B</w:t>
      </w:r>
      <w:r>
        <w:rPr>
          <w:rFonts w:hint="eastAsia"/>
          <w:lang w:val="en-US" w:eastAsia="zh-CN"/>
        </w:rPr>
        <w:t>及限值</w:t>
      </w:r>
      <w:r>
        <w:rPr>
          <w:rFonts w:hint="eastAsia"/>
          <w:lang w:eastAsia="zh-CN"/>
        </w:rPr>
        <w:t>，排入园区下水管网，进入园区污水厂进一步处理。项目新增循环水排水等清净下水直接排入园区管网</w:t>
      </w:r>
      <w:r>
        <w:rPr>
          <w:rFonts w:hint="eastAsia"/>
        </w:rPr>
        <w:t>。</w:t>
      </w:r>
    </w:p>
    <w:p>
      <w:pPr>
        <w:ind w:firstLine="480"/>
        <w:rPr>
          <w:rFonts w:hint="eastAsia" w:eastAsia="宋体"/>
          <w:lang w:val="en-US" w:eastAsia="zh-CN"/>
        </w:rPr>
      </w:pPr>
      <w:r>
        <w:rPr>
          <w:rFonts w:hint="eastAsia"/>
        </w:rPr>
        <w:t>（</w:t>
      </w:r>
      <w:r>
        <w:rPr>
          <w:rFonts w:hint="eastAsia" w:ascii="Times New Roman" w:hAnsi="Times New Roman"/>
        </w:rPr>
        <w:t>3</w:t>
      </w:r>
      <w:r>
        <w:rPr>
          <w:rFonts w:hint="eastAsia"/>
        </w:rPr>
        <w:t>）噪声</w:t>
      </w:r>
      <w:r>
        <w:rPr>
          <w:rFonts w:hint="eastAsia"/>
          <w:lang w:val="en-US" w:eastAsia="zh-CN"/>
        </w:rPr>
        <w:t xml:space="preserve"> </w:t>
      </w:r>
    </w:p>
    <w:p>
      <w:pPr>
        <w:ind w:firstLine="480"/>
        <w:rPr>
          <w:rFonts w:hint="eastAsia"/>
        </w:rPr>
      </w:pPr>
      <w:r>
        <w:rPr>
          <w:rFonts w:hint="eastAsia"/>
          <w:lang w:eastAsia="zh-CN"/>
        </w:rPr>
        <w:t>本项目</w:t>
      </w:r>
      <w:r>
        <w:rPr>
          <w:rFonts w:hint="eastAsia"/>
        </w:rPr>
        <w:t>噪声</w:t>
      </w:r>
      <w:r>
        <w:rPr>
          <w:rFonts w:hint="eastAsia"/>
          <w:lang w:eastAsia="zh-CN"/>
        </w:rPr>
        <w:t>源</w:t>
      </w:r>
      <w:r>
        <w:rPr>
          <w:rFonts w:hint="eastAsia"/>
        </w:rPr>
        <w:t>主要为</w:t>
      </w:r>
      <w:r>
        <w:rPr>
          <w:rFonts w:hint="eastAsia"/>
          <w:lang w:eastAsia="zh-CN"/>
        </w:rPr>
        <w:t>真空泵和各类</w:t>
      </w:r>
      <w:r>
        <w:rPr>
          <w:rFonts w:hint="eastAsia"/>
        </w:rPr>
        <w:t>泵机等设备噪声，噪声值在</w:t>
      </w:r>
      <w:r>
        <w:rPr>
          <w:rFonts w:hint="eastAsia" w:ascii="Times New Roman" w:hAnsi="Times New Roman"/>
          <w:lang w:val="en-US" w:eastAsia="zh-CN"/>
        </w:rPr>
        <w:t>7</w:t>
      </w:r>
      <w:r>
        <w:rPr>
          <w:rFonts w:hint="eastAsia" w:ascii="Times New Roman" w:hAnsi="Times New Roman"/>
        </w:rPr>
        <w:t>5dB</w:t>
      </w:r>
      <w:r>
        <w:rPr>
          <w:rFonts w:hint="eastAsia"/>
        </w:rPr>
        <w:t>（</w:t>
      </w:r>
      <w:r>
        <w:rPr>
          <w:rFonts w:hint="eastAsia" w:ascii="Times New Roman" w:hAnsi="Times New Roman"/>
        </w:rPr>
        <w:t>A</w:t>
      </w:r>
      <w:r>
        <w:rPr>
          <w:rFonts w:hint="eastAsia"/>
        </w:rPr>
        <w:t>）～</w:t>
      </w:r>
      <w:r>
        <w:rPr>
          <w:rFonts w:hint="eastAsia" w:ascii="Times New Roman" w:hAnsi="Times New Roman"/>
          <w:lang w:val="en-US" w:eastAsia="zh-CN"/>
        </w:rPr>
        <w:t>90</w:t>
      </w:r>
      <w:r>
        <w:rPr>
          <w:rFonts w:hint="eastAsia" w:ascii="Times New Roman" w:hAnsi="Times New Roman"/>
        </w:rPr>
        <w:t>dB</w:t>
      </w:r>
      <w:r>
        <w:rPr>
          <w:rFonts w:hint="eastAsia"/>
        </w:rPr>
        <w:t>（</w:t>
      </w:r>
      <w:r>
        <w:rPr>
          <w:rFonts w:hint="eastAsia" w:ascii="Times New Roman" w:hAnsi="Times New Roman"/>
        </w:rPr>
        <w:t>A</w:t>
      </w:r>
      <w:r>
        <w:rPr>
          <w:rFonts w:hint="eastAsia"/>
        </w:rPr>
        <w:t>）之间。为减少噪声，</w:t>
      </w:r>
      <w:r>
        <w:rPr>
          <w:rFonts w:hint="eastAsia"/>
          <w:lang w:eastAsia="zh-CN"/>
        </w:rPr>
        <w:t>本项目</w:t>
      </w:r>
      <w:r>
        <w:rPr>
          <w:rFonts w:hint="eastAsia"/>
        </w:rPr>
        <w:t>优选用低噪声设备，</w:t>
      </w:r>
      <w:r>
        <w:rPr>
          <w:rFonts w:hint="eastAsia"/>
          <w:lang w:eastAsia="zh-CN"/>
        </w:rPr>
        <w:t>新增专用泵房，通过</w:t>
      </w:r>
      <w:r>
        <w:rPr>
          <w:rFonts w:hint="eastAsia"/>
        </w:rPr>
        <w:t>厂房隔声、基础减振等降噪措施控制设备运行噪声对环境的影响。经预测，厂界噪声贡献值</w:t>
      </w:r>
      <w:r>
        <w:rPr>
          <w:rFonts w:hint="eastAsia"/>
          <w:lang w:eastAsia="zh-CN"/>
        </w:rPr>
        <w:t>满足</w:t>
      </w:r>
      <w:r>
        <w:rPr>
          <w:rFonts w:hint="eastAsia"/>
        </w:rPr>
        <w:t>《工业企业厂界环境噪声排放标准》（</w:t>
      </w:r>
      <w:r>
        <w:rPr>
          <w:rFonts w:hint="eastAsia" w:ascii="Times New Roman" w:hAnsi="Times New Roman"/>
        </w:rPr>
        <w:t>GB12348</w:t>
      </w:r>
      <w:r>
        <w:rPr>
          <w:rFonts w:hint="eastAsia"/>
        </w:rPr>
        <w:t>-</w:t>
      </w:r>
      <w:r>
        <w:rPr>
          <w:rFonts w:hint="eastAsia" w:ascii="Times New Roman" w:hAnsi="Times New Roman"/>
        </w:rPr>
        <w:t>2008</w:t>
      </w:r>
      <w:r>
        <w:rPr>
          <w:rFonts w:hint="eastAsia"/>
        </w:rPr>
        <w:t>）中</w:t>
      </w:r>
      <w:r>
        <w:rPr>
          <w:rFonts w:hint="eastAsia" w:ascii="Times New Roman" w:hAnsi="Times New Roman"/>
        </w:rPr>
        <w:t>3</w:t>
      </w:r>
      <w:r>
        <w:rPr>
          <w:rFonts w:hint="eastAsia"/>
        </w:rPr>
        <w:t>类要求。</w:t>
      </w:r>
    </w:p>
    <w:p>
      <w:pPr>
        <w:rPr>
          <w:rFonts w:hint="eastAsia"/>
        </w:rPr>
      </w:pPr>
      <w:r>
        <w:rPr>
          <w:rFonts w:hint="eastAsia"/>
        </w:rPr>
        <w:t>（</w:t>
      </w:r>
      <w:r>
        <w:rPr>
          <w:rFonts w:hint="eastAsia" w:ascii="Times New Roman" w:hAnsi="Times New Roman"/>
        </w:rPr>
        <w:t>4</w:t>
      </w:r>
      <w:r>
        <w:rPr>
          <w:rFonts w:hint="eastAsia"/>
        </w:rPr>
        <w:t>）固废</w:t>
      </w:r>
    </w:p>
    <w:p>
      <w:pPr>
        <w:spacing w:line="440" w:lineRule="exact"/>
        <w:rPr>
          <w:rFonts w:hint="eastAsia" w:ascii="Times New Roman"/>
          <w:lang w:eastAsia="zh-CN"/>
        </w:rPr>
      </w:pPr>
      <w:r>
        <w:rPr>
          <w:rFonts w:hint="eastAsia"/>
          <w:lang w:eastAsia="zh-CN"/>
        </w:rPr>
        <w:t>本项目新增一般工业固体废物主要为新增废水处理产生的污水站污泥，纳入厂内现有一般固废管理，干燥后定期清运至园区一般工业固废填埋场</w:t>
      </w:r>
      <w:r>
        <w:rPr>
          <w:rFonts w:hint="eastAsia"/>
        </w:rPr>
        <w:t>。</w:t>
      </w:r>
      <w:r>
        <w:rPr>
          <w:rFonts w:hint="eastAsia"/>
          <w:lang w:eastAsia="zh-CN"/>
        </w:rPr>
        <w:t>本项目新增少量</w:t>
      </w:r>
      <w:r>
        <w:rPr>
          <w:rFonts w:hint="eastAsia"/>
        </w:rPr>
        <w:t>生活垃圾</w:t>
      </w:r>
      <w:r>
        <w:rPr>
          <w:rFonts w:hint="eastAsia"/>
          <w:lang w:eastAsia="zh-CN"/>
        </w:rPr>
        <w:t>，纳入厂内现有生活垃圾管理，委托园区环卫清运至当地生活垃圾填埋场</w:t>
      </w:r>
      <w:r>
        <w:rPr>
          <w:rFonts w:hint="eastAsia" w:ascii="Times New Roman"/>
          <w:lang w:eastAsia="zh-CN"/>
        </w:rPr>
        <w:t>。</w:t>
      </w:r>
    </w:p>
    <w:p>
      <w:pPr>
        <w:spacing w:line="440" w:lineRule="exact"/>
        <w:rPr>
          <w:rFonts w:hint="eastAsia"/>
        </w:rPr>
      </w:pPr>
      <w:r>
        <w:rPr>
          <w:rFonts w:hint="eastAsia" w:ascii="Times New Roman"/>
          <w:lang w:eastAsia="zh-CN"/>
        </w:rPr>
        <w:t>本项目新增危险废物主要为反应器废催化剂，纳入厂内的危险废物管理，规范收集，依托现有</w:t>
      </w:r>
      <w:r>
        <w:rPr>
          <w:rFonts w:hint="eastAsia"/>
          <w:lang w:val="en-US" w:eastAsia="zh-CN"/>
        </w:rPr>
        <w:t>危险废物贮存库暂存，定期委托有资质的单位处理。</w:t>
      </w:r>
    </w:p>
    <w:p>
      <w:pPr>
        <w:pStyle w:val="4"/>
        <w:spacing w:before="169" w:after="169"/>
        <w:rPr>
          <w:rFonts w:hint="eastAsia"/>
        </w:rPr>
      </w:pPr>
      <w:bookmarkStart w:id="340" w:name="_Toc2099"/>
      <w:bookmarkStart w:id="341" w:name="_Toc15749"/>
      <w:r>
        <w:rPr>
          <w:rFonts w:hint="eastAsia" w:ascii="Times New Roman" w:hAnsi="Times New Roman"/>
          <w:lang w:val="en-US" w:eastAsia="zh-CN"/>
        </w:rPr>
        <w:t>10</w:t>
      </w:r>
      <w:r>
        <w:rPr>
          <w:rFonts w:hint="eastAsia"/>
        </w:rPr>
        <w:t>.</w:t>
      </w:r>
      <w:r>
        <w:rPr>
          <w:rFonts w:hint="eastAsia" w:ascii="Times New Roman" w:hAnsi="Times New Roman"/>
        </w:rPr>
        <w:t>4</w:t>
      </w:r>
      <w:r>
        <w:rPr>
          <w:rFonts w:hint="eastAsia"/>
        </w:rPr>
        <w:t>主要环境影响结论</w:t>
      </w:r>
      <w:bookmarkEnd w:id="340"/>
      <w:bookmarkEnd w:id="341"/>
    </w:p>
    <w:p>
      <w:pPr>
        <w:ind w:firstLine="480"/>
        <w:rPr>
          <w:rFonts w:hint="eastAsia"/>
        </w:rPr>
      </w:pPr>
      <w:r>
        <w:rPr>
          <w:rFonts w:hint="eastAsia"/>
        </w:rPr>
        <w:t>（</w:t>
      </w:r>
      <w:r>
        <w:rPr>
          <w:rFonts w:hint="eastAsia" w:ascii="Times New Roman" w:hAnsi="Times New Roman"/>
        </w:rPr>
        <w:t>1</w:t>
      </w:r>
      <w:r>
        <w:rPr>
          <w:rFonts w:hint="eastAsia"/>
        </w:rPr>
        <w:t>）大气环境影响分析结论</w:t>
      </w:r>
    </w:p>
    <w:p>
      <w:pPr>
        <w:rPr>
          <w:rFonts w:hint="eastAsia"/>
        </w:rPr>
      </w:pPr>
      <w:r>
        <w:rPr>
          <w:rFonts w:hint="eastAsia"/>
          <w:color w:val="auto"/>
          <w:lang w:eastAsia="zh-CN"/>
        </w:rPr>
        <w:t>本项目有组织废气仅为尾气吸收塔废气，通过</w:t>
      </w:r>
      <w:r>
        <w:rPr>
          <w:rFonts w:hint="eastAsia" w:ascii="Times New Roman" w:hAnsi="Times New Roman"/>
          <w:color w:val="auto"/>
          <w:lang w:val="en-US" w:eastAsia="zh-CN"/>
        </w:rPr>
        <w:t>15m</w:t>
      </w:r>
      <w:r>
        <w:rPr>
          <w:rFonts w:hint="eastAsia"/>
          <w:color w:val="auto"/>
          <w:lang w:val="en-US" w:eastAsia="zh-CN"/>
        </w:rPr>
        <w:t>高排气筒排放</w:t>
      </w:r>
      <w:r>
        <w:rPr>
          <w:rFonts w:hint="eastAsia"/>
          <w:color w:val="auto"/>
          <w:lang w:eastAsia="zh-CN"/>
        </w:rPr>
        <w:t>，主要污染物为</w:t>
      </w:r>
      <w:r>
        <w:rPr>
          <w:rFonts w:hint="eastAsia" w:ascii="Times New Roman" w:hAnsi="Times New Roman"/>
          <w:color w:val="auto"/>
          <w:lang w:val="en-US" w:eastAsia="zh-CN"/>
        </w:rPr>
        <w:t>NMHC</w:t>
      </w:r>
      <w:r>
        <w:rPr>
          <w:rFonts w:hint="eastAsia" w:ascii="Times New Roman"/>
          <w:color w:val="auto"/>
          <w:lang w:val="en-US" w:eastAsia="zh-CN"/>
        </w:rPr>
        <w:t>、</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ascii="Times New Roman" w:hAnsi="Times New Roman"/>
          <w:color w:val="auto"/>
          <w:vertAlign w:val="baseline"/>
          <w:lang w:val="en-US" w:eastAsia="zh-CN"/>
        </w:rPr>
        <w:t>，经预测，</w:t>
      </w:r>
      <w:r>
        <w:rPr>
          <w:rFonts w:hint="eastAsia" w:ascii="Times New Roman" w:hAnsi="Times New Roman"/>
          <w:color w:val="auto"/>
          <w:lang w:val="en-US" w:eastAsia="zh-CN"/>
        </w:rPr>
        <w:t>NH</w:t>
      </w:r>
      <w:r>
        <w:rPr>
          <w:rFonts w:hint="eastAsia" w:ascii="Times New Roman" w:hAnsi="Times New Roman"/>
          <w:color w:val="auto"/>
          <w:vertAlign w:val="subscript"/>
          <w:lang w:val="en-US" w:eastAsia="zh-CN"/>
        </w:rPr>
        <w:t>3</w:t>
      </w:r>
      <w:r>
        <w:rPr>
          <w:rFonts w:hint="eastAsia"/>
          <w:color w:val="auto"/>
          <w:lang w:val="en-US" w:eastAsia="zh-CN"/>
        </w:rPr>
        <w:t>最大落地浓度满足《环境影响评价技术导则 大气环境》（</w:t>
      </w:r>
      <w:r>
        <w:rPr>
          <w:rFonts w:hint="eastAsia" w:ascii="Times New Roman" w:hAnsi="Times New Roman"/>
          <w:color w:val="auto"/>
          <w:lang w:val="en-US" w:eastAsia="zh-CN"/>
        </w:rPr>
        <w:t>HJ2</w:t>
      </w:r>
      <w:r>
        <w:rPr>
          <w:rFonts w:hint="eastAsia"/>
          <w:color w:val="auto"/>
          <w:lang w:val="en-US" w:eastAsia="zh-CN"/>
        </w:rPr>
        <w:t>.</w:t>
      </w: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2018</w:t>
      </w:r>
      <w:r>
        <w:rPr>
          <w:rFonts w:hint="eastAsia"/>
          <w:color w:val="auto"/>
          <w:lang w:val="en-US" w:eastAsia="zh-CN"/>
        </w:rPr>
        <w:t>）附录</w:t>
      </w:r>
      <w:r>
        <w:rPr>
          <w:rFonts w:hint="eastAsia" w:ascii="Times New Roman" w:hAnsi="Times New Roman"/>
          <w:color w:val="auto"/>
          <w:lang w:val="en-US" w:eastAsia="zh-CN"/>
        </w:rPr>
        <w:t>D</w:t>
      </w:r>
      <w:r>
        <w:rPr>
          <w:rFonts w:hint="eastAsia"/>
          <w:color w:val="auto"/>
          <w:lang w:val="en-US" w:eastAsia="zh-CN"/>
        </w:rPr>
        <w:t>其他污染物空气质量参考浓度。</w:t>
      </w:r>
      <w:r>
        <w:rPr>
          <w:rFonts w:hint="eastAsia" w:ascii="Times New Roman" w:hAnsi="Times New Roman"/>
          <w:color w:val="auto"/>
          <w:lang w:val="en-US" w:eastAsia="zh-CN"/>
        </w:rPr>
        <w:t>NMHC</w:t>
      </w:r>
      <w:r>
        <w:rPr>
          <w:rFonts w:hint="eastAsia"/>
          <w:color w:val="auto"/>
          <w:lang w:val="en-US" w:eastAsia="zh-CN"/>
        </w:rPr>
        <w:t>最大落地浓度满足《大气污染物综合排放标准详解》，说明项目实施后，对项目下风向的影响不明显，主要污染物对周边大气环境的影响是可接受的</w:t>
      </w:r>
      <w:r>
        <w:rPr>
          <w:rFonts w:hint="default" w:ascii="Times New Roman" w:hAnsi="Times New Roman" w:cs="Times New Roman"/>
          <w:color w:val="auto"/>
        </w:rPr>
        <w:t>。</w:t>
      </w:r>
    </w:p>
    <w:p>
      <w:pPr>
        <w:ind w:firstLine="480"/>
        <w:rPr>
          <w:rFonts w:hint="eastAsia"/>
        </w:rPr>
      </w:pPr>
      <w:r>
        <w:rPr>
          <w:rFonts w:hint="eastAsia"/>
        </w:rPr>
        <w:t>（</w:t>
      </w:r>
      <w:r>
        <w:rPr>
          <w:rFonts w:hint="eastAsia" w:ascii="Times New Roman" w:hAnsi="Times New Roman"/>
        </w:rPr>
        <w:t>2</w:t>
      </w:r>
      <w:r>
        <w:rPr>
          <w:rFonts w:hint="eastAsia"/>
        </w:rPr>
        <w:t>）水环境影响分析结论</w:t>
      </w:r>
    </w:p>
    <w:p>
      <w:pPr>
        <w:ind w:firstLine="480"/>
        <w:rPr>
          <w:rFonts w:hint="eastAsia"/>
          <w:lang w:eastAsia="zh-CN"/>
        </w:rPr>
      </w:pPr>
      <w:r>
        <w:rPr>
          <w:rFonts w:hint="eastAsia"/>
          <w:lang w:eastAsia="zh-CN"/>
        </w:rPr>
        <w:t>本</w:t>
      </w:r>
      <w:r>
        <w:rPr>
          <w:rFonts w:hint="eastAsia"/>
        </w:rPr>
        <w:t>项目</w:t>
      </w:r>
      <w:r>
        <w:rPr>
          <w:rFonts w:hint="eastAsia"/>
          <w:lang w:eastAsia="zh-CN"/>
        </w:rPr>
        <w:t>生产工艺中不使用水也不产生生产工艺废水</w:t>
      </w:r>
      <w:r>
        <w:rPr>
          <w:rFonts w:hint="eastAsia"/>
        </w:rPr>
        <w:t>。</w:t>
      </w:r>
      <w:r>
        <w:rPr>
          <w:rFonts w:hint="eastAsia"/>
          <w:lang w:eastAsia="zh-CN"/>
        </w:rPr>
        <w:t>本项目废水主要为装置地面冲洗废水和生活污水，经收集后排入污水站处理，主要污染物</w:t>
      </w:r>
      <w:r>
        <w:rPr>
          <w:rFonts w:hint="eastAsia" w:ascii="Times New Roman" w:hAnsi="Times New Roman"/>
          <w:lang w:val="en-US" w:eastAsia="zh-CN"/>
        </w:rPr>
        <w:t>COD</w:t>
      </w:r>
      <w:r>
        <w:rPr>
          <w:rFonts w:hint="eastAsia"/>
          <w:lang w:val="en-US" w:eastAsia="zh-CN"/>
        </w:rPr>
        <w:t>、</w:t>
      </w:r>
      <w:r>
        <w:rPr>
          <w:rFonts w:hint="eastAsia" w:ascii="Times New Roman" w:hAnsi="Times New Roman"/>
          <w:lang w:val="en-US" w:eastAsia="zh-CN"/>
        </w:rPr>
        <w:t>BOD</w:t>
      </w:r>
      <w:r>
        <w:rPr>
          <w:rFonts w:hint="eastAsia" w:ascii="Times New Roman" w:hAnsi="Times New Roman"/>
          <w:vertAlign w:val="subscript"/>
          <w:lang w:val="en-US" w:eastAsia="zh-CN"/>
        </w:rPr>
        <w:t>5</w:t>
      </w:r>
      <w:r>
        <w:rPr>
          <w:rFonts w:hint="eastAsia"/>
          <w:lang w:val="en-US" w:eastAsia="zh-CN"/>
        </w:rPr>
        <w:t>、</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N</w:t>
      </w:r>
      <w:r>
        <w:rPr>
          <w:rFonts w:hint="eastAsia"/>
          <w:lang w:val="en-US" w:eastAsia="zh-CN"/>
        </w:rPr>
        <w:t>等</w:t>
      </w:r>
      <w:r>
        <w:rPr>
          <w:rFonts w:hint="eastAsia"/>
          <w:lang w:eastAsia="zh-CN"/>
        </w:rPr>
        <w:t>满足园区污水处理厂纳污水质标准，即《污水排入城镇下水道水质标准》（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2015</w:t>
      </w:r>
      <w:r>
        <w:rPr>
          <w:rFonts w:hint="eastAsia"/>
          <w:lang w:eastAsia="zh-CN"/>
        </w:rPr>
        <w:t>）表</w:t>
      </w:r>
      <w:r>
        <w:rPr>
          <w:rFonts w:hint="eastAsia" w:ascii="Times New Roman" w:hAnsi="Times New Roman"/>
          <w:lang w:val="en-US" w:eastAsia="zh-CN"/>
        </w:rPr>
        <w:t>1B</w:t>
      </w:r>
      <w:r>
        <w:rPr>
          <w:rFonts w:hint="eastAsia"/>
          <w:lang w:val="en-US" w:eastAsia="zh-CN"/>
        </w:rPr>
        <w:t>级</w:t>
      </w:r>
      <w:r>
        <w:rPr>
          <w:rFonts w:hint="eastAsia"/>
          <w:lang w:eastAsia="zh-CN"/>
        </w:rPr>
        <w:t>限值，排入园区下水管网</w:t>
      </w:r>
      <w:r>
        <w:rPr>
          <w:rFonts w:hint="eastAsia"/>
        </w:rPr>
        <w:t>。</w:t>
      </w:r>
      <w:r>
        <w:rPr>
          <w:rFonts w:hint="eastAsia"/>
          <w:lang w:eastAsia="zh-CN"/>
        </w:rPr>
        <w:t>本项目新增的循环水排水属于清净下水，直接排入园区下水管网。</w:t>
      </w:r>
    </w:p>
    <w:p>
      <w:pPr>
        <w:ind w:firstLine="480"/>
        <w:rPr>
          <w:rFonts w:hint="eastAsia"/>
        </w:rPr>
      </w:pPr>
      <w:r>
        <w:rPr>
          <w:rFonts w:hint="eastAsia" w:ascii="Times New Roman" w:cs="Times New Roman"/>
          <w:color w:val="auto"/>
          <w:lang w:eastAsia="zh-CN"/>
        </w:rPr>
        <w:t>本项目采取分区防渗措施，主体装置所在区域进行硬化</w:t>
      </w:r>
      <w:r>
        <w:rPr>
          <w:rFonts w:hint="eastAsia" w:ascii="Times New Roman" w:cs="Times New Roman"/>
          <w:color w:val="auto"/>
          <w:lang w:val="en-US" w:eastAsia="zh-CN"/>
        </w:rPr>
        <w:t>，周边设置截水沟。储罐区与尾气吸收塔在地面单独建设，</w:t>
      </w:r>
      <w:r>
        <w:rPr>
          <w:rFonts w:hint="eastAsia" w:ascii="Times New Roman" w:hAnsi="Times New Roman" w:cs="Times New Roman"/>
          <w:color w:val="auto"/>
          <w:lang w:eastAsia="zh-CN"/>
        </w:rPr>
        <w:t>储罐区设置</w:t>
      </w:r>
      <w:r>
        <w:rPr>
          <w:rFonts w:hint="default" w:ascii="Times New Roman" w:hAnsi="Times New Roman" w:cs="Times New Roman"/>
          <w:color w:val="auto"/>
        </w:rPr>
        <w:t>围堰</w:t>
      </w:r>
      <w:r>
        <w:rPr>
          <w:rFonts w:hint="eastAsia" w:ascii="Times New Roman" w:hAnsi="Times New Roman" w:cs="Times New Roman"/>
          <w:color w:val="auto"/>
          <w:lang w:eastAsia="zh-CN"/>
        </w:rPr>
        <w:t>和输水系统，对产品储罐基础和尾气吸收塔底水池的底板进行重点防渗，防止</w:t>
      </w:r>
      <w:r>
        <w:rPr>
          <w:rFonts w:hint="eastAsia" w:ascii="Times New Roman" w:cs="Times New Roman"/>
          <w:color w:val="auto"/>
          <w:lang w:eastAsia="zh-CN"/>
        </w:rPr>
        <w:t>泄漏物料进入地下水和土壤</w:t>
      </w:r>
      <w:r>
        <w:rPr>
          <w:rFonts w:hint="eastAsia" w:ascii="Times New Roman" w:hAnsi="Times New Roman" w:cs="Times New Roman"/>
          <w:color w:val="auto"/>
          <w:lang w:eastAsia="zh-CN"/>
        </w:rPr>
        <w:t>。</w:t>
      </w:r>
      <w:r>
        <w:rPr>
          <w:rFonts w:hint="default" w:ascii="Times New Roman" w:hAnsi="Times New Roman" w:cs="Times New Roman"/>
          <w:color w:val="auto"/>
        </w:rPr>
        <w:t>经预测，</w:t>
      </w:r>
      <w:r>
        <w:rPr>
          <w:rFonts w:hint="eastAsia" w:ascii="Times New Roman" w:hAnsi="Times New Roman" w:cs="Times New Roman"/>
          <w:color w:val="auto"/>
          <w:lang w:eastAsia="zh-CN"/>
        </w:rPr>
        <w:t>当发生储罐泄漏，且防渗层破裂时，可能</w:t>
      </w:r>
      <w:r>
        <w:rPr>
          <w:rFonts w:hint="default" w:ascii="Times New Roman" w:hAnsi="Times New Roman" w:cs="Times New Roman"/>
          <w:color w:val="auto"/>
        </w:rPr>
        <w:t>对其下游有限距离处的地下水水质会产生影响，不会影响到其上游地区。</w:t>
      </w:r>
    </w:p>
    <w:p>
      <w:pPr>
        <w:ind w:firstLine="480"/>
        <w:rPr>
          <w:rFonts w:hint="eastAsia"/>
        </w:rPr>
      </w:pPr>
      <w:r>
        <w:rPr>
          <w:rFonts w:hint="eastAsia"/>
        </w:rPr>
        <w:t>（</w:t>
      </w:r>
      <w:r>
        <w:rPr>
          <w:rFonts w:hint="eastAsia" w:ascii="Times New Roman" w:hAnsi="Times New Roman"/>
        </w:rPr>
        <w:t>3</w:t>
      </w:r>
      <w:r>
        <w:rPr>
          <w:rFonts w:hint="eastAsia"/>
        </w:rPr>
        <w:t>）噪声影响分析结论</w:t>
      </w:r>
    </w:p>
    <w:p>
      <w:pPr>
        <w:ind w:firstLine="480"/>
        <w:rPr>
          <w:rFonts w:hint="eastAsia"/>
        </w:rPr>
      </w:pPr>
      <w:r>
        <w:rPr>
          <w:rFonts w:hint="eastAsia"/>
        </w:rPr>
        <w:t>经预测，厂界噪声贡献值可以达到《工业企业厂界环境噪声排放标准》（</w:t>
      </w:r>
      <w:r>
        <w:rPr>
          <w:rFonts w:hint="eastAsia" w:ascii="Times New Roman" w:hAnsi="Times New Roman"/>
        </w:rPr>
        <w:t>12348</w:t>
      </w:r>
      <w:r>
        <w:rPr>
          <w:rFonts w:hint="eastAsia"/>
        </w:rPr>
        <w:t>-</w:t>
      </w:r>
      <w:r>
        <w:rPr>
          <w:rFonts w:hint="eastAsia" w:ascii="Times New Roman" w:hAnsi="Times New Roman"/>
        </w:rPr>
        <w:t>2008</w:t>
      </w:r>
      <w:r>
        <w:rPr>
          <w:rFonts w:hint="eastAsia"/>
        </w:rPr>
        <w:t>）中</w:t>
      </w:r>
      <w:r>
        <w:rPr>
          <w:rFonts w:hint="eastAsia" w:ascii="Times New Roman" w:hAnsi="Times New Roman"/>
        </w:rPr>
        <w:t>3</w:t>
      </w:r>
      <w:r>
        <w:rPr>
          <w:rFonts w:hint="eastAsia"/>
        </w:rPr>
        <w:t>类标准要求</w:t>
      </w:r>
      <w:r>
        <w:rPr>
          <w:rFonts w:hint="eastAsia"/>
          <w:lang w:eastAsia="zh-CN"/>
        </w:rPr>
        <w:t>，</w:t>
      </w:r>
      <w:r>
        <w:rPr>
          <w:rFonts w:hint="eastAsia"/>
        </w:rPr>
        <w:t>对周边声环境的影响很小。</w:t>
      </w:r>
    </w:p>
    <w:p>
      <w:pPr>
        <w:ind w:firstLine="480"/>
        <w:rPr>
          <w:rFonts w:hint="eastAsia"/>
        </w:rPr>
      </w:pPr>
      <w:r>
        <w:rPr>
          <w:rFonts w:hint="eastAsia"/>
        </w:rPr>
        <w:t>（</w:t>
      </w:r>
      <w:r>
        <w:rPr>
          <w:rFonts w:hint="eastAsia" w:ascii="Times New Roman" w:hAnsi="Times New Roman"/>
        </w:rPr>
        <w:t>4</w:t>
      </w:r>
      <w:r>
        <w:rPr>
          <w:rFonts w:hint="eastAsia"/>
        </w:rPr>
        <w:t>）固体废物处置与环境影响</w:t>
      </w:r>
      <w:bookmarkEnd w:id="333"/>
      <w:bookmarkEnd w:id="334"/>
      <w:bookmarkEnd w:id="335"/>
      <w:bookmarkEnd w:id="336"/>
      <w:bookmarkEnd w:id="337"/>
      <w:bookmarkEnd w:id="338"/>
      <w:r>
        <w:rPr>
          <w:rFonts w:hint="eastAsia"/>
        </w:rPr>
        <w:t>分析结论</w:t>
      </w:r>
    </w:p>
    <w:p>
      <w:pPr>
        <w:ind w:firstLine="480"/>
        <w:rPr>
          <w:rFonts w:hint="eastAsia"/>
        </w:rPr>
      </w:pPr>
      <w:bookmarkStart w:id="342" w:name="_Toc288569972"/>
      <w:bookmarkStart w:id="343" w:name="_Toc298430018"/>
      <w:bookmarkStart w:id="344" w:name="_Toc323212398"/>
      <w:bookmarkStart w:id="345" w:name="_Toc332975388"/>
      <w:bookmarkStart w:id="346" w:name="_Toc289863906"/>
      <w:r>
        <w:rPr>
          <w:rFonts w:hint="eastAsia"/>
        </w:rPr>
        <w:t>本项目一般固废主要为</w:t>
      </w:r>
      <w:r>
        <w:rPr>
          <w:rFonts w:hint="eastAsia"/>
          <w:lang w:eastAsia="zh-CN"/>
        </w:rPr>
        <w:t>新增少量污水站污泥，纳入厂内一般固体废物管理，定期清运至乌苏工业园区一般工业固废填埋场处理。新增少量</w:t>
      </w:r>
      <w:r>
        <w:rPr>
          <w:rFonts w:hint="eastAsia"/>
        </w:rPr>
        <w:t>生活垃圾</w:t>
      </w:r>
      <w:r>
        <w:rPr>
          <w:rFonts w:hint="eastAsia"/>
          <w:lang w:eastAsia="zh-CN"/>
        </w:rPr>
        <w:t>纳入厂内生活垃圾管理，</w:t>
      </w:r>
      <w:r>
        <w:rPr>
          <w:rFonts w:hint="eastAsia"/>
        </w:rPr>
        <w:t>厂内定点</w:t>
      </w:r>
      <w:r>
        <w:rPr>
          <w:rFonts w:hint="eastAsia"/>
          <w:lang w:eastAsia="zh-CN"/>
        </w:rPr>
        <w:t>集中分类</w:t>
      </w:r>
      <w:r>
        <w:rPr>
          <w:rFonts w:hint="eastAsia"/>
        </w:rPr>
        <w:t>收集，</w:t>
      </w:r>
      <w:r>
        <w:rPr>
          <w:rFonts w:hint="eastAsia"/>
          <w:lang w:eastAsia="zh-CN"/>
        </w:rPr>
        <w:t>委托园区环卫清运至当地生活垃圾填埋场</w:t>
      </w:r>
      <w:r>
        <w:rPr>
          <w:rFonts w:hint="eastAsia"/>
        </w:rPr>
        <w:t>。</w:t>
      </w:r>
    </w:p>
    <w:p>
      <w:pPr>
        <w:ind w:firstLine="480"/>
        <w:rPr>
          <w:rFonts w:hint="eastAsia"/>
        </w:rPr>
      </w:pPr>
      <w:r>
        <w:rPr>
          <w:rFonts w:hint="eastAsia"/>
          <w:lang w:eastAsia="zh-CN"/>
        </w:rPr>
        <w:t>本项目危险废物主要为废催化剂，规范收集，纳入厂内危险废物管理</w:t>
      </w:r>
      <w:r>
        <w:rPr>
          <w:rFonts w:hint="eastAsia"/>
        </w:rPr>
        <w:t>，</w:t>
      </w:r>
      <w:r>
        <w:rPr>
          <w:rFonts w:hint="eastAsia"/>
          <w:lang w:eastAsia="zh-CN"/>
        </w:rPr>
        <w:t>依托现有危险废物贮存库</w:t>
      </w:r>
      <w:r>
        <w:rPr>
          <w:rFonts w:hint="eastAsia"/>
        </w:rPr>
        <w:t>存放，定期委托有资质的单位进行处理。</w:t>
      </w:r>
    </w:p>
    <w:p>
      <w:pPr>
        <w:ind w:firstLine="480"/>
        <w:rPr>
          <w:rFonts w:hint="eastAsia"/>
        </w:rPr>
      </w:pPr>
      <w:r>
        <w:rPr>
          <w:rFonts w:hint="eastAsia"/>
          <w:lang w:eastAsia="zh-CN"/>
        </w:rPr>
        <w:t>本项目</w:t>
      </w:r>
      <w:r>
        <w:rPr>
          <w:rFonts w:hint="eastAsia"/>
        </w:rPr>
        <w:t>所有固体废物均可得到妥善处置，去向明确，不会对环境产生</w:t>
      </w:r>
      <w:r>
        <w:rPr>
          <w:rFonts w:hint="eastAsia"/>
          <w:lang w:eastAsia="zh-CN"/>
        </w:rPr>
        <w:t>二次</w:t>
      </w:r>
      <w:r>
        <w:rPr>
          <w:rFonts w:hint="eastAsia"/>
        </w:rPr>
        <w:t>污染。</w:t>
      </w:r>
    </w:p>
    <w:bookmarkEnd w:id="342"/>
    <w:bookmarkEnd w:id="343"/>
    <w:bookmarkEnd w:id="344"/>
    <w:bookmarkEnd w:id="345"/>
    <w:bookmarkEnd w:id="346"/>
    <w:p>
      <w:pPr>
        <w:pStyle w:val="4"/>
        <w:spacing w:before="169" w:after="169"/>
        <w:rPr>
          <w:rFonts w:hint="eastAsia"/>
        </w:rPr>
      </w:pPr>
      <w:bookmarkStart w:id="347" w:name="_Toc231978165"/>
      <w:bookmarkStart w:id="348" w:name="_Toc289863911"/>
      <w:bookmarkStart w:id="349" w:name="_Toc332975389"/>
      <w:bookmarkStart w:id="350" w:name="_Toc341867304"/>
      <w:bookmarkStart w:id="351" w:name="_Toc323212399"/>
      <w:bookmarkStart w:id="352" w:name="_Toc214344540"/>
      <w:bookmarkStart w:id="353" w:name="_Toc122653926"/>
      <w:bookmarkStart w:id="354" w:name="_Toc288569976"/>
      <w:bookmarkStart w:id="355" w:name="_Toc298430019"/>
      <w:bookmarkStart w:id="356" w:name="_Toc112838109"/>
      <w:bookmarkStart w:id="357" w:name="_Toc250998973"/>
      <w:bookmarkStart w:id="358" w:name="_Toc119753612"/>
      <w:bookmarkStart w:id="359" w:name="_Toc226883581"/>
      <w:bookmarkStart w:id="360" w:name="_Toc8676"/>
      <w:bookmarkStart w:id="361" w:name="_Toc11066"/>
      <w:r>
        <w:rPr>
          <w:rFonts w:hint="eastAsia" w:ascii="Times New Roman" w:hAnsi="Times New Roman"/>
          <w:lang w:val="en-US" w:eastAsia="zh-CN"/>
        </w:rPr>
        <w:t>10</w:t>
      </w:r>
      <w:r>
        <w:rPr>
          <w:rFonts w:hint="eastAsia"/>
        </w:rPr>
        <w:t>.</w:t>
      </w:r>
      <w:r>
        <w:rPr>
          <w:rFonts w:hint="eastAsia" w:ascii="Times New Roman" w:hAnsi="Times New Roman"/>
        </w:rPr>
        <w:t>5</w:t>
      </w:r>
      <w:bookmarkEnd w:id="347"/>
      <w:bookmarkEnd w:id="348"/>
      <w:bookmarkEnd w:id="349"/>
      <w:bookmarkEnd w:id="350"/>
      <w:bookmarkEnd w:id="351"/>
      <w:bookmarkEnd w:id="352"/>
      <w:bookmarkEnd w:id="353"/>
      <w:bookmarkEnd w:id="354"/>
      <w:bookmarkEnd w:id="355"/>
      <w:bookmarkEnd w:id="356"/>
      <w:bookmarkEnd w:id="357"/>
      <w:bookmarkEnd w:id="358"/>
      <w:bookmarkEnd w:id="359"/>
      <w:bookmarkStart w:id="362" w:name="_Toc298430024"/>
      <w:bookmarkStart w:id="363" w:name="_Toc341867309"/>
      <w:bookmarkStart w:id="364" w:name="_Toc231978170"/>
      <w:bookmarkStart w:id="365" w:name="_Toc225443220"/>
      <w:bookmarkStart w:id="366" w:name="_Toc288569981"/>
      <w:bookmarkStart w:id="367" w:name="_Toc323212404"/>
      <w:bookmarkStart w:id="368" w:name="_Toc332975394"/>
      <w:bookmarkStart w:id="369" w:name="_Toc289863916"/>
      <w:bookmarkStart w:id="370" w:name="_Toc250998978"/>
      <w:r>
        <w:rPr>
          <w:rFonts w:hint="eastAsia"/>
        </w:rPr>
        <w:t>环境保护措施结论</w:t>
      </w:r>
      <w:bookmarkEnd w:id="360"/>
      <w:bookmarkEnd w:id="361"/>
    </w:p>
    <w:p>
      <w:pPr>
        <w:ind w:firstLine="480"/>
        <w:rPr>
          <w:rFonts w:hint="eastAsia" w:eastAsia="宋体"/>
          <w:lang w:eastAsia="zh-CN"/>
        </w:rPr>
      </w:pPr>
      <w:r>
        <w:rPr>
          <w:rFonts w:hint="eastAsia"/>
        </w:rPr>
        <w:t>（</w:t>
      </w:r>
      <w:r>
        <w:rPr>
          <w:rFonts w:hint="eastAsia" w:ascii="Times New Roman" w:hAnsi="Times New Roman"/>
        </w:rPr>
        <w:t>1</w:t>
      </w:r>
      <w:r>
        <w:rPr>
          <w:rFonts w:hint="eastAsia"/>
        </w:rPr>
        <w:t>）</w:t>
      </w:r>
      <w:r>
        <w:rPr>
          <w:rFonts w:hint="eastAsia"/>
          <w:lang w:eastAsia="zh-CN"/>
        </w:rPr>
        <w:t>废气治理措施</w:t>
      </w:r>
    </w:p>
    <w:p>
      <w:pPr>
        <w:ind w:firstLine="480"/>
        <w:rPr>
          <w:rFonts w:hint="default" w:eastAsia="宋体"/>
          <w:lang w:val="en-US" w:eastAsia="zh-CN"/>
        </w:rPr>
      </w:pPr>
      <w:r>
        <w:rPr>
          <w:rFonts w:hint="eastAsia"/>
          <w:lang w:eastAsia="zh-CN"/>
        </w:rPr>
        <w:t>本项目主要大气污染物为</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和</w:t>
      </w:r>
      <w:r>
        <w:rPr>
          <w:rFonts w:hint="eastAsia" w:ascii="Times New Roman" w:hAnsi="Times New Roman"/>
          <w:lang w:val="en-US" w:eastAsia="zh-CN"/>
        </w:rPr>
        <w:t>NMHC</w:t>
      </w:r>
      <w:r>
        <w:rPr>
          <w:rFonts w:hint="eastAsia"/>
          <w:lang w:val="en-US" w:eastAsia="zh-CN"/>
        </w:rPr>
        <w:t>，其中</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为反应生成，</w:t>
      </w:r>
      <w:r>
        <w:rPr>
          <w:rFonts w:hint="eastAsia" w:ascii="Times New Roman" w:hAnsi="Times New Roman"/>
          <w:lang w:val="en-US" w:eastAsia="zh-CN"/>
        </w:rPr>
        <w:t>NMHC</w:t>
      </w:r>
      <w:r>
        <w:rPr>
          <w:rFonts w:hint="eastAsia"/>
          <w:lang w:val="en-US" w:eastAsia="zh-CN"/>
        </w:rPr>
        <w:t>主要成份为本项目产品</w:t>
      </w:r>
      <w:r>
        <w:rPr>
          <w:rFonts w:hint="eastAsia" w:ascii="Times New Roman" w:hAnsi="Times New Roman"/>
          <w:lang w:val="en-US" w:eastAsia="zh-CN"/>
        </w:rPr>
        <w:t>PD</w:t>
      </w:r>
      <w:r>
        <w:rPr>
          <w:rFonts w:hint="eastAsia"/>
          <w:lang w:val="en-US" w:eastAsia="zh-CN"/>
        </w:rPr>
        <w:t>。由于</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w:t>
      </w:r>
      <w:r>
        <w:rPr>
          <w:rFonts w:hint="eastAsia" w:ascii="Times New Roman" w:hAnsi="Times New Roman"/>
          <w:lang w:val="en-US" w:eastAsia="zh-CN"/>
        </w:rPr>
        <w:t>PD</w:t>
      </w:r>
      <w:r>
        <w:rPr>
          <w:rFonts w:hint="eastAsia"/>
          <w:lang w:val="en-US" w:eastAsia="zh-CN"/>
        </w:rPr>
        <w:t>均易溶于水，因此本项目对不凝气采取一级水吸收+二级酸吸收处理。采取的措施符合《大气污染治理工程技术导则》（</w:t>
      </w:r>
      <w:r>
        <w:rPr>
          <w:rFonts w:hint="eastAsia" w:ascii="Times New Roman" w:hAnsi="Times New Roman"/>
          <w:lang w:val="en-US" w:eastAsia="zh-CN"/>
        </w:rPr>
        <w:t>HJ2000</w:t>
      </w:r>
      <w:r>
        <w:rPr>
          <w:rFonts w:hint="eastAsia"/>
          <w:lang w:val="en-US" w:eastAsia="zh-CN"/>
        </w:rPr>
        <w:t>-</w:t>
      </w:r>
      <w:r>
        <w:rPr>
          <w:rFonts w:hint="eastAsia" w:ascii="Times New Roman" w:hAnsi="Times New Roman"/>
          <w:lang w:val="en-US" w:eastAsia="zh-CN"/>
        </w:rPr>
        <w:t>2010</w:t>
      </w:r>
      <w:r>
        <w:rPr>
          <w:rFonts w:hint="eastAsia"/>
          <w:lang w:val="en-US" w:eastAsia="zh-CN"/>
        </w:rPr>
        <w:t>）</w:t>
      </w:r>
      <w:r>
        <w:rPr>
          <w:rFonts w:hint="eastAsia" w:ascii="Times New Roman" w:hAnsi="Times New Roman"/>
          <w:lang w:val="en-US" w:eastAsia="zh-CN"/>
        </w:rPr>
        <w:t>6</w:t>
      </w:r>
      <w:r>
        <w:rPr>
          <w:rFonts w:hint="eastAsia"/>
          <w:lang w:val="en-US" w:eastAsia="zh-CN"/>
        </w:rPr>
        <w:t>.</w:t>
      </w:r>
      <w:r>
        <w:rPr>
          <w:rFonts w:hint="eastAsia" w:ascii="Times New Roman" w:hAnsi="Times New Roman"/>
          <w:lang w:val="en-US" w:eastAsia="zh-CN"/>
        </w:rPr>
        <w:t>2</w:t>
      </w:r>
      <w:r>
        <w:rPr>
          <w:rFonts w:hint="eastAsia"/>
          <w:lang w:val="en-US" w:eastAsia="zh-CN"/>
        </w:rPr>
        <w:t>中的相关要求。废气经处理后通过</w:t>
      </w:r>
      <w:r>
        <w:rPr>
          <w:rFonts w:hint="eastAsia" w:ascii="Times New Roman" w:hAnsi="Times New Roman"/>
          <w:lang w:val="en-US" w:eastAsia="zh-CN"/>
        </w:rPr>
        <w:t>15m</w:t>
      </w:r>
      <w:r>
        <w:rPr>
          <w:rFonts w:hint="eastAsia"/>
          <w:lang w:val="en-US" w:eastAsia="zh-CN"/>
        </w:rPr>
        <w:t>高排气筒排放，主要污染物</w:t>
      </w:r>
      <w:r>
        <w:rPr>
          <w:rFonts w:hint="eastAsia" w:ascii="Times New Roman" w:hAnsi="Times New Roman"/>
          <w:lang w:val="en-US" w:eastAsia="zh-CN"/>
        </w:rPr>
        <w:t>NH</w:t>
      </w:r>
      <w:r>
        <w:rPr>
          <w:rFonts w:hint="eastAsia" w:ascii="Times New Roman" w:hAnsi="Times New Roman"/>
          <w:vertAlign w:val="subscript"/>
          <w:lang w:val="en-US" w:eastAsia="zh-CN"/>
        </w:rPr>
        <w:t>3</w:t>
      </w:r>
      <w:r>
        <w:rPr>
          <w:rFonts w:hint="eastAsia"/>
          <w:lang w:val="en-US" w:eastAsia="zh-CN"/>
        </w:rPr>
        <w:t>排放满足《恶臭污染物排放标准》（</w:t>
      </w:r>
      <w:r>
        <w:rPr>
          <w:rFonts w:hint="eastAsia" w:ascii="Times New Roman" w:hAnsi="Times New Roman"/>
          <w:lang w:val="en-US" w:eastAsia="zh-CN"/>
        </w:rPr>
        <w:t>GB14554</w:t>
      </w:r>
      <w:r>
        <w:rPr>
          <w:rFonts w:hint="eastAsia"/>
          <w:lang w:val="en-US" w:eastAsia="zh-CN"/>
        </w:rPr>
        <w:t>-</w:t>
      </w:r>
      <w:r>
        <w:rPr>
          <w:rFonts w:hint="eastAsia" w:ascii="Times New Roman" w:hAnsi="Times New Roman"/>
          <w:lang w:val="en-US" w:eastAsia="zh-CN"/>
        </w:rPr>
        <w:t>93</w:t>
      </w:r>
      <w:r>
        <w:rPr>
          <w:rFonts w:hint="eastAsia"/>
          <w:lang w:val="en-US" w:eastAsia="zh-CN"/>
        </w:rPr>
        <w:t>）表</w:t>
      </w:r>
      <w:r>
        <w:rPr>
          <w:rFonts w:hint="eastAsia" w:ascii="Times New Roman" w:hAnsi="Times New Roman"/>
          <w:lang w:val="en-US" w:eastAsia="zh-CN"/>
        </w:rPr>
        <w:t>2</w:t>
      </w:r>
      <w:r>
        <w:rPr>
          <w:rFonts w:hint="eastAsia"/>
          <w:lang w:val="en-US" w:eastAsia="zh-CN"/>
        </w:rPr>
        <w:t>标准限值，</w:t>
      </w:r>
      <w:r>
        <w:rPr>
          <w:rFonts w:hint="eastAsia" w:ascii="Times New Roman" w:hAnsi="Times New Roman"/>
          <w:lang w:val="en-US" w:eastAsia="zh-CN"/>
        </w:rPr>
        <w:t>NMHC</w:t>
      </w:r>
      <w:r>
        <w:rPr>
          <w:rFonts w:hint="eastAsia"/>
          <w:lang w:val="en-US" w:eastAsia="zh-CN"/>
        </w:rPr>
        <w:t>满足《大气污染物综合排放标准》（</w:t>
      </w:r>
      <w:r>
        <w:rPr>
          <w:rFonts w:hint="eastAsia" w:ascii="Times New Roman" w:hAnsi="Times New Roman"/>
          <w:lang w:val="en-US" w:eastAsia="zh-CN"/>
        </w:rPr>
        <w:t>GB16297</w:t>
      </w:r>
      <w:r>
        <w:rPr>
          <w:rFonts w:hint="eastAsia"/>
          <w:lang w:val="en-US" w:eastAsia="zh-CN"/>
        </w:rPr>
        <w:t>-</w:t>
      </w:r>
      <w:r>
        <w:rPr>
          <w:rFonts w:hint="eastAsia" w:ascii="Times New Roman" w:hAnsi="Times New Roman"/>
          <w:lang w:val="en-US" w:eastAsia="zh-CN"/>
        </w:rPr>
        <w:t>1996</w:t>
      </w:r>
      <w:r>
        <w:rPr>
          <w:rFonts w:hint="eastAsia"/>
          <w:lang w:val="en-US" w:eastAsia="zh-CN"/>
        </w:rPr>
        <w:t>）表</w:t>
      </w:r>
      <w:r>
        <w:rPr>
          <w:rFonts w:hint="eastAsia" w:ascii="Times New Roman" w:hAnsi="Times New Roman"/>
          <w:lang w:val="en-US" w:eastAsia="zh-CN"/>
        </w:rPr>
        <w:t>2</w:t>
      </w:r>
      <w:r>
        <w:rPr>
          <w:rFonts w:hint="eastAsia"/>
          <w:lang w:val="en-US" w:eastAsia="zh-CN"/>
        </w:rPr>
        <w:t>限值。</w:t>
      </w:r>
    </w:p>
    <w:p>
      <w:pPr>
        <w:ind w:firstLine="480"/>
        <w:rPr>
          <w:rFonts w:hint="default" w:eastAsia="宋体"/>
          <w:lang w:val="en-US" w:eastAsia="zh-CN"/>
        </w:rPr>
      </w:pPr>
      <w:r>
        <w:rPr>
          <w:rFonts w:hint="eastAsia"/>
          <w:lang w:eastAsia="zh-CN"/>
        </w:rPr>
        <w:t>本项目采取的大气污染防治措施是成熟可行的。</w:t>
      </w:r>
    </w:p>
    <w:p>
      <w:pPr>
        <w:ind w:firstLine="480"/>
        <w:rPr>
          <w:rFonts w:hint="eastAsia" w:eastAsia="宋体"/>
          <w:lang w:eastAsia="zh-CN"/>
        </w:rPr>
      </w:pPr>
      <w:r>
        <w:rPr>
          <w:rFonts w:hint="eastAsia"/>
        </w:rPr>
        <w:t>（</w:t>
      </w:r>
      <w:r>
        <w:rPr>
          <w:rFonts w:hint="eastAsia" w:ascii="Times New Roman" w:hAnsi="Times New Roman"/>
        </w:rPr>
        <w:t>2</w:t>
      </w:r>
      <w:r>
        <w:rPr>
          <w:rFonts w:hint="eastAsia"/>
        </w:rPr>
        <w:t>）</w:t>
      </w:r>
      <w:r>
        <w:rPr>
          <w:rFonts w:hint="eastAsia"/>
          <w:lang w:eastAsia="zh-CN"/>
        </w:rPr>
        <w:t>废水治理措施</w:t>
      </w:r>
    </w:p>
    <w:p>
      <w:pPr>
        <w:ind w:firstLine="480"/>
        <w:rPr>
          <w:rFonts w:hint="default" w:eastAsia="宋体"/>
          <w:lang w:val="en-US" w:eastAsia="zh-CN"/>
        </w:rPr>
      </w:pPr>
      <w:r>
        <w:rPr>
          <w:rFonts w:hint="eastAsia"/>
        </w:rPr>
        <w:t>根据</w:t>
      </w:r>
      <w:r>
        <w:rPr>
          <w:rFonts w:hint="eastAsia"/>
          <w:lang w:eastAsia="zh-CN"/>
        </w:rPr>
        <w:t>园区污水处理厂进水水质要求</w:t>
      </w:r>
      <w:r>
        <w:rPr>
          <w:rFonts w:hint="eastAsia"/>
        </w:rPr>
        <w:t>，</w:t>
      </w:r>
      <w:r>
        <w:rPr>
          <w:rFonts w:hint="eastAsia"/>
          <w:lang w:eastAsia="zh-CN"/>
        </w:rPr>
        <w:t>企业排入园区管网废水，应满足《污水排入城镇下水道水质标准》（</w:t>
      </w:r>
      <w:r>
        <w:rPr>
          <w:rFonts w:hint="eastAsia" w:ascii="Times New Roman" w:hAnsi="Times New Roman"/>
          <w:lang w:val="en-US" w:eastAsia="zh-CN"/>
        </w:rPr>
        <w:t>GB</w:t>
      </w:r>
      <w:r>
        <w:rPr>
          <w:rFonts w:hint="eastAsia"/>
          <w:lang w:val="en-US" w:eastAsia="zh-CN"/>
        </w:rPr>
        <w:t>/</w:t>
      </w:r>
      <w:r>
        <w:rPr>
          <w:rFonts w:hint="eastAsia" w:ascii="Times New Roman" w:hAnsi="Times New Roman"/>
          <w:lang w:val="en-US" w:eastAsia="zh-CN"/>
        </w:rPr>
        <w:t>T31962</w:t>
      </w:r>
      <w:r>
        <w:rPr>
          <w:rFonts w:hint="eastAsia"/>
          <w:lang w:val="en-US" w:eastAsia="zh-CN"/>
        </w:rPr>
        <w:t>-</w:t>
      </w:r>
      <w:r>
        <w:rPr>
          <w:rFonts w:hint="eastAsia" w:ascii="Times New Roman" w:hAnsi="Times New Roman"/>
          <w:lang w:val="en-US" w:eastAsia="zh-CN"/>
        </w:rPr>
        <w:t>2015</w:t>
      </w:r>
      <w:r>
        <w:rPr>
          <w:rFonts w:hint="eastAsia"/>
          <w:lang w:eastAsia="zh-CN"/>
        </w:rPr>
        <w:t>）表</w:t>
      </w:r>
      <w:r>
        <w:rPr>
          <w:rFonts w:hint="eastAsia" w:ascii="Times New Roman" w:hAnsi="Times New Roman"/>
          <w:lang w:val="en-US" w:eastAsia="zh-CN"/>
        </w:rPr>
        <w:t>1B</w:t>
      </w:r>
      <w:r>
        <w:rPr>
          <w:rFonts w:hint="eastAsia"/>
          <w:lang w:val="en-US" w:eastAsia="zh-CN"/>
        </w:rPr>
        <w:t>级限值</w:t>
      </w:r>
      <w:r>
        <w:rPr>
          <w:rFonts w:hint="eastAsia"/>
        </w:rPr>
        <w:t>。</w:t>
      </w:r>
      <w:r>
        <w:rPr>
          <w:rFonts w:hint="eastAsia"/>
          <w:lang w:eastAsia="zh-CN"/>
        </w:rPr>
        <w:t>本项目依托现有工程</w:t>
      </w:r>
      <w:r>
        <w:rPr>
          <w:rFonts w:hint="eastAsia" w:ascii="Times New Roman" w:hAnsi="Times New Roman"/>
          <w:lang w:val="en-US" w:eastAsia="zh-CN"/>
        </w:rPr>
        <w:t>1</w:t>
      </w:r>
      <w:r>
        <w:rPr>
          <w:rFonts w:hint="eastAsia"/>
          <w:lang w:val="en-US" w:eastAsia="zh-CN"/>
        </w:rPr>
        <w:t>.</w:t>
      </w:r>
      <w:r>
        <w:rPr>
          <w:rFonts w:hint="eastAsia" w:ascii="Times New Roman" w:hAnsi="Times New Roman"/>
          <w:lang w:val="en-US" w:eastAsia="zh-CN"/>
        </w:rPr>
        <w:t>1</w:t>
      </w:r>
      <w:r>
        <w:rPr>
          <w:rFonts w:hint="eastAsia"/>
          <w:lang w:val="en-US" w:eastAsia="zh-CN"/>
        </w:rPr>
        <w:t>万</w:t>
      </w:r>
      <w:r>
        <w:rPr>
          <w:rFonts w:hint="eastAsia" w:ascii="Times New Roman" w:hAnsi="Times New Roman"/>
          <w:lang w:val="en-US" w:eastAsia="zh-CN"/>
        </w:rPr>
        <w:t>m</w:t>
      </w:r>
      <w:r>
        <w:rPr>
          <w:rFonts w:hint="eastAsia"/>
          <w:lang w:val="en-US" w:eastAsia="zh-CN"/>
        </w:rPr>
        <w:t>³/</w:t>
      </w:r>
      <w:r>
        <w:rPr>
          <w:rFonts w:hint="eastAsia" w:ascii="Times New Roman" w:hAnsi="Times New Roman"/>
          <w:lang w:val="en-US" w:eastAsia="zh-CN"/>
        </w:rPr>
        <w:t>d</w:t>
      </w:r>
      <w:r>
        <w:rPr>
          <w:rFonts w:hint="eastAsia"/>
          <w:lang w:eastAsia="zh-CN"/>
        </w:rPr>
        <w:t>污水站，采用水解酸化</w:t>
      </w:r>
      <w:r>
        <w:rPr>
          <w:rFonts w:hint="eastAsia"/>
          <w:lang w:val="en-US" w:eastAsia="zh-CN"/>
        </w:rPr>
        <w:t>+</w:t>
      </w:r>
      <w:r>
        <w:rPr>
          <w:rFonts w:hint="eastAsia" w:ascii="Times New Roman" w:hAnsi="Times New Roman"/>
          <w:lang w:val="en-US" w:eastAsia="zh-CN"/>
        </w:rPr>
        <w:t>A2O</w:t>
      </w:r>
      <w:r>
        <w:rPr>
          <w:rFonts w:hint="eastAsia"/>
          <w:lang w:val="en-US" w:eastAsia="zh-CN"/>
        </w:rPr>
        <w:t>生化处理工艺处理，经分析，本项目废水经处理后满足达标排放要求。</w:t>
      </w:r>
    </w:p>
    <w:p>
      <w:pPr>
        <w:ind w:firstLine="480"/>
        <w:rPr>
          <w:rFonts w:hint="eastAsia" w:eastAsia="宋体"/>
          <w:lang w:eastAsia="zh-CN"/>
        </w:rPr>
      </w:pPr>
      <w:r>
        <w:rPr>
          <w:rFonts w:hint="eastAsia"/>
        </w:rPr>
        <w:t>（</w:t>
      </w:r>
      <w:r>
        <w:rPr>
          <w:rFonts w:hint="eastAsia" w:ascii="Times New Roman" w:hAnsi="Times New Roman"/>
        </w:rPr>
        <w:t>3</w:t>
      </w:r>
      <w:r>
        <w:rPr>
          <w:rFonts w:hint="eastAsia"/>
        </w:rPr>
        <w:t>）</w:t>
      </w:r>
      <w:r>
        <w:rPr>
          <w:rFonts w:hint="eastAsia"/>
          <w:lang w:eastAsia="zh-CN"/>
        </w:rPr>
        <w:t>噪声污染防治措施</w:t>
      </w:r>
    </w:p>
    <w:p>
      <w:pPr>
        <w:ind w:firstLine="480"/>
        <w:rPr>
          <w:rFonts w:hint="eastAsia"/>
        </w:rPr>
      </w:pPr>
      <w:r>
        <w:rPr>
          <w:rFonts w:hint="eastAsia"/>
          <w:lang w:eastAsia="zh-CN"/>
        </w:rPr>
        <w:t>本项目</w:t>
      </w:r>
      <w:r>
        <w:rPr>
          <w:rFonts w:hint="eastAsia"/>
        </w:rPr>
        <w:t>噪声源</w:t>
      </w:r>
      <w:r>
        <w:rPr>
          <w:rFonts w:hint="eastAsia"/>
          <w:lang w:eastAsia="zh-CN"/>
        </w:rPr>
        <w:t>主要</w:t>
      </w:r>
      <w:r>
        <w:rPr>
          <w:rFonts w:hint="eastAsia"/>
        </w:rPr>
        <w:t>为泵机、</w:t>
      </w:r>
      <w:r>
        <w:rPr>
          <w:rFonts w:hint="eastAsia"/>
          <w:lang w:eastAsia="zh-CN"/>
        </w:rPr>
        <w:t>真空泵</w:t>
      </w:r>
      <w:r>
        <w:rPr>
          <w:rFonts w:hint="eastAsia"/>
        </w:rPr>
        <w:t>等设备，</w:t>
      </w:r>
      <w:r>
        <w:rPr>
          <w:rFonts w:hint="eastAsia"/>
          <w:lang w:eastAsia="zh-CN"/>
        </w:rPr>
        <w:t>采取</w:t>
      </w:r>
      <w:r>
        <w:rPr>
          <w:rFonts w:hint="eastAsia"/>
        </w:rPr>
        <w:t>优选低噪声设备</w:t>
      </w:r>
      <w:r>
        <w:rPr>
          <w:rFonts w:hint="eastAsia"/>
          <w:lang w:eastAsia="zh-CN"/>
        </w:rPr>
        <w:t>、</w:t>
      </w:r>
      <w:r>
        <w:rPr>
          <w:rFonts w:hint="eastAsia"/>
        </w:rPr>
        <w:t>基础减振、</w:t>
      </w:r>
      <w:r>
        <w:rPr>
          <w:rFonts w:hint="eastAsia"/>
          <w:lang w:eastAsia="zh-CN"/>
        </w:rPr>
        <w:t>隔声处理</w:t>
      </w:r>
      <w:r>
        <w:rPr>
          <w:rFonts w:hint="eastAsia"/>
        </w:rPr>
        <w:t>等措施，经预测厂界噪声可满足《工业企业厂界环境噪声排放标准》（</w:t>
      </w:r>
      <w:r>
        <w:rPr>
          <w:rFonts w:hint="eastAsia" w:ascii="Times New Roman" w:hAnsi="Times New Roman"/>
        </w:rPr>
        <w:t>GB12348</w:t>
      </w:r>
      <w:r>
        <w:rPr>
          <w:rFonts w:hint="eastAsia"/>
        </w:rPr>
        <w:t>-</w:t>
      </w:r>
      <w:r>
        <w:rPr>
          <w:rFonts w:hint="eastAsia" w:ascii="Times New Roman" w:hAnsi="Times New Roman"/>
        </w:rPr>
        <w:t>2008</w:t>
      </w:r>
      <w:r>
        <w:rPr>
          <w:rFonts w:hint="eastAsia"/>
        </w:rPr>
        <w:t>）</w:t>
      </w:r>
      <w:r>
        <w:rPr>
          <w:rFonts w:hint="eastAsia" w:ascii="Times New Roman" w:hAnsi="Times New Roman"/>
        </w:rPr>
        <w:t>3</w:t>
      </w:r>
      <w:r>
        <w:rPr>
          <w:rFonts w:hint="eastAsia"/>
        </w:rPr>
        <w:t>类标准要求</w:t>
      </w:r>
      <w:r>
        <w:rPr>
          <w:rFonts w:hint="eastAsia"/>
          <w:lang w:eastAsia="zh-CN"/>
        </w:rPr>
        <w:t>，采取的降噪措施可行</w:t>
      </w:r>
      <w:r>
        <w:rPr>
          <w:rFonts w:hint="eastAsia"/>
        </w:rPr>
        <w:t>。</w:t>
      </w:r>
    </w:p>
    <w:p>
      <w:pPr>
        <w:ind w:firstLine="480"/>
        <w:rPr>
          <w:rFonts w:hint="eastAsia" w:eastAsia="宋体"/>
          <w:lang w:eastAsia="zh-CN"/>
        </w:rPr>
      </w:pPr>
      <w:r>
        <w:rPr>
          <w:rFonts w:hint="eastAsia"/>
        </w:rPr>
        <w:t>（</w:t>
      </w:r>
      <w:r>
        <w:rPr>
          <w:rFonts w:hint="eastAsia" w:ascii="Times New Roman" w:hAnsi="Times New Roman"/>
        </w:rPr>
        <w:t>4</w:t>
      </w:r>
      <w:r>
        <w:rPr>
          <w:rFonts w:hint="eastAsia"/>
        </w:rPr>
        <w:t>）</w:t>
      </w:r>
      <w:r>
        <w:rPr>
          <w:rFonts w:hint="eastAsia"/>
          <w:lang w:eastAsia="zh-CN"/>
        </w:rPr>
        <w:t>固体废物治理措施</w:t>
      </w:r>
    </w:p>
    <w:p>
      <w:pPr>
        <w:ind w:firstLine="480"/>
        <w:rPr>
          <w:rFonts w:hint="eastAsia"/>
        </w:rPr>
      </w:pPr>
      <w:r>
        <w:rPr>
          <w:rFonts w:hint="eastAsia"/>
          <w:lang w:val="en-US" w:eastAsia="zh-CN"/>
        </w:rPr>
        <w:t>本项目新增</w:t>
      </w:r>
      <w:r>
        <w:rPr>
          <w:rFonts w:hint="eastAsia"/>
        </w:rPr>
        <w:t>危险废物按照《危险废物贮存污染控制标准》（</w:t>
      </w:r>
      <w:r>
        <w:rPr>
          <w:rFonts w:hint="eastAsia" w:ascii="Times New Roman" w:hAnsi="Times New Roman"/>
        </w:rPr>
        <w:t>GB18597</w:t>
      </w:r>
      <w:r>
        <w:rPr>
          <w:rFonts w:hint="eastAsia"/>
        </w:rPr>
        <w:t>-</w:t>
      </w:r>
      <w:r>
        <w:rPr>
          <w:rFonts w:hint="eastAsia" w:ascii="Times New Roman" w:hAnsi="Times New Roman"/>
        </w:rPr>
        <w:t>20</w:t>
      </w:r>
      <w:r>
        <w:rPr>
          <w:rFonts w:hint="eastAsia" w:ascii="Times New Roman" w:hAnsi="Times New Roman"/>
          <w:lang w:val="en-US" w:eastAsia="zh-CN"/>
        </w:rPr>
        <w:t>23</w:t>
      </w:r>
      <w:r>
        <w:rPr>
          <w:rFonts w:hint="eastAsia"/>
        </w:rPr>
        <w:t>）的要求</w:t>
      </w:r>
      <w:r>
        <w:rPr>
          <w:rFonts w:hint="eastAsia"/>
          <w:lang w:eastAsia="zh-CN"/>
        </w:rPr>
        <w:t>规范收集，定期委托处理</w:t>
      </w:r>
      <w:r>
        <w:rPr>
          <w:rFonts w:hint="eastAsia"/>
        </w:rPr>
        <w:t>，去向明确，符合固废处置的相关要求。</w:t>
      </w:r>
    </w:p>
    <w:p>
      <w:pPr>
        <w:pStyle w:val="4"/>
        <w:spacing w:before="169" w:after="169"/>
        <w:rPr>
          <w:rFonts w:hint="eastAsia"/>
        </w:rPr>
      </w:pPr>
      <w:bookmarkStart w:id="371" w:name="_Toc8569"/>
      <w:bookmarkStart w:id="372" w:name="_Toc7704"/>
      <w:r>
        <w:rPr>
          <w:rFonts w:hint="eastAsia" w:ascii="Times New Roman" w:hAnsi="Times New Roman"/>
          <w:lang w:val="en-US" w:eastAsia="zh-CN"/>
        </w:rPr>
        <w:t>10</w:t>
      </w:r>
      <w:r>
        <w:rPr>
          <w:rFonts w:hint="eastAsia"/>
        </w:rPr>
        <w:t>.</w:t>
      </w:r>
      <w:r>
        <w:rPr>
          <w:rFonts w:hint="eastAsia" w:ascii="Times New Roman" w:hAnsi="Times New Roman"/>
        </w:rPr>
        <w:t>6</w:t>
      </w:r>
      <w:r>
        <w:rPr>
          <w:rFonts w:hint="eastAsia"/>
        </w:rPr>
        <w:t>环境影响经济损益分析</w:t>
      </w:r>
      <w:bookmarkEnd w:id="371"/>
      <w:bookmarkEnd w:id="372"/>
    </w:p>
    <w:p>
      <w:pPr>
        <w:ind w:firstLine="480"/>
        <w:rPr>
          <w:rFonts w:hint="eastAsia"/>
        </w:rPr>
      </w:pPr>
      <w:r>
        <w:rPr>
          <w:rFonts w:hint="eastAsia"/>
        </w:rPr>
        <w:t>通过分析，本项目建成前后对区域环境的影响不大，均在可以接受的范围内。项目可与</w:t>
      </w:r>
      <w:r>
        <w:rPr>
          <w:rFonts w:hint="eastAsia"/>
          <w:lang w:eastAsia="zh-CN"/>
        </w:rPr>
        <w:t>本地区</w:t>
      </w:r>
      <w:r>
        <w:rPr>
          <w:rFonts w:hint="eastAsia"/>
        </w:rPr>
        <w:t>企业形成上下游产业链，具有较好的经济效益。</w:t>
      </w:r>
    </w:p>
    <w:p>
      <w:pPr>
        <w:pStyle w:val="4"/>
        <w:spacing w:before="169" w:after="169"/>
        <w:rPr>
          <w:rFonts w:hint="eastAsia"/>
        </w:rPr>
      </w:pPr>
      <w:bookmarkStart w:id="373" w:name="_Toc11476"/>
      <w:bookmarkStart w:id="374" w:name="_Toc10004"/>
      <w:r>
        <w:rPr>
          <w:rFonts w:hint="eastAsia" w:ascii="Times New Roman" w:hAnsi="Times New Roman"/>
          <w:lang w:val="en-US" w:eastAsia="zh-CN"/>
        </w:rPr>
        <w:t>10</w:t>
      </w:r>
      <w:r>
        <w:rPr>
          <w:rFonts w:hint="eastAsia"/>
        </w:rPr>
        <w:t>.</w:t>
      </w:r>
      <w:r>
        <w:rPr>
          <w:rFonts w:hint="eastAsia" w:ascii="Times New Roman" w:hAnsi="Times New Roman"/>
        </w:rPr>
        <w:t>7</w:t>
      </w:r>
      <w:r>
        <w:rPr>
          <w:rFonts w:hint="eastAsia"/>
        </w:rPr>
        <w:t>环境管理与监测计划</w:t>
      </w:r>
      <w:bookmarkEnd w:id="373"/>
      <w:bookmarkEnd w:id="374"/>
    </w:p>
    <w:p>
      <w:pPr>
        <w:ind w:firstLine="480"/>
        <w:rPr>
          <w:rFonts w:hint="eastAsia"/>
        </w:rPr>
      </w:pPr>
      <w:r>
        <w:rPr>
          <w:rFonts w:hint="eastAsia"/>
        </w:rPr>
        <w:t>根据本项目的特点，提出了相关的环境管理要求和监测计划，要求建设单位务必按照环评要求落实各项措施。</w:t>
      </w:r>
    </w:p>
    <w:p>
      <w:pPr>
        <w:pStyle w:val="4"/>
        <w:spacing w:before="169" w:after="169"/>
        <w:rPr>
          <w:rFonts w:hint="eastAsia" w:ascii="Times New Roman" w:hAnsi="Times New Roman"/>
        </w:rPr>
      </w:pPr>
      <w:bookmarkStart w:id="375" w:name="_Toc31723"/>
      <w:bookmarkStart w:id="376" w:name="_Toc18180"/>
      <w:r>
        <w:rPr>
          <w:rFonts w:hint="eastAsia" w:ascii="Times New Roman" w:hAnsi="Times New Roman"/>
          <w:lang w:val="en-US" w:eastAsia="zh-CN"/>
        </w:rPr>
        <w:t>10</w:t>
      </w:r>
      <w:r>
        <w:rPr>
          <w:rFonts w:hint="eastAsia"/>
        </w:rPr>
        <w:t>.</w:t>
      </w:r>
      <w:r>
        <w:rPr>
          <w:rFonts w:hint="eastAsia" w:ascii="Times New Roman" w:hAnsi="Times New Roman"/>
        </w:rPr>
        <w:t>8</w:t>
      </w:r>
      <w:r>
        <w:rPr>
          <w:rFonts w:hint="eastAsia" w:ascii="Times New Roman" w:hAnsi="Times New Roman"/>
        </w:rPr>
        <w:t>公众参与调查</w:t>
      </w:r>
      <w:bookmarkEnd w:id="375"/>
    </w:p>
    <w:p>
      <w:pPr>
        <w:rPr>
          <w:rFonts w:hint="eastAsia" w:ascii="Times New Roman"/>
        </w:rPr>
      </w:pPr>
      <w:r>
        <w:rPr>
          <w:rFonts w:hint="eastAsia"/>
        </w:rPr>
        <w:t>建设单位通过网上公示、报纸公示和张贴公告等方式进行了公告，收集与本项目建设相关的</w:t>
      </w:r>
      <w:r>
        <w:rPr>
          <w:rFonts w:hint="eastAsia"/>
          <w:lang w:eastAsia="zh-CN"/>
        </w:rPr>
        <w:t>建议</w:t>
      </w:r>
      <w:r>
        <w:rPr>
          <w:rFonts w:hint="eastAsia"/>
        </w:rPr>
        <w:t>与意见</w:t>
      </w:r>
      <w:r>
        <w:rPr>
          <w:rFonts w:hint="eastAsia"/>
          <w:lang w:eastAsia="zh-CN"/>
        </w:rPr>
        <w:t>。</w:t>
      </w:r>
      <w:r>
        <w:rPr>
          <w:rFonts w:hint="eastAsia"/>
        </w:rPr>
        <w:t>项目的建设得到公众的理解与支持。</w:t>
      </w:r>
    </w:p>
    <w:p>
      <w:pPr>
        <w:pStyle w:val="4"/>
        <w:spacing w:before="169" w:after="169"/>
        <w:rPr>
          <w:rFonts w:hint="eastAsia"/>
        </w:rPr>
      </w:pPr>
      <w:bookmarkStart w:id="377" w:name="_Toc18655"/>
      <w:r>
        <w:rPr>
          <w:rFonts w:hint="eastAsia" w:ascii="Times New Roman" w:hAnsi="Times New Roman"/>
          <w:lang w:val="en-US" w:eastAsia="zh-CN"/>
        </w:rPr>
        <w:t>10</w:t>
      </w:r>
      <w:r>
        <w:rPr>
          <w:rFonts w:hint="eastAsia"/>
        </w:rPr>
        <w:t>.</w:t>
      </w:r>
      <w:r>
        <w:rPr>
          <w:rFonts w:hint="eastAsia" w:ascii="Times New Roman" w:hAnsi="Times New Roman"/>
        </w:rPr>
        <w:t>9</w:t>
      </w:r>
      <w:r>
        <w:rPr>
          <w:rFonts w:hint="eastAsia"/>
        </w:rPr>
        <w:t>总体结论</w:t>
      </w:r>
      <w:bookmarkEnd w:id="376"/>
      <w:bookmarkEnd w:id="377"/>
    </w:p>
    <w:p>
      <w:pPr>
        <w:ind w:firstLine="480"/>
        <w:rPr>
          <w:rFonts w:hint="eastAsia"/>
        </w:rPr>
      </w:pPr>
      <w:r>
        <w:rPr>
          <w:rFonts w:hint="eastAsia"/>
          <w:lang w:eastAsia="zh-CN"/>
        </w:rPr>
        <w:t>凯赛（乌苏）生物材料有限公司年产</w:t>
      </w:r>
      <w:r>
        <w:rPr>
          <w:rFonts w:hint="eastAsia" w:ascii="Times New Roman" w:hAnsi="Times New Roman"/>
          <w:lang w:eastAsia="zh-CN"/>
        </w:rPr>
        <w:t>10000</w:t>
      </w:r>
      <w:r>
        <w:rPr>
          <w:rFonts w:hint="eastAsia"/>
          <w:lang w:eastAsia="zh-CN"/>
        </w:rPr>
        <w:t>吨</w:t>
      </w:r>
      <w:r>
        <w:rPr>
          <w:rFonts w:hint="eastAsia" w:ascii="Times New Roman" w:hAnsi="Times New Roman"/>
          <w:lang w:eastAsia="zh-CN"/>
        </w:rPr>
        <w:t>PD</w:t>
      </w:r>
      <w:r>
        <w:rPr>
          <w:rFonts w:hint="eastAsia"/>
        </w:rPr>
        <w:t>项目符合国家产业政策、国家及地方发展规划和环保政策。</w:t>
      </w:r>
    </w:p>
    <w:p>
      <w:pPr>
        <w:ind w:firstLine="480"/>
        <w:rPr>
          <w:rFonts w:hint="eastAsia"/>
        </w:rPr>
      </w:pPr>
      <w:r>
        <w:rPr>
          <w:rFonts w:hint="eastAsia"/>
        </w:rPr>
        <w:t>从环境现状监测结果及环境预测及评价结果看，在严格执行国家和自治区的环境保护要求，切实落实报告书中提出的各项环保措施的前提下，区域的环境质量不会因为本</w:t>
      </w:r>
      <w:r>
        <w:rPr>
          <w:rFonts w:hint="eastAsia"/>
          <w:lang w:eastAsia="zh-CN"/>
        </w:rPr>
        <w:t>项目</w:t>
      </w:r>
      <w:r>
        <w:rPr>
          <w:rFonts w:hint="eastAsia"/>
        </w:rPr>
        <w:t>的建设而有明显改变。本</w:t>
      </w:r>
      <w:r>
        <w:rPr>
          <w:rFonts w:hint="eastAsia"/>
          <w:lang w:eastAsia="zh-CN"/>
        </w:rPr>
        <w:t>项目建成</w:t>
      </w:r>
      <w:r>
        <w:rPr>
          <w:rFonts w:hint="eastAsia"/>
        </w:rPr>
        <w:t>后，废气</w:t>
      </w:r>
      <w:r>
        <w:rPr>
          <w:rFonts w:hint="eastAsia"/>
          <w:lang w:eastAsia="zh-CN"/>
        </w:rPr>
        <w:t>、废水</w:t>
      </w:r>
      <w:r>
        <w:rPr>
          <w:rFonts w:hint="eastAsia"/>
        </w:rPr>
        <w:t>经治理后达标排放；工业固体废物的处理处置符合“减量化、资源化、无害化”的原则，排放的各种污染物对周围环境造成的影响较小，不会导致本地区环境质量的明显下降。项目</w:t>
      </w:r>
      <w:r>
        <w:rPr>
          <w:rFonts w:hint="eastAsia"/>
          <w:lang w:eastAsia="zh-CN"/>
        </w:rPr>
        <w:t>所在地属于</w:t>
      </w:r>
      <w:r>
        <w:rPr>
          <w:rFonts w:hint="eastAsia"/>
        </w:rPr>
        <w:t>环境空气质量达标区，</w:t>
      </w:r>
      <w:r>
        <w:rPr>
          <w:rFonts w:hint="eastAsia"/>
          <w:lang w:eastAsia="zh-CN"/>
        </w:rPr>
        <w:t>大气污染物重点控制区，</w:t>
      </w:r>
      <w:r>
        <w:rPr>
          <w:rFonts w:hint="eastAsia"/>
        </w:rPr>
        <w:t>新增总量排放污染物执行倍量替代。</w:t>
      </w:r>
      <w:r>
        <w:rPr>
          <w:rFonts w:hint="eastAsia"/>
          <w:lang w:eastAsia="zh-CN"/>
        </w:rPr>
        <w:t>环境空气质量、</w:t>
      </w:r>
      <w:r>
        <w:rPr>
          <w:rFonts w:hint="eastAsia"/>
        </w:rPr>
        <w:t>水环境质量、声环境质量均符合</w:t>
      </w:r>
      <w:r>
        <w:rPr>
          <w:rFonts w:hint="eastAsia"/>
          <w:lang w:eastAsia="zh-CN"/>
        </w:rPr>
        <w:t>当地</w:t>
      </w:r>
      <w:r>
        <w:rPr>
          <w:rFonts w:hint="eastAsia"/>
        </w:rPr>
        <w:t>环境功能区划的要求。建设单位将严格执行国家和地方的各项环保规章制度，切实落实本环评</w:t>
      </w:r>
      <w:r>
        <w:rPr>
          <w:rFonts w:hint="eastAsia"/>
          <w:lang w:eastAsia="zh-CN"/>
        </w:rPr>
        <w:t>提出的</w:t>
      </w:r>
      <w:r>
        <w:rPr>
          <w:rFonts w:hint="eastAsia"/>
        </w:rPr>
        <w:t>各项污染物防治措施和风险应急预案，保障环保设施达到设计要求并正常运转，全面贯彻清洁生产的原则，制定</w:t>
      </w:r>
      <w:r>
        <w:rPr>
          <w:rFonts w:hint="eastAsia"/>
          <w:lang w:eastAsia="zh-CN"/>
        </w:rPr>
        <w:t>并落实</w:t>
      </w:r>
      <w:r>
        <w:rPr>
          <w:rFonts w:hint="eastAsia"/>
        </w:rPr>
        <w:t>环境管理与监测计划。</w:t>
      </w:r>
    </w:p>
    <w:p>
      <w:pPr>
        <w:ind w:firstLine="480"/>
        <w:rPr>
          <w:rFonts w:hint="eastAsia"/>
        </w:rPr>
      </w:pPr>
      <w:r>
        <w:rPr>
          <w:rFonts w:hint="eastAsia"/>
        </w:rPr>
        <w:t>因此，在落实本次评价中提出的各项环境保护措施和建议的前提下，从环境保护角度认为，本项目的建设可行。</w:t>
      </w:r>
      <w:bookmarkEnd w:id="362"/>
      <w:bookmarkEnd w:id="363"/>
      <w:bookmarkEnd w:id="364"/>
      <w:bookmarkEnd w:id="365"/>
      <w:bookmarkEnd w:id="366"/>
      <w:bookmarkEnd w:id="367"/>
      <w:bookmarkEnd w:id="368"/>
      <w:bookmarkEnd w:id="369"/>
      <w:bookmarkEnd w:id="370"/>
    </w:p>
    <w:p>
      <w:pPr>
        <w:spacing w:line="300" w:lineRule="exact"/>
        <w:ind w:firstLine="480"/>
        <w:rPr>
          <w:rFonts w:hint="eastAsia"/>
          <w:szCs w:val="24"/>
        </w:rPr>
      </w:pPr>
    </w:p>
    <w:sectPr>
      <w:footerReference r:id="rId12" w:type="default"/>
      <w:pgSz w:w="11906" w:h="16838"/>
      <w:pgMar w:top="1474" w:right="1474" w:bottom="1474" w:left="1474" w:header="850" w:footer="992" w:gutter="0"/>
      <w:pgBorders>
        <w:top w:val="none" w:sz="0" w:space="0"/>
        <w:left w:val="none" w:sz="0" w:space="0"/>
        <w:bottom w:val="none" w:sz="0" w:space="0"/>
        <w:right w:val="none" w:sz="0" w:space="0"/>
      </w:pgBorders>
      <w:cols w:space="720" w:num="1"/>
      <w:docGrid w:type="lines" w:linePitch="33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Georgia">
    <w:panose1 w:val="02040502050405020303"/>
    <w:charset w:val="00"/>
    <w:family w:val="roman"/>
    <w:pitch w:val="default"/>
    <w:sig w:usb0="00000287" w:usb1="00000000" w:usb2="00000000" w:usb3="00000000" w:csb0="2000009F" w:csb1="00000000"/>
  </w:font>
  <w:font w:name="Times">
    <w:altName w:val="Times New Roman"/>
    <w:panose1 w:val="02020603050405020304"/>
    <w:charset w:val="00"/>
    <w:family w:val="roman"/>
    <w:pitch w:val="default"/>
    <w:sig w:usb0="00000000" w:usb1="00000000" w:usb2="00000009" w:usb3="00000000" w:csb0="000001FF" w:csb1="00000000"/>
  </w:font>
  <w:font w:name="_x000B__x000C_">
    <w:altName w:val="微软雅黑"/>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Arial Narrow">
    <w:altName w:val="Arial"/>
    <w:panose1 w:val="020B0606020202030204"/>
    <w:charset w:val="00"/>
    <w:family w:val="swiss"/>
    <w:pitch w:val="default"/>
    <w:sig w:usb0="00000000" w:usb1="00000000" w:usb2="00000000" w:usb3="00000000" w:csb0="2000009F" w:csb1="DFD70000"/>
  </w:font>
  <w:font w:name="汉鼎简书宋">
    <w:altName w:val="宋体"/>
    <w:panose1 w:val="0201060901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五">
    <w:altName w:val="黑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Garamond">
    <w:altName w:val="PMingLiU-ExtB"/>
    <w:panose1 w:val="02020404030301010803"/>
    <w:charset w:val="00"/>
    <w:family w:val="roman"/>
    <w:pitch w:val="default"/>
    <w:sig w:usb0="00000000" w:usb1="00000000" w:usb2="00000000" w:usb3="00000000" w:csb0="0000009F" w:csb1="DFD7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体">
    <w:altName w:val="仿宋"/>
    <w:panose1 w:val="02010600030101010101"/>
    <w:charset w:val="86"/>
    <w:family w:val="roman"/>
    <w:pitch w:val="default"/>
    <w:sig w:usb0="00000000" w:usb1="00000000" w:usb2="00000010" w:usb3="00000000" w:csb0="00040000" w:csb1="00000000"/>
  </w:font>
  <w:font w:name="隶书_GB2312">
    <w:altName w:val="黑体"/>
    <w:panose1 w:val="00000000000000000000"/>
    <w:charset w:val="86"/>
    <w:family w:val="auto"/>
    <w:pitch w:val="default"/>
    <w:sig w:usb0="00000000" w:usb1="00000000" w:usb2="00000010" w:usb3="00000000" w:csb0="00040000" w:csb1="00000000"/>
  </w:font>
  <w:font w:name="..ì.">
    <w:altName w:val="宋体"/>
    <w:panose1 w:val="00000000000000000000"/>
    <w:charset w:val="86"/>
    <w:family w:val="swiss"/>
    <w:pitch w:val="default"/>
    <w:sig w:usb0="00000000" w:usb1="00000000" w:usb2="00000010" w:usb3="00000000" w:csb0="00040000" w:csb1="00000000"/>
  </w:font>
  <w:font w:name="Adobe 仿宋 Std R">
    <w:altName w:val="仿宋"/>
    <w:panose1 w:val="02020400000000000000"/>
    <w:charset w:val="86"/>
    <w:family w:val="roman"/>
    <w:pitch w:val="default"/>
    <w:sig w:usb0="00000000" w:usb1="00000000" w:usb2="00000016" w:usb3="00000000" w:csb0="00060007" w:csb1="00000000"/>
  </w:font>
  <w:font w:name="Cambria Math">
    <w:panose1 w:val="02040503050406030204"/>
    <w:charset w:val="00"/>
    <w:family w:val="auto"/>
    <w:pitch w:val="default"/>
    <w:sig w:usb0="E00002FF" w:usb1="42002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85"/>
        <w:rFonts w:hint="eastAsia"/>
      </w:rPr>
    </w:pPr>
    <w:r>
      <w:fldChar w:fldCharType="begin"/>
    </w:r>
    <w:r>
      <w:rPr>
        <w:rStyle w:val="85"/>
      </w:rPr>
      <w:instrText xml:space="preserve">PAGE  </w:instrText>
    </w:r>
    <w:r>
      <w:fldChar w:fldCharType="separate"/>
    </w:r>
    <w:r>
      <w:rPr>
        <w:rStyle w:val="85"/>
      </w:rPr>
      <w:t>III</w:t>
    </w:r>
    <w:r>
      <w:fldChar w:fldCharType="end"/>
    </w:r>
  </w:p>
  <w:p>
    <w:pPr>
      <w:pStyle w:val="54"/>
      <w:ind w:firstLine="360"/>
      <w:jc w:val="center"/>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85"/>
      </w:rPr>
    </w:pPr>
    <w:r>
      <w:fldChar w:fldCharType="begin"/>
    </w:r>
    <w:r>
      <w:rPr>
        <w:rStyle w:val="85"/>
      </w:rPr>
      <w:instrText xml:space="preserve">PAGE  </w:instrText>
    </w:r>
    <w:r>
      <w:fldChar w:fldCharType="end"/>
    </w:r>
  </w:p>
  <w:p>
    <w:pPr>
      <w:pStyle w:val="5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4"/>
                            <w:rPr>
                              <w:rStyle w:val="85"/>
                              <w:rFonts w:hint="eastAsia"/>
                            </w:rPr>
                          </w:pPr>
                          <w:r>
                            <w:fldChar w:fldCharType="begin"/>
                          </w:r>
                          <w:r>
                            <w:rPr>
                              <w:rStyle w:val="85"/>
                            </w:rPr>
                            <w:instrText xml:space="preserve">PAGE  </w:instrText>
                          </w:r>
                          <w:r>
                            <w:fldChar w:fldCharType="separate"/>
                          </w:r>
                          <w:r>
                            <w:rPr>
                              <w:rStyle w:val="85"/>
                            </w:rPr>
                            <w:t>4</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GVxsoBAACbAwAADgAAAGRycy9lMm9Eb2MueG1srVPNjtMwEL4j8Q6W&#10;79TZg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cvrN5Q4bnHk5x/fzz9/n399&#10;I6+zQH2AGvPuA2am4a0fcG1mP6Az8x5UtPmLjAjGUd7TRV45JCLyo9VytaowJDA2XxCfPTwPEdI7&#10;6S3JRkMjzq/Iyo8fII2pc0qu5vydNqbM0Lh/HIiZPSz3PvaYrTTshonQzrcn5NPj6BvqcNMpMe8d&#10;Kpu3ZDbibOxm4xCi3ndljXI9CLeHhE2U3nKFEXYqjDMr7Kb9ykvx971kPfxT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GGVxsoBAACbAwAADgAAAAAAAAABACAAAAAeAQAAZHJzL2Uyb0Rv&#10;Yy54bWxQSwUGAAAAAAYABgBZAQAAWgUAAAAA&#10;">
              <v:fill on="f" focussize="0,0"/>
              <v:stroke on="f"/>
              <v:imagedata o:title=""/>
              <o:lock v:ext="edit" aspectratio="f"/>
              <v:textbox inset="0mm,0mm,0mm,0mm" style="mso-fit-shape-to-text:t;">
                <w:txbxContent>
                  <w:p>
                    <w:pPr>
                      <w:pStyle w:val="54"/>
                      <w:rPr>
                        <w:rStyle w:val="85"/>
                        <w:rFonts w:hint="eastAsia"/>
                      </w:rPr>
                    </w:pPr>
                    <w:r>
                      <w:fldChar w:fldCharType="begin"/>
                    </w:r>
                    <w:r>
                      <w:rPr>
                        <w:rStyle w:val="85"/>
                      </w:rPr>
                      <w:instrText xml:space="preserve">PAGE  </w:instrText>
                    </w:r>
                    <w:r>
                      <w:fldChar w:fldCharType="separate"/>
                    </w:r>
                    <w:r>
                      <w:rPr>
                        <w:rStyle w:val="85"/>
                      </w:rPr>
                      <w:t>4</w:t>
                    </w:r>
                    <w: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4"/>
                            <w:ind w:firstLine="360"/>
                            <w:jc w:val="center"/>
                          </w:pPr>
                          <w:r>
                            <w:fldChar w:fldCharType="begin"/>
                          </w:r>
                          <w:r>
                            <w:instrText xml:space="preserve">PAGE   \* MERGEFORMAT</w:instrText>
                          </w:r>
                          <w:r>
                            <w:fldChar w:fldCharType="separate"/>
                          </w:r>
                          <w:r>
                            <w:t>112</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MB7c0BAACe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PytqTEcoMjP//4fv75+/zr&#10;G1kW5U3SqPdQYeqjx+Q4vHMDbs7sB3Qm6kMbTPoiKYJxVPh0UVgOkYj0aFWuVgWGBMbmC+Kzp+c+&#10;QHwvnSHJqGnAEWZl+fEDxDF1TknVrLtXWucxavuXAzGTh6Xexx6TFYfdMBHaueaEfHqcfk0tLjsl&#10;+sGiuGlRZiPMxm42Dj6ofZc3KdUD//YQsYncW6owwk6FcWyZ3bRiaS+e33PW02+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6tMB7c0BAACeAwAADgAAAAAAAAABACAAAAAeAQAAZHJzL2Uy&#10;b0RvYy54bWxQSwUGAAAAAAYABgBZAQAAXQUAAAAA&#10;">
              <v:fill on="f" focussize="0,0"/>
              <v:stroke on="f"/>
              <v:imagedata o:title=""/>
              <o:lock v:ext="edit" aspectratio="f"/>
              <v:textbox inset="0mm,0mm,0mm,0mm" style="mso-fit-shape-to-text:t;">
                <w:txbxContent>
                  <w:p>
                    <w:pPr>
                      <w:pStyle w:val="54"/>
                      <w:ind w:firstLine="360"/>
                      <w:jc w:val="center"/>
                    </w:pPr>
                    <w:r>
                      <w:fldChar w:fldCharType="begin"/>
                    </w:r>
                    <w:r>
                      <w:instrText xml:space="preserve">PAGE   \* MERGEFORMAT</w:instrText>
                    </w:r>
                    <w:r>
                      <w:fldChar w:fldCharType="separate"/>
                    </w:r>
                    <w:r>
                      <w:t>112</w:t>
                    </w:r>
                    <w: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4"/>
                            <w:ind w:firstLine="360"/>
                            <w:jc w:val="center"/>
                          </w:pPr>
                          <w:r>
                            <w:fldChar w:fldCharType="begin"/>
                          </w:r>
                          <w:r>
                            <w:instrText xml:space="preserve">PAGE   \* MERGEFORMAT</w:instrText>
                          </w:r>
                          <w:r>
                            <w:fldChar w:fldCharType="separate"/>
                          </w:r>
                          <w:r>
                            <w:t>312</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GSWaGs0BAACeAwAADgAAAAAAAAABACAAAAAeAQAAZHJzL2Uy&#10;b0RvYy54bWxQSwUGAAAAAAYABgBZAQAAXQUAAAAA&#10;">
              <v:fill on="f" focussize="0,0"/>
              <v:stroke on="f"/>
              <v:imagedata o:title=""/>
              <o:lock v:ext="edit" aspectratio="f"/>
              <v:textbox inset="0mm,0mm,0mm,0mm" style="mso-fit-shape-to-text:t;">
                <w:txbxContent>
                  <w:p>
                    <w:pPr>
                      <w:pStyle w:val="54"/>
                      <w:ind w:firstLine="360"/>
                      <w:jc w:val="center"/>
                    </w:pPr>
                    <w:r>
                      <w:fldChar w:fldCharType="begin"/>
                    </w:r>
                    <w:r>
                      <w:instrText xml:space="preserve">PAGE   \* MERGEFORMAT</w:instrText>
                    </w:r>
                    <w:r>
                      <w:fldChar w:fldCharType="separate"/>
                    </w:r>
                    <w:r>
                      <w:t>312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4"/>
                            <w:ind w:firstLine="360"/>
                            <w:jc w:val="center"/>
                          </w:pPr>
                          <w:r>
                            <w:fldChar w:fldCharType="begin"/>
                          </w:r>
                          <w:r>
                            <w:instrText xml:space="preserve">PAGE   \* MERGEFORMAT</w:instrText>
                          </w:r>
                          <w:r>
                            <w:fldChar w:fldCharType="separate"/>
                          </w:r>
                          <w:r>
                            <w:t>322</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lQ8bc0BAACeAwAADgAAAAAAAAABACAAAAAeAQAAZHJzL2Uy&#10;b0RvYy54bWxQSwUGAAAAAAYABgBZAQAAXQUAAAAA&#10;">
              <v:fill on="f" focussize="0,0"/>
              <v:stroke on="f"/>
              <v:imagedata o:title=""/>
              <o:lock v:ext="edit" aspectratio="f"/>
              <v:textbox inset="0mm,0mm,0mm,0mm" style="mso-fit-shape-to-text:t;">
                <w:txbxContent>
                  <w:p>
                    <w:pPr>
                      <w:pStyle w:val="54"/>
                      <w:ind w:firstLine="360"/>
                      <w:jc w:val="center"/>
                    </w:pPr>
                    <w:r>
                      <w:fldChar w:fldCharType="begin"/>
                    </w:r>
                    <w:r>
                      <w:instrText xml:space="preserve">PAGE   \* MERGEFORMAT</w:instrText>
                    </w:r>
                    <w:r>
                      <w:fldChar w:fldCharType="separate"/>
                    </w:r>
                    <w:r>
                      <w:t>322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jc w:val="center"/>
      <w:rPr>
        <w:rFonts w:hint="eastAsia"/>
        <w:b/>
        <w:bCs/>
        <w:sz w:val="22"/>
        <w:szCs w:val="21"/>
      </w:rPr>
    </w:pPr>
    <w:r>
      <w:rPr>
        <w:rFonts w:hint="eastAsia" w:cs="宋体"/>
        <w:b/>
        <w:bCs/>
        <w:kern w:val="0"/>
        <w:szCs w:val="18"/>
        <w:lang w:eastAsia="zh-CN"/>
      </w:rPr>
      <w:t>凯赛（乌苏）生物材料有限公司年产</w:t>
    </w:r>
    <w:r>
      <w:rPr>
        <w:rFonts w:hint="eastAsia" w:ascii="Times New Roman" w:hAnsi="Times New Roman" w:cs="宋体"/>
        <w:b/>
        <w:bCs/>
        <w:kern w:val="0"/>
        <w:szCs w:val="18"/>
        <w:lang w:val="en-US" w:eastAsia="zh-CN"/>
      </w:rPr>
      <w:t>10000</w:t>
    </w:r>
    <w:r>
      <w:rPr>
        <w:rFonts w:hint="eastAsia" w:cs="宋体"/>
        <w:b/>
        <w:bCs/>
        <w:kern w:val="0"/>
        <w:szCs w:val="18"/>
        <w:lang w:val="en-US" w:eastAsia="zh-CN"/>
      </w:rPr>
      <w:t>吨</w:t>
    </w:r>
    <w:r>
      <w:rPr>
        <w:rFonts w:hint="eastAsia" w:ascii="Times New Roman" w:hAnsi="Times New Roman" w:cs="宋体"/>
        <w:b/>
        <w:bCs/>
        <w:kern w:val="0"/>
        <w:szCs w:val="18"/>
        <w:lang w:val="en-US" w:eastAsia="zh-CN"/>
      </w:rPr>
      <w:t>PD</w:t>
    </w:r>
    <w:r>
      <w:rPr>
        <w:rFonts w:hint="eastAsia" w:ascii="宋体" w:hAnsi="宋体" w:cs="宋体"/>
        <w:b/>
        <w:bCs/>
        <w:kern w:val="0"/>
        <w:szCs w:val="18"/>
        <w:lang w:eastAsia="zh-CN"/>
      </w:rPr>
      <w:t>项目</w:t>
    </w:r>
    <w:r>
      <w:rPr>
        <w:rFonts w:hint="eastAsia" w:ascii="宋体" w:hAnsi="宋体" w:cs="宋体"/>
        <w:b/>
        <w:bCs/>
        <w:kern w:val="0"/>
        <w:szCs w:val="18"/>
      </w:rPr>
      <w:t>环境影响报告</w:t>
    </w:r>
    <w:r>
      <w:rPr>
        <w:rFonts w:hint="eastAsia" w:ascii="宋体" w:hAnsi="宋体" w:cs="宋体"/>
        <w:b/>
        <w:bCs/>
        <w:szCs w:val="18"/>
      </w:rPr>
      <w:t>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jc w:val="center"/>
      <w:rPr>
        <w:rFonts w:hint="eastAsia"/>
      </w:rPr>
    </w:pPr>
    <w:r>
      <w:rPr>
        <w:rFonts w:hint="eastAsia" w:cs="宋体"/>
        <w:b/>
        <w:bCs/>
        <w:kern w:val="0"/>
        <w:szCs w:val="18"/>
        <w:lang w:eastAsia="zh-CN"/>
      </w:rPr>
      <w:t>凯赛（乌苏）生物材料有限公司年产</w:t>
    </w:r>
    <w:r>
      <w:rPr>
        <w:rFonts w:hint="eastAsia" w:ascii="Times New Roman" w:hAnsi="Times New Roman" w:cs="宋体"/>
        <w:b/>
        <w:bCs/>
        <w:kern w:val="0"/>
        <w:szCs w:val="18"/>
        <w:lang w:eastAsia="zh-CN"/>
      </w:rPr>
      <w:t>10000</w:t>
    </w:r>
    <w:r>
      <w:rPr>
        <w:rFonts w:hint="eastAsia" w:cs="宋体"/>
        <w:b/>
        <w:bCs/>
        <w:kern w:val="0"/>
        <w:szCs w:val="18"/>
        <w:lang w:eastAsia="zh-CN"/>
      </w:rPr>
      <w:t>吨</w:t>
    </w:r>
    <w:r>
      <w:rPr>
        <w:rFonts w:hint="eastAsia" w:ascii="Times New Roman" w:hAnsi="Times New Roman" w:cs="宋体"/>
        <w:b/>
        <w:bCs/>
        <w:kern w:val="0"/>
        <w:szCs w:val="18"/>
        <w:lang w:eastAsia="zh-CN"/>
      </w:rPr>
      <w:t>PD</w:t>
    </w:r>
    <w:r>
      <w:rPr>
        <w:rFonts w:hint="eastAsia" w:ascii="宋体" w:hAnsi="宋体" w:cs="宋体"/>
        <w:b/>
        <w:bCs/>
        <w:kern w:val="0"/>
        <w:szCs w:val="18"/>
        <w:lang w:eastAsia="zh-CN"/>
      </w:rPr>
      <w:t>项目</w:t>
    </w:r>
    <w:r>
      <w:rPr>
        <w:rFonts w:hint="eastAsia" w:ascii="宋体" w:hAnsi="宋体" w:cs="宋体"/>
        <w:b/>
        <w:bCs/>
        <w:kern w:val="0"/>
        <w:szCs w:val="18"/>
      </w:rPr>
      <w:t>环境影响报告</w:t>
    </w:r>
    <w:r>
      <w:rPr>
        <w:rFonts w:hint="eastAsia" w:ascii="宋体" w:hAnsi="宋体" w:cs="宋体"/>
        <w:b/>
        <w:bCs/>
        <w:szCs w:val="18"/>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AA89D"/>
    <w:multiLevelType w:val="singleLevel"/>
    <w:tmpl w:val="92BAA89D"/>
    <w:lvl w:ilvl="0" w:tentative="0">
      <w:start w:val="2"/>
      <w:numFmt w:val="decimal"/>
      <w:suff w:val="nothing"/>
      <w:lvlText w:val="（%1）"/>
      <w:lvlJc w:val="left"/>
    </w:lvl>
  </w:abstractNum>
  <w:abstractNum w:abstractNumId="1">
    <w:nsid w:val="D8D36860"/>
    <w:multiLevelType w:val="singleLevel"/>
    <w:tmpl w:val="D8D36860"/>
    <w:lvl w:ilvl="0" w:tentative="0">
      <w:start w:val="1"/>
      <w:numFmt w:val="decimal"/>
      <w:suff w:val="nothing"/>
      <w:lvlText w:val="（%1）"/>
      <w:lvlJc w:val="left"/>
    </w:lvl>
  </w:abstractNum>
  <w:abstractNum w:abstractNumId="2">
    <w:nsid w:val="E5DAB29E"/>
    <w:multiLevelType w:val="singleLevel"/>
    <w:tmpl w:val="E5DAB29E"/>
    <w:lvl w:ilvl="0" w:tentative="0">
      <w:start w:val="1"/>
      <w:numFmt w:val="decimal"/>
      <w:suff w:val="nothing"/>
      <w:lvlText w:val="（%1）"/>
      <w:lvlJc w:val="left"/>
    </w:lvl>
  </w:abstractNum>
  <w:abstractNum w:abstractNumId="3">
    <w:nsid w:val="F46BD2A1"/>
    <w:multiLevelType w:val="singleLevel"/>
    <w:tmpl w:val="F46BD2A1"/>
    <w:lvl w:ilvl="0" w:tentative="0">
      <w:start w:val="1"/>
      <w:numFmt w:val="decimal"/>
      <w:suff w:val="nothing"/>
      <w:lvlText w:val="（%1）"/>
      <w:lvlJc w:val="left"/>
    </w:lvl>
  </w:abstractNum>
  <w:abstractNum w:abstractNumId="4">
    <w:nsid w:val="007E5946"/>
    <w:multiLevelType w:val="singleLevel"/>
    <w:tmpl w:val="007E5946"/>
    <w:lvl w:ilvl="0" w:tentative="0">
      <w:start w:val="1"/>
      <w:numFmt w:val="decimal"/>
      <w:suff w:val="nothing"/>
      <w:lvlText w:val="（%1）"/>
      <w:lvlJc w:val="left"/>
    </w:lvl>
  </w:abstractNum>
  <w:abstractNum w:abstractNumId="5">
    <w:nsid w:val="02EB3258"/>
    <w:multiLevelType w:val="multilevel"/>
    <w:tmpl w:val="02EB3258"/>
    <w:lvl w:ilvl="0" w:tentative="0">
      <w:start w:val="1"/>
      <w:numFmt w:val="decimalEnclosedCircle"/>
      <w:pStyle w:val="820"/>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8"/>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abstractNum w:abstractNumId="6">
    <w:nsid w:val="1975539F"/>
    <w:multiLevelType w:val="multilevel"/>
    <w:tmpl w:val="1975539F"/>
    <w:lvl w:ilvl="0" w:tentative="0">
      <w:start w:val="1"/>
      <w:numFmt w:val="decimal"/>
      <w:pStyle w:val="3"/>
      <w:suff w:val="space"/>
      <w:lvlText w:val="%1"/>
      <w:lvlJc w:val="left"/>
      <w:pPr>
        <w:ind w:left="425" w:hanging="425"/>
      </w:pPr>
      <w:rPr>
        <w:rFonts w:hint="eastAsia" w:eastAsia="宋体"/>
        <w:sz w:val="32"/>
        <w:szCs w:val="32"/>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46724677"/>
    <w:multiLevelType w:val="multilevel"/>
    <w:tmpl w:val="46724677"/>
    <w:lvl w:ilvl="0" w:tentative="0">
      <w:start w:val="1"/>
      <w:numFmt w:val="decimal"/>
      <w:pStyle w:val="841"/>
      <w:lvlText w:val="%1."/>
      <w:lvlJc w:val="left"/>
      <w:pPr>
        <w:tabs>
          <w:tab w:val="left" w:pos="425"/>
        </w:tabs>
        <w:ind w:left="425" w:hanging="425"/>
      </w:pPr>
    </w:lvl>
    <w:lvl w:ilvl="1" w:tentative="0">
      <w:start w:val="1"/>
      <w:numFmt w:val="decimal"/>
      <w:pStyle w:val="749"/>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629"/>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8">
    <w:nsid w:val="70E421DF"/>
    <w:multiLevelType w:val="multilevel"/>
    <w:tmpl w:val="70E421DF"/>
    <w:lvl w:ilvl="0" w:tentative="0">
      <w:start w:val="1"/>
      <w:numFmt w:val="decimal"/>
      <w:pStyle w:val="842"/>
      <w:lvlText w:val="%1"/>
      <w:lvlJc w:val="left"/>
      <w:pPr>
        <w:tabs>
          <w:tab w:val="left" w:pos="1009"/>
        </w:tabs>
        <w:ind w:left="1009" w:hanging="1009"/>
      </w:pPr>
      <w:rPr>
        <w:rFonts w:hint="eastAsia"/>
      </w:rPr>
    </w:lvl>
    <w:lvl w:ilvl="1" w:tentative="0">
      <w:start w:val="1"/>
      <w:numFmt w:val="decimal"/>
      <w:pStyle w:val="843"/>
      <w:lvlText w:val="%1.%2"/>
      <w:lvlJc w:val="left"/>
      <w:pPr>
        <w:tabs>
          <w:tab w:val="left" w:pos="1009"/>
        </w:tabs>
        <w:ind w:left="1009" w:hanging="1009"/>
      </w:pPr>
      <w:rPr>
        <w:rFonts w:hint="eastAsia"/>
      </w:rPr>
    </w:lvl>
    <w:lvl w:ilvl="2" w:tentative="0">
      <w:start w:val="1"/>
      <w:numFmt w:val="decimal"/>
      <w:lvlText w:val="%1.%2.%3"/>
      <w:lvlJc w:val="left"/>
      <w:pPr>
        <w:tabs>
          <w:tab w:val="left" w:pos="1249"/>
        </w:tabs>
        <w:ind w:left="1249" w:hanging="1009"/>
      </w:pPr>
      <w:rPr>
        <w:rFonts w:hint="eastAsia"/>
      </w:rPr>
    </w:lvl>
    <w:lvl w:ilvl="3" w:tentative="0">
      <w:start w:val="1"/>
      <w:numFmt w:val="lowerLetter"/>
      <w:pStyle w:val="844"/>
      <w:lvlText w:val="%4)"/>
      <w:lvlJc w:val="left"/>
      <w:pPr>
        <w:tabs>
          <w:tab w:val="left" w:pos="1442"/>
        </w:tabs>
        <w:ind w:left="1442" w:hanging="482"/>
      </w:pPr>
      <w:rPr>
        <w:rFonts w:hint="eastAsia"/>
      </w:rPr>
    </w:lvl>
    <w:lvl w:ilvl="4" w:tentative="0">
      <w:start w:val="1"/>
      <w:numFmt w:val="decimal"/>
      <w:pStyle w:val="602"/>
      <w:lvlText w:val="%5)"/>
      <w:lvlJc w:val="left"/>
      <w:pPr>
        <w:tabs>
          <w:tab w:val="left" w:pos="1973"/>
        </w:tabs>
        <w:ind w:left="1973" w:hanging="482"/>
      </w:pPr>
      <w:rPr>
        <w:rFonts w:hint="eastAsia"/>
      </w:rPr>
    </w:lvl>
    <w:lvl w:ilvl="5" w:tentative="0">
      <w:start w:val="1"/>
      <w:numFmt w:val="none"/>
      <w:lvlText w:val=""/>
      <w:lvlJc w:val="left"/>
      <w:pPr>
        <w:tabs>
          <w:tab w:val="left" w:pos="1973"/>
        </w:tabs>
        <w:ind w:left="1973" w:hanging="1973"/>
      </w:pPr>
      <w:rPr>
        <w:rFonts w:hint="eastAsia"/>
      </w:rPr>
    </w:lvl>
    <w:lvl w:ilvl="6" w:tentative="0">
      <w:start w:val="1"/>
      <w:numFmt w:val="none"/>
      <w:lvlText w:val=""/>
      <w:lvlJc w:val="left"/>
      <w:pPr>
        <w:tabs>
          <w:tab w:val="left" w:pos="2455"/>
        </w:tabs>
        <w:ind w:left="2455" w:hanging="2455"/>
      </w:pPr>
      <w:rPr>
        <w:rFonts w:hint="eastAsia"/>
      </w:rPr>
    </w:lvl>
    <w:lvl w:ilvl="7" w:tentative="0">
      <w:start w:val="1"/>
      <w:numFmt w:val="none"/>
      <w:lvlText w:val=""/>
      <w:lvlJc w:val="left"/>
      <w:pPr>
        <w:tabs>
          <w:tab w:val="left" w:pos="2937"/>
        </w:tabs>
        <w:ind w:left="2937" w:hanging="2937"/>
      </w:pPr>
      <w:rPr>
        <w:rFonts w:hint="eastAsia"/>
      </w:rPr>
    </w:lvl>
    <w:lvl w:ilvl="8" w:tentative="0">
      <w:start w:val="1"/>
      <w:numFmt w:val="none"/>
      <w:lvlText w:val=""/>
      <w:lvlJc w:val="left"/>
      <w:pPr>
        <w:tabs>
          <w:tab w:val="left" w:pos="3419"/>
        </w:tabs>
        <w:ind w:left="3419" w:hanging="3419"/>
      </w:pPr>
      <w:rPr>
        <w:rFonts w:hint="eastAsia"/>
      </w:rPr>
    </w:lvl>
  </w:abstractNum>
  <w:num w:numId="1">
    <w:abstractNumId w:val="6"/>
  </w:num>
  <w:num w:numId="2">
    <w:abstractNumId w:val="5"/>
  </w:num>
  <w:num w:numId="3">
    <w:abstractNumId w:val="8"/>
  </w:num>
  <w:num w:numId="4">
    <w:abstractNumId w:val="7"/>
  </w:num>
  <w:num w:numId="5">
    <w:abstractNumId w:val="2"/>
  </w:num>
  <w:num w:numId="6">
    <w:abstractNumId w:val="0"/>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9"/>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wYmQxOWE2M2YxYjFjZTZiOWY3ZjJhYjg5NGFmNDUifQ=="/>
  </w:docVars>
  <w:rsids>
    <w:rsidRoot w:val="00172A27"/>
    <w:rsid w:val="000044B8"/>
    <w:rsid w:val="00020D5C"/>
    <w:rsid w:val="00032A9D"/>
    <w:rsid w:val="000405A0"/>
    <w:rsid w:val="000A6366"/>
    <w:rsid w:val="000B6982"/>
    <w:rsid w:val="000C448B"/>
    <w:rsid w:val="000E24A2"/>
    <w:rsid w:val="000E3D96"/>
    <w:rsid w:val="000F00C5"/>
    <w:rsid w:val="000F22E6"/>
    <w:rsid w:val="00103EC3"/>
    <w:rsid w:val="00156DC2"/>
    <w:rsid w:val="00160500"/>
    <w:rsid w:val="00184D7D"/>
    <w:rsid w:val="0019454D"/>
    <w:rsid w:val="0019786B"/>
    <w:rsid w:val="001A628D"/>
    <w:rsid w:val="001F308F"/>
    <w:rsid w:val="00207870"/>
    <w:rsid w:val="00254275"/>
    <w:rsid w:val="00261AFB"/>
    <w:rsid w:val="002C0EF9"/>
    <w:rsid w:val="002F6C25"/>
    <w:rsid w:val="003015B1"/>
    <w:rsid w:val="003231CF"/>
    <w:rsid w:val="0034552F"/>
    <w:rsid w:val="00352746"/>
    <w:rsid w:val="00387932"/>
    <w:rsid w:val="0039289A"/>
    <w:rsid w:val="00394900"/>
    <w:rsid w:val="003A0530"/>
    <w:rsid w:val="003B43A9"/>
    <w:rsid w:val="003C31DF"/>
    <w:rsid w:val="003D5417"/>
    <w:rsid w:val="003F7022"/>
    <w:rsid w:val="0040268B"/>
    <w:rsid w:val="00437C0E"/>
    <w:rsid w:val="00445967"/>
    <w:rsid w:val="00450787"/>
    <w:rsid w:val="00453106"/>
    <w:rsid w:val="004908C5"/>
    <w:rsid w:val="004C2EA1"/>
    <w:rsid w:val="004C7164"/>
    <w:rsid w:val="004D42CA"/>
    <w:rsid w:val="004D756B"/>
    <w:rsid w:val="00506F18"/>
    <w:rsid w:val="00543100"/>
    <w:rsid w:val="00570008"/>
    <w:rsid w:val="0058292E"/>
    <w:rsid w:val="005A4A87"/>
    <w:rsid w:val="005E07E3"/>
    <w:rsid w:val="005E4D3D"/>
    <w:rsid w:val="005F3195"/>
    <w:rsid w:val="005F4A53"/>
    <w:rsid w:val="00626080"/>
    <w:rsid w:val="006324A3"/>
    <w:rsid w:val="00665177"/>
    <w:rsid w:val="006973F9"/>
    <w:rsid w:val="00703A5D"/>
    <w:rsid w:val="007060F2"/>
    <w:rsid w:val="00715085"/>
    <w:rsid w:val="007668A0"/>
    <w:rsid w:val="007701A2"/>
    <w:rsid w:val="00780171"/>
    <w:rsid w:val="0078072F"/>
    <w:rsid w:val="007847AA"/>
    <w:rsid w:val="007B7EE9"/>
    <w:rsid w:val="007C4195"/>
    <w:rsid w:val="007E4DCD"/>
    <w:rsid w:val="007E6864"/>
    <w:rsid w:val="007F2891"/>
    <w:rsid w:val="00862014"/>
    <w:rsid w:val="00880BE0"/>
    <w:rsid w:val="008B57CF"/>
    <w:rsid w:val="0092240F"/>
    <w:rsid w:val="0092721D"/>
    <w:rsid w:val="0094399E"/>
    <w:rsid w:val="0095395B"/>
    <w:rsid w:val="00964499"/>
    <w:rsid w:val="00984D58"/>
    <w:rsid w:val="009D257E"/>
    <w:rsid w:val="009F1628"/>
    <w:rsid w:val="00A0010E"/>
    <w:rsid w:val="00A02FA4"/>
    <w:rsid w:val="00A4420E"/>
    <w:rsid w:val="00A44FC9"/>
    <w:rsid w:val="00A52430"/>
    <w:rsid w:val="00A61573"/>
    <w:rsid w:val="00A65EE8"/>
    <w:rsid w:val="00A66B92"/>
    <w:rsid w:val="00A92CB2"/>
    <w:rsid w:val="00A93DC5"/>
    <w:rsid w:val="00AA4C6B"/>
    <w:rsid w:val="00AA6C10"/>
    <w:rsid w:val="00AC4E01"/>
    <w:rsid w:val="00AC64DC"/>
    <w:rsid w:val="00AE15B9"/>
    <w:rsid w:val="00AF73E4"/>
    <w:rsid w:val="00B043F2"/>
    <w:rsid w:val="00B20B46"/>
    <w:rsid w:val="00B21841"/>
    <w:rsid w:val="00B21BA8"/>
    <w:rsid w:val="00B222CB"/>
    <w:rsid w:val="00B34390"/>
    <w:rsid w:val="00B91846"/>
    <w:rsid w:val="00BA0AC2"/>
    <w:rsid w:val="00BB2F65"/>
    <w:rsid w:val="00BB371B"/>
    <w:rsid w:val="00BB55B6"/>
    <w:rsid w:val="00BC45B1"/>
    <w:rsid w:val="00BE7867"/>
    <w:rsid w:val="00BF39D0"/>
    <w:rsid w:val="00C044C4"/>
    <w:rsid w:val="00C25D72"/>
    <w:rsid w:val="00C34AE8"/>
    <w:rsid w:val="00C8599B"/>
    <w:rsid w:val="00CB021B"/>
    <w:rsid w:val="00CB2794"/>
    <w:rsid w:val="00CC6FC2"/>
    <w:rsid w:val="00CE0904"/>
    <w:rsid w:val="00CE637D"/>
    <w:rsid w:val="00CF45DF"/>
    <w:rsid w:val="00D10292"/>
    <w:rsid w:val="00D37B10"/>
    <w:rsid w:val="00D43864"/>
    <w:rsid w:val="00D63D7C"/>
    <w:rsid w:val="00DA40A6"/>
    <w:rsid w:val="00DB59AF"/>
    <w:rsid w:val="00DE47C9"/>
    <w:rsid w:val="00DE7436"/>
    <w:rsid w:val="00DF0828"/>
    <w:rsid w:val="00E01C49"/>
    <w:rsid w:val="00E129E3"/>
    <w:rsid w:val="00E13381"/>
    <w:rsid w:val="00E16D00"/>
    <w:rsid w:val="00E37616"/>
    <w:rsid w:val="00E41A58"/>
    <w:rsid w:val="00E679EC"/>
    <w:rsid w:val="00E77414"/>
    <w:rsid w:val="00E77A5C"/>
    <w:rsid w:val="00E87198"/>
    <w:rsid w:val="00E94AC1"/>
    <w:rsid w:val="00EC6B21"/>
    <w:rsid w:val="00EF06F4"/>
    <w:rsid w:val="00EF57EC"/>
    <w:rsid w:val="00F00B3B"/>
    <w:rsid w:val="00F20275"/>
    <w:rsid w:val="00F4677B"/>
    <w:rsid w:val="00F51AE9"/>
    <w:rsid w:val="00F56E94"/>
    <w:rsid w:val="00F66937"/>
    <w:rsid w:val="00F7360B"/>
    <w:rsid w:val="00FA3A0D"/>
    <w:rsid w:val="00FB0785"/>
    <w:rsid w:val="00FB18F8"/>
    <w:rsid w:val="00FC140E"/>
    <w:rsid w:val="00FE145C"/>
    <w:rsid w:val="01063F22"/>
    <w:rsid w:val="010E641E"/>
    <w:rsid w:val="01161F53"/>
    <w:rsid w:val="01177170"/>
    <w:rsid w:val="011D61A9"/>
    <w:rsid w:val="01343904"/>
    <w:rsid w:val="01402EFA"/>
    <w:rsid w:val="014374B7"/>
    <w:rsid w:val="014868A4"/>
    <w:rsid w:val="0151493C"/>
    <w:rsid w:val="01555E1E"/>
    <w:rsid w:val="01561268"/>
    <w:rsid w:val="01575600"/>
    <w:rsid w:val="016201DF"/>
    <w:rsid w:val="0163090C"/>
    <w:rsid w:val="016946AB"/>
    <w:rsid w:val="016B2AC2"/>
    <w:rsid w:val="016F1215"/>
    <w:rsid w:val="017025D5"/>
    <w:rsid w:val="017D54B5"/>
    <w:rsid w:val="01821CAC"/>
    <w:rsid w:val="018618AB"/>
    <w:rsid w:val="018647BC"/>
    <w:rsid w:val="01975185"/>
    <w:rsid w:val="01A0202A"/>
    <w:rsid w:val="01A2765D"/>
    <w:rsid w:val="01A7368F"/>
    <w:rsid w:val="01AA02C6"/>
    <w:rsid w:val="01B41B39"/>
    <w:rsid w:val="01BE2C62"/>
    <w:rsid w:val="01C17BFF"/>
    <w:rsid w:val="01CD0107"/>
    <w:rsid w:val="01CD531F"/>
    <w:rsid w:val="01CE1A06"/>
    <w:rsid w:val="01D35CC6"/>
    <w:rsid w:val="01DC698E"/>
    <w:rsid w:val="01DD59FB"/>
    <w:rsid w:val="01E46242"/>
    <w:rsid w:val="01EB6EC2"/>
    <w:rsid w:val="01F37C8C"/>
    <w:rsid w:val="01F37EAE"/>
    <w:rsid w:val="01F4028D"/>
    <w:rsid w:val="01FF12FF"/>
    <w:rsid w:val="0204217B"/>
    <w:rsid w:val="02045095"/>
    <w:rsid w:val="02060996"/>
    <w:rsid w:val="02100B4F"/>
    <w:rsid w:val="021777E5"/>
    <w:rsid w:val="02196289"/>
    <w:rsid w:val="021A0499"/>
    <w:rsid w:val="021A272E"/>
    <w:rsid w:val="021E5D08"/>
    <w:rsid w:val="02245EA2"/>
    <w:rsid w:val="02293E0D"/>
    <w:rsid w:val="022B479E"/>
    <w:rsid w:val="0237439F"/>
    <w:rsid w:val="02376B8A"/>
    <w:rsid w:val="023979E4"/>
    <w:rsid w:val="023C3530"/>
    <w:rsid w:val="023D0E66"/>
    <w:rsid w:val="024127BB"/>
    <w:rsid w:val="02451A23"/>
    <w:rsid w:val="024927C6"/>
    <w:rsid w:val="024C3523"/>
    <w:rsid w:val="0252274E"/>
    <w:rsid w:val="025D3ECC"/>
    <w:rsid w:val="02624F4F"/>
    <w:rsid w:val="02637759"/>
    <w:rsid w:val="02643665"/>
    <w:rsid w:val="026902B2"/>
    <w:rsid w:val="026913C2"/>
    <w:rsid w:val="0269603F"/>
    <w:rsid w:val="027345B1"/>
    <w:rsid w:val="027536E8"/>
    <w:rsid w:val="027579B4"/>
    <w:rsid w:val="027765BB"/>
    <w:rsid w:val="027C1A43"/>
    <w:rsid w:val="027D42A9"/>
    <w:rsid w:val="028123E6"/>
    <w:rsid w:val="028E31C0"/>
    <w:rsid w:val="028E48E1"/>
    <w:rsid w:val="029066D3"/>
    <w:rsid w:val="029F7648"/>
    <w:rsid w:val="02A93709"/>
    <w:rsid w:val="02B2280E"/>
    <w:rsid w:val="02BC3B96"/>
    <w:rsid w:val="02BD02C0"/>
    <w:rsid w:val="02C748B9"/>
    <w:rsid w:val="02C75F96"/>
    <w:rsid w:val="02CF3436"/>
    <w:rsid w:val="02F44A92"/>
    <w:rsid w:val="02FF5501"/>
    <w:rsid w:val="030406C7"/>
    <w:rsid w:val="030961A8"/>
    <w:rsid w:val="030F7163"/>
    <w:rsid w:val="031D2D7D"/>
    <w:rsid w:val="031E754F"/>
    <w:rsid w:val="031F0BE5"/>
    <w:rsid w:val="03247F78"/>
    <w:rsid w:val="032D1E16"/>
    <w:rsid w:val="03337A10"/>
    <w:rsid w:val="03351C3B"/>
    <w:rsid w:val="034A323A"/>
    <w:rsid w:val="034D3FAC"/>
    <w:rsid w:val="035408BF"/>
    <w:rsid w:val="03560159"/>
    <w:rsid w:val="0358430A"/>
    <w:rsid w:val="036032B4"/>
    <w:rsid w:val="03621B21"/>
    <w:rsid w:val="0362310E"/>
    <w:rsid w:val="036B0CFE"/>
    <w:rsid w:val="036B1F7F"/>
    <w:rsid w:val="036F2923"/>
    <w:rsid w:val="03757628"/>
    <w:rsid w:val="03760DDC"/>
    <w:rsid w:val="038D5362"/>
    <w:rsid w:val="03900FF0"/>
    <w:rsid w:val="03911778"/>
    <w:rsid w:val="039200D7"/>
    <w:rsid w:val="039B7BC7"/>
    <w:rsid w:val="03B53962"/>
    <w:rsid w:val="03BA701A"/>
    <w:rsid w:val="03BB5912"/>
    <w:rsid w:val="03C53258"/>
    <w:rsid w:val="03CC15EC"/>
    <w:rsid w:val="03CC21D0"/>
    <w:rsid w:val="03CD11C7"/>
    <w:rsid w:val="03E15A27"/>
    <w:rsid w:val="03E67F95"/>
    <w:rsid w:val="03E906E5"/>
    <w:rsid w:val="03EA2347"/>
    <w:rsid w:val="03EE53E7"/>
    <w:rsid w:val="03F1639C"/>
    <w:rsid w:val="03F3780A"/>
    <w:rsid w:val="03F37EC5"/>
    <w:rsid w:val="03F724F9"/>
    <w:rsid w:val="03FC04E1"/>
    <w:rsid w:val="03FE725F"/>
    <w:rsid w:val="03FF7CC7"/>
    <w:rsid w:val="040149FF"/>
    <w:rsid w:val="0404133F"/>
    <w:rsid w:val="04053C53"/>
    <w:rsid w:val="04076F3B"/>
    <w:rsid w:val="041377B7"/>
    <w:rsid w:val="04150E4D"/>
    <w:rsid w:val="04176771"/>
    <w:rsid w:val="041B749E"/>
    <w:rsid w:val="042610E8"/>
    <w:rsid w:val="042D1C6C"/>
    <w:rsid w:val="043405D6"/>
    <w:rsid w:val="04342CB6"/>
    <w:rsid w:val="04380911"/>
    <w:rsid w:val="043D2EEB"/>
    <w:rsid w:val="04403ABE"/>
    <w:rsid w:val="04486932"/>
    <w:rsid w:val="045732FF"/>
    <w:rsid w:val="045A21C6"/>
    <w:rsid w:val="04613266"/>
    <w:rsid w:val="04642824"/>
    <w:rsid w:val="04651AF7"/>
    <w:rsid w:val="046550AB"/>
    <w:rsid w:val="04734A84"/>
    <w:rsid w:val="047739E9"/>
    <w:rsid w:val="047A5540"/>
    <w:rsid w:val="0484578E"/>
    <w:rsid w:val="04853AB5"/>
    <w:rsid w:val="04866E3C"/>
    <w:rsid w:val="048A2D47"/>
    <w:rsid w:val="048C63AF"/>
    <w:rsid w:val="049379D0"/>
    <w:rsid w:val="04945B98"/>
    <w:rsid w:val="0496589A"/>
    <w:rsid w:val="04A12166"/>
    <w:rsid w:val="04A15289"/>
    <w:rsid w:val="04AB3160"/>
    <w:rsid w:val="04B150EC"/>
    <w:rsid w:val="04B63E0D"/>
    <w:rsid w:val="05007E7D"/>
    <w:rsid w:val="05042DAB"/>
    <w:rsid w:val="050C5296"/>
    <w:rsid w:val="051033C8"/>
    <w:rsid w:val="05131E17"/>
    <w:rsid w:val="05230E7F"/>
    <w:rsid w:val="0524623B"/>
    <w:rsid w:val="053441F1"/>
    <w:rsid w:val="05345624"/>
    <w:rsid w:val="05353DA0"/>
    <w:rsid w:val="053A7756"/>
    <w:rsid w:val="0545349D"/>
    <w:rsid w:val="05464FE9"/>
    <w:rsid w:val="05465FAD"/>
    <w:rsid w:val="054E76F5"/>
    <w:rsid w:val="05532B5C"/>
    <w:rsid w:val="055B023C"/>
    <w:rsid w:val="055E1E6A"/>
    <w:rsid w:val="05677CE1"/>
    <w:rsid w:val="056F57BB"/>
    <w:rsid w:val="056F57F3"/>
    <w:rsid w:val="056F7CD3"/>
    <w:rsid w:val="057139C5"/>
    <w:rsid w:val="05733060"/>
    <w:rsid w:val="057645F5"/>
    <w:rsid w:val="0579757E"/>
    <w:rsid w:val="057C01E0"/>
    <w:rsid w:val="057F3C4B"/>
    <w:rsid w:val="058D0FAE"/>
    <w:rsid w:val="059A2F2C"/>
    <w:rsid w:val="059B134C"/>
    <w:rsid w:val="059E41CA"/>
    <w:rsid w:val="05A24740"/>
    <w:rsid w:val="05A51D4C"/>
    <w:rsid w:val="05A55A1F"/>
    <w:rsid w:val="05B37A58"/>
    <w:rsid w:val="05BB63B1"/>
    <w:rsid w:val="05BC4142"/>
    <w:rsid w:val="05C6734C"/>
    <w:rsid w:val="05D66E40"/>
    <w:rsid w:val="05E901A8"/>
    <w:rsid w:val="05F53C8E"/>
    <w:rsid w:val="060213F7"/>
    <w:rsid w:val="06024581"/>
    <w:rsid w:val="0607626E"/>
    <w:rsid w:val="06157180"/>
    <w:rsid w:val="061D6FF8"/>
    <w:rsid w:val="06252E61"/>
    <w:rsid w:val="06272BF6"/>
    <w:rsid w:val="062A160A"/>
    <w:rsid w:val="06300B9E"/>
    <w:rsid w:val="06346A35"/>
    <w:rsid w:val="06352610"/>
    <w:rsid w:val="0639610A"/>
    <w:rsid w:val="06425F1C"/>
    <w:rsid w:val="064A47B3"/>
    <w:rsid w:val="065432BB"/>
    <w:rsid w:val="065477B8"/>
    <w:rsid w:val="06576C3C"/>
    <w:rsid w:val="065A5B2D"/>
    <w:rsid w:val="066731D4"/>
    <w:rsid w:val="06696FFC"/>
    <w:rsid w:val="066E1874"/>
    <w:rsid w:val="067021F2"/>
    <w:rsid w:val="067E2907"/>
    <w:rsid w:val="06840A76"/>
    <w:rsid w:val="068B5AAA"/>
    <w:rsid w:val="068D295D"/>
    <w:rsid w:val="069A7A46"/>
    <w:rsid w:val="069B233D"/>
    <w:rsid w:val="06A2027D"/>
    <w:rsid w:val="06A26F45"/>
    <w:rsid w:val="06B050EC"/>
    <w:rsid w:val="06B43F47"/>
    <w:rsid w:val="06B756A2"/>
    <w:rsid w:val="06B8118C"/>
    <w:rsid w:val="06B86FFC"/>
    <w:rsid w:val="06BA2000"/>
    <w:rsid w:val="06BD6900"/>
    <w:rsid w:val="06BF26E7"/>
    <w:rsid w:val="06BF5208"/>
    <w:rsid w:val="06C13361"/>
    <w:rsid w:val="06C34615"/>
    <w:rsid w:val="06C73C4C"/>
    <w:rsid w:val="06C754CF"/>
    <w:rsid w:val="06C872EF"/>
    <w:rsid w:val="06C91E1B"/>
    <w:rsid w:val="06D30722"/>
    <w:rsid w:val="06E074F1"/>
    <w:rsid w:val="06E3667B"/>
    <w:rsid w:val="06E533DC"/>
    <w:rsid w:val="06E74D02"/>
    <w:rsid w:val="06ED7023"/>
    <w:rsid w:val="06EF4754"/>
    <w:rsid w:val="06F07572"/>
    <w:rsid w:val="06F66AEF"/>
    <w:rsid w:val="06F86FF5"/>
    <w:rsid w:val="06FD12C3"/>
    <w:rsid w:val="070838A0"/>
    <w:rsid w:val="070D6908"/>
    <w:rsid w:val="07115815"/>
    <w:rsid w:val="071350E1"/>
    <w:rsid w:val="071746C9"/>
    <w:rsid w:val="071B5B83"/>
    <w:rsid w:val="071E219D"/>
    <w:rsid w:val="07224FF6"/>
    <w:rsid w:val="07277346"/>
    <w:rsid w:val="07300A97"/>
    <w:rsid w:val="073B6097"/>
    <w:rsid w:val="073C3C07"/>
    <w:rsid w:val="07474102"/>
    <w:rsid w:val="074812EB"/>
    <w:rsid w:val="074E1415"/>
    <w:rsid w:val="074E664B"/>
    <w:rsid w:val="07566F6D"/>
    <w:rsid w:val="07577188"/>
    <w:rsid w:val="07587AF0"/>
    <w:rsid w:val="075A697C"/>
    <w:rsid w:val="075E0820"/>
    <w:rsid w:val="075F4B5D"/>
    <w:rsid w:val="075F53BD"/>
    <w:rsid w:val="077658FD"/>
    <w:rsid w:val="077A04B7"/>
    <w:rsid w:val="077D2E24"/>
    <w:rsid w:val="077D5277"/>
    <w:rsid w:val="078722CD"/>
    <w:rsid w:val="079138D7"/>
    <w:rsid w:val="079D15A4"/>
    <w:rsid w:val="079F1137"/>
    <w:rsid w:val="07A33592"/>
    <w:rsid w:val="07A51168"/>
    <w:rsid w:val="07A9246E"/>
    <w:rsid w:val="07BD7F8A"/>
    <w:rsid w:val="07BE02D9"/>
    <w:rsid w:val="07C110AD"/>
    <w:rsid w:val="07C1502B"/>
    <w:rsid w:val="07C43DA9"/>
    <w:rsid w:val="07C62764"/>
    <w:rsid w:val="07C667B2"/>
    <w:rsid w:val="07CE3476"/>
    <w:rsid w:val="07D44218"/>
    <w:rsid w:val="07D55EFD"/>
    <w:rsid w:val="07D60133"/>
    <w:rsid w:val="07DA0050"/>
    <w:rsid w:val="07DE1B22"/>
    <w:rsid w:val="07E43750"/>
    <w:rsid w:val="07E80A2E"/>
    <w:rsid w:val="07ED6A3E"/>
    <w:rsid w:val="07FA5C33"/>
    <w:rsid w:val="08056F3C"/>
    <w:rsid w:val="080D4757"/>
    <w:rsid w:val="081A2D45"/>
    <w:rsid w:val="081D4E54"/>
    <w:rsid w:val="08255752"/>
    <w:rsid w:val="082C41CA"/>
    <w:rsid w:val="08303C90"/>
    <w:rsid w:val="0841393E"/>
    <w:rsid w:val="084625A3"/>
    <w:rsid w:val="084B3140"/>
    <w:rsid w:val="08531515"/>
    <w:rsid w:val="085A2915"/>
    <w:rsid w:val="085A60DC"/>
    <w:rsid w:val="08651352"/>
    <w:rsid w:val="086A6F90"/>
    <w:rsid w:val="086B262D"/>
    <w:rsid w:val="08713BB7"/>
    <w:rsid w:val="087D040A"/>
    <w:rsid w:val="087D1795"/>
    <w:rsid w:val="08801402"/>
    <w:rsid w:val="08817194"/>
    <w:rsid w:val="08837FE4"/>
    <w:rsid w:val="08A749BB"/>
    <w:rsid w:val="08A9782B"/>
    <w:rsid w:val="08AC08C5"/>
    <w:rsid w:val="08B226FB"/>
    <w:rsid w:val="08B4642F"/>
    <w:rsid w:val="08BF1715"/>
    <w:rsid w:val="08C535FD"/>
    <w:rsid w:val="08D91B03"/>
    <w:rsid w:val="08DC3C1C"/>
    <w:rsid w:val="08DC4768"/>
    <w:rsid w:val="08E40673"/>
    <w:rsid w:val="08E7690E"/>
    <w:rsid w:val="08EC47D4"/>
    <w:rsid w:val="08F02E9C"/>
    <w:rsid w:val="08F34004"/>
    <w:rsid w:val="08F87832"/>
    <w:rsid w:val="09065544"/>
    <w:rsid w:val="090D009B"/>
    <w:rsid w:val="090F0953"/>
    <w:rsid w:val="09232C36"/>
    <w:rsid w:val="09246AE8"/>
    <w:rsid w:val="092536FD"/>
    <w:rsid w:val="09253DDF"/>
    <w:rsid w:val="09267595"/>
    <w:rsid w:val="092A2E2B"/>
    <w:rsid w:val="092D039A"/>
    <w:rsid w:val="09325A53"/>
    <w:rsid w:val="09327B71"/>
    <w:rsid w:val="093328F4"/>
    <w:rsid w:val="09336BC9"/>
    <w:rsid w:val="093C11CE"/>
    <w:rsid w:val="093C55FF"/>
    <w:rsid w:val="094006E2"/>
    <w:rsid w:val="09407AFA"/>
    <w:rsid w:val="0941415B"/>
    <w:rsid w:val="09451919"/>
    <w:rsid w:val="09497597"/>
    <w:rsid w:val="094C0DD3"/>
    <w:rsid w:val="094D4B2C"/>
    <w:rsid w:val="094E45E7"/>
    <w:rsid w:val="095370F2"/>
    <w:rsid w:val="09594C0F"/>
    <w:rsid w:val="095F1357"/>
    <w:rsid w:val="0961464B"/>
    <w:rsid w:val="09617F7D"/>
    <w:rsid w:val="09627775"/>
    <w:rsid w:val="096343E4"/>
    <w:rsid w:val="0967662A"/>
    <w:rsid w:val="096933F5"/>
    <w:rsid w:val="096A6858"/>
    <w:rsid w:val="09707F53"/>
    <w:rsid w:val="097461CA"/>
    <w:rsid w:val="097661B7"/>
    <w:rsid w:val="09796713"/>
    <w:rsid w:val="097B6BF9"/>
    <w:rsid w:val="098D5E95"/>
    <w:rsid w:val="099166E4"/>
    <w:rsid w:val="09980B53"/>
    <w:rsid w:val="099A71F0"/>
    <w:rsid w:val="09A11F29"/>
    <w:rsid w:val="09A15BF0"/>
    <w:rsid w:val="09A6314D"/>
    <w:rsid w:val="09A75DB4"/>
    <w:rsid w:val="09B0154C"/>
    <w:rsid w:val="09B927B9"/>
    <w:rsid w:val="09BD15EE"/>
    <w:rsid w:val="09D40C5F"/>
    <w:rsid w:val="09D6343C"/>
    <w:rsid w:val="09D842BB"/>
    <w:rsid w:val="09DA7778"/>
    <w:rsid w:val="09E1566F"/>
    <w:rsid w:val="09E54DE1"/>
    <w:rsid w:val="09E82C90"/>
    <w:rsid w:val="09EA1423"/>
    <w:rsid w:val="09EC0F93"/>
    <w:rsid w:val="09EF4960"/>
    <w:rsid w:val="09F50A27"/>
    <w:rsid w:val="09FC6576"/>
    <w:rsid w:val="0A0120B9"/>
    <w:rsid w:val="0A055519"/>
    <w:rsid w:val="0A063FBA"/>
    <w:rsid w:val="0A065E50"/>
    <w:rsid w:val="0A0B19A8"/>
    <w:rsid w:val="0A0C587E"/>
    <w:rsid w:val="0A1D5C96"/>
    <w:rsid w:val="0A2314F5"/>
    <w:rsid w:val="0A245972"/>
    <w:rsid w:val="0A2B06B3"/>
    <w:rsid w:val="0A2C204B"/>
    <w:rsid w:val="0A545869"/>
    <w:rsid w:val="0A577260"/>
    <w:rsid w:val="0A5B191F"/>
    <w:rsid w:val="0A5D2BBD"/>
    <w:rsid w:val="0A624093"/>
    <w:rsid w:val="0A686A61"/>
    <w:rsid w:val="0A696D5F"/>
    <w:rsid w:val="0A6F42B2"/>
    <w:rsid w:val="0A791B58"/>
    <w:rsid w:val="0A7C1F08"/>
    <w:rsid w:val="0A812035"/>
    <w:rsid w:val="0A873492"/>
    <w:rsid w:val="0A8B4B23"/>
    <w:rsid w:val="0A8D1EB3"/>
    <w:rsid w:val="0A9163C7"/>
    <w:rsid w:val="0A9312D5"/>
    <w:rsid w:val="0AA33658"/>
    <w:rsid w:val="0AA41F11"/>
    <w:rsid w:val="0AAC0F76"/>
    <w:rsid w:val="0AAC5A14"/>
    <w:rsid w:val="0AB303CE"/>
    <w:rsid w:val="0AB5260C"/>
    <w:rsid w:val="0ABB4D17"/>
    <w:rsid w:val="0ABC502F"/>
    <w:rsid w:val="0ABC5D1A"/>
    <w:rsid w:val="0ABE36D7"/>
    <w:rsid w:val="0AD36F47"/>
    <w:rsid w:val="0ADA6860"/>
    <w:rsid w:val="0AE30CDF"/>
    <w:rsid w:val="0AE817F8"/>
    <w:rsid w:val="0AF92076"/>
    <w:rsid w:val="0B076DF8"/>
    <w:rsid w:val="0B0F3F9C"/>
    <w:rsid w:val="0B130411"/>
    <w:rsid w:val="0B14085E"/>
    <w:rsid w:val="0B162335"/>
    <w:rsid w:val="0B183564"/>
    <w:rsid w:val="0B1C77E7"/>
    <w:rsid w:val="0B216E17"/>
    <w:rsid w:val="0B22767F"/>
    <w:rsid w:val="0B260D23"/>
    <w:rsid w:val="0B2A791A"/>
    <w:rsid w:val="0B2C5BA0"/>
    <w:rsid w:val="0B333091"/>
    <w:rsid w:val="0B35386F"/>
    <w:rsid w:val="0B385F14"/>
    <w:rsid w:val="0B38736F"/>
    <w:rsid w:val="0B3A6BCE"/>
    <w:rsid w:val="0B3B360E"/>
    <w:rsid w:val="0B3D12A9"/>
    <w:rsid w:val="0B404653"/>
    <w:rsid w:val="0B423D54"/>
    <w:rsid w:val="0B463134"/>
    <w:rsid w:val="0B477E0C"/>
    <w:rsid w:val="0B533DD6"/>
    <w:rsid w:val="0B565C35"/>
    <w:rsid w:val="0B580392"/>
    <w:rsid w:val="0B602A2B"/>
    <w:rsid w:val="0B6540CD"/>
    <w:rsid w:val="0B662D84"/>
    <w:rsid w:val="0B6C6304"/>
    <w:rsid w:val="0B78584E"/>
    <w:rsid w:val="0B7928EA"/>
    <w:rsid w:val="0B8073A6"/>
    <w:rsid w:val="0B83438B"/>
    <w:rsid w:val="0B873FEF"/>
    <w:rsid w:val="0B89351F"/>
    <w:rsid w:val="0B8E2BDD"/>
    <w:rsid w:val="0B9263B2"/>
    <w:rsid w:val="0BA067A3"/>
    <w:rsid w:val="0BA10F30"/>
    <w:rsid w:val="0BAB2096"/>
    <w:rsid w:val="0BB45382"/>
    <w:rsid w:val="0BBA3EFD"/>
    <w:rsid w:val="0BBA5E9E"/>
    <w:rsid w:val="0BBC77FD"/>
    <w:rsid w:val="0BBF5A5D"/>
    <w:rsid w:val="0BC05CEB"/>
    <w:rsid w:val="0BC20206"/>
    <w:rsid w:val="0BC55942"/>
    <w:rsid w:val="0BC7514E"/>
    <w:rsid w:val="0BC7729E"/>
    <w:rsid w:val="0BD175F6"/>
    <w:rsid w:val="0BE27549"/>
    <w:rsid w:val="0BEA6A23"/>
    <w:rsid w:val="0BEC4F23"/>
    <w:rsid w:val="0BF72236"/>
    <w:rsid w:val="0BF92D87"/>
    <w:rsid w:val="0BFF729B"/>
    <w:rsid w:val="0C00517C"/>
    <w:rsid w:val="0C065E0B"/>
    <w:rsid w:val="0C0A476A"/>
    <w:rsid w:val="0C0B0D7F"/>
    <w:rsid w:val="0C1017FD"/>
    <w:rsid w:val="0C194E4B"/>
    <w:rsid w:val="0C1E3898"/>
    <w:rsid w:val="0C2621B1"/>
    <w:rsid w:val="0C296876"/>
    <w:rsid w:val="0C2D210F"/>
    <w:rsid w:val="0C2D5226"/>
    <w:rsid w:val="0C415D02"/>
    <w:rsid w:val="0C444C4A"/>
    <w:rsid w:val="0C4B30CB"/>
    <w:rsid w:val="0C513C1D"/>
    <w:rsid w:val="0C52644B"/>
    <w:rsid w:val="0C5F5CF2"/>
    <w:rsid w:val="0C6B5713"/>
    <w:rsid w:val="0C6F425E"/>
    <w:rsid w:val="0C730128"/>
    <w:rsid w:val="0C85608B"/>
    <w:rsid w:val="0C871B66"/>
    <w:rsid w:val="0C8929B3"/>
    <w:rsid w:val="0C9010AB"/>
    <w:rsid w:val="0C922CA4"/>
    <w:rsid w:val="0C9236B8"/>
    <w:rsid w:val="0C93701B"/>
    <w:rsid w:val="0C9707FB"/>
    <w:rsid w:val="0C994758"/>
    <w:rsid w:val="0C9B6DEE"/>
    <w:rsid w:val="0C9D09C1"/>
    <w:rsid w:val="0C9F65D9"/>
    <w:rsid w:val="0CA4335F"/>
    <w:rsid w:val="0CA52DF6"/>
    <w:rsid w:val="0CA605BE"/>
    <w:rsid w:val="0CAA7A03"/>
    <w:rsid w:val="0CAC52C4"/>
    <w:rsid w:val="0CC15349"/>
    <w:rsid w:val="0CC40D14"/>
    <w:rsid w:val="0CC63DD5"/>
    <w:rsid w:val="0CC96564"/>
    <w:rsid w:val="0CCA1272"/>
    <w:rsid w:val="0CCA2F17"/>
    <w:rsid w:val="0CD20F6A"/>
    <w:rsid w:val="0CE411E9"/>
    <w:rsid w:val="0CEA2168"/>
    <w:rsid w:val="0CEA4B5B"/>
    <w:rsid w:val="0CF16C2E"/>
    <w:rsid w:val="0CF17986"/>
    <w:rsid w:val="0CF47BB1"/>
    <w:rsid w:val="0CF61E8A"/>
    <w:rsid w:val="0CF800A5"/>
    <w:rsid w:val="0CF92412"/>
    <w:rsid w:val="0CFF57B0"/>
    <w:rsid w:val="0D1024FC"/>
    <w:rsid w:val="0D1373FC"/>
    <w:rsid w:val="0D176DC2"/>
    <w:rsid w:val="0D196133"/>
    <w:rsid w:val="0D1F3FE1"/>
    <w:rsid w:val="0D231E15"/>
    <w:rsid w:val="0D23307D"/>
    <w:rsid w:val="0D2509C1"/>
    <w:rsid w:val="0D2D5B1E"/>
    <w:rsid w:val="0D336736"/>
    <w:rsid w:val="0D3B3FC6"/>
    <w:rsid w:val="0D3F2825"/>
    <w:rsid w:val="0D3F5AFF"/>
    <w:rsid w:val="0D486D3A"/>
    <w:rsid w:val="0D496612"/>
    <w:rsid w:val="0D4B61DA"/>
    <w:rsid w:val="0D4C2443"/>
    <w:rsid w:val="0D5834E8"/>
    <w:rsid w:val="0D6031FA"/>
    <w:rsid w:val="0D694CB2"/>
    <w:rsid w:val="0D6D1FC3"/>
    <w:rsid w:val="0D7215E5"/>
    <w:rsid w:val="0D767786"/>
    <w:rsid w:val="0D7D74F1"/>
    <w:rsid w:val="0D843B24"/>
    <w:rsid w:val="0D8542C2"/>
    <w:rsid w:val="0D8C7317"/>
    <w:rsid w:val="0D8E1D3B"/>
    <w:rsid w:val="0D94293B"/>
    <w:rsid w:val="0D997870"/>
    <w:rsid w:val="0D9B18A4"/>
    <w:rsid w:val="0DA30E38"/>
    <w:rsid w:val="0DA62E29"/>
    <w:rsid w:val="0DAF7500"/>
    <w:rsid w:val="0DC61E73"/>
    <w:rsid w:val="0DC83BEC"/>
    <w:rsid w:val="0DCE1F69"/>
    <w:rsid w:val="0DD10B85"/>
    <w:rsid w:val="0DD131AC"/>
    <w:rsid w:val="0DD72D47"/>
    <w:rsid w:val="0DD91290"/>
    <w:rsid w:val="0DDD28CF"/>
    <w:rsid w:val="0DE02AD6"/>
    <w:rsid w:val="0DE119C3"/>
    <w:rsid w:val="0DE21F8C"/>
    <w:rsid w:val="0DE63F65"/>
    <w:rsid w:val="0DF626D4"/>
    <w:rsid w:val="0DF70067"/>
    <w:rsid w:val="0DFA7A57"/>
    <w:rsid w:val="0DFF1A32"/>
    <w:rsid w:val="0E047E12"/>
    <w:rsid w:val="0E062673"/>
    <w:rsid w:val="0E256AD7"/>
    <w:rsid w:val="0E281856"/>
    <w:rsid w:val="0E2C7A35"/>
    <w:rsid w:val="0E3630A1"/>
    <w:rsid w:val="0E370890"/>
    <w:rsid w:val="0E4C76C4"/>
    <w:rsid w:val="0E4F6038"/>
    <w:rsid w:val="0E526144"/>
    <w:rsid w:val="0E536AA1"/>
    <w:rsid w:val="0E5638EE"/>
    <w:rsid w:val="0E5E084E"/>
    <w:rsid w:val="0E664FCA"/>
    <w:rsid w:val="0E683CAD"/>
    <w:rsid w:val="0E6B7CAD"/>
    <w:rsid w:val="0E6F6822"/>
    <w:rsid w:val="0E717382"/>
    <w:rsid w:val="0E725FA1"/>
    <w:rsid w:val="0E7869CF"/>
    <w:rsid w:val="0E7D44F2"/>
    <w:rsid w:val="0E7F0630"/>
    <w:rsid w:val="0E834EA9"/>
    <w:rsid w:val="0E8435FE"/>
    <w:rsid w:val="0E8556AE"/>
    <w:rsid w:val="0E8A514A"/>
    <w:rsid w:val="0E8F184C"/>
    <w:rsid w:val="0E902290"/>
    <w:rsid w:val="0E9078E6"/>
    <w:rsid w:val="0E913D87"/>
    <w:rsid w:val="0EA404F7"/>
    <w:rsid w:val="0EAA507D"/>
    <w:rsid w:val="0EAF5CD4"/>
    <w:rsid w:val="0EB25F81"/>
    <w:rsid w:val="0EB371FB"/>
    <w:rsid w:val="0EC97D41"/>
    <w:rsid w:val="0ECA1E38"/>
    <w:rsid w:val="0ECB27FE"/>
    <w:rsid w:val="0ED82340"/>
    <w:rsid w:val="0EDA19DD"/>
    <w:rsid w:val="0EDC02D6"/>
    <w:rsid w:val="0EE50F16"/>
    <w:rsid w:val="0EE534A8"/>
    <w:rsid w:val="0EED2BD1"/>
    <w:rsid w:val="0EF0526F"/>
    <w:rsid w:val="0EF6507F"/>
    <w:rsid w:val="0EFB6A29"/>
    <w:rsid w:val="0F0124E9"/>
    <w:rsid w:val="0F033963"/>
    <w:rsid w:val="0F0942AA"/>
    <w:rsid w:val="0F0B5EE0"/>
    <w:rsid w:val="0F0D7984"/>
    <w:rsid w:val="0F163F1E"/>
    <w:rsid w:val="0F1808CF"/>
    <w:rsid w:val="0F1A4403"/>
    <w:rsid w:val="0F235FB6"/>
    <w:rsid w:val="0F2E4682"/>
    <w:rsid w:val="0F304FFF"/>
    <w:rsid w:val="0F3A4405"/>
    <w:rsid w:val="0F3B3907"/>
    <w:rsid w:val="0F402341"/>
    <w:rsid w:val="0F437E5A"/>
    <w:rsid w:val="0F4A46F2"/>
    <w:rsid w:val="0F4D7712"/>
    <w:rsid w:val="0F5070A9"/>
    <w:rsid w:val="0F767544"/>
    <w:rsid w:val="0F7C7F3C"/>
    <w:rsid w:val="0F8D43C5"/>
    <w:rsid w:val="0F963460"/>
    <w:rsid w:val="0F9B178A"/>
    <w:rsid w:val="0F9B5C42"/>
    <w:rsid w:val="0FA3046F"/>
    <w:rsid w:val="0FA73D23"/>
    <w:rsid w:val="0FA76A01"/>
    <w:rsid w:val="0FA8379D"/>
    <w:rsid w:val="0FAE1E1B"/>
    <w:rsid w:val="0FB55C6E"/>
    <w:rsid w:val="0FBB398E"/>
    <w:rsid w:val="0FBB4084"/>
    <w:rsid w:val="0FBE12DC"/>
    <w:rsid w:val="0FC51174"/>
    <w:rsid w:val="0FC95F8E"/>
    <w:rsid w:val="0FCC779B"/>
    <w:rsid w:val="0FD108D8"/>
    <w:rsid w:val="0FD2028B"/>
    <w:rsid w:val="0FD710D5"/>
    <w:rsid w:val="0FE26EE1"/>
    <w:rsid w:val="0FE41D8F"/>
    <w:rsid w:val="0FE57D32"/>
    <w:rsid w:val="0FEF7977"/>
    <w:rsid w:val="0FFB463C"/>
    <w:rsid w:val="0FFB79B5"/>
    <w:rsid w:val="10001B9C"/>
    <w:rsid w:val="10052DFD"/>
    <w:rsid w:val="10081FE5"/>
    <w:rsid w:val="10092E23"/>
    <w:rsid w:val="100C1209"/>
    <w:rsid w:val="100E65AA"/>
    <w:rsid w:val="101C5C4E"/>
    <w:rsid w:val="10330FBF"/>
    <w:rsid w:val="103E6328"/>
    <w:rsid w:val="104117CC"/>
    <w:rsid w:val="104360F5"/>
    <w:rsid w:val="1044022D"/>
    <w:rsid w:val="104A7567"/>
    <w:rsid w:val="104D2EB4"/>
    <w:rsid w:val="105108EA"/>
    <w:rsid w:val="10523B37"/>
    <w:rsid w:val="1054103B"/>
    <w:rsid w:val="10552A94"/>
    <w:rsid w:val="10622B26"/>
    <w:rsid w:val="106667AF"/>
    <w:rsid w:val="106C3D0E"/>
    <w:rsid w:val="1072269A"/>
    <w:rsid w:val="10741E83"/>
    <w:rsid w:val="107556F6"/>
    <w:rsid w:val="10763651"/>
    <w:rsid w:val="10764124"/>
    <w:rsid w:val="107762CA"/>
    <w:rsid w:val="1084350C"/>
    <w:rsid w:val="1087751E"/>
    <w:rsid w:val="10880FBE"/>
    <w:rsid w:val="10882AA7"/>
    <w:rsid w:val="10882FDA"/>
    <w:rsid w:val="10A57561"/>
    <w:rsid w:val="10AB07EC"/>
    <w:rsid w:val="10AB4432"/>
    <w:rsid w:val="10AE37E8"/>
    <w:rsid w:val="10B224E9"/>
    <w:rsid w:val="10CE1A4B"/>
    <w:rsid w:val="10CF7616"/>
    <w:rsid w:val="10DA37E7"/>
    <w:rsid w:val="10E043AC"/>
    <w:rsid w:val="10E535D9"/>
    <w:rsid w:val="10E9222B"/>
    <w:rsid w:val="10E968A9"/>
    <w:rsid w:val="10E9759C"/>
    <w:rsid w:val="10EA6AB1"/>
    <w:rsid w:val="10EB0628"/>
    <w:rsid w:val="10F852AB"/>
    <w:rsid w:val="10F85939"/>
    <w:rsid w:val="11042D95"/>
    <w:rsid w:val="11166311"/>
    <w:rsid w:val="111F2CDE"/>
    <w:rsid w:val="11260365"/>
    <w:rsid w:val="11466AEB"/>
    <w:rsid w:val="11591DB2"/>
    <w:rsid w:val="115A68EC"/>
    <w:rsid w:val="115C0B35"/>
    <w:rsid w:val="116434EF"/>
    <w:rsid w:val="116F3708"/>
    <w:rsid w:val="117267CF"/>
    <w:rsid w:val="117854C0"/>
    <w:rsid w:val="117872C1"/>
    <w:rsid w:val="11795E5E"/>
    <w:rsid w:val="117B7397"/>
    <w:rsid w:val="11803B6E"/>
    <w:rsid w:val="118153A2"/>
    <w:rsid w:val="118835E3"/>
    <w:rsid w:val="118C09C9"/>
    <w:rsid w:val="118E253B"/>
    <w:rsid w:val="11913E8A"/>
    <w:rsid w:val="11941AA0"/>
    <w:rsid w:val="119949EC"/>
    <w:rsid w:val="119B7F25"/>
    <w:rsid w:val="11A44514"/>
    <w:rsid w:val="11A83B14"/>
    <w:rsid w:val="11AE0925"/>
    <w:rsid w:val="11B125E8"/>
    <w:rsid w:val="11B76BA6"/>
    <w:rsid w:val="11C3079C"/>
    <w:rsid w:val="11C30E35"/>
    <w:rsid w:val="11CB0E32"/>
    <w:rsid w:val="11D16AF4"/>
    <w:rsid w:val="11D8530A"/>
    <w:rsid w:val="11E16EC0"/>
    <w:rsid w:val="11ED4DF9"/>
    <w:rsid w:val="11FC3704"/>
    <w:rsid w:val="120006CA"/>
    <w:rsid w:val="12034CDF"/>
    <w:rsid w:val="12044467"/>
    <w:rsid w:val="12047E9A"/>
    <w:rsid w:val="12125ABB"/>
    <w:rsid w:val="121A2E0D"/>
    <w:rsid w:val="121C0375"/>
    <w:rsid w:val="121C2087"/>
    <w:rsid w:val="1220629C"/>
    <w:rsid w:val="12206F19"/>
    <w:rsid w:val="12262024"/>
    <w:rsid w:val="122B755F"/>
    <w:rsid w:val="122F0C43"/>
    <w:rsid w:val="12301CBD"/>
    <w:rsid w:val="12315BE0"/>
    <w:rsid w:val="12423BD6"/>
    <w:rsid w:val="12466EB7"/>
    <w:rsid w:val="12585F03"/>
    <w:rsid w:val="125C391F"/>
    <w:rsid w:val="126E7B7D"/>
    <w:rsid w:val="1271345F"/>
    <w:rsid w:val="127306F0"/>
    <w:rsid w:val="127A51DD"/>
    <w:rsid w:val="128B3B88"/>
    <w:rsid w:val="128D20E9"/>
    <w:rsid w:val="128F47DE"/>
    <w:rsid w:val="12962890"/>
    <w:rsid w:val="12976F9E"/>
    <w:rsid w:val="129A6604"/>
    <w:rsid w:val="129D34ED"/>
    <w:rsid w:val="129F3BBF"/>
    <w:rsid w:val="12A27F00"/>
    <w:rsid w:val="12B96FFE"/>
    <w:rsid w:val="12BB338A"/>
    <w:rsid w:val="12C122E7"/>
    <w:rsid w:val="12CA6CA3"/>
    <w:rsid w:val="12CB15E9"/>
    <w:rsid w:val="12CF4064"/>
    <w:rsid w:val="12D54336"/>
    <w:rsid w:val="12D96B25"/>
    <w:rsid w:val="12E064C6"/>
    <w:rsid w:val="12F77D8D"/>
    <w:rsid w:val="130172B3"/>
    <w:rsid w:val="13026EAD"/>
    <w:rsid w:val="13062519"/>
    <w:rsid w:val="130679E5"/>
    <w:rsid w:val="130C110A"/>
    <w:rsid w:val="13113485"/>
    <w:rsid w:val="132017C7"/>
    <w:rsid w:val="13215281"/>
    <w:rsid w:val="13256301"/>
    <w:rsid w:val="13304560"/>
    <w:rsid w:val="13393104"/>
    <w:rsid w:val="133E0562"/>
    <w:rsid w:val="134301E3"/>
    <w:rsid w:val="13507F0F"/>
    <w:rsid w:val="1355632A"/>
    <w:rsid w:val="135B1C09"/>
    <w:rsid w:val="135E4DA2"/>
    <w:rsid w:val="13691EAD"/>
    <w:rsid w:val="13771DC4"/>
    <w:rsid w:val="13792ED1"/>
    <w:rsid w:val="137E13EE"/>
    <w:rsid w:val="138100F0"/>
    <w:rsid w:val="13826A25"/>
    <w:rsid w:val="13862C13"/>
    <w:rsid w:val="13875F11"/>
    <w:rsid w:val="138C0849"/>
    <w:rsid w:val="139477FB"/>
    <w:rsid w:val="139E115B"/>
    <w:rsid w:val="13A16F29"/>
    <w:rsid w:val="13A5383A"/>
    <w:rsid w:val="13B4409B"/>
    <w:rsid w:val="13B50EAB"/>
    <w:rsid w:val="13B74E30"/>
    <w:rsid w:val="13C53512"/>
    <w:rsid w:val="13CA2ADC"/>
    <w:rsid w:val="13D73D89"/>
    <w:rsid w:val="13DD09B1"/>
    <w:rsid w:val="13DF354E"/>
    <w:rsid w:val="13E0283A"/>
    <w:rsid w:val="13EB572E"/>
    <w:rsid w:val="13EC4859"/>
    <w:rsid w:val="13EE55D2"/>
    <w:rsid w:val="13EE56E2"/>
    <w:rsid w:val="13F13162"/>
    <w:rsid w:val="13FF683A"/>
    <w:rsid w:val="1406020E"/>
    <w:rsid w:val="14140C1E"/>
    <w:rsid w:val="14177EF7"/>
    <w:rsid w:val="141C6AE5"/>
    <w:rsid w:val="14233E9C"/>
    <w:rsid w:val="1425132E"/>
    <w:rsid w:val="142D6AA5"/>
    <w:rsid w:val="143D17F1"/>
    <w:rsid w:val="144629FE"/>
    <w:rsid w:val="14465760"/>
    <w:rsid w:val="144768CB"/>
    <w:rsid w:val="144C6E70"/>
    <w:rsid w:val="144F752A"/>
    <w:rsid w:val="1453402D"/>
    <w:rsid w:val="1456547E"/>
    <w:rsid w:val="145700FC"/>
    <w:rsid w:val="14570684"/>
    <w:rsid w:val="14594BD7"/>
    <w:rsid w:val="145B2A3F"/>
    <w:rsid w:val="146568E8"/>
    <w:rsid w:val="146854C0"/>
    <w:rsid w:val="146D72F0"/>
    <w:rsid w:val="147C69E0"/>
    <w:rsid w:val="147D7F93"/>
    <w:rsid w:val="1484539A"/>
    <w:rsid w:val="148870E1"/>
    <w:rsid w:val="148973D2"/>
    <w:rsid w:val="148D37C5"/>
    <w:rsid w:val="148E4AA7"/>
    <w:rsid w:val="14971CF1"/>
    <w:rsid w:val="14974C5E"/>
    <w:rsid w:val="149959D7"/>
    <w:rsid w:val="149B51CE"/>
    <w:rsid w:val="149D378C"/>
    <w:rsid w:val="14A2681F"/>
    <w:rsid w:val="14AB4184"/>
    <w:rsid w:val="14AC2169"/>
    <w:rsid w:val="14AF58D2"/>
    <w:rsid w:val="14AF6371"/>
    <w:rsid w:val="14B738EF"/>
    <w:rsid w:val="14BA483A"/>
    <w:rsid w:val="14BE23D7"/>
    <w:rsid w:val="14C139F7"/>
    <w:rsid w:val="14C64272"/>
    <w:rsid w:val="14CB5D6A"/>
    <w:rsid w:val="14D065BF"/>
    <w:rsid w:val="14D25553"/>
    <w:rsid w:val="14D61CA1"/>
    <w:rsid w:val="14D83919"/>
    <w:rsid w:val="14DF3E3D"/>
    <w:rsid w:val="14E06026"/>
    <w:rsid w:val="14E40BF7"/>
    <w:rsid w:val="14EB6C5C"/>
    <w:rsid w:val="14EC362D"/>
    <w:rsid w:val="14F47868"/>
    <w:rsid w:val="14F937E9"/>
    <w:rsid w:val="14FF1771"/>
    <w:rsid w:val="150C5B14"/>
    <w:rsid w:val="1516734C"/>
    <w:rsid w:val="15184F44"/>
    <w:rsid w:val="151B3CC6"/>
    <w:rsid w:val="151C7BDF"/>
    <w:rsid w:val="152043AF"/>
    <w:rsid w:val="1522333E"/>
    <w:rsid w:val="152532D8"/>
    <w:rsid w:val="152D06F0"/>
    <w:rsid w:val="1533583C"/>
    <w:rsid w:val="153365B8"/>
    <w:rsid w:val="15364495"/>
    <w:rsid w:val="15371D2A"/>
    <w:rsid w:val="153C342D"/>
    <w:rsid w:val="153D234A"/>
    <w:rsid w:val="153E193B"/>
    <w:rsid w:val="154512F1"/>
    <w:rsid w:val="15473417"/>
    <w:rsid w:val="155354A4"/>
    <w:rsid w:val="155C5128"/>
    <w:rsid w:val="15650F06"/>
    <w:rsid w:val="156951F8"/>
    <w:rsid w:val="156B7413"/>
    <w:rsid w:val="156C1311"/>
    <w:rsid w:val="156E21CF"/>
    <w:rsid w:val="15700E5A"/>
    <w:rsid w:val="1571343B"/>
    <w:rsid w:val="157D321E"/>
    <w:rsid w:val="158933B9"/>
    <w:rsid w:val="158D044C"/>
    <w:rsid w:val="158E3F44"/>
    <w:rsid w:val="159173D8"/>
    <w:rsid w:val="15931021"/>
    <w:rsid w:val="15952129"/>
    <w:rsid w:val="159C2CA2"/>
    <w:rsid w:val="159E57A4"/>
    <w:rsid w:val="15AD7C28"/>
    <w:rsid w:val="15B67614"/>
    <w:rsid w:val="15C465FF"/>
    <w:rsid w:val="15C509BA"/>
    <w:rsid w:val="15C86BEB"/>
    <w:rsid w:val="15CB3E51"/>
    <w:rsid w:val="15CC2EB0"/>
    <w:rsid w:val="15CE1A39"/>
    <w:rsid w:val="15D23018"/>
    <w:rsid w:val="15DA2712"/>
    <w:rsid w:val="15DA2A56"/>
    <w:rsid w:val="15E37BB4"/>
    <w:rsid w:val="15E80ADC"/>
    <w:rsid w:val="15E96644"/>
    <w:rsid w:val="15EB00A4"/>
    <w:rsid w:val="15EF17ED"/>
    <w:rsid w:val="15F47E80"/>
    <w:rsid w:val="15F922A7"/>
    <w:rsid w:val="16012CF5"/>
    <w:rsid w:val="16053472"/>
    <w:rsid w:val="16095C79"/>
    <w:rsid w:val="160B795F"/>
    <w:rsid w:val="16165522"/>
    <w:rsid w:val="16210AE4"/>
    <w:rsid w:val="162675FE"/>
    <w:rsid w:val="162C6CEE"/>
    <w:rsid w:val="16374AB9"/>
    <w:rsid w:val="16376209"/>
    <w:rsid w:val="16380E5E"/>
    <w:rsid w:val="163B506A"/>
    <w:rsid w:val="1645704C"/>
    <w:rsid w:val="16467B79"/>
    <w:rsid w:val="16470ED3"/>
    <w:rsid w:val="164A36CC"/>
    <w:rsid w:val="164F7D07"/>
    <w:rsid w:val="16503CC9"/>
    <w:rsid w:val="16566C64"/>
    <w:rsid w:val="165C31D7"/>
    <w:rsid w:val="16633FC6"/>
    <w:rsid w:val="16643E85"/>
    <w:rsid w:val="166A2331"/>
    <w:rsid w:val="167647F2"/>
    <w:rsid w:val="167A1E20"/>
    <w:rsid w:val="167B57F3"/>
    <w:rsid w:val="16822D59"/>
    <w:rsid w:val="16885EFB"/>
    <w:rsid w:val="16890D4A"/>
    <w:rsid w:val="16950530"/>
    <w:rsid w:val="1698738F"/>
    <w:rsid w:val="169F1C06"/>
    <w:rsid w:val="16A854AA"/>
    <w:rsid w:val="16AB7456"/>
    <w:rsid w:val="16AD4A0E"/>
    <w:rsid w:val="16BB080A"/>
    <w:rsid w:val="16BD38D5"/>
    <w:rsid w:val="16C53283"/>
    <w:rsid w:val="16CA6CDC"/>
    <w:rsid w:val="16CD7D38"/>
    <w:rsid w:val="16CE4F85"/>
    <w:rsid w:val="16D35FE9"/>
    <w:rsid w:val="16D71F30"/>
    <w:rsid w:val="16D87D85"/>
    <w:rsid w:val="16DD36AC"/>
    <w:rsid w:val="16DF2407"/>
    <w:rsid w:val="16E467E6"/>
    <w:rsid w:val="16E6785F"/>
    <w:rsid w:val="16E87705"/>
    <w:rsid w:val="16EE25C6"/>
    <w:rsid w:val="16F55194"/>
    <w:rsid w:val="17015DD3"/>
    <w:rsid w:val="17097C34"/>
    <w:rsid w:val="170A137B"/>
    <w:rsid w:val="17104808"/>
    <w:rsid w:val="17172DB1"/>
    <w:rsid w:val="171D1BB6"/>
    <w:rsid w:val="171D3FBB"/>
    <w:rsid w:val="171E7E93"/>
    <w:rsid w:val="172622B4"/>
    <w:rsid w:val="172C46E0"/>
    <w:rsid w:val="173228F8"/>
    <w:rsid w:val="17326B5B"/>
    <w:rsid w:val="173273D2"/>
    <w:rsid w:val="173C37D2"/>
    <w:rsid w:val="173D5E20"/>
    <w:rsid w:val="17420072"/>
    <w:rsid w:val="1755011A"/>
    <w:rsid w:val="175B536B"/>
    <w:rsid w:val="176C3D80"/>
    <w:rsid w:val="176C47D8"/>
    <w:rsid w:val="17703808"/>
    <w:rsid w:val="177133D4"/>
    <w:rsid w:val="17756AF2"/>
    <w:rsid w:val="17792739"/>
    <w:rsid w:val="177E700E"/>
    <w:rsid w:val="17825237"/>
    <w:rsid w:val="1784384C"/>
    <w:rsid w:val="17855360"/>
    <w:rsid w:val="178742A3"/>
    <w:rsid w:val="178E1A84"/>
    <w:rsid w:val="17904E4D"/>
    <w:rsid w:val="1792202E"/>
    <w:rsid w:val="17951F4B"/>
    <w:rsid w:val="179E51AC"/>
    <w:rsid w:val="17AB3A73"/>
    <w:rsid w:val="17B96DB3"/>
    <w:rsid w:val="17BB7E68"/>
    <w:rsid w:val="17BC1CA2"/>
    <w:rsid w:val="17C86C8A"/>
    <w:rsid w:val="17CA38F4"/>
    <w:rsid w:val="17CD6485"/>
    <w:rsid w:val="17CF2B44"/>
    <w:rsid w:val="17D36FDA"/>
    <w:rsid w:val="17D63DAF"/>
    <w:rsid w:val="17E9451A"/>
    <w:rsid w:val="17F9797A"/>
    <w:rsid w:val="180D2E50"/>
    <w:rsid w:val="18181427"/>
    <w:rsid w:val="18353BC6"/>
    <w:rsid w:val="18363963"/>
    <w:rsid w:val="183A3BD7"/>
    <w:rsid w:val="183D7444"/>
    <w:rsid w:val="18425D4D"/>
    <w:rsid w:val="184350DD"/>
    <w:rsid w:val="184804FF"/>
    <w:rsid w:val="184935A5"/>
    <w:rsid w:val="184B6D53"/>
    <w:rsid w:val="18510247"/>
    <w:rsid w:val="18522621"/>
    <w:rsid w:val="18591131"/>
    <w:rsid w:val="185A5F47"/>
    <w:rsid w:val="185B510C"/>
    <w:rsid w:val="186053E4"/>
    <w:rsid w:val="186D099B"/>
    <w:rsid w:val="187366E0"/>
    <w:rsid w:val="187C1179"/>
    <w:rsid w:val="187F0276"/>
    <w:rsid w:val="187F5B39"/>
    <w:rsid w:val="18812797"/>
    <w:rsid w:val="188159B3"/>
    <w:rsid w:val="18817E45"/>
    <w:rsid w:val="1884259D"/>
    <w:rsid w:val="188867E5"/>
    <w:rsid w:val="188E22DE"/>
    <w:rsid w:val="188E47EA"/>
    <w:rsid w:val="1898740F"/>
    <w:rsid w:val="189A44F3"/>
    <w:rsid w:val="18AC2B77"/>
    <w:rsid w:val="18AE5575"/>
    <w:rsid w:val="18B37AA8"/>
    <w:rsid w:val="18B90185"/>
    <w:rsid w:val="18B92428"/>
    <w:rsid w:val="18B93150"/>
    <w:rsid w:val="18BD2F3C"/>
    <w:rsid w:val="18CE3DB5"/>
    <w:rsid w:val="18D06E81"/>
    <w:rsid w:val="18D76449"/>
    <w:rsid w:val="18E05FDF"/>
    <w:rsid w:val="18ED01DF"/>
    <w:rsid w:val="18EE12A6"/>
    <w:rsid w:val="18F8047D"/>
    <w:rsid w:val="18FB3B89"/>
    <w:rsid w:val="18FB5CBE"/>
    <w:rsid w:val="18FD5CA1"/>
    <w:rsid w:val="19045B13"/>
    <w:rsid w:val="190C2211"/>
    <w:rsid w:val="190D1EC9"/>
    <w:rsid w:val="190D5A85"/>
    <w:rsid w:val="19103ABE"/>
    <w:rsid w:val="19123ECF"/>
    <w:rsid w:val="19186C54"/>
    <w:rsid w:val="19202A51"/>
    <w:rsid w:val="1925636B"/>
    <w:rsid w:val="19283340"/>
    <w:rsid w:val="19380271"/>
    <w:rsid w:val="194159B7"/>
    <w:rsid w:val="19424697"/>
    <w:rsid w:val="194253FE"/>
    <w:rsid w:val="19441E7D"/>
    <w:rsid w:val="194521DC"/>
    <w:rsid w:val="19452E42"/>
    <w:rsid w:val="19480814"/>
    <w:rsid w:val="194A5928"/>
    <w:rsid w:val="195B630C"/>
    <w:rsid w:val="195C02D5"/>
    <w:rsid w:val="196102E8"/>
    <w:rsid w:val="19654243"/>
    <w:rsid w:val="1971528C"/>
    <w:rsid w:val="197960F1"/>
    <w:rsid w:val="19834998"/>
    <w:rsid w:val="1988272E"/>
    <w:rsid w:val="198851D0"/>
    <w:rsid w:val="19915132"/>
    <w:rsid w:val="199C7BE3"/>
    <w:rsid w:val="199E3ECF"/>
    <w:rsid w:val="19A5291B"/>
    <w:rsid w:val="19AC36C4"/>
    <w:rsid w:val="19AC4CAE"/>
    <w:rsid w:val="19AF2D8D"/>
    <w:rsid w:val="19B92635"/>
    <w:rsid w:val="19BC1F42"/>
    <w:rsid w:val="19BD7F9E"/>
    <w:rsid w:val="19C97B8F"/>
    <w:rsid w:val="19CB23FE"/>
    <w:rsid w:val="19CC08E4"/>
    <w:rsid w:val="19DF7BA2"/>
    <w:rsid w:val="19E110C0"/>
    <w:rsid w:val="19E30C28"/>
    <w:rsid w:val="19E63E8F"/>
    <w:rsid w:val="19F55489"/>
    <w:rsid w:val="19FA68E7"/>
    <w:rsid w:val="19FD6E23"/>
    <w:rsid w:val="19FE37CB"/>
    <w:rsid w:val="19FE3C48"/>
    <w:rsid w:val="19FE7D5E"/>
    <w:rsid w:val="1A003E1E"/>
    <w:rsid w:val="1A0077C4"/>
    <w:rsid w:val="1A0355BA"/>
    <w:rsid w:val="1A0D2858"/>
    <w:rsid w:val="1A1009F3"/>
    <w:rsid w:val="1A12191D"/>
    <w:rsid w:val="1A1F23BF"/>
    <w:rsid w:val="1A1F6D43"/>
    <w:rsid w:val="1A220244"/>
    <w:rsid w:val="1A227602"/>
    <w:rsid w:val="1A285ACD"/>
    <w:rsid w:val="1A2C0FD4"/>
    <w:rsid w:val="1A332840"/>
    <w:rsid w:val="1A394E78"/>
    <w:rsid w:val="1A3C4DF3"/>
    <w:rsid w:val="1A3F49E1"/>
    <w:rsid w:val="1A4A451E"/>
    <w:rsid w:val="1A5509C5"/>
    <w:rsid w:val="1A5F749D"/>
    <w:rsid w:val="1A624358"/>
    <w:rsid w:val="1A633A3E"/>
    <w:rsid w:val="1A782E9F"/>
    <w:rsid w:val="1A785560"/>
    <w:rsid w:val="1A83540B"/>
    <w:rsid w:val="1A866C91"/>
    <w:rsid w:val="1A86766B"/>
    <w:rsid w:val="1A89465D"/>
    <w:rsid w:val="1A8B2F8E"/>
    <w:rsid w:val="1A902C2F"/>
    <w:rsid w:val="1A905AF9"/>
    <w:rsid w:val="1A94200B"/>
    <w:rsid w:val="1A953470"/>
    <w:rsid w:val="1A956EAF"/>
    <w:rsid w:val="1A9C68DF"/>
    <w:rsid w:val="1A9F627B"/>
    <w:rsid w:val="1AA038B8"/>
    <w:rsid w:val="1AA03D77"/>
    <w:rsid w:val="1AAB04D6"/>
    <w:rsid w:val="1AC4654E"/>
    <w:rsid w:val="1AC734A7"/>
    <w:rsid w:val="1AC9277A"/>
    <w:rsid w:val="1ADA5FF3"/>
    <w:rsid w:val="1AED4747"/>
    <w:rsid w:val="1AF16A5E"/>
    <w:rsid w:val="1AF25F19"/>
    <w:rsid w:val="1AF53A86"/>
    <w:rsid w:val="1AFB7651"/>
    <w:rsid w:val="1B023A14"/>
    <w:rsid w:val="1B041FC7"/>
    <w:rsid w:val="1B096B4B"/>
    <w:rsid w:val="1B097DCF"/>
    <w:rsid w:val="1B1910A7"/>
    <w:rsid w:val="1B1E12F0"/>
    <w:rsid w:val="1B205490"/>
    <w:rsid w:val="1B225944"/>
    <w:rsid w:val="1B24307F"/>
    <w:rsid w:val="1B2440FD"/>
    <w:rsid w:val="1B2465DF"/>
    <w:rsid w:val="1B256361"/>
    <w:rsid w:val="1B283C6E"/>
    <w:rsid w:val="1B2A2DCE"/>
    <w:rsid w:val="1B2E54F3"/>
    <w:rsid w:val="1B394690"/>
    <w:rsid w:val="1B3A6187"/>
    <w:rsid w:val="1B3B0883"/>
    <w:rsid w:val="1B4963BB"/>
    <w:rsid w:val="1B52276E"/>
    <w:rsid w:val="1B5379B6"/>
    <w:rsid w:val="1B547E46"/>
    <w:rsid w:val="1B5702C3"/>
    <w:rsid w:val="1B5D5130"/>
    <w:rsid w:val="1B5F254F"/>
    <w:rsid w:val="1B653694"/>
    <w:rsid w:val="1B69499A"/>
    <w:rsid w:val="1B6B6601"/>
    <w:rsid w:val="1B711CFF"/>
    <w:rsid w:val="1B7E4B20"/>
    <w:rsid w:val="1B8710CF"/>
    <w:rsid w:val="1B880745"/>
    <w:rsid w:val="1B8D32CC"/>
    <w:rsid w:val="1B8D3DC5"/>
    <w:rsid w:val="1B9E417D"/>
    <w:rsid w:val="1B9F0940"/>
    <w:rsid w:val="1BAB70E1"/>
    <w:rsid w:val="1BB61FF6"/>
    <w:rsid w:val="1BB62908"/>
    <w:rsid w:val="1BB67451"/>
    <w:rsid w:val="1BBB3937"/>
    <w:rsid w:val="1BC851F7"/>
    <w:rsid w:val="1BCF4B66"/>
    <w:rsid w:val="1BDC2FB5"/>
    <w:rsid w:val="1BEE78B7"/>
    <w:rsid w:val="1BF86234"/>
    <w:rsid w:val="1BFF2296"/>
    <w:rsid w:val="1C013250"/>
    <w:rsid w:val="1C073C2F"/>
    <w:rsid w:val="1C0D0988"/>
    <w:rsid w:val="1C13069C"/>
    <w:rsid w:val="1C1652CC"/>
    <w:rsid w:val="1C1E2F2B"/>
    <w:rsid w:val="1C1E2FDD"/>
    <w:rsid w:val="1C1E5C8E"/>
    <w:rsid w:val="1C1F055E"/>
    <w:rsid w:val="1C223515"/>
    <w:rsid w:val="1C2B3DC2"/>
    <w:rsid w:val="1C344E5A"/>
    <w:rsid w:val="1C384923"/>
    <w:rsid w:val="1C3A09A5"/>
    <w:rsid w:val="1C3B25CC"/>
    <w:rsid w:val="1C3E383B"/>
    <w:rsid w:val="1C4172A8"/>
    <w:rsid w:val="1C4955C7"/>
    <w:rsid w:val="1C584D2F"/>
    <w:rsid w:val="1C591162"/>
    <w:rsid w:val="1C5D15AA"/>
    <w:rsid w:val="1C5E18AD"/>
    <w:rsid w:val="1C624B81"/>
    <w:rsid w:val="1C683B21"/>
    <w:rsid w:val="1C6A3E3A"/>
    <w:rsid w:val="1C6C1272"/>
    <w:rsid w:val="1C8D604F"/>
    <w:rsid w:val="1C8E4360"/>
    <w:rsid w:val="1C8F62B2"/>
    <w:rsid w:val="1C95237C"/>
    <w:rsid w:val="1C954671"/>
    <w:rsid w:val="1C955DE3"/>
    <w:rsid w:val="1C9E31E0"/>
    <w:rsid w:val="1CA92F83"/>
    <w:rsid w:val="1CB23530"/>
    <w:rsid w:val="1CBC331C"/>
    <w:rsid w:val="1CC27677"/>
    <w:rsid w:val="1CCE1300"/>
    <w:rsid w:val="1CCE46DB"/>
    <w:rsid w:val="1CD3350E"/>
    <w:rsid w:val="1CD35B90"/>
    <w:rsid w:val="1CE21866"/>
    <w:rsid w:val="1CE242A8"/>
    <w:rsid w:val="1CE5003D"/>
    <w:rsid w:val="1CF905BE"/>
    <w:rsid w:val="1CFA302B"/>
    <w:rsid w:val="1CFD7794"/>
    <w:rsid w:val="1D0B6C58"/>
    <w:rsid w:val="1D15779E"/>
    <w:rsid w:val="1D16563A"/>
    <w:rsid w:val="1D1A7363"/>
    <w:rsid w:val="1D237D0F"/>
    <w:rsid w:val="1D3F5564"/>
    <w:rsid w:val="1D572F60"/>
    <w:rsid w:val="1D5E1955"/>
    <w:rsid w:val="1D616565"/>
    <w:rsid w:val="1D635292"/>
    <w:rsid w:val="1D67061F"/>
    <w:rsid w:val="1D6A5FE5"/>
    <w:rsid w:val="1D6F58E1"/>
    <w:rsid w:val="1D6F59CB"/>
    <w:rsid w:val="1D721314"/>
    <w:rsid w:val="1D7A1E1B"/>
    <w:rsid w:val="1D807235"/>
    <w:rsid w:val="1D825174"/>
    <w:rsid w:val="1D833500"/>
    <w:rsid w:val="1D891011"/>
    <w:rsid w:val="1D8B3C73"/>
    <w:rsid w:val="1D8C6129"/>
    <w:rsid w:val="1D984A40"/>
    <w:rsid w:val="1D9974DF"/>
    <w:rsid w:val="1DA5605C"/>
    <w:rsid w:val="1DA72940"/>
    <w:rsid w:val="1DA93C99"/>
    <w:rsid w:val="1DB07B85"/>
    <w:rsid w:val="1DB12B16"/>
    <w:rsid w:val="1DB20F45"/>
    <w:rsid w:val="1DB47B17"/>
    <w:rsid w:val="1DBA67BE"/>
    <w:rsid w:val="1DC07DC2"/>
    <w:rsid w:val="1DCE6329"/>
    <w:rsid w:val="1DD66821"/>
    <w:rsid w:val="1DE20BFA"/>
    <w:rsid w:val="1DF551A9"/>
    <w:rsid w:val="1DF971A7"/>
    <w:rsid w:val="1E071372"/>
    <w:rsid w:val="1E08509D"/>
    <w:rsid w:val="1E1359D6"/>
    <w:rsid w:val="1E142AF7"/>
    <w:rsid w:val="1E1A3D6A"/>
    <w:rsid w:val="1E23771F"/>
    <w:rsid w:val="1E2F6888"/>
    <w:rsid w:val="1E390C81"/>
    <w:rsid w:val="1E3D6FF5"/>
    <w:rsid w:val="1E401E36"/>
    <w:rsid w:val="1E4F2DE3"/>
    <w:rsid w:val="1E526B1A"/>
    <w:rsid w:val="1E602747"/>
    <w:rsid w:val="1E631B5F"/>
    <w:rsid w:val="1E6F5CF0"/>
    <w:rsid w:val="1E732E86"/>
    <w:rsid w:val="1E7960D4"/>
    <w:rsid w:val="1E7E4BE3"/>
    <w:rsid w:val="1E7F40DE"/>
    <w:rsid w:val="1E816E99"/>
    <w:rsid w:val="1E820607"/>
    <w:rsid w:val="1E895A47"/>
    <w:rsid w:val="1E8D0090"/>
    <w:rsid w:val="1E8F14DD"/>
    <w:rsid w:val="1E8F2A96"/>
    <w:rsid w:val="1E8F7AE1"/>
    <w:rsid w:val="1E9C4093"/>
    <w:rsid w:val="1E9F14E5"/>
    <w:rsid w:val="1EA21CCB"/>
    <w:rsid w:val="1EA60E09"/>
    <w:rsid w:val="1EA66476"/>
    <w:rsid w:val="1EA773CB"/>
    <w:rsid w:val="1EA83F38"/>
    <w:rsid w:val="1EA84E80"/>
    <w:rsid w:val="1EB57231"/>
    <w:rsid w:val="1EB77ECA"/>
    <w:rsid w:val="1EB81332"/>
    <w:rsid w:val="1EC26A52"/>
    <w:rsid w:val="1EC462BC"/>
    <w:rsid w:val="1EDD259B"/>
    <w:rsid w:val="1EDF4FD4"/>
    <w:rsid w:val="1EE22BC0"/>
    <w:rsid w:val="1EE47AFA"/>
    <w:rsid w:val="1EE5427C"/>
    <w:rsid w:val="1EE66F42"/>
    <w:rsid w:val="1EE960B6"/>
    <w:rsid w:val="1EEF2091"/>
    <w:rsid w:val="1EF125E9"/>
    <w:rsid w:val="1EF16631"/>
    <w:rsid w:val="1EF51ED2"/>
    <w:rsid w:val="1EF6230F"/>
    <w:rsid w:val="1EF664E4"/>
    <w:rsid w:val="1F0950E6"/>
    <w:rsid w:val="1F0D4919"/>
    <w:rsid w:val="1F1343EC"/>
    <w:rsid w:val="1F160F0F"/>
    <w:rsid w:val="1F1C61F5"/>
    <w:rsid w:val="1F333DA5"/>
    <w:rsid w:val="1F3E0F33"/>
    <w:rsid w:val="1F5840AC"/>
    <w:rsid w:val="1F590AF0"/>
    <w:rsid w:val="1F5B26FC"/>
    <w:rsid w:val="1F6473C7"/>
    <w:rsid w:val="1F647574"/>
    <w:rsid w:val="1F6814DF"/>
    <w:rsid w:val="1F6928FE"/>
    <w:rsid w:val="1F752E36"/>
    <w:rsid w:val="1F7F53A8"/>
    <w:rsid w:val="1F861F75"/>
    <w:rsid w:val="1F8645BB"/>
    <w:rsid w:val="1F867947"/>
    <w:rsid w:val="1F875C41"/>
    <w:rsid w:val="1F8A1920"/>
    <w:rsid w:val="1F8A2D43"/>
    <w:rsid w:val="1F8D48FC"/>
    <w:rsid w:val="1F8E03AA"/>
    <w:rsid w:val="1F914789"/>
    <w:rsid w:val="1F9424F4"/>
    <w:rsid w:val="1F9C2709"/>
    <w:rsid w:val="1FA76878"/>
    <w:rsid w:val="1FAB17A5"/>
    <w:rsid w:val="1FAD1375"/>
    <w:rsid w:val="1FB069C8"/>
    <w:rsid w:val="1FB069EF"/>
    <w:rsid w:val="1FB244F4"/>
    <w:rsid w:val="1FB77EE6"/>
    <w:rsid w:val="1FBB00B8"/>
    <w:rsid w:val="1FC00326"/>
    <w:rsid w:val="1FC90F77"/>
    <w:rsid w:val="1FCF5310"/>
    <w:rsid w:val="1FD5629F"/>
    <w:rsid w:val="1FD86FBA"/>
    <w:rsid w:val="1FD95AC5"/>
    <w:rsid w:val="1FE011B2"/>
    <w:rsid w:val="1FE135C5"/>
    <w:rsid w:val="1FE773A7"/>
    <w:rsid w:val="1FE94DA6"/>
    <w:rsid w:val="1FF07987"/>
    <w:rsid w:val="1FF311A4"/>
    <w:rsid w:val="1FF66A02"/>
    <w:rsid w:val="1FFB634B"/>
    <w:rsid w:val="1FFD7BEC"/>
    <w:rsid w:val="20112421"/>
    <w:rsid w:val="20165335"/>
    <w:rsid w:val="201A41B3"/>
    <w:rsid w:val="201E69FD"/>
    <w:rsid w:val="2022488B"/>
    <w:rsid w:val="203077A7"/>
    <w:rsid w:val="204C4C93"/>
    <w:rsid w:val="20523479"/>
    <w:rsid w:val="20530741"/>
    <w:rsid w:val="205A4D11"/>
    <w:rsid w:val="206B2A01"/>
    <w:rsid w:val="207878CF"/>
    <w:rsid w:val="207A6F17"/>
    <w:rsid w:val="207D55DC"/>
    <w:rsid w:val="208771CF"/>
    <w:rsid w:val="2099478B"/>
    <w:rsid w:val="209B36A4"/>
    <w:rsid w:val="20A05276"/>
    <w:rsid w:val="20AB0407"/>
    <w:rsid w:val="20AE7584"/>
    <w:rsid w:val="20B26752"/>
    <w:rsid w:val="20BC34A6"/>
    <w:rsid w:val="20C03C6E"/>
    <w:rsid w:val="20C21C4E"/>
    <w:rsid w:val="20CE58F9"/>
    <w:rsid w:val="20D0063A"/>
    <w:rsid w:val="20D0618F"/>
    <w:rsid w:val="20D533B8"/>
    <w:rsid w:val="20DA12D5"/>
    <w:rsid w:val="20DF3A5F"/>
    <w:rsid w:val="20E25908"/>
    <w:rsid w:val="20F206B3"/>
    <w:rsid w:val="20F239F2"/>
    <w:rsid w:val="20F87C39"/>
    <w:rsid w:val="2107575D"/>
    <w:rsid w:val="210F4BB2"/>
    <w:rsid w:val="211D29CB"/>
    <w:rsid w:val="211E6E37"/>
    <w:rsid w:val="211F257F"/>
    <w:rsid w:val="21241B73"/>
    <w:rsid w:val="2131546C"/>
    <w:rsid w:val="21402C85"/>
    <w:rsid w:val="214C67B1"/>
    <w:rsid w:val="21533499"/>
    <w:rsid w:val="2156057C"/>
    <w:rsid w:val="2156176B"/>
    <w:rsid w:val="2165622F"/>
    <w:rsid w:val="21764423"/>
    <w:rsid w:val="217740DB"/>
    <w:rsid w:val="217C00BB"/>
    <w:rsid w:val="21814450"/>
    <w:rsid w:val="21833B32"/>
    <w:rsid w:val="218667A4"/>
    <w:rsid w:val="218B4DE7"/>
    <w:rsid w:val="218C261B"/>
    <w:rsid w:val="218D21A0"/>
    <w:rsid w:val="219254B5"/>
    <w:rsid w:val="21991A85"/>
    <w:rsid w:val="219A4171"/>
    <w:rsid w:val="219C75A9"/>
    <w:rsid w:val="21A21764"/>
    <w:rsid w:val="21AD1A5F"/>
    <w:rsid w:val="21AE2232"/>
    <w:rsid w:val="21B608E8"/>
    <w:rsid w:val="21C56FD3"/>
    <w:rsid w:val="21CE7479"/>
    <w:rsid w:val="21DB2445"/>
    <w:rsid w:val="21E34627"/>
    <w:rsid w:val="21F13EA7"/>
    <w:rsid w:val="21F23D35"/>
    <w:rsid w:val="21F75A5A"/>
    <w:rsid w:val="21FB46A5"/>
    <w:rsid w:val="21FC1FD2"/>
    <w:rsid w:val="220969CD"/>
    <w:rsid w:val="220A6BCC"/>
    <w:rsid w:val="2210147E"/>
    <w:rsid w:val="221278DE"/>
    <w:rsid w:val="2218410D"/>
    <w:rsid w:val="222141E6"/>
    <w:rsid w:val="22236F35"/>
    <w:rsid w:val="22262964"/>
    <w:rsid w:val="222D7B2B"/>
    <w:rsid w:val="22326DD1"/>
    <w:rsid w:val="22392964"/>
    <w:rsid w:val="223C5B4A"/>
    <w:rsid w:val="224327D6"/>
    <w:rsid w:val="224512B5"/>
    <w:rsid w:val="224B43D6"/>
    <w:rsid w:val="224C4EAF"/>
    <w:rsid w:val="224E207B"/>
    <w:rsid w:val="22533628"/>
    <w:rsid w:val="22534886"/>
    <w:rsid w:val="2256351C"/>
    <w:rsid w:val="22563676"/>
    <w:rsid w:val="225F5F8A"/>
    <w:rsid w:val="226357D4"/>
    <w:rsid w:val="2264098C"/>
    <w:rsid w:val="227B2A15"/>
    <w:rsid w:val="227D4231"/>
    <w:rsid w:val="227F55AF"/>
    <w:rsid w:val="228C2C51"/>
    <w:rsid w:val="228D3F01"/>
    <w:rsid w:val="228F5E96"/>
    <w:rsid w:val="229140C1"/>
    <w:rsid w:val="2293406B"/>
    <w:rsid w:val="22A03DAF"/>
    <w:rsid w:val="22A71B36"/>
    <w:rsid w:val="22AC04B1"/>
    <w:rsid w:val="22AC1AA7"/>
    <w:rsid w:val="22B04515"/>
    <w:rsid w:val="22B645DE"/>
    <w:rsid w:val="22C247C3"/>
    <w:rsid w:val="22C42A16"/>
    <w:rsid w:val="22C465B6"/>
    <w:rsid w:val="22C947FA"/>
    <w:rsid w:val="22CB2747"/>
    <w:rsid w:val="22D525AD"/>
    <w:rsid w:val="22D775C4"/>
    <w:rsid w:val="22E254DA"/>
    <w:rsid w:val="22E26F9D"/>
    <w:rsid w:val="22E77B0A"/>
    <w:rsid w:val="22E847C6"/>
    <w:rsid w:val="22EC1B5B"/>
    <w:rsid w:val="22EE0DBC"/>
    <w:rsid w:val="22F25C43"/>
    <w:rsid w:val="22FB4EEB"/>
    <w:rsid w:val="22FC2180"/>
    <w:rsid w:val="22FD6370"/>
    <w:rsid w:val="231C70C5"/>
    <w:rsid w:val="231D015B"/>
    <w:rsid w:val="23224A33"/>
    <w:rsid w:val="23226460"/>
    <w:rsid w:val="23241261"/>
    <w:rsid w:val="23277783"/>
    <w:rsid w:val="233D1620"/>
    <w:rsid w:val="23421E76"/>
    <w:rsid w:val="23446320"/>
    <w:rsid w:val="23474C3B"/>
    <w:rsid w:val="234A586E"/>
    <w:rsid w:val="234E3EE7"/>
    <w:rsid w:val="23506672"/>
    <w:rsid w:val="23511F7D"/>
    <w:rsid w:val="23517870"/>
    <w:rsid w:val="23550FCE"/>
    <w:rsid w:val="235939EE"/>
    <w:rsid w:val="236C0FC6"/>
    <w:rsid w:val="2376486E"/>
    <w:rsid w:val="237A00C6"/>
    <w:rsid w:val="237A09A0"/>
    <w:rsid w:val="237A2802"/>
    <w:rsid w:val="237C4926"/>
    <w:rsid w:val="2380532C"/>
    <w:rsid w:val="238919EF"/>
    <w:rsid w:val="238A6353"/>
    <w:rsid w:val="238C0233"/>
    <w:rsid w:val="238C22B6"/>
    <w:rsid w:val="2399267D"/>
    <w:rsid w:val="23A02444"/>
    <w:rsid w:val="23A079E1"/>
    <w:rsid w:val="23A7758E"/>
    <w:rsid w:val="23BF5622"/>
    <w:rsid w:val="23C35F05"/>
    <w:rsid w:val="23C53632"/>
    <w:rsid w:val="23D57CDC"/>
    <w:rsid w:val="23D7763F"/>
    <w:rsid w:val="23D92EE7"/>
    <w:rsid w:val="23EC1989"/>
    <w:rsid w:val="23F06FC9"/>
    <w:rsid w:val="23F55FB8"/>
    <w:rsid w:val="23FB21C7"/>
    <w:rsid w:val="23FF2595"/>
    <w:rsid w:val="240415AD"/>
    <w:rsid w:val="24056C8F"/>
    <w:rsid w:val="24081039"/>
    <w:rsid w:val="24081AFB"/>
    <w:rsid w:val="240F213A"/>
    <w:rsid w:val="240F75AE"/>
    <w:rsid w:val="2412396C"/>
    <w:rsid w:val="2412597E"/>
    <w:rsid w:val="24126031"/>
    <w:rsid w:val="241274DE"/>
    <w:rsid w:val="241300AA"/>
    <w:rsid w:val="24152CE2"/>
    <w:rsid w:val="241E2875"/>
    <w:rsid w:val="242B532B"/>
    <w:rsid w:val="242C047C"/>
    <w:rsid w:val="242F5033"/>
    <w:rsid w:val="243658D2"/>
    <w:rsid w:val="243E58E4"/>
    <w:rsid w:val="24471AEC"/>
    <w:rsid w:val="244D241D"/>
    <w:rsid w:val="24506D61"/>
    <w:rsid w:val="24515179"/>
    <w:rsid w:val="24553D98"/>
    <w:rsid w:val="245E646C"/>
    <w:rsid w:val="245F584B"/>
    <w:rsid w:val="24690FE2"/>
    <w:rsid w:val="246922D5"/>
    <w:rsid w:val="246A5417"/>
    <w:rsid w:val="246B326C"/>
    <w:rsid w:val="246C4A1C"/>
    <w:rsid w:val="24760BE5"/>
    <w:rsid w:val="248248DF"/>
    <w:rsid w:val="248B3774"/>
    <w:rsid w:val="24954ECB"/>
    <w:rsid w:val="249A2536"/>
    <w:rsid w:val="249B523E"/>
    <w:rsid w:val="24A74E66"/>
    <w:rsid w:val="24AA31A6"/>
    <w:rsid w:val="24AC2BD3"/>
    <w:rsid w:val="24B31EB5"/>
    <w:rsid w:val="24B35A3E"/>
    <w:rsid w:val="24BC2356"/>
    <w:rsid w:val="24C0681A"/>
    <w:rsid w:val="24C8659E"/>
    <w:rsid w:val="24DB492F"/>
    <w:rsid w:val="24DB7085"/>
    <w:rsid w:val="24E654CB"/>
    <w:rsid w:val="24E7622B"/>
    <w:rsid w:val="24E84F0E"/>
    <w:rsid w:val="24EB206E"/>
    <w:rsid w:val="24FA0D56"/>
    <w:rsid w:val="24FC40A2"/>
    <w:rsid w:val="24FE53E6"/>
    <w:rsid w:val="25047AB4"/>
    <w:rsid w:val="2509532F"/>
    <w:rsid w:val="250C12C4"/>
    <w:rsid w:val="251976C2"/>
    <w:rsid w:val="25216958"/>
    <w:rsid w:val="2523010F"/>
    <w:rsid w:val="25272C94"/>
    <w:rsid w:val="25290D4F"/>
    <w:rsid w:val="252A40A3"/>
    <w:rsid w:val="252D1BD8"/>
    <w:rsid w:val="252D7707"/>
    <w:rsid w:val="253066C6"/>
    <w:rsid w:val="253A2193"/>
    <w:rsid w:val="253B1C85"/>
    <w:rsid w:val="253C33DC"/>
    <w:rsid w:val="253D2136"/>
    <w:rsid w:val="25417E1C"/>
    <w:rsid w:val="25716A27"/>
    <w:rsid w:val="25726B12"/>
    <w:rsid w:val="2573030B"/>
    <w:rsid w:val="2580196F"/>
    <w:rsid w:val="25860EB9"/>
    <w:rsid w:val="2589028E"/>
    <w:rsid w:val="258B5F84"/>
    <w:rsid w:val="258F7246"/>
    <w:rsid w:val="25A228AF"/>
    <w:rsid w:val="25A7385A"/>
    <w:rsid w:val="25AA1F81"/>
    <w:rsid w:val="25AA489D"/>
    <w:rsid w:val="25AD64E1"/>
    <w:rsid w:val="25AE34EF"/>
    <w:rsid w:val="25B324A6"/>
    <w:rsid w:val="25B8285E"/>
    <w:rsid w:val="25BA413C"/>
    <w:rsid w:val="25C228B0"/>
    <w:rsid w:val="25CD3691"/>
    <w:rsid w:val="25D2168A"/>
    <w:rsid w:val="25D2790B"/>
    <w:rsid w:val="25D36D40"/>
    <w:rsid w:val="25E05FDE"/>
    <w:rsid w:val="25EE6BA9"/>
    <w:rsid w:val="25F13EA5"/>
    <w:rsid w:val="25FE78C0"/>
    <w:rsid w:val="2603152F"/>
    <w:rsid w:val="260E08EB"/>
    <w:rsid w:val="26102F72"/>
    <w:rsid w:val="2611402C"/>
    <w:rsid w:val="26142636"/>
    <w:rsid w:val="261F65B2"/>
    <w:rsid w:val="26242A74"/>
    <w:rsid w:val="26297923"/>
    <w:rsid w:val="262D3502"/>
    <w:rsid w:val="262E689A"/>
    <w:rsid w:val="263253AD"/>
    <w:rsid w:val="2641456A"/>
    <w:rsid w:val="26454DD8"/>
    <w:rsid w:val="264705AD"/>
    <w:rsid w:val="264A3F60"/>
    <w:rsid w:val="264A7772"/>
    <w:rsid w:val="265910DE"/>
    <w:rsid w:val="265F57C1"/>
    <w:rsid w:val="26674E42"/>
    <w:rsid w:val="26684077"/>
    <w:rsid w:val="26745148"/>
    <w:rsid w:val="267468BD"/>
    <w:rsid w:val="267623E1"/>
    <w:rsid w:val="26763FD5"/>
    <w:rsid w:val="2678347B"/>
    <w:rsid w:val="26820608"/>
    <w:rsid w:val="26824415"/>
    <w:rsid w:val="2684770D"/>
    <w:rsid w:val="26873C81"/>
    <w:rsid w:val="26892E84"/>
    <w:rsid w:val="26A47FA4"/>
    <w:rsid w:val="26AB7A0A"/>
    <w:rsid w:val="26B117F3"/>
    <w:rsid w:val="26B267A0"/>
    <w:rsid w:val="26B404BB"/>
    <w:rsid w:val="26B4322A"/>
    <w:rsid w:val="26B43AD7"/>
    <w:rsid w:val="26B729BB"/>
    <w:rsid w:val="26BB5E25"/>
    <w:rsid w:val="26C33965"/>
    <w:rsid w:val="26C35606"/>
    <w:rsid w:val="26C674C4"/>
    <w:rsid w:val="26CF7BF3"/>
    <w:rsid w:val="26D059A8"/>
    <w:rsid w:val="26D065C8"/>
    <w:rsid w:val="26D35FDB"/>
    <w:rsid w:val="26DF1931"/>
    <w:rsid w:val="26E46C3D"/>
    <w:rsid w:val="26F1096B"/>
    <w:rsid w:val="26F4106B"/>
    <w:rsid w:val="26F7544F"/>
    <w:rsid w:val="26FA2E94"/>
    <w:rsid w:val="26FC0E88"/>
    <w:rsid w:val="26FC7E6A"/>
    <w:rsid w:val="270D5FE3"/>
    <w:rsid w:val="271200D6"/>
    <w:rsid w:val="271F66AE"/>
    <w:rsid w:val="271F7D9C"/>
    <w:rsid w:val="272E1E59"/>
    <w:rsid w:val="27344A47"/>
    <w:rsid w:val="27344E50"/>
    <w:rsid w:val="2736075E"/>
    <w:rsid w:val="273E669D"/>
    <w:rsid w:val="27413C5E"/>
    <w:rsid w:val="27492822"/>
    <w:rsid w:val="274D52B8"/>
    <w:rsid w:val="27545B6C"/>
    <w:rsid w:val="27580470"/>
    <w:rsid w:val="27586F4B"/>
    <w:rsid w:val="275E2684"/>
    <w:rsid w:val="27617021"/>
    <w:rsid w:val="276F194D"/>
    <w:rsid w:val="277204C9"/>
    <w:rsid w:val="277411C9"/>
    <w:rsid w:val="277E2793"/>
    <w:rsid w:val="278070AB"/>
    <w:rsid w:val="278310A3"/>
    <w:rsid w:val="2784691E"/>
    <w:rsid w:val="278911FC"/>
    <w:rsid w:val="278A734F"/>
    <w:rsid w:val="278E3341"/>
    <w:rsid w:val="27933318"/>
    <w:rsid w:val="27960088"/>
    <w:rsid w:val="279839BB"/>
    <w:rsid w:val="27987CDC"/>
    <w:rsid w:val="279E7B79"/>
    <w:rsid w:val="27BF1080"/>
    <w:rsid w:val="27C12919"/>
    <w:rsid w:val="27C30745"/>
    <w:rsid w:val="27CC398B"/>
    <w:rsid w:val="27D03801"/>
    <w:rsid w:val="27D1150E"/>
    <w:rsid w:val="27D13A5F"/>
    <w:rsid w:val="27D27B3B"/>
    <w:rsid w:val="27DF5E9B"/>
    <w:rsid w:val="27E775DD"/>
    <w:rsid w:val="27E811CD"/>
    <w:rsid w:val="27F21DB7"/>
    <w:rsid w:val="27F935FE"/>
    <w:rsid w:val="27FC415F"/>
    <w:rsid w:val="28061E82"/>
    <w:rsid w:val="28074E64"/>
    <w:rsid w:val="280A2974"/>
    <w:rsid w:val="280C1227"/>
    <w:rsid w:val="280C603A"/>
    <w:rsid w:val="2816565D"/>
    <w:rsid w:val="281704C4"/>
    <w:rsid w:val="28177EE6"/>
    <w:rsid w:val="28293221"/>
    <w:rsid w:val="28295C55"/>
    <w:rsid w:val="283B7F4B"/>
    <w:rsid w:val="283F493F"/>
    <w:rsid w:val="28416E81"/>
    <w:rsid w:val="28470119"/>
    <w:rsid w:val="28556E24"/>
    <w:rsid w:val="285764C2"/>
    <w:rsid w:val="28657D71"/>
    <w:rsid w:val="286A0FDD"/>
    <w:rsid w:val="286B1362"/>
    <w:rsid w:val="286D1348"/>
    <w:rsid w:val="2873321A"/>
    <w:rsid w:val="2874211C"/>
    <w:rsid w:val="287800B2"/>
    <w:rsid w:val="28830A1E"/>
    <w:rsid w:val="28891AB0"/>
    <w:rsid w:val="288E1EBB"/>
    <w:rsid w:val="28981D73"/>
    <w:rsid w:val="289E4B8D"/>
    <w:rsid w:val="28B9797A"/>
    <w:rsid w:val="28C14613"/>
    <w:rsid w:val="28C15518"/>
    <w:rsid w:val="28C2277D"/>
    <w:rsid w:val="28D04824"/>
    <w:rsid w:val="28D2664F"/>
    <w:rsid w:val="28E518E1"/>
    <w:rsid w:val="28E746BF"/>
    <w:rsid w:val="28F03FF1"/>
    <w:rsid w:val="290430A3"/>
    <w:rsid w:val="29061E5C"/>
    <w:rsid w:val="2906453A"/>
    <w:rsid w:val="2908103E"/>
    <w:rsid w:val="29087D1A"/>
    <w:rsid w:val="29121DA9"/>
    <w:rsid w:val="29130E07"/>
    <w:rsid w:val="291C35A5"/>
    <w:rsid w:val="292058D5"/>
    <w:rsid w:val="292B4FF1"/>
    <w:rsid w:val="292B5FE6"/>
    <w:rsid w:val="292B7D69"/>
    <w:rsid w:val="29323C92"/>
    <w:rsid w:val="2933596C"/>
    <w:rsid w:val="29336BEF"/>
    <w:rsid w:val="29386EB9"/>
    <w:rsid w:val="29565FD1"/>
    <w:rsid w:val="296263E7"/>
    <w:rsid w:val="2962771B"/>
    <w:rsid w:val="296368FE"/>
    <w:rsid w:val="2964001C"/>
    <w:rsid w:val="29640A9A"/>
    <w:rsid w:val="296667EC"/>
    <w:rsid w:val="296C6FFA"/>
    <w:rsid w:val="296E0DE0"/>
    <w:rsid w:val="2973283D"/>
    <w:rsid w:val="297B507F"/>
    <w:rsid w:val="29823F7B"/>
    <w:rsid w:val="298335EF"/>
    <w:rsid w:val="2991054F"/>
    <w:rsid w:val="299762DC"/>
    <w:rsid w:val="29BC6FAA"/>
    <w:rsid w:val="29BC7AD1"/>
    <w:rsid w:val="29BF5EC9"/>
    <w:rsid w:val="29BF66E5"/>
    <w:rsid w:val="29C07E04"/>
    <w:rsid w:val="29C52521"/>
    <w:rsid w:val="29C835ED"/>
    <w:rsid w:val="29CA7858"/>
    <w:rsid w:val="29CB08B6"/>
    <w:rsid w:val="29CB5A1C"/>
    <w:rsid w:val="29D17E8A"/>
    <w:rsid w:val="29D31824"/>
    <w:rsid w:val="29D51567"/>
    <w:rsid w:val="29D94AFD"/>
    <w:rsid w:val="29DA1CB1"/>
    <w:rsid w:val="29DE3173"/>
    <w:rsid w:val="29E75CCE"/>
    <w:rsid w:val="29EA4E04"/>
    <w:rsid w:val="29F21290"/>
    <w:rsid w:val="29FA57E4"/>
    <w:rsid w:val="2A02167E"/>
    <w:rsid w:val="2A093FA2"/>
    <w:rsid w:val="2A174735"/>
    <w:rsid w:val="2A2753AF"/>
    <w:rsid w:val="2A2F0C96"/>
    <w:rsid w:val="2A2F461A"/>
    <w:rsid w:val="2A32384B"/>
    <w:rsid w:val="2A397218"/>
    <w:rsid w:val="2A3B0D9E"/>
    <w:rsid w:val="2A3F78ED"/>
    <w:rsid w:val="2A425C0E"/>
    <w:rsid w:val="2A470F78"/>
    <w:rsid w:val="2A486557"/>
    <w:rsid w:val="2A4A315E"/>
    <w:rsid w:val="2A500635"/>
    <w:rsid w:val="2A53704B"/>
    <w:rsid w:val="2A5C18BD"/>
    <w:rsid w:val="2A5F2E64"/>
    <w:rsid w:val="2A5F3A86"/>
    <w:rsid w:val="2A692973"/>
    <w:rsid w:val="2A704C11"/>
    <w:rsid w:val="2A7218F7"/>
    <w:rsid w:val="2A7921D9"/>
    <w:rsid w:val="2A79672D"/>
    <w:rsid w:val="2A7B7E71"/>
    <w:rsid w:val="2A7E22CF"/>
    <w:rsid w:val="2A804740"/>
    <w:rsid w:val="2A812AA1"/>
    <w:rsid w:val="2A832BB7"/>
    <w:rsid w:val="2A837A4E"/>
    <w:rsid w:val="2A847B3A"/>
    <w:rsid w:val="2A853248"/>
    <w:rsid w:val="2A98232F"/>
    <w:rsid w:val="2AAA5489"/>
    <w:rsid w:val="2AB32EDC"/>
    <w:rsid w:val="2ABA7524"/>
    <w:rsid w:val="2AC546BA"/>
    <w:rsid w:val="2AC7201F"/>
    <w:rsid w:val="2AD24074"/>
    <w:rsid w:val="2AD31E98"/>
    <w:rsid w:val="2AD62900"/>
    <w:rsid w:val="2AD8643F"/>
    <w:rsid w:val="2AE21060"/>
    <w:rsid w:val="2AE43E29"/>
    <w:rsid w:val="2AE65261"/>
    <w:rsid w:val="2AE672E2"/>
    <w:rsid w:val="2AEB107C"/>
    <w:rsid w:val="2AEE27F6"/>
    <w:rsid w:val="2AEE51FD"/>
    <w:rsid w:val="2B0017F0"/>
    <w:rsid w:val="2B12306D"/>
    <w:rsid w:val="2B141AB9"/>
    <w:rsid w:val="2B166362"/>
    <w:rsid w:val="2B1A0314"/>
    <w:rsid w:val="2B1E2C76"/>
    <w:rsid w:val="2B1E51EB"/>
    <w:rsid w:val="2B246ABC"/>
    <w:rsid w:val="2B261E09"/>
    <w:rsid w:val="2B3357BD"/>
    <w:rsid w:val="2B362FDF"/>
    <w:rsid w:val="2B3B6326"/>
    <w:rsid w:val="2B4018ED"/>
    <w:rsid w:val="2B56194F"/>
    <w:rsid w:val="2B5E1717"/>
    <w:rsid w:val="2B5E1C79"/>
    <w:rsid w:val="2B623919"/>
    <w:rsid w:val="2B637465"/>
    <w:rsid w:val="2B671849"/>
    <w:rsid w:val="2B680DA6"/>
    <w:rsid w:val="2B7005BE"/>
    <w:rsid w:val="2B726D87"/>
    <w:rsid w:val="2B770353"/>
    <w:rsid w:val="2B7A31CA"/>
    <w:rsid w:val="2B7B1B92"/>
    <w:rsid w:val="2B865270"/>
    <w:rsid w:val="2B8750AD"/>
    <w:rsid w:val="2B926253"/>
    <w:rsid w:val="2B9511F4"/>
    <w:rsid w:val="2B9D1F33"/>
    <w:rsid w:val="2B9D2537"/>
    <w:rsid w:val="2BA07136"/>
    <w:rsid w:val="2BA53154"/>
    <w:rsid w:val="2BA544BA"/>
    <w:rsid w:val="2BAD5D15"/>
    <w:rsid w:val="2BAF5A9B"/>
    <w:rsid w:val="2BC534E1"/>
    <w:rsid w:val="2BC93C9D"/>
    <w:rsid w:val="2BC93FED"/>
    <w:rsid w:val="2BD242F4"/>
    <w:rsid w:val="2BD463AB"/>
    <w:rsid w:val="2BD53829"/>
    <w:rsid w:val="2BDB7D8D"/>
    <w:rsid w:val="2BDC28E2"/>
    <w:rsid w:val="2BDD7C6F"/>
    <w:rsid w:val="2BDE4D1C"/>
    <w:rsid w:val="2BE35F70"/>
    <w:rsid w:val="2BEA4AD6"/>
    <w:rsid w:val="2BED5001"/>
    <w:rsid w:val="2BF9704E"/>
    <w:rsid w:val="2BFB32BA"/>
    <w:rsid w:val="2C075222"/>
    <w:rsid w:val="2C076BB9"/>
    <w:rsid w:val="2C100458"/>
    <w:rsid w:val="2C130E3E"/>
    <w:rsid w:val="2C1369DF"/>
    <w:rsid w:val="2C1401E0"/>
    <w:rsid w:val="2C1477FF"/>
    <w:rsid w:val="2C150E88"/>
    <w:rsid w:val="2C153600"/>
    <w:rsid w:val="2C160E38"/>
    <w:rsid w:val="2C1B7DCC"/>
    <w:rsid w:val="2C2470AE"/>
    <w:rsid w:val="2C273819"/>
    <w:rsid w:val="2C277916"/>
    <w:rsid w:val="2C2C0DD4"/>
    <w:rsid w:val="2C3764D6"/>
    <w:rsid w:val="2C45179B"/>
    <w:rsid w:val="2C4F3D32"/>
    <w:rsid w:val="2C5B7A14"/>
    <w:rsid w:val="2C6E28EB"/>
    <w:rsid w:val="2C79217F"/>
    <w:rsid w:val="2C7A6704"/>
    <w:rsid w:val="2C7D0233"/>
    <w:rsid w:val="2C8566FB"/>
    <w:rsid w:val="2C8E7517"/>
    <w:rsid w:val="2C907843"/>
    <w:rsid w:val="2C963430"/>
    <w:rsid w:val="2C975403"/>
    <w:rsid w:val="2C9825CA"/>
    <w:rsid w:val="2CA15ADB"/>
    <w:rsid w:val="2CB1379E"/>
    <w:rsid w:val="2CB405A2"/>
    <w:rsid w:val="2CB54850"/>
    <w:rsid w:val="2CB63BA7"/>
    <w:rsid w:val="2CB93462"/>
    <w:rsid w:val="2CBE6649"/>
    <w:rsid w:val="2CC13DED"/>
    <w:rsid w:val="2CC278D8"/>
    <w:rsid w:val="2CC32330"/>
    <w:rsid w:val="2CC41536"/>
    <w:rsid w:val="2CC613ED"/>
    <w:rsid w:val="2CC87C88"/>
    <w:rsid w:val="2CC87FEC"/>
    <w:rsid w:val="2CCF56E9"/>
    <w:rsid w:val="2CD64FC5"/>
    <w:rsid w:val="2CDB5F40"/>
    <w:rsid w:val="2CDC745C"/>
    <w:rsid w:val="2CDE7BC6"/>
    <w:rsid w:val="2CE635E5"/>
    <w:rsid w:val="2CE82A00"/>
    <w:rsid w:val="2CEB6D72"/>
    <w:rsid w:val="2CF07E67"/>
    <w:rsid w:val="2CF7664C"/>
    <w:rsid w:val="2CFC3151"/>
    <w:rsid w:val="2CFF367F"/>
    <w:rsid w:val="2D032F09"/>
    <w:rsid w:val="2D0354FA"/>
    <w:rsid w:val="2D0A51AB"/>
    <w:rsid w:val="2D0F6486"/>
    <w:rsid w:val="2D122D48"/>
    <w:rsid w:val="2D1C371E"/>
    <w:rsid w:val="2D2B68A9"/>
    <w:rsid w:val="2D2D5F4C"/>
    <w:rsid w:val="2D3E4682"/>
    <w:rsid w:val="2D446301"/>
    <w:rsid w:val="2D4606CE"/>
    <w:rsid w:val="2D495A5D"/>
    <w:rsid w:val="2D4B65A2"/>
    <w:rsid w:val="2D553233"/>
    <w:rsid w:val="2D596B25"/>
    <w:rsid w:val="2D5A7A18"/>
    <w:rsid w:val="2D6A3D37"/>
    <w:rsid w:val="2D735C3C"/>
    <w:rsid w:val="2D76334F"/>
    <w:rsid w:val="2D7E761D"/>
    <w:rsid w:val="2D80358A"/>
    <w:rsid w:val="2D825486"/>
    <w:rsid w:val="2D851FB6"/>
    <w:rsid w:val="2D8942CC"/>
    <w:rsid w:val="2D8B2DCA"/>
    <w:rsid w:val="2D8C17B3"/>
    <w:rsid w:val="2D90552D"/>
    <w:rsid w:val="2D9523FD"/>
    <w:rsid w:val="2D962282"/>
    <w:rsid w:val="2D981ACB"/>
    <w:rsid w:val="2DA056B9"/>
    <w:rsid w:val="2DA91F2F"/>
    <w:rsid w:val="2DA9362F"/>
    <w:rsid w:val="2DB36045"/>
    <w:rsid w:val="2DBA79DD"/>
    <w:rsid w:val="2DBD7250"/>
    <w:rsid w:val="2DC26BEF"/>
    <w:rsid w:val="2DC5129E"/>
    <w:rsid w:val="2DC71AC9"/>
    <w:rsid w:val="2DCE3894"/>
    <w:rsid w:val="2DCF3E8C"/>
    <w:rsid w:val="2DDD3F91"/>
    <w:rsid w:val="2DF30A25"/>
    <w:rsid w:val="2E171B3A"/>
    <w:rsid w:val="2E18514B"/>
    <w:rsid w:val="2E262405"/>
    <w:rsid w:val="2E2B22ED"/>
    <w:rsid w:val="2E330B23"/>
    <w:rsid w:val="2E405EC8"/>
    <w:rsid w:val="2E48402E"/>
    <w:rsid w:val="2E4D3D5C"/>
    <w:rsid w:val="2E4E02A0"/>
    <w:rsid w:val="2E5A113B"/>
    <w:rsid w:val="2E5F0A89"/>
    <w:rsid w:val="2E611566"/>
    <w:rsid w:val="2E615D72"/>
    <w:rsid w:val="2E616C2E"/>
    <w:rsid w:val="2E67107E"/>
    <w:rsid w:val="2E6D0B67"/>
    <w:rsid w:val="2E6F7FD9"/>
    <w:rsid w:val="2E7328BA"/>
    <w:rsid w:val="2E7A0596"/>
    <w:rsid w:val="2E7B3F84"/>
    <w:rsid w:val="2EA80259"/>
    <w:rsid w:val="2EAE27DC"/>
    <w:rsid w:val="2EB76AF9"/>
    <w:rsid w:val="2EB850CF"/>
    <w:rsid w:val="2EC2353F"/>
    <w:rsid w:val="2EC57847"/>
    <w:rsid w:val="2EC801AC"/>
    <w:rsid w:val="2ECB184C"/>
    <w:rsid w:val="2ED0011A"/>
    <w:rsid w:val="2ED2595C"/>
    <w:rsid w:val="2EDF5CAC"/>
    <w:rsid w:val="2EE65B21"/>
    <w:rsid w:val="2EEA556B"/>
    <w:rsid w:val="2EEC636B"/>
    <w:rsid w:val="2EEE3A19"/>
    <w:rsid w:val="2EF34845"/>
    <w:rsid w:val="2EFB2848"/>
    <w:rsid w:val="2EFE2C57"/>
    <w:rsid w:val="2EFE6AB8"/>
    <w:rsid w:val="2F100D95"/>
    <w:rsid w:val="2F1A5EEF"/>
    <w:rsid w:val="2F1B1832"/>
    <w:rsid w:val="2F1C4C19"/>
    <w:rsid w:val="2F1D0F50"/>
    <w:rsid w:val="2F20627D"/>
    <w:rsid w:val="2F2717C4"/>
    <w:rsid w:val="2F364DDC"/>
    <w:rsid w:val="2F3D217C"/>
    <w:rsid w:val="2F3E712A"/>
    <w:rsid w:val="2F420C9A"/>
    <w:rsid w:val="2F4369C6"/>
    <w:rsid w:val="2F471488"/>
    <w:rsid w:val="2F4C494B"/>
    <w:rsid w:val="2F4F6616"/>
    <w:rsid w:val="2F57758A"/>
    <w:rsid w:val="2F58240E"/>
    <w:rsid w:val="2F5909E3"/>
    <w:rsid w:val="2F6320BB"/>
    <w:rsid w:val="2F6A26D6"/>
    <w:rsid w:val="2F715C5F"/>
    <w:rsid w:val="2F764D96"/>
    <w:rsid w:val="2F771595"/>
    <w:rsid w:val="2F782C06"/>
    <w:rsid w:val="2F7C746C"/>
    <w:rsid w:val="2F7F172B"/>
    <w:rsid w:val="2F8609B7"/>
    <w:rsid w:val="2F8856E5"/>
    <w:rsid w:val="2F9B2E05"/>
    <w:rsid w:val="2FAD34B2"/>
    <w:rsid w:val="2FAD7BF8"/>
    <w:rsid w:val="2FB11427"/>
    <w:rsid w:val="2FB92E21"/>
    <w:rsid w:val="2FBA59D5"/>
    <w:rsid w:val="2FC736C3"/>
    <w:rsid w:val="2FCD5502"/>
    <w:rsid w:val="2FCE1F32"/>
    <w:rsid w:val="2FD563DA"/>
    <w:rsid w:val="2FD73B63"/>
    <w:rsid w:val="2FF455B2"/>
    <w:rsid w:val="2FF554CF"/>
    <w:rsid w:val="2FF713C7"/>
    <w:rsid w:val="2FFB5511"/>
    <w:rsid w:val="2FFC362A"/>
    <w:rsid w:val="2FFE7E7D"/>
    <w:rsid w:val="30017167"/>
    <w:rsid w:val="3002242D"/>
    <w:rsid w:val="30057BBC"/>
    <w:rsid w:val="30067419"/>
    <w:rsid w:val="30093076"/>
    <w:rsid w:val="301635C6"/>
    <w:rsid w:val="30197B6C"/>
    <w:rsid w:val="301A011A"/>
    <w:rsid w:val="301B334A"/>
    <w:rsid w:val="30211F93"/>
    <w:rsid w:val="3024545E"/>
    <w:rsid w:val="30245C35"/>
    <w:rsid w:val="302943CA"/>
    <w:rsid w:val="302F2D3A"/>
    <w:rsid w:val="303040BA"/>
    <w:rsid w:val="3030527B"/>
    <w:rsid w:val="303B4A8E"/>
    <w:rsid w:val="303B640E"/>
    <w:rsid w:val="3048318E"/>
    <w:rsid w:val="30622AAD"/>
    <w:rsid w:val="306478B8"/>
    <w:rsid w:val="306F4EAF"/>
    <w:rsid w:val="30760CE3"/>
    <w:rsid w:val="30863A9F"/>
    <w:rsid w:val="30892546"/>
    <w:rsid w:val="308C0468"/>
    <w:rsid w:val="308C6E81"/>
    <w:rsid w:val="30985495"/>
    <w:rsid w:val="309959F7"/>
    <w:rsid w:val="309D5848"/>
    <w:rsid w:val="30A13847"/>
    <w:rsid w:val="30A2449D"/>
    <w:rsid w:val="30A704D2"/>
    <w:rsid w:val="30A77F9A"/>
    <w:rsid w:val="30A82733"/>
    <w:rsid w:val="30AE27E6"/>
    <w:rsid w:val="30B9161C"/>
    <w:rsid w:val="30BB1F19"/>
    <w:rsid w:val="30BB59D3"/>
    <w:rsid w:val="30C421B4"/>
    <w:rsid w:val="30C82366"/>
    <w:rsid w:val="30CE14AA"/>
    <w:rsid w:val="30D04AA7"/>
    <w:rsid w:val="30D43F26"/>
    <w:rsid w:val="30DC2C22"/>
    <w:rsid w:val="30DD27B5"/>
    <w:rsid w:val="30ED0CB9"/>
    <w:rsid w:val="30F07F03"/>
    <w:rsid w:val="30F42E06"/>
    <w:rsid w:val="30F53457"/>
    <w:rsid w:val="31035C94"/>
    <w:rsid w:val="310464FC"/>
    <w:rsid w:val="310565E5"/>
    <w:rsid w:val="3109189E"/>
    <w:rsid w:val="310B0105"/>
    <w:rsid w:val="310C7029"/>
    <w:rsid w:val="31131329"/>
    <w:rsid w:val="31142C79"/>
    <w:rsid w:val="311E701C"/>
    <w:rsid w:val="31251D15"/>
    <w:rsid w:val="31271A5C"/>
    <w:rsid w:val="312872F5"/>
    <w:rsid w:val="312B7E0E"/>
    <w:rsid w:val="312D4172"/>
    <w:rsid w:val="313E1763"/>
    <w:rsid w:val="313E5638"/>
    <w:rsid w:val="31474CE6"/>
    <w:rsid w:val="314975E9"/>
    <w:rsid w:val="3152049A"/>
    <w:rsid w:val="31554DC6"/>
    <w:rsid w:val="315C4652"/>
    <w:rsid w:val="315F6859"/>
    <w:rsid w:val="316119DB"/>
    <w:rsid w:val="316444EC"/>
    <w:rsid w:val="31675740"/>
    <w:rsid w:val="31743741"/>
    <w:rsid w:val="31787BB5"/>
    <w:rsid w:val="318C65F2"/>
    <w:rsid w:val="318D3503"/>
    <w:rsid w:val="319C0E76"/>
    <w:rsid w:val="319D6F00"/>
    <w:rsid w:val="31A26405"/>
    <w:rsid w:val="31B510CC"/>
    <w:rsid w:val="31C10895"/>
    <w:rsid w:val="31C51B37"/>
    <w:rsid w:val="31C70F23"/>
    <w:rsid w:val="31C76A8F"/>
    <w:rsid w:val="31D630E5"/>
    <w:rsid w:val="31D710E4"/>
    <w:rsid w:val="31DC0984"/>
    <w:rsid w:val="31E05B72"/>
    <w:rsid w:val="31E417B7"/>
    <w:rsid w:val="31EC2E7D"/>
    <w:rsid w:val="31F768FF"/>
    <w:rsid w:val="31F91B57"/>
    <w:rsid w:val="31FE5334"/>
    <w:rsid w:val="32005535"/>
    <w:rsid w:val="32067D73"/>
    <w:rsid w:val="320C41E2"/>
    <w:rsid w:val="320D1E25"/>
    <w:rsid w:val="3212145D"/>
    <w:rsid w:val="321A158D"/>
    <w:rsid w:val="321F7635"/>
    <w:rsid w:val="32223088"/>
    <w:rsid w:val="322719A2"/>
    <w:rsid w:val="322B601D"/>
    <w:rsid w:val="322F0DCE"/>
    <w:rsid w:val="323C3F64"/>
    <w:rsid w:val="323D40A2"/>
    <w:rsid w:val="324413D0"/>
    <w:rsid w:val="32473527"/>
    <w:rsid w:val="32566809"/>
    <w:rsid w:val="325F4128"/>
    <w:rsid w:val="326A7EEF"/>
    <w:rsid w:val="328A5D4C"/>
    <w:rsid w:val="328F585C"/>
    <w:rsid w:val="329063B3"/>
    <w:rsid w:val="329B6525"/>
    <w:rsid w:val="32AD5C24"/>
    <w:rsid w:val="32AF063F"/>
    <w:rsid w:val="32B7175B"/>
    <w:rsid w:val="32BF4F44"/>
    <w:rsid w:val="32C13C39"/>
    <w:rsid w:val="32C2528F"/>
    <w:rsid w:val="32C3353A"/>
    <w:rsid w:val="32C62074"/>
    <w:rsid w:val="32CB1BDF"/>
    <w:rsid w:val="32CC768B"/>
    <w:rsid w:val="32CE668A"/>
    <w:rsid w:val="32D104C7"/>
    <w:rsid w:val="32D41016"/>
    <w:rsid w:val="32D93002"/>
    <w:rsid w:val="32DB415C"/>
    <w:rsid w:val="32DF762B"/>
    <w:rsid w:val="32FF5060"/>
    <w:rsid w:val="33036889"/>
    <w:rsid w:val="330C5092"/>
    <w:rsid w:val="33106568"/>
    <w:rsid w:val="3311725E"/>
    <w:rsid w:val="33152B3A"/>
    <w:rsid w:val="331575A6"/>
    <w:rsid w:val="331A5650"/>
    <w:rsid w:val="331F0C82"/>
    <w:rsid w:val="33200DC0"/>
    <w:rsid w:val="33213E49"/>
    <w:rsid w:val="33215891"/>
    <w:rsid w:val="33223756"/>
    <w:rsid w:val="33227291"/>
    <w:rsid w:val="3330364A"/>
    <w:rsid w:val="33321D75"/>
    <w:rsid w:val="33471ED6"/>
    <w:rsid w:val="334F3F04"/>
    <w:rsid w:val="33513B77"/>
    <w:rsid w:val="335412A7"/>
    <w:rsid w:val="335677A2"/>
    <w:rsid w:val="335A34D2"/>
    <w:rsid w:val="33686BD9"/>
    <w:rsid w:val="33697A0D"/>
    <w:rsid w:val="336E2679"/>
    <w:rsid w:val="337215A3"/>
    <w:rsid w:val="337613FC"/>
    <w:rsid w:val="337626BB"/>
    <w:rsid w:val="33862033"/>
    <w:rsid w:val="338964B5"/>
    <w:rsid w:val="339749C2"/>
    <w:rsid w:val="339C4543"/>
    <w:rsid w:val="339E05B6"/>
    <w:rsid w:val="339E6885"/>
    <w:rsid w:val="33A008C6"/>
    <w:rsid w:val="33A21052"/>
    <w:rsid w:val="33B21EBC"/>
    <w:rsid w:val="33B3218D"/>
    <w:rsid w:val="33B45501"/>
    <w:rsid w:val="33B514B0"/>
    <w:rsid w:val="33B634E8"/>
    <w:rsid w:val="33BD3B2F"/>
    <w:rsid w:val="33BF0FAE"/>
    <w:rsid w:val="33BF2C1B"/>
    <w:rsid w:val="33C15AD3"/>
    <w:rsid w:val="33C40218"/>
    <w:rsid w:val="33CA174E"/>
    <w:rsid w:val="33D12567"/>
    <w:rsid w:val="33D563A3"/>
    <w:rsid w:val="33D72D2C"/>
    <w:rsid w:val="33D83FB7"/>
    <w:rsid w:val="33D94798"/>
    <w:rsid w:val="33DC35D9"/>
    <w:rsid w:val="33E55E06"/>
    <w:rsid w:val="33E6359C"/>
    <w:rsid w:val="33EB1F93"/>
    <w:rsid w:val="33F079D2"/>
    <w:rsid w:val="33F2552F"/>
    <w:rsid w:val="33F90CCD"/>
    <w:rsid w:val="33FB3368"/>
    <w:rsid w:val="340C4DF9"/>
    <w:rsid w:val="341045CA"/>
    <w:rsid w:val="34222363"/>
    <w:rsid w:val="342255AB"/>
    <w:rsid w:val="3423278B"/>
    <w:rsid w:val="3427784B"/>
    <w:rsid w:val="3428235F"/>
    <w:rsid w:val="3431346C"/>
    <w:rsid w:val="343476F6"/>
    <w:rsid w:val="343B4C9A"/>
    <w:rsid w:val="34432FCC"/>
    <w:rsid w:val="34443C3D"/>
    <w:rsid w:val="3446570C"/>
    <w:rsid w:val="344669EB"/>
    <w:rsid w:val="345136DC"/>
    <w:rsid w:val="34563235"/>
    <w:rsid w:val="345871BC"/>
    <w:rsid w:val="345A6DF4"/>
    <w:rsid w:val="345B568F"/>
    <w:rsid w:val="345E37D2"/>
    <w:rsid w:val="346E2440"/>
    <w:rsid w:val="346F7663"/>
    <w:rsid w:val="34711709"/>
    <w:rsid w:val="34784EEE"/>
    <w:rsid w:val="347D44FA"/>
    <w:rsid w:val="3490404A"/>
    <w:rsid w:val="34906399"/>
    <w:rsid w:val="34956737"/>
    <w:rsid w:val="34A67868"/>
    <w:rsid w:val="34A7414A"/>
    <w:rsid w:val="34A747EF"/>
    <w:rsid w:val="34A83AF6"/>
    <w:rsid w:val="34AC5635"/>
    <w:rsid w:val="34B80D70"/>
    <w:rsid w:val="34C00A82"/>
    <w:rsid w:val="34DE0C11"/>
    <w:rsid w:val="34E26520"/>
    <w:rsid w:val="34E43D63"/>
    <w:rsid w:val="34E8753A"/>
    <w:rsid w:val="34EA777D"/>
    <w:rsid w:val="34EC4035"/>
    <w:rsid w:val="34F20E44"/>
    <w:rsid w:val="34F94ECA"/>
    <w:rsid w:val="34FA1280"/>
    <w:rsid w:val="34FC5486"/>
    <w:rsid w:val="34FE4352"/>
    <w:rsid w:val="35035364"/>
    <w:rsid w:val="350501A2"/>
    <w:rsid w:val="3506541D"/>
    <w:rsid w:val="350B0D86"/>
    <w:rsid w:val="350D570D"/>
    <w:rsid w:val="3518076E"/>
    <w:rsid w:val="351A5F1D"/>
    <w:rsid w:val="351E6D0D"/>
    <w:rsid w:val="3522424B"/>
    <w:rsid w:val="35292051"/>
    <w:rsid w:val="352B5345"/>
    <w:rsid w:val="353A4142"/>
    <w:rsid w:val="353A5268"/>
    <w:rsid w:val="353B381F"/>
    <w:rsid w:val="353D2322"/>
    <w:rsid w:val="35437657"/>
    <w:rsid w:val="354502C4"/>
    <w:rsid w:val="354A76FD"/>
    <w:rsid w:val="354B73C3"/>
    <w:rsid w:val="354E41D5"/>
    <w:rsid w:val="354F23F1"/>
    <w:rsid w:val="35636795"/>
    <w:rsid w:val="35762D82"/>
    <w:rsid w:val="35836A61"/>
    <w:rsid w:val="3589382C"/>
    <w:rsid w:val="3592027D"/>
    <w:rsid w:val="35B00B11"/>
    <w:rsid w:val="35B07186"/>
    <w:rsid w:val="35B131A3"/>
    <w:rsid w:val="35B300B8"/>
    <w:rsid w:val="35B450D6"/>
    <w:rsid w:val="35BE736A"/>
    <w:rsid w:val="35C04A9D"/>
    <w:rsid w:val="35C75689"/>
    <w:rsid w:val="35CC752F"/>
    <w:rsid w:val="35CE0F9E"/>
    <w:rsid w:val="35D36503"/>
    <w:rsid w:val="35E32AE6"/>
    <w:rsid w:val="35E44653"/>
    <w:rsid w:val="35E8740D"/>
    <w:rsid w:val="35EC7C42"/>
    <w:rsid w:val="35EE2B54"/>
    <w:rsid w:val="35EE5065"/>
    <w:rsid w:val="36076619"/>
    <w:rsid w:val="360B2A66"/>
    <w:rsid w:val="360D1D08"/>
    <w:rsid w:val="361D58A4"/>
    <w:rsid w:val="361F19BC"/>
    <w:rsid w:val="361F5E20"/>
    <w:rsid w:val="36203593"/>
    <w:rsid w:val="36225FF7"/>
    <w:rsid w:val="362F6986"/>
    <w:rsid w:val="36312D7B"/>
    <w:rsid w:val="36396FE8"/>
    <w:rsid w:val="36437DAE"/>
    <w:rsid w:val="36443C69"/>
    <w:rsid w:val="36492EDA"/>
    <w:rsid w:val="364C0244"/>
    <w:rsid w:val="365035BF"/>
    <w:rsid w:val="36552862"/>
    <w:rsid w:val="36557C1C"/>
    <w:rsid w:val="365B0587"/>
    <w:rsid w:val="365E1558"/>
    <w:rsid w:val="366C0423"/>
    <w:rsid w:val="367647AE"/>
    <w:rsid w:val="367B6AD6"/>
    <w:rsid w:val="367E3E55"/>
    <w:rsid w:val="36835B7B"/>
    <w:rsid w:val="368822F7"/>
    <w:rsid w:val="368A7752"/>
    <w:rsid w:val="36954174"/>
    <w:rsid w:val="36982576"/>
    <w:rsid w:val="369D5BEF"/>
    <w:rsid w:val="36AD17DC"/>
    <w:rsid w:val="36AF5E77"/>
    <w:rsid w:val="36B421A4"/>
    <w:rsid w:val="36B4507D"/>
    <w:rsid w:val="36BC154F"/>
    <w:rsid w:val="36C432FC"/>
    <w:rsid w:val="36C87F63"/>
    <w:rsid w:val="36CF1FAF"/>
    <w:rsid w:val="36D31045"/>
    <w:rsid w:val="36D4325D"/>
    <w:rsid w:val="36DF7EC1"/>
    <w:rsid w:val="36E336F9"/>
    <w:rsid w:val="36E34845"/>
    <w:rsid w:val="36E75A25"/>
    <w:rsid w:val="36EA1F6F"/>
    <w:rsid w:val="36EE4479"/>
    <w:rsid w:val="36F651A4"/>
    <w:rsid w:val="36F92BF7"/>
    <w:rsid w:val="36FA187C"/>
    <w:rsid w:val="36FD1233"/>
    <w:rsid w:val="36FD377B"/>
    <w:rsid w:val="370807C7"/>
    <w:rsid w:val="370950C3"/>
    <w:rsid w:val="371328F2"/>
    <w:rsid w:val="37144403"/>
    <w:rsid w:val="37220BC1"/>
    <w:rsid w:val="372246E0"/>
    <w:rsid w:val="37253C2B"/>
    <w:rsid w:val="372A5954"/>
    <w:rsid w:val="373D3D7C"/>
    <w:rsid w:val="3740649B"/>
    <w:rsid w:val="37424F71"/>
    <w:rsid w:val="3751462D"/>
    <w:rsid w:val="37536809"/>
    <w:rsid w:val="375436DF"/>
    <w:rsid w:val="37546E8D"/>
    <w:rsid w:val="37554B24"/>
    <w:rsid w:val="375937A7"/>
    <w:rsid w:val="375F3237"/>
    <w:rsid w:val="3765720E"/>
    <w:rsid w:val="37696DA9"/>
    <w:rsid w:val="376D1DD8"/>
    <w:rsid w:val="37704887"/>
    <w:rsid w:val="377318C6"/>
    <w:rsid w:val="377402F2"/>
    <w:rsid w:val="37745A3E"/>
    <w:rsid w:val="377718E6"/>
    <w:rsid w:val="377E5227"/>
    <w:rsid w:val="378A6D68"/>
    <w:rsid w:val="378C5E17"/>
    <w:rsid w:val="37971AD0"/>
    <w:rsid w:val="379E4045"/>
    <w:rsid w:val="37A85C13"/>
    <w:rsid w:val="37B409D1"/>
    <w:rsid w:val="37B42109"/>
    <w:rsid w:val="37BA61D9"/>
    <w:rsid w:val="37CB7842"/>
    <w:rsid w:val="37CE2608"/>
    <w:rsid w:val="37D13479"/>
    <w:rsid w:val="37D3260E"/>
    <w:rsid w:val="37D366CE"/>
    <w:rsid w:val="37D763EA"/>
    <w:rsid w:val="37EB5B3E"/>
    <w:rsid w:val="37ED5A06"/>
    <w:rsid w:val="37F142D4"/>
    <w:rsid w:val="37F4706D"/>
    <w:rsid w:val="380A7752"/>
    <w:rsid w:val="382024D0"/>
    <w:rsid w:val="38216883"/>
    <w:rsid w:val="38234209"/>
    <w:rsid w:val="382424A9"/>
    <w:rsid w:val="38267703"/>
    <w:rsid w:val="382C2218"/>
    <w:rsid w:val="382D0F9E"/>
    <w:rsid w:val="38427EAA"/>
    <w:rsid w:val="3850638F"/>
    <w:rsid w:val="38532737"/>
    <w:rsid w:val="38533CA8"/>
    <w:rsid w:val="385E23BD"/>
    <w:rsid w:val="38602E62"/>
    <w:rsid w:val="386258FA"/>
    <w:rsid w:val="38741666"/>
    <w:rsid w:val="38835148"/>
    <w:rsid w:val="388602D1"/>
    <w:rsid w:val="388A6F4E"/>
    <w:rsid w:val="388F3DE2"/>
    <w:rsid w:val="388F52D9"/>
    <w:rsid w:val="38985CC2"/>
    <w:rsid w:val="38A003CD"/>
    <w:rsid w:val="38B046D9"/>
    <w:rsid w:val="38B13980"/>
    <w:rsid w:val="38C04EB0"/>
    <w:rsid w:val="38CA3557"/>
    <w:rsid w:val="38D52455"/>
    <w:rsid w:val="38D7022D"/>
    <w:rsid w:val="38D82889"/>
    <w:rsid w:val="38DF37BC"/>
    <w:rsid w:val="38E705A7"/>
    <w:rsid w:val="38EC0AFD"/>
    <w:rsid w:val="38EE0997"/>
    <w:rsid w:val="38EE3833"/>
    <w:rsid w:val="38EE484D"/>
    <w:rsid w:val="38F600E3"/>
    <w:rsid w:val="38F65218"/>
    <w:rsid w:val="390C037C"/>
    <w:rsid w:val="390C0A9F"/>
    <w:rsid w:val="39141E92"/>
    <w:rsid w:val="39176669"/>
    <w:rsid w:val="391B717F"/>
    <w:rsid w:val="39246906"/>
    <w:rsid w:val="39250C8B"/>
    <w:rsid w:val="39286E0B"/>
    <w:rsid w:val="392A207B"/>
    <w:rsid w:val="393037F8"/>
    <w:rsid w:val="39387A11"/>
    <w:rsid w:val="393C336E"/>
    <w:rsid w:val="393D4D74"/>
    <w:rsid w:val="393D6936"/>
    <w:rsid w:val="393D7AF0"/>
    <w:rsid w:val="39414B86"/>
    <w:rsid w:val="39416102"/>
    <w:rsid w:val="39421685"/>
    <w:rsid w:val="394565EA"/>
    <w:rsid w:val="39477EFB"/>
    <w:rsid w:val="394D2CB1"/>
    <w:rsid w:val="394D4EA4"/>
    <w:rsid w:val="394E5664"/>
    <w:rsid w:val="395A66C8"/>
    <w:rsid w:val="395B0801"/>
    <w:rsid w:val="395D2BFF"/>
    <w:rsid w:val="39612994"/>
    <w:rsid w:val="39615ED5"/>
    <w:rsid w:val="3962596A"/>
    <w:rsid w:val="396C5D11"/>
    <w:rsid w:val="397136E1"/>
    <w:rsid w:val="39716F47"/>
    <w:rsid w:val="39723147"/>
    <w:rsid w:val="3974358F"/>
    <w:rsid w:val="397E2F39"/>
    <w:rsid w:val="398163D2"/>
    <w:rsid w:val="39830F35"/>
    <w:rsid w:val="3986064D"/>
    <w:rsid w:val="398736EE"/>
    <w:rsid w:val="3989696C"/>
    <w:rsid w:val="39A038AA"/>
    <w:rsid w:val="39A11A7A"/>
    <w:rsid w:val="39AD3F2E"/>
    <w:rsid w:val="39B204DE"/>
    <w:rsid w:val="39B64976"/>
    <w:rsid w:val="39B974A9"/>
    <w:rsid w:val="39C73D71"/>
    <w:rsid w:val="39C77771"/>
    <w:rsid w:val="39C90F43"/>
    <w:rsid w:val="39CD27C4"/>
    <w:rsid w:val="39CE066D"/>
    <w:rsid w:val="39D04BF0"/>
    <w:rsid w:val="39D41522"/>
    <w:rsid w:val="39D43A93"/>
    <w:rsid w:val="39D56863"/>
    <w:rsid w:val="39D60433"/>
    <w:rsid w:val="39DA7E41"/>
    <w:rsid w:val="39E1105A"/>
    <w:rsid w:val="39E17BAE"/>
    <w:rsid w:val="39ED6C0B"/>
    <w:rsid w:val="39ED7523"/>
    <w:rsid w:val="39FC2925"/>
    <w:rsid w:val="3A0613D6"/>
    <w:rsid w:val="3A0D2A58"/>
    <w:rsid w:val="3A0E540E"/>
    <w:rsid w:val="3A1E0D47"/>
    <w:rsid w:val="3A35072B"/>
    <w:rsid w:val="3A35233A"/>
    <w:rsid w:val="3A3830CD"/>
    <w:rsid w:val="3A391D41"/>
    <w:rsid w:val="3A411C7C"/>
    <w:rsid w:val="3A414620"/>
    <w:rsid w:val="3A4C0E19"/>
    <w:rsid w:val="3A511318"/>
    <w:rsid w:val="3A53021F"/>
    <w:rsid w:val="3A547D0A"/>
    <w:rsid w:val="3A55447F"/>
    <w:rsid w:val="3A5A714B"/>
    <w:rsid w:val="3A5E1653"/>
    <w:rsid w:val="3A5F19D6"/>
    <w:rsid w:val="3A632827"/>
    <w:rsid w:val="3A6F5A38"/>
    <w:rsid w:val="3A755F59"/>
    <w:rsid w:val="3A760BCB"/>
    <w:rsid w:val="3A7F1D2B"/>
    <w:rsid w:val="3A812293"/>
    <w:rsid w:val="3A851910"/>
    <w:rsid w:val="3A861B09"/>
    <w:rsid w:val="3A87731D"/>
    <w:rsid w:val="3A890749"/>
    <w:rsid w:val="3A894862"/>
    <w:rsid w:val="3A8F40EA"/>
    <w:rsid w:val="3A923106"/>
    <w:rsid w:val="3A9A0989"/>
    <w:rsid w:val="3A9C349B"/>
    <w:rsid w:val="3A9C65A9"/>
    <w:rsid w:val="3AA62020"/>
    <w:rsid w:val="3AA91504"/>
    <w:rsid w:val="3AAB59AD"/>
    <w:rsid w:val="3AAE69B2"/>
    <w:rsid w:val="3AAF5391"/>
    <w:rsid w:val="3AB83A93"/>
    <w:rsid w:val="3ABA3ECE"/>
    <w:rsid w:val="3AC0742A"/>
    <w:rsid w:val="3AC279A9"/>
    <w:rsid w:val="3AC8755B"/>
    <w:rsid w:val="3AD21236"/>
    <w:rsid w:val="3AD54F55"/>
    <w:rsid w:val="3AE05D7F"/>
    <w:rsid w:val="3AE44523"/>
    <w:rsid w:val="3AE61972"/>
    <w:rsid w:val="3AF24BAA"/>
    <w:rsid w:val="3AF57441"/>
    <w:rsid w:val="3B0B1B50"/>
    <w:rsid w:val="3B0D0AF4"/>
    <w:rsid w:val="3B127F8C"/>
    <w:rsid w:val="3B147F4F"/>
    <w:rsid w:val="3B162B11"/>
    <w:rsid w:val="3B197BDA"/>
    <w:rsid w:val="3B1E679C"/>
    <w:rsid w:val="3B1F78D8"/>
    <w:rsid w:val="3B3773B3"/>
    <w:rsid w:val="3B3A3A5C"/>
    <w:rsid w:val="3B3D737E"/>
    <w:rsid w:val="3B4729D4"/>
    <w:rsid w:val="3B4C4317"/>
    <w:rsid w:val="3B4D4811"/>
    <w:rsid w:val="3B5312A5"/>
    <w:rsid w:val="3B531C8F"/>
    <w:rsid w:val="3B595605"/>
    <w:rsid w:val="3B5A56E8"/>
    <w:rsid w:val="3B5D4CD1"/>
    <w:rsid w:val="3B6A637C"/>
    <w:rsid w:val="3B6B726D"/>
    <w:rsid w:val="3B6E30D2"/>
    <w:rsid w:val="3B6F7F3C"/>
    <w:rsid w:val="3B75415A"/>
    <w:rsid w:val="3B811F0A"/>
    <w:rsid w:val="3B831978"/>
    <w:rsid w:val="3B9052B1"/>
    <w:rsid w:val="3B9E0AC4"/>
    <w:rsid w:val="3B9F4087"/>
    <w:rsid w:val="3B9F67B0"/>
    <w:rsid w:val="3BA025C0"/>
    <w:rsid w:val="3BA31C54"/>
    <w:rsid w:val="3BA53B60"/>
    <w:rsid w:val="3BA57467"/>
    <w:rsid w:val="3BB76630"/>
    <w:rsid w:val="3BCC6BA0"/>
    <w:rsid w:val="3BD11346"/>
    <w:rsid w:val="3BDA6C7C"/>
    <w:rsid w:val="3BE76954"/>
    <w:rsid w:val="3BFB6FD5"/>
    <w:rsid w:val="3BFC735E"/>
    <w:rsid w:val="3C006DF1"/>
    <w:rsid w:val="3C073B1B"/>
    <w:rsid w:val="3C074F02"/>
    <w:rsid w:val="3C0C0E01"/>
    <w:rsid w:val="3C135505"/>
    <w:rsid w:val="3C1E74DC"/>
    <w:rsid w:val="3C214AA8"/>
    <w:rsid w:val="3C24620B"/>
    <w:rsid w:val="3C2522F6"/>
    <w:rsid w:val="3C26585E"/>
    <w:rsid w:val="3C2F75DB"/>
    <w:rsid w:val="3C304897"/>
    <w:rsid w:val="3C311263"/>
    <w:rsid w:val="3C344E50"/>
    <w:rsid w:val="3C367F78"/>
    <w:rsid w:val="3C3B6950"/>
    <w:rsid w:val="3C3C5313"/>
    <w:rsid w:val="3C532CDE"/>
    <w:rsid w:val="3C546221"/>
    <w:rsid w:val="3C5804DF"/>
    <w:rsid w:val="3C593765"/>
    <w:rsid w:val="3C5A79FD"/>
    <w:rsid w:val="3C5F4A07"/>
    <w:rsid w:val="3C627D5A"/>
    <w:rsid w:val="3C630443"/>
    <w:rsid w:val="3C6365A7"/>
    <w:rsid w:val="3C66019B"/>
    <w:rsid w:val="3C6D7CAF"/>
    <w:rsid w:val="3C7340B6"/>
    <w:rsid w:val="3C7F22AF"/>
    <w:rsid w:val="3C810A8E"/>
    <w:rsid w:val="3C8375EF"/>
    <w:rsid w:val="3C85019E"/>
    <w:rsid w:val="3C885D5E"/>
    <w:rsid w:val="3C8D2D60"/>
    <w:rsid w:val="3C935223"/>
    <w:rsid w:val="3C983827"/>
    <w:rsid w:val="3C9E6FB0"/>
    <w:rsid w:val="3CA6151F"/>
    <w:rsid w:val="3CA64C6A"/>
    <w:rsid w:val="3CAD2FC8"/>
    <w:rsid w:val="3CB47C5A"/>
    <w:rsid w:val="3CB57319"/>
    <w:rsid w:val="3CC008AD"/>
    <w:rsid w:val="3CC1412A"/>
    <w:rsid w:val="3CC506B0"/>
    <w:rsid w:val="3CC67325"/>
    <w:rsid w:val="3CCF0156"/>
    <w:rsid w:val="3CCF243C"/>
    <w:rsid w:val="3CD1607A"/>
    <w:rsid w:val="3CD4691A"/>
    <w:rsid w:val="3CD63714"/>
    <w:rsid w:val="3CD84C37"/>
    <w:rsid w:val="3CD90D7E"/>
    <w:rsid w:val="3CEB0CCE"/>
    <w:rsid w:val="3CF0702F"/>
    <w:rsid w:val="3CFA1118"/>
    <w:rsid w:val="3CFB691C"/>
    <w:rsid w:val="3CFD6147"/>
    <w:rsid w:val="3D072A6B"/>
    <w:rsid w:val="3D095FFF"/>
    <w:rsid w:val="3D0C7D09"/>
    <w:rsid w:val="3D0F497B"/>
    <w:rsid w:val="3D1036E9"/>
    <w:rsid w:val="3D112F95"/>
    <w:rsid w:val="3D162A48"/>
    <w:rsid w:val="3D164B89"/>
    <w:rsid w:val="3D2978A6"/>
    <w:rsid w:val="3D2B37D0"/>
    <w:rsid w:val="3D3A6F46"/>
    <w:rsid w:val="3D4911F3"/>
    <w:rsid w:val="3D543F49"/>
    <w:rsid w:val="3D661508"/>
    <w:rsid w:val="3D695E0F"/>
    <w:rsid w:val="3D6A1220"/>
    <w:rsid w:val="3D6C5C8D"/>
    <w:rsid w:val="3D7107C8"/>
    <w:rsid w:val="3D783FFF"/>
    <w:rsid w:val="3D817D64"/>
    <w:rsid w:val="3D8B1F4D"/>
    <w:rsid w:val="3D8E546A"/>
    <w:rsid w:val="3D937969"/>
    <w:rsid w:val="3D96146B"/>
    <w:rsid w:val="3D9649B1"/>
    <w:rsid w:val="3D9D5818"/>
    <w:rsid w:val="3D9E6A3E"/>
    <w:rsid w:val="3DA0404C"/>
    <w:rsid w:val="3DA235E8"/>
    <w:rsid w:val="3DA257E1"/>
    <w:rsid w:val="3DA37453"/>
    <w:rsid w:val="3DAF05B4"/>
    <w:rsid w:val="3DB638B3"/>
    <w:rsid w:val="3DB70967"/>
    <w:rsid w:val="3DB80DD9"/>
    <w:rsid w:val="3DB970EB"/>
    <w:rsid w:val="3DC52DB9"/>
    <w:rsid w:val="3DCF2A8F"/>
    <w:rsid w:val="3DD21465"/>
    <w:rsid w:val="3DD24480"/>
    <w:rsid w:val="3DD31062"/>
    <w:rsid w:val="3DD32FAE"/>
    <w:rsid w:val="3DDB3B20"/>
    <w:rsid w:val="3DDE6B81"/>
    <w:rsid w:val="3DE71BA3"/>
    <w:rsid w:val="3DE901E1"/>
    <w:rsid w:val="3DED568A"/>
    <w:rsid w:val="3DF128E8"/>
    <w:rsid w:val="3DF30055"/>
    <w:rsid w:val="3E070B9D"/>
    <w:rsid w:val="3E0E4981"/>
    <w:rsid w:val="3E0F7A68"/>
    <w:rsid w:val="3E10021A"/>
    <w:rsid w:val="3E113746"/>
    <w:rsid w:val="3E1544F6"/>
    <w:rsid w:val="3E155DD6"/>
    <w:rsid w:val="3E1A0728"/>
    <w:rsid w:val="3E1B524C"/>
    <w:rsid w:val="3E1D3CFA"/>
    <w:rsid w:val="3E1D523D"/>
    <w:rsid w:val="3E231831"/>
    <w:rsid w:val="3E235472"/>
    <w:rsid w:val="3E255B76"/>
    <w:rsid w:val="3E257492"/>
    <w:rsid w:val="3E257EA1"/>
    <w:rsid w:val="3E270FF2"/>
    <w:rsid w:val="3E35568F"/>
    <w:rsid w:val="3E3E1032"/>
    <w:rsid w:val="3E495EE0"/>
    <w:rsid w:val="3E4C7D58"/>
    <w:rsid w:val="3E502862"/>
    <w:rsid w:val="3E537F76"/>
    <w:rsid w:val="3E544848"/>
    <w:rsid w:val="3E5538BE"/>
    <w:rsid w:val="3E81705F"/>
    <w:rsid w:val="3E833E7D"/>
    <w:rsid w:val="3E8E10E7"/>
    <w:rsid w:val="3E911C03"/>
    <w:rsid w:val="3E9727B2"/>
    <w:rsid w:val="3E9D4DB8"/>
    <w:rsid w:val="3EA1291E"/>
    <w:rsid w:val="3EA84365"/>
    <w:rsid w:val="3EA96898"/>
    <w:rsid w:val="3EAB61FA"/>
    <w:rsid w:val="3EB25421"/>
    <w:rsid w:val="3EB36A1D"/>
    <w:rsid w:val="3EB7227E"/>
    <w:rsid w:val="3ECF0B0B"/>
    <w:rsid w:val="3ED80594"/>
    <w:rsid w:val="3EDA527B"/>
    <w:rsid w:val="3EDB280C"/>
    <w:rsid w:val="3EDB2959"/>
    <w:rsid w:val="3EE72A73"/>
    <w:rsid w:val="3EE86FAD"/>
    <w:rsid w:val="3EEA02D1"/>
    <w:rsid w:val="3F074D62"/>
    <w:rsid w:val="3F102957"/>
    <w:rsid w:val="3F1C5E52"/>
    <w:rsid w:val="3F1D583C"/>
    <w:rsid w:val="3F24403B"/>
    <w:rsid w:val="3F254A83"/>
    <w:rsid w:val="3F35057B"/>
    <w:rsid w:val="3F367307"/>
    <w:rsid w:val="3F3E1690"/>
    <w:rsid w:val="3F4165AB"/>
    <w:rsid w:val="3F4849A1"/>
    <w:rsid w:val="3F6003AF"/>
    <w:rsid w:val="3F693CCB"/>
    <w:rsid w:val="3F6A3B08"/>
    <w:rsid w:val="3F6C5A16"/>
    <w:rsid w:val="3F721AFE"/>
    <w:rsid w:val="3F7A5214"/>
    <w:rsid w:val="3F7B2B5F"/>
    <w:rsid w:val="3F7F10BE"/>
    <w:rsid w:val="3F89313D"/>
    <w:rsid w:val="3F8A3415"/>
    <w:rsid w:val="3F8E5B13"/>
    <w:rsid w:val="3F8F09CC"/>
    <w:rsid w:val="3F940530"/>
    <w:rsid w:val="3F9522C1"/>
    <w:rsid w:val="3F9716C4"/>
    <w:rsid w:val="3F9D5188"/>
    <w:rsid w:val="3FA01AB3"/>
    <w:rsid w:val="3FA263D7"/>
    <w:rsid w:val="3FA72629"/>
    <w:rsid w:val="3FA738D8"/>
    <w:rsid w:val="3FAA1A13"/>
    <w:rsid w:val="3FAC1980"/>
    <w:rsid w:val="3FB578C5"/>
    <w:rsid w:val="3FB64FD7"/>
    <w:rsid w:val="3FBA2B61"/>
    <w:rsid w:val="3FBD3E1E"/>
    <w:rsid w:val="3FC17FB7"/>
    <w:rsid w:val="3FCB5257"/>
    <w:rsid w:val="3FCD7A93"/>
    <w:rsid w:val="3FCF3ECE"/>
    <w:rsid w:val="3FCF7C48"/>
    <w:rsid w:val="3FD36057"/>
    <w:rsid w:val="3FD74878"/>
    <w:rsid w:val="3FE45A6E"/>
    <w:rsid w:val="3FE64D2B"/>
    <w:rsid w:val="3FEB1D45"/>
    <w:rsid w:val="3FED4A1D"/>
    <w:rsid w:val="3FFD51B9"/>
    <w:rsid w:val="4000725C"/>
    <w:rsid w:val="400B687A"/>
    <w:rsid w:val="400E0DB7"/>
    <w:rsid w:val="40136341"/>
    <w:rsid w:val="401B144A"/>
    <w:rsid w:val="401D63AB"/>
    <w:rsid w:val="40224676"/>
    <w:rsid w:val="402D1323"/>
    <w:rsid w:val="403379F1"/>
    <w:rsid w:val="403F0FB2"/>
    <w:rsid w:val="404360F3"/>
    <w:rsid w:val="4050262F"/>
    <w:rsid w:val="405161E6"/>
    <w:rsid w:val="4059375C"/>
    <w:rsid w:val="40597920"/>
    <w:rsid w:val="405D611C"/>
    <w:rsid w:val="405F06D5"/>
    <w:rsid w:val="40600AC8"/>
    <w:rsid w:val="40673F94"/>
    <w:rsid w:val="4071778D"/>
    <w:rsid w:val="40772E1D"/>
    <w:rsid w:val="40774069"/>
    <w:rsid w:val="407A7729"/>
    <w:rsid w:val="407B7B46"/>
    <w:rsid w:val="407C1001"/>
    <w:rsid w:val="40820335"/>
    <w:rsid w:val="40823C7F"/>
    <w:rsid w:val="40844AA4"/>
    <w:rsid w:val="40845932"/>
    <w:rsid w:val="40864A9D"/>
    <w:rsid w:val="40870BEB"/>
    <w:rsid w:val="408A37DD"/>
    <w:rsid w:val="408A4942"/>
    <w:rsid w:val="40994839"/>
    <w:rsid w:val="409D2BFC"/>
    <w:rsid w:val="40A1174C"/>
    <w:rsid w:val="40A64ADE"/>
    <w:rsid w:val="40A66DAC"/>
    <w:rsid w:val="40AF6ED8"/>
    <w:rsid w:val="40B25CC9"/>
    <w:rsid w:val="40B74A0B"/>
    <w:rsid w:val="40B90F88"/>
    <w:rsid w:val="40BD7E6C"/>
    <w:rsid w:val="40CA3EE2"/>
    <w:rsid w:val="40ED1C18"/>
    <w:rsid w:val="40ED2F9E"/>
    <w:rsid w:val="40ED3481"/>
    <w:rsid w:val="40F625E4"/>
    <w:rsid w:val="40F75CDF"/>
    <w:rsid w:val="40FD699A"/>
    <w:rsid w:val="40FE4B69"/>
    <w:rsid w:val="411248D2"/>
    <w:rsid w:val="411512E5"/>
    <w:rsid w:val="412F29F9"/>
    <w:rsid w:val="413624F2"/>
    <w:rsid w:val="413A7348"/>
    <w:rsid w:val="413F3530"/>
    <w:rsid w:val="41424351"/>
    <w:rsid w:val="414429F3"/>
    <w:rsid w:val="41460D2A"/>
    <w:rsid w:val="41484083"/>
    <w:rsid w:val="414937BF"/>
    <w:rsid w:val="414A3F45"/>
    <w:rsid w:val="414D1D3F"/>
    <w:rsid w:val="4157749D"/>
    <w:rsid w:val="4158749B"/>
    <w:rsid w:val="415956E1"/>
    <w:rsid w:val="41672BA5"/>
    <w:rsid w:val="4167414A"/>
    <w:rsid w:val="4175365F"/>
    <w:rsid w:val="41777A00"/>
    <w:rsid w:val="4179206C"/>
    <w:rsid w:val="417C41CE"/>
    <w:rsid w:val="418217AF"/>
    <w:rsid w:val="41830915"/>
    <w:rsid w:val="41850945"/>
    <w:rsid w:val="41926806"/>
    <w:rsid w:val="41A83E4B"/>
    <w:rsid w:val="41B62F20"/>
    <w:rsid w:val="41B95949"/>
    <w:rsid w:val="41BF5767"/>
    <w:rsid w:val="41C86D9F"/>
    <w:rsid w:val="41CC3E4D"/>
    <w:rsid w:val="41CE68D7"/>
    <w:rsid w:val="41DB56C9"/>
    <w:rsid w:val="41E41803"/>
    <w:rsid w:val="41F81AB3"/>
    <w:rsid w:val="420C3670"/>
    <w:rsid w:val="420D16E0"/>
    <w:rsid w:val="42103726"/>
    <w:rsid w:val="42134124"/>
    <w:rsid w:val="42137918"/>
    <w:rsid w:val="421B322A"/>
    <w:rsid w:val="421F755E"/>
    <w:rsid w:val="422A3D04"/>
    <w:rsid w:val="422A4C95"/>
    <w:rsid w:val="422E1B31"/>
    <w:rsid w:val="42302282"/>
    <w:rsid w:val="423326AD"/>
    <w:rsid w:val="42332D0E"/>
    <w:rsid w:val="423624FC"/>
    <w:rsid w:val="42373A7E"/>
    <w:rsid w:val="423D19F1"/>
    <w:rsid w:val="42424CFE"/>
    <w:rsid w:val="42471CEF"/>
    <w:rsid w:val="424A10F2"/>
    <w:rsid w:val="424D5DA1"/>
    <w:rsid w:val="42501A1A"/>
    <w:rsid w:val="42582C20"/>
    <w:rsid w:val="42657AB8"/>
    <w:rsid w:val="426D476E"/>
    <w:rsid w:val="426E5BBB"/>
    <w:rsid w:val="426F0E5D"/>
    <w:rsid w:val="426F5040"/>
    <w:rsid w:val="42884716"/>
    <w:rsid w:val="4289347A"/>
    <w:rsid w:val="42897A3C"/>
    <w:rsid w:val="428C3990"/>
    <w:rsid w:val="428D5AA5"/>
    <w:rsid w:val="42913B55"/>
    <w:rsid w:val="4293503B"/>
    <w:rsid w:val="42A45B81"/>
    <w:rsid w:val="42A92D69"/>
    <w:rsid w:val="42B32E6E"/>
    <w:rsid w:val="42B6681D"/>
    <w:rsid w:val="42B854CC"/>
    <w:rsid w:val="42B9456D"/>
    <w:rsid w:val="42C25DD0"/>
    <w:rsid w:val="42C3079D"/>
    <w:rsid w:val="42D1009C"/>
    <w:rsid w:val="42D27538"/>
    <w:rsid w:val="42D6311C"/>
    <w:rsid w:val="42DD7F29"/>
    <w:rsid w:val="42E22EF9"/>
    <w:rsid w:val="42ED18AA"/>
    <w:rsid w:val="42EE76D7"/>
    <w:rsid w:val="42EF2E19"/>
    <w:rsid w:val="42F05739"/>
    <w:rsid w:val="42F12E4D"/>
    <w:rsid w:val="42F63CE3"/>
    <w:rsid w:val="42FB51EC"/>
    <w:rsid w:val="43005F7B"/>
    <w:rsid w:val="43020E7C"/>
    <w:rsid w:val="430A03A4"/>
    <w:rsid w:val="430B1B5B"/>
    <w:rsid w:val="430C097F"/>
    <w:rsid w:val="43202009"/>
    <w:rsid w:val="43215D81"/>
    <w:rsid w:val="43272704"/>
    <w:rsid w:val="43315CF5"/>
    <w:rsid w:val="43332A0F"/>
    <w:rsid w:val="433566E5"/>
    <w:rsid w:val="43362005"/>
    <w:rsid w:val="434B30BB"/>
    <w:rsid w:val="43501EF0"/>
    <w:rsid w:val="436A7ADD"/>
    <w:rsid w:val="436E3AD1"/>
    <w:rsid w:val="436F5D28"/>
    <w:rsid w:val="43731B06"/>
    <w:rsid w:val="43755ABB"/>
    <w:rsid w:val="437A578F"/>
    <w:rsid w:val="437B1E64"/>
    <w:rsid w:val="43853EDC"/>
    <w:rsid w:val="438A1187"/>
    <w:rsid w:val="439B0835"/>
    <w:rsid w:val="439B1216"/>
    <w:rsid w:val="439D2D61"/>
    <w:rsid w:val="439D5EA4"/>
    <w:rsid w:val="439F4262"/>
    <w:rsid w:val="439F431A"/>
    <w:rsid w:val="43A71CED"/>
    <w:rsid w:val="43A85F79"/>
    <w:rsid w:val="43AA6323"/>
    <w:rsid w:val="43AA7C96"/>
    <w:rsid w:val="43B474A7"/>
    <w:rsid w:val="43B6488D"/>
    <w:rsid w:val="43B90B95"/>
    <w:rsid w:val="43B945E2"/>
    <w:rsid w:val="43CC0493"/>
    <w:rsid w:val="43CD413A"/>
    <w:rsid w:val="43CE6735"/>
    <w:rsid w:val="43D11002"/>
    <w:rsid w:val="43D31901"/>
    <w:rsid w:val="43D43BEC"/>
    <w:rsid w:val="43D853EC"/>
    <w:rsid w:val="43DB50A3"/>
    <w:rsid w:val="43E05048"/>
    <w:rsid w:val="43EB6B26"/>
    <w:rsid w:val="43ED5C55"/>
    <w:rsid w:val="43F22966"/>
    <w:rsid w:val="43F233D1"/>
    <w:rsid w:val="43F76D9E"/>
    <w:rsid w:val="43FB6A02"/>
    <w:rsid w:val="440601D0"/>
    <w:rsid w:val="44061DB1"/>
    <w:rsid w:val="4407160F"/>
    <w:rsid w:val="440C6060"/>
    <w:rsid w:val="44110508"/>
    <w:rsid w:val="44132468"/>
    <w:rsid w:val="4415794B"/>
    <w:rsid w:val="441A74A5"/>
    <w:rsid w:val="441A7DB9"/>
    <w:rsid w:val="441D1CBE"/>
    <w:rsid w:val="44200CC3"/>
    <w:rsid w:val="442157B5"/>
    <w:rsid w:val="44253123"/>
    <w:rsid w:val="442946B9"/>
    <w:rsid w:val="442B5176"/>
    <w:rsid w:val="442F61BB"/>
    <w:rsid w:val="443372CD"/>
    <w:rsid w:val="44366864"/>
    <w:rsid w:val="44505E3E"/>
    <w:rsid w:val="44516808"/>
    <w:rsid w:val="44526E30"/>
    <w:rsid w:val="44563EE7"/>
    <w:rsid w:val="445A2327"/>
    <w:rsid w:val="445B17AB"/>
    <w:rsid w:val="445D2180"/>
    <w:rsid w:val="446570E5"/>
    <w:rsid w:val="44752E9B"/>
    <w:rsid w:val="447D5AAD"/>
    <w:rsid w:val="44862B57"/>
    <w:rsid w:val="44865783"/>
    <w:rsid w:val="44874E00"/>
    <w:rsid w:val="44900F1E"/>
    <w:rsid w:val="44923024"/>
    <w:rsid w:val="449B0649"/>
    <w:rsid w:val="44A40E1A"/>
    <w:rsid w:val="44A64D57"/>
    <w:rsid w:val="44AA3784"/>
    <w:rsid w:val="44BB232B"/>
    <w:rsid w:val="44BB754D"/>
    <w:rsid w:val="44BE23DA"/>
    <w:rsid w:val="44C96C2A"/>
    <w:rsid w:val="44D602BB"/>
    <w:rsid w:val="44DC2EFC"/>
    <w:rsid w:val="44DE05FA"/>
    <w:rsid w:val="44DF0BD7"/>
    <w:rsid w:val="44DF403F"/>
    <w:rsid w:val="44E23BDA"/>
    <w:rsid w:val="44E57B37"/>
    <w:rsid w:val="44E8501F"/>
    <w:rsid w:val="44E861DB"/>
    <w:rsid w:val="44FE294F"/>
    <w:rsid w:val="45011CE2"/>
    <w:rsid w:val="45050ABD"/>
    <w:rsid w:val="45052416"/>
    <w:rsid w:val="450C05F2"/>
    <w:rsid w:val="4510435C"/>
    <w:rsid w:val="451532EB"/>
    <w:rsid w:val="451B4879"/>
    <w:rsid w:val="451E7FB5"/>
    <w:rsid w:val="452000DC"/>
    <w:rsid w:val="4524222D"/>
    <w:rsid w:val="452A56B9"/>
    <w:rsid w:val="452A5D68"/>
    <w:rsid w:val="452D6278"/>
    <w:rsid w:val="4530583A"/>
    <w:rsid w:val="45311CD4"/>
    <w:rsid w:val="45325912"/>
    <w:rsid w:val="454640EE"/>
    <w:rsid w:val="454A2265"/>
    <w:rsid w:val="454C620E"/>
    <w:rsid w:val="454D1AA7"/>
    <w:rsid w:val="454F52C2"/>
    <w:rsid w:val="455471F1"/>
    <w:rsid w:val="455A000C"/>
    <w:rsid w:val="455A7933"/>
    <w:rsid w:val="455C2BF6"/>
    <w:rsid w:val="455C3D86"/>
    <w:rsid w:val="45645135"/>
    <w:rsid w:val="45672409"/>
    <w:rsid w:val="456D44EA"/>
    <w:rsid w:val="457212B0"/>
    <w:rsid w:val="45742274"/>
    <w:rsid w:val="45753544"/>
    <w:rsid w:val="45786622"/>
    <w:rsid w:val="4579281E"/>
    <w:rsid w:val="457B779B"/>
    <w:rsid w:val="4580633F"/>
    <w:rsid w:val="4582398C"/>
    <w:rsid w:val="459024B5"/>
    <w:rsid w:val="459F56E4"/>
    <w:rsid w:val="459F7D47"/>
    <w:rsid w:val="45A024CD"/>
    <w:rsid w:val="45A57528"/>
    <w:rsid w:val="45B07E87"/>
    <w:rsid w:val="45B318A7"/>
    <w:rsid w:val="45B778DE"/>
    <w:rsid w:val="45BF3FDB"/>
    <w:rsid w:val="45C300E8"/>
    <w:rsid w:val="45CC7859"/>
    <w:rsid w:val="45D36E3B"/>
    <w:rsid w:val="45D87AB1"/>
    <w:rsid w:val="45DE47F2"/>
    <w:rsid w:val="45F82848"/>
    <w:rsid w:val="46012526"/>
    <w:rsid w:val="460618A4"/>
    <w:rsid w:val="46064DC8"/>
    <w:rsid w:val="460F74E6"/>
    <w:rsid w:val="461F7F83"/>
    <w:rsid w:val="46237CE9"/>
    <w:rsid w:val="462654EB"/>
    <w:rsid w:val="462D2EAC"/>
    <w:rsid w:val="462D66AE"/>
    <w:rsid w:val="462E43EA"/>
    <w:rsid w:val="463028B9"/>
    <w:rsid w:val="463818E0"/>
    <w:rsid w:val="463B20EA"/>
    <w:rsid w:val="463B30F0"/>
    <w:rsid w:val="463F68D5"/>
    <w:rsid w:val="46413777"/>
    <w:rsid w:val="464243D3"/>
    <w:rsid w:val="46426586"/>
    <w:rsid w:val="46463262"/>
    <w:rsid w:val="46482680"/>
    <w:rsid w:val="464B7CCF"/>
    <w:rsid w:val="465B17BF"/>
    <w:rsid w:val="466354CE"/>
    <w:rsid w:val="46687A77"/>
    <w:rsid w:val="466A596D"/>
    <w:rsid w:val="466B334E"/>
    <w:rsid w:val="46743825"/>
    <w:rsid w:val="467F126A"/>
    <w:rsid w:val="4681086F"/>
    <w:rsid w:val="468B2B5D"/>
    <w:rsid w:val="468B5DD5"/>
    <w:rsid w:val="468B6DCE"/>
    <w:rsid w:val="46913E2C"/>
    <w:rsid w:val="46975E99"/>
    <w:rsid w:val="469934A5"/>
    <w:rsid w:val="469C2D29"/>
    <w:rsid w:val="46A90F73"/>
    <w:rsid w:val="46AA22FD"/>
    <w:rsid w:val="46AA7236"/>
    <w:rsid w:val="46B24B7F"/>
    <w:rsid w:val="46BE1872"/>
    <w:rsid w:val="46C004E7"/>
    <w:rsid w:val="46C75F92"/>
    <w:rsid w:val="46CC3DDE"/>
    <w:rsid w:val="46CF06D1"/>
    <w:rsid w:val="46D20AA4"/>
    <w:rsid w:val="46D46261"/>
    <w:rsid w:val="46D97774"/>
    <w:rsid w:val="46DA04ED"/>
    <w:rsid w:val="46DF7E11"/>
    <w:rsid w:val="46E33800"/>
    <w:rsid w:val="46E57580"/>
    <w:rsid w:val="46EA7D16"/>
    <w:rsid w:val="46F20992"/>
    <w:rsid w:val="46F30F60"/>
    <w:rsid w:val="46F3789F"/>
    <w:rsid w:val="46FD4642"/>
    <w:rsid w:val="46FE0387"/>
    <w:rsid w:val="46FE3A18"/>
    <w:rsid w:val="47014A93"/>
    <w:rsid w:val="47015FB6"/>
    <w:rsid w:val="47021E73"/>
    <w:rsid w:val="470401AD"/>
    <w:rsid w:val="470A568D"/>
    <w:rsid w:val="471B151D"/>
    <w:rsid w:val="4723617A"/>
    <w:rsid w:val="473A1213"/>
    <w:rsid w:val="473D5E10"/>
    <w:rsid w:val="474C1F24"/>
    <w:rsid w:val="474C5834"/>
    <w:rsid w:val="475119E6"/>
    <w:rsid w:val="475877ED"/>
    <w:rsid w:val="475C3242"/>
    <w:rsid w:val="475F6D36"/>
    <w:rsid w:val="47651E99"/>
    <w:rsid w:val="476B47ED"/>
    <w:rsid w:val="4772507B"/>
    <w:rsid w:val="477265D1"/>
    <w:rsid w:val="47742A5B"/>
    <w:rsid w:val="477A1982"/>
    <w:rsid w:val="477E0363"/>
    <w:rsid w:val="478F1143"/>
    <w:rsid w:val="479A3A28"/>
    <w:rsid w:val="47A33F61"/>
    <w:rsid w:val="47A83771"/>
    <w:rsid w:val="47B361D0"/>
    <w:rsid w:val="47BD236D"/>
    <w:rsid w:val="47BD4DFA"/>
    <w:rsid w:val="47BD5DAE"/>
    <w:rsid w:val="47BE1543"/>
    <w:rsid w:val="47C25F22"/>
    <w:rsid w:val="47C4490C"/>
    <w:rsid w:val="47C75FE2"/>
    <w:rsid w:val="47DD5689"/>
    <w:rsid w:val="47E3378E"/>
    <w:rsid w:val="47E4507E"/>
    <w:rsid w:val="47EE3D61"/>
    <w:rsid w:val="47F04345"/>
    <w:rsid w:val="47F234D2"/>
    <w:rsid w:val="47F63AA0"/>
    <w:rsid w:val="48007474"/>
    <w:rsid w:val="48032F2C"/>
    <w:rsid w:val="48050B84"/>
    <w:rsid w:val="480C776E"/>
    <w:rsid w:val="48110535"/>
    <w:rsid w:val="481A2835"/>
    <w:rsid w:val="481B6062"/>
    <w:rsid w:val="48226EF7"/>
    <w:rsid w:val="48232D99"/>
    <w:rsid w:val="482371DE"/>
    <w:rsid w:val="48272BA5"/>
    <w:rsid w:val="482D5251"/>
    <w:rsid w:val="48352A40"/>
    <w:rsid w:val="483E525B"/>
    <w:rsid w:val="484401B4"/>
    <w:rsid w:val="48484797"/>
    <w:rsid w:val="484904A7"/>
    <w:rsid w:val="485B50FC"/>
    <w:rsid w:val="485C4251"/>
    <w:rsid w:val="4862306A"/>
    <w:rsid w:val="48694A01"/>
    <w:rsid w:val="48852E79"/>
    <w:rsid w:val="488E7DE7"/>
    <w:rsid w:val="48914F6C"/>
    <w:rsid w:val="4892601A"/>
    <w:rsid w:val="48963CAF"/>
    <w:rsid w:val="489A5D54"/>
    <w:rsid w:val="489C3EAF"/>
    <w:rsid w:val="489D2FF4"/>
    <w:rsid w:val="48A33CC9"/>
    <w:rsid w:val="48A45660"/>
    <w:rsid w:val="48AF476C"/>
    <w:rsid w:val="48B676BE"/>
    <w:rsid w:val="48BB6E53"/>
    <w:rsid w:val="48CB453C"/>
    <w:rsid w:val="48CE0C3E"/>
    <w:rsid w:val="48CF6B54"/>
    <w:rsid w:val="48D111E5"/>
    <w:rsid w:val="48D84ECA"/>
    <w:rsid w:val="48D8640E"/>
    <w:rsid w:val="48E72EBB"/>
    <w:rsid w:val="48F37816"/>
    <w:rsid w:val="48F40ED8"/>
    <w:rsid w:val="48FF2020"/>
    <w:rsid w:val="49002F15"/>
    <w:rsid w:val="4906445B"/>
    <w:rsid w:val="490708DD"/>
    <w:rsid w:val="490A71BE"/>
    <w:rsid w:val="490B24F3"/>
    <w:rsid w:val="49131429"/>
    <w:rsid w:val="49132559"/>
    <w:rsid w:val="49171246"/>
    <w:rsid w:val="492447C4"/>
    <w:rsid w:val="4929481B"/>
    <w:rsid w:val="492C7342"/>
    <w:rsid w:val="4930569C"/>
    <w:rsid w:val="49366430"/>
    <w:rsid w:val="49443516"/>
    <w:rsid w:val="49464E19"/>
    <w:rsid w:val="494712C1"/>
    <w:rsid w:val="49520049"/>
    <w:rsid w:val="495D02CD"/>
    <w:rsid w:val="495D1AA2"/>
    <w:rsid w:val="49666EBA"/>
    <w:rsid w:val="496C418E"/>
    <w:rsid w:val="49710B46"/>
    <w:rsid w:val="497151E2"/>
    <w:rsid w:val="49756FFA"/>
    <w:rsid w:val="49851239"/>
    <w:rsid w:val="498711DC"/>
    <w:rsid w:val="49883022"/>
    <w:rsid w:val="498A0F80"/>
    <w:rsid w:val="498A2FA7"/>
    <w:rsid w:val="498C31D9"/>
    <w:rsid w:val="498F7D0A"/>
    <w:rsid w:val="499019AF"/>
    <w:rsid w:val="49972C74"/>
    <w:rsid w:val="49976A07"/>
    <w:rsid w:val="499D190F"/>
    <w:rsid w:val="499F676A"/>
    <w:rsid w:val="49A15633"/>
    <w:rsid w:val="49A4205F"/>
    <w:rsid w:val="49B104E5"/>
    <w:rsid w:val="49B52C2E"/>
    <w:rsid w:val="49BD10D7"/>
    <w:rsid w:val="49BD49B2"/>
    <w:rsid w:val="49CC5CE5"/>
    <w:rsid w:val="49CE143A"/>
    <w:rsid w:val="49D037B4"/>
    <w:rsid w:val="49D27BAA"/>
    <w:rsid w:val="49D6660E"/>
    <w:rsid w:val="49DC3721"/>
    <w:rsid w:val="49DF1393"/>
    <w:rsid w:val="49E125D1"/>
    <w:rsid w:val="49E31A85"/>
    <w:rsid w:val="49E647CB"/>
    <w:rsid w:val="49EB47C4"/>
    <w:rsid w:val="49F03FCB"/>
    <w:rsid w:val="49FA26B5"/>
    <w:rsid w:val="49FA3C03"/>
    <w:rsid w:val="49FC6D22"/>
    <w:rsid w:val="4A0C3528"/>
    <w:rsid w:val="4A0D57E4"/>
    <w:rsid w:val="4A0F3CC3"/>
    <w:rsid w:val="4A186E98"/>
    <w:rsid w:val="4A192764"/>
    <w:rsid w:val="4A1D3659"/>
    <w:rsid w:val="4A242443"/>
    <w:rsid w:val="4A247178"/>
    <w:rsid w:val="4A253F1B"/>
    <w:rsid w:val="4A2B3F94"/>
    <w:rsid w:val="4A383F29"/>
    <w:rsid w:val="4A38700A"/>
    <w:rsid w:val="4A392E47"/>
    <w:rsid w:val="4A3D6153"/>
    <w:rsid w:val="4A431E29"/>
    <w:rsid w:val="4A4C3969"/>
    <w:rsid w:val="4A510A98"/>
    <w:rsid w:val="4A662BB8"/>
    <w:rsid w:val="4A673359"/>
    <w:rsid w:val="4A75030C"/>
    <w:rsid w:val="4A7849B7"/>
    <w:rsid w:val="4A8F776F"/>
    <w:rsid w:val="4A947535"/>
    <w:rsid w:val="4A9724C8"/>
    <w:rsid w:val="4AA45C4E"/>
    <w:rsid w:val="4AA82B5E"/>
    <w:rsid w:val="4AB62680"/>
    <w:rsid w:val="4AB65F07"/>
    <w:rsid w:val="4ABC3B96"/>
    <w:rsid w:val="4AC07382"/>
    <w:rsid w:val="4AC66BC3"/>
    <w:rsid w:val="4ACC444E"/>
    <w:rsid w:val="4ADA56EB"/>
    <w:rsid w:val="4AE150FD"/>
    <w:rsid w:val="4AE20F59"/>
    <w:rsid w:val="4AE42428"/>
    <w:rsid w:val="4AE5417C"/>
    <w:rsid w:val="4AE76919"/>
    <w:rsid w:val="4AEB02E9"/>
    <w:rsid w:val="4AF12A1E"/>
    <w:rsid w:val="4AFC63B3"/>
    <w:rsid w:val="4B026EC7"/>
    <w:rsid w:val="4B054F7F"/>
    <w:rsid w:val="4B0C553A"/>
    <w:rsid w:val="4B105429"/>
    <w:rsid w:val="4B181C10"/>
    <w:rsid w:val="4B297A04"/>
    <w:rsid w:val="4B373E8B"/>
    <w:rsid w:val="4B377E2C"/>
    <w:rsid w:val="4B3B149A"/>
    <w:rsid w:val="4B4348E2"/>
    <w:rsid w:val="4B445112"/>
    <w:rsid w:val="4B4902D1"/>
    <w:rsid w:val="4B4D3741"/>
    <w:rsid w:val="4B4F45D4"/>
    <w:rsid w:val="4B6D37DF"/>
    <w:rsid w:val="4B70003C"/>
    <w:rsid w:val="4B702280"/>
    <w:rsid w:val="4B732A00"/>
    <w:rsid w:val="4B7523A4"/>
    <w:rsid w:val="4B9232F1"/>
    <w:rsid w:val="4B9422CC"/>
    <w:rsid w:val="4B9A3F88"/>
    <w:rsid w:val="4BA66FBE"/>
    <w:rsid w:val="4BA87FEF"/>
    <w:rsid w:val="4BAE3E69"/>
    <w:rsid w:val="4BB543B5"/>
    <w:rsid w:val="4BBC0EC5"/>
    <w:rsid w:val="4BC01660"/>
    <w:rsid w:val="4BC51405"/>
    <w:rsid w:val="4BC66AD5"/>
    <w:rsid w:val="4BC85168"/>
    <w:rsid w:val="4BCD4BE8"/>
    <w:rsid w:val="4BD97757"/>
    <w:rsid w:val="4BE312F1"/>
    <w:rsid w:val="4BE37955"/>
    <w:rsid w:val="4BE93CEE"/>
    <w:rsid w:val="4BE95187"/>
    <w:rsid w:val="4BEF6183"/>
    <w:rsid w:val="4C003123"/>
    <w:rsid w:val="4C03514C"/>
    <w:rsid w:val="4C05541A"/>
    <w:rsid w:val="4C060C88"/>
    <w:rsid w:val="4C1045D6"/>
    <w:rsid w:val="4C1B4567"/>
    <w:rsid w:val="4C2328EB"/>
    <w:rsid w:val="4C2779DB"/>
    <w:rsid w:val="4C2B018F"/>
    <w:rsid w:val="4C2B6A14"/>
    <w:rsid w:val="4C302340"/>
    <w:rsid w:val="4C303912"/>
    <w:rsid w:val="4C352498"/>
    <w:rsid w:val="4C386950"/>
    <w:rsid w:val="4C397865"/>
    <w:rsid w:val="4C3D6321"/>
    <w:rsid w:val="4C4D5C4F"/>
    <w:rsid w:val="4C591C37"/>
    <w:rsid w:val="4C5E2126"/>
    <w:rsid w:val="4C600812"/>
    <w:rsid w:val="4C6B45BB"/>
    <w:rsid w:val="4C752795"/>
    <w:rsid w:val="4C7A003F"/>
    <w:rsid w:val="4C7D4D24"/>
    <w:rsid w:val="4C846522"/>
    <w:rsid w:val="4C885B45"/>
    <w:rsid w:val="4C8E6F18"/>
    <w:rsid w:val="4C9328F1"/>
    <w:rsid w:val="4C941743"/>
    <w:rsid w:val="4C980F85"/>
    <w:rsid w:val="4C984116"/>
    <w:rsid w:val="4C993116"/>
    <w:rsid w:val="4C9A2961"/>
    <w:rsid w:val="4C9B1A86"/>
    <w:rsid w:val="4C9E4637"/>
    <w:rsid w:val="4CA7474A"/>
    <w:rsid w:val="4CAC352F"/>
    <w:rsid w:val="4CAC73F7"/>
    <w:rsid w:val="4CB43DD1"/>
    <w:rsid w:val="4CB72CDB"/>
    <w:rsid w:val="4CBB67C6"/>
    <w:rsid w:val="4CBC4EB3"/>
    <w:rsid w:val="4CBC61F3"/>
    <w:rsid w:val="4CBD61D0"/>
    <w:rsid w:val="4CC97AC5"/>
    <w:rsid w:val="4CCD2E17"/>
    <w:rsid w:val="4CD54323"/>
    <w:rsid w:val="4CD74765"/>
    <w:rsid w:val="4CE35ED3"/>
    <w:rsid w:val="4CE92019"/>
    <w:rsid w:val="4CEE450C"/>
    <w:rsid w:val="4CF26CD7"/>
    <w:rsid w:val="4CF54283"/>
    <w:rsid w:val="4D086849"/>
    <w:rsid w:val="4D0A267E"/>
    <w:rsid w:val="4D150150"/>
    <w:rsid w:val="4D154169"/>
    <w:rsid w:val="4D156217"/>
    <w:rsid w:val="4D172524"/>
    <w:rsid w:val="4D1C5529"/>
    <w:rsid w:val="4D1D0A34"/>
    <w:rsid w:val="4D1D4C2C"/>
    <w:rsid w:val="4D2C5F02"/>
    <w:rsid w:val="4D2D3FC6"/>
    <w:rsid w:val="4D311CC0"/>
    <w:rsid w:val="4D3609B4"/>
    <w:rsid w:val="4D391D20"/>
    <w:rsid w:val="4D4439C3"/>
    <w:rsid w:val="4D584855"/>
    <w:rsid w:val="4D5B3D0A"/>
    <w:rsid w:val="4D5F6BD2"/>
    <w:rsid w:val="4D702814"/>
    <w:rsid w:val="4D761835"/>
    <w:rsid w:val="4D8F0C08"/>
    <w:rsid w:val="4D8F4C3F"/>
    <w:rsid w:val="4D95082A"/>
    <w:rsid w:val="4D9D7267"/>
    <w:rsid w:val="4D9E38B8"/>
    <w:rsid w:val="4DA271DA"/>
    <w:rsid w:val="4DAA7AA6"/>
    <w:rsid w:val="4DAF699B"/>
    <w:rsid w:val="4DB46255"/>
    <w:rsid w:val="4DBE3167"/>
    <w:rsid w:val="4DC05A6B"/>
    <w:rsid w:val="4DC24691"/>
    <w:rsid w:val="4DCF7961"/>
    <w:rsid w:val="4DD80DFC"/>
    <w:rsid w:val="4DD95466"/>
    <w:rsid w:val="4DE77DBF"/>
    <w:rsid w:val="4DE832FD"/>
    <w:rsid w:val="4DEA2120"/>
    <w:rsid w:val="4DEC0AF5"/>
    <w:rsid w:val="4DF34ABA"/>
    <w:rsid w:val="4DF679F5"/>
    <w:rsid w:val="4DF711A0"/>
    <w:rsid w:val="4DFB7620"/>
    <w:rsid w:val="4DFD7052"/>
    <w:rsid w:val="4E0003C9"/>
    <w:rsid w:val="4E1121C2"/>
    <w:rsid w:val="4E113F9E"/>
    <w:rsid w:val="4E18344A"/>
    <w:rsid w:val="4E234BF5"/>
    <w:rsid w:val="4E2668BF"/>
    <w:rsid w:val="4E2754EF"/>
    <w:rsid w:val="4E27635F"/>
    <w:rsid w:val="4E287833"/>
    <w:rsid w:val="4E33443C"/>
    <w:rsid w:val="4E3531F3"/>
    <w:rsid w:val="4E353538"/>
    <w:rsid w:val="4E3C7589"/>
    <w:rsid w:val="4E445716"/>
    <w:rsid w:val="4E47183D"/>
    <w:rsid w:val="4E490790"/>
    <w:rsid w:val="4E557D33"/>
    <w:rsid w:val="4E5F1837"/>
    <w:rsid w:val="4E601E59"/>
    <w:rsid w:val="4E6250F1"/>
    <w:rsid w:val="4E662852"/>
    <w:rsid w:val="4E6F2BAD"/>
    <w:rsid w:val="4E754492"/>
    <w:rsid w:val="4E780182"/>
    <w:rsid w:val="4E790A1F"/>
    <w:rsid w:val="4E79629A"/>
    <w:rsid w:val="4E8227C6"/>
    <w:rsid w:val="4E8308FA"/>
    <w:rsid w:val="4E876730"/>
    <w:rsid w:val="4E952238"/>
    <w:rsid w:val="4E9729C0"/>
    <w:rsid w:val="4E9B2873"/>
    <w:rsid w:val="4E9B7C1A"/>
    <w:rsid w:val="4EA50B52"/>
    <w:rsid w:val="4EA65F77"/>
    <w:rsid w:val="4EA77D06"/>
    <w:rsid w:val="4EB07F21"/>
    <w:rsid w:val="4EB4258F"/>
    <w:rsid w:val="4EB52EEB"/>
    <w:rsid w:val="4EB7660E"/>
    <w:rsid w:val="4EB837E0"/>
    <w:rsid w:val="4EC30154"/>
    <w:rsid w:val="4EC8569B"/>
    <w:rsid w:val="4ED12EEC"/>
    <w:rsid w:val="4ED13886"/>
    <w:rsid w:val="4ED174E5"/>
    <w:rsid w:val="4ED543D6"/>
    <w:rsid w:val="4EDF34B6"/>
    <w:rsid w:val="4EE151AC"/>
    <w:rsid w:val="4EE33942"/>
    <w:rsid w:val="4EE45C74"/>
    <w:rsid w:val="4EE543D4"/>
    <w:rsid w:val="4EE567E7"/>
    <w:rsid w:val="4EF13987"/>
    <w:rsid w:val="4EF87A7D"/>
    <w:rsid w:val="4EFB1BAA"/>
    <w:rsid w:val="4EFB37B2"/>
    <w:rsid w:val="4EFD352F"/>
    <w:rsid w:val="4F00156D"/>
    <w:rsid w:val="4F084E38"/>
    <w:rsid w:val="4F0E00F3"/>
    <w:rsid w:val="4F20442B"/>
    <w:rsid w:val="4F233CA1"/>
    <w:rsid w:val="4F2B2E2D"/>
    <w:rsid w:val="4F2C5DF2"/>
    <w:rsid w:val="4F361F41"/>
    <w:rsid w:val="4F3C7C22"/>
    <w:rsid w:val="4F3D5FD4"/>
    <w:rsid w:val="4F403F75"/>
    <w:rsid w:val="4F467D42"/>
    <w:rsid w:val="4F47007E"/>
    <w:rsid w:val="4F47683E"/>
    <w:rsid w:val="4F4D205C"/>
    <w:rsid w:val="4F4D4D18"/>
    <w:rsid w:val="4F502A5E"/>
    <w:rsid w:val="4F5E3877"/>
    <w:rsid w:val="4F5F422B"/>
    <w:rsid w:val="4F614C2F"/>
    <w:rsid w:val="4F6944D0"/>
    <w:rsid w:val="4F6C5E68"/>
    <w:rsid w:val="4F713880"/>
    <w:rsid w:val="4F835D9B"/>
    <w:rsid w:val="4F873435"/>
    <w:rsid w:val="4F9729CA"/>
    <w:rsid w:val="4F9B5F94"/>
    <w:rsid w:val="4F9D1D3E"/>
    <w:rsid w:val="4F9D3EF2"/>
    <w:rsid w:val="4F9D61B1"/>
    <w:rsid w:val="4F9E3D1C"/>
    <w:rsid w:val="4FA2593B"/>
    <w:rsid w:val="4FA33634"/>
    <w:rsid w:val="4FAC0926"/>
    <w:rsid w:val="4FB676E4"/>
    <w:rsid w:val="4FB73DCC"/>
    <w:rsid w:val="4FB740E4"/>
    <w:rsid w:val="4FBB6D2A"/>
    <w:rsid w:val="4FC344ED"/>
    <w:rsid w:val="4FC64A4D"/>
    <w:rsid w:val="4FDC0D46"/>
    <w:rsid w:val="4FDD7637"/>
    <w:rsid w:val="4FE414ED"/>
    <w:rsid w:val="4FEC3444"/>
    <w:rsid w:val="4FF317D3"/>
    <w:rsid w:val="4FF55586"/>
    <w:rsid w:val="500C231D"/>
    <w:rsid w:val="500E6AB2"/>
    <w:rsid w:val="500E7E6C"/>
    <w:rsid w:val="50170722"/>
    <w:rsid w:val="50181414"/>
    <w:rsid w:val="501933E5"/>
    <w:rsid w:val="50193CB6"/>
    <w:rsid w:val="501C0A1E"/>
    <w:rsid w:val="501D1654"/>
    <w:rsid w:val="50286EA8"/>
    <w:rsid w:val="502B190E"/>
    <w:rsid w:val="502B4507"/>
    <w:rsid w:val="50357444"/>
    <w:rsid w:val="503D250F"/>
    <w:rsid w:val="504304E2"/>
    <w:rsid w:val="504E0C42"/>
    <w:rsid w:val="50507765"/>
    <w:rsid w:val="5052462A"/>
    <w:rsid w:val="505740FE"/>
    <w:rsid w:val="50581ACE"/>
    <w:rsid w:val="507773BA"/>
    <w:rsid w:val="50960D02"/>
    <w:rsid w:val="50995819"/>
    <w:rsid w:val="509C5253"/>
    <w:rsid w:val="509E2B82"/>
    <w:rsid w:val="50A367A9"/>
    <w:rsid w:val="50AB5428"/>
    <w:rsid w:val="50B94086"/>
    <w:rsid w:val="50BD2E92"/>
    <w:rsid w:val="50BE5E81"/>
    <w:rsid w:val="50BE66DD"/>
    <w:rsid w:val="50C138E6"/>
    <w:rsid w:val="50C440B4"/>
    <w:rsid w:val="50C81706"/>
    <w:rsid w:val="50C845F7"/>
    <w:rsid w:val="50CE6E39"/>
    <w:rsid w:val="50D02532"/>
    <w:rsid w:val="50D20DD4"/>
    <w:rsid w:val="50D97A56"/>
    <w:rsid w:val="50DF07DC"/>
    <w:rsid w:val="50EB18A8"/>
    <w:rsid w:val="50F33C67"/>
    <w:rsid w:val="50FA79A3"/>
    <w:rsid w:val="50FC5B21"/>
    <w:rsid w:val="50FE0D86"/>
    <w:rsid w:val="51070F35"/>
    <w:rsid w:val="51140FD0"/>
    <w:rsid w:val="51185622"/>
    <w:rsid w:val="51197065"/>
    <w:rsid w:val="51236652"/>
    <w:rsid w:val="512430AF"/>
    <w:rsid w:val="512F6767"/>
    <w:rsid w:val="51310057"/>
    <w:rsid w:val="5136440C"/>
    <w:rsid w:val="514E7302"/>
    <w:rsid w:val="514F398F"/>
    <w:rsid w:val="51530083"/>
    <w:rsid w:val="51565222"/>
    <w:rsid w:val="51617352"/>
    <w:rsid w:val="51631C12"/>
    <w:rsid w:val="51666C35"/>
    <w:rsid w:val="51680C32"/>
    <w:rsid w:val="51693E8C"/>
    <w:rsid w:val="516B0251"/>
    <w:rsid w:val="516E0824"/>
    <w:rsid w:val="516E26C8"/>
    <w:rsid w:val="51736313"/>
    <w:rsid w:val="517B23D6"/>
    <w:rsid w:val="517C37C7"/>
    <w:rsid w:val="517F0F47"/>
    <w:rsid w:val="517F2F62"/>
    <w:rsid w:val="5183138E"/>
    <w:rsid w:val="518B77A8"/>
    <w:rsid w:val="51922693"/>
    <w:rsid w:val="519B517D"/>
    <w:rsid w:val="519B5CB1"/>
    <w:rsid w:val="51A273BD"/>
    <w:rsid w:val="51A66C1A"/>
    <w:rsid w:val="51A7673B"/>
    <w:rsid w:val="51A957E6"/>
    <w:rsid w:val="51AB3A0A"/>
    <w:rsid w:val="51AD1CB4"/>
    <w:rsid w:val="51AD53C7"/>
    <w:rsid w:val="51C03B03"/>
    <w:rsid w:val="51CB7803"/>
    <w:rsid w:val="51D17B07"/>
    <w:rsid w:val="51D256F4"/>
    <w:rsid w:val="51D30775"/>
    <w:rsid w:val="51E27E6A"/>
    <w:rsid w:val="51F33168"/>
    <w:rsid w:val="51F53B16"/>
    <w:rsid w:val="51F63E1E"/>
    <w:rsid w:val="51F729E5"/>
    <w:rsid w:val="51FE7DB9"/>
    <w:rsid w:val="520D02B4"/>
    <w:rsid w:val="521F1954"/>
    <w:rsid w:val="52233623"/>
    <w:rsid w:val="522646AE"/>
    <w:rsid w:val="522743C9"/>
    <w:rsid w:val="52332B2C"/>
    <w:rsid w:val="523764DF"/>
    <w:rsid w:val="52473E73"/>
    <w:rsid w:val="524868D8"/>
    <w:rsid w:val="52493C7E"/>
    <w:rsid w:val="524C49A3"/>
    <w:rsid w:val="52573B9B"/>
    <w:rsid w:val="525917D9"/>
    <w:rsid w:val="525F42C0"/>
    <w:rsid w:val="527F46F3"/>
    <w:rsid w:val="52812BD7"/>
    <w:rsid w:val="52873F18"/>
    <w:rsid w:val="52982384"/>
    <w:rsid w:val="529C7020"/>
    <w:rsid w:val="52AD26CE"/>
    <w:rsid w:val="52BA4B18"/>
    <w:rsid w:val="52C64726"/>
    <w:rsid w:val="52C8018E"/>
    <w:rsid w:val="52CC4F64"/>
    <w:rsid w:val="52CD64ED"/>
    <w:rsid w:val="52CF716C"/>
    <w:rsid w:val="52D012E9"/>
    <w:rsid w:val="52D33212"/>
    <w:rsid w:val="52D60BA3"/>
    <w:rsid w:val="52DF24C0"/>
    <w:rsid w:val="52E42561"/>
    <w:rsid w:val="52E73D07"/>
    <w:rsid w:val="52ED021A"/>
    <w:rsid w:val="52F104AF"/>
    <w:rsid w:val="52F40DE9"/>
    <w:rsid w:val="52F43400"/>
    <w:rsid w:val="52FC2242"/>
    <w:rsid w:val="52FF15A1"/>
    <w:rsid w:val="5303129A"/>
    <w:rsid w:val="53082896"/>
    <w:rsid w:val="53097008"/>
    <w:rsid w:val="530C5219"/>
    <w:rsid w:val="5311597E"/>
    <w:rsid w:val="531236F9"/>
    <w:rsid w:val="53126D86"/>
    <w:rsid w:val="531A097B"/>
    <w:rsid w:val="531A0D27"/>
    <w:rsid w:val="531F1BD4"/>
    <w:rsid w:val="531F24A0"/>
    <w:rsid w:val="532C27FE"/>
    <w:rsid w:val="532F40C6"/>
    <w:rsid w:val="53361E63"/>
    <w:rsid w:val="53386BC8"/>
    <w:rsid w:val="53405DC4"/>
    <w:rsid w:val="53416FF2"/>
    <w:rsid w:val="53456B57"/>
    <w:rsid w:val="53463CD4"/>
    <w:rsid w:val="534A24C1"/>
    <w:rsid w:val="53550480"/>
    <w:rsid w:val="53551C3F"/>
    <w:rsid w:val="536B2A0A"/>
    <w:rsid w:val="536C1D18"/>
    <w:rsid w:val="53702486"/>
    <w:rsid w:val="53811D40"/>
    <w:rsid w:val="5384072C"/>
    <w:rsid w:val="538521AC"/>
    <w:rsid w:val="538A5A17"/>
    <w:rsid w:val="53936A08"/>
    <w:rsid w:val="53943F18"/>
    <w:rsid w:val="53A86B22"/>
    <w:rsid w:val="53B71BEE"/>
    <w:rsid w:val="53B85807"/>
    <w:rsid w:val="53BC78C8"/>
    <w:rsid w:val="53BE1247"/>
    <w:rsid w:val="53C357F3"/>
    <w:rsid w:val="53C725EE"/>
    <w:rsid w:val="53C768F0"/>
    <w:rsid w:val="53D63CF8"/>
    <w:rsid w:val="53EB2CBE"/>
    <w:rsid w:val="53EF5503"/>
    <w:rsid w:val="53F060AC"/>
    <w:rsid w:val="53F1708B"/>
    <w:rsid w:val="53F5309E"/>
    <w:rsid w:val="53FE1EC5"/>
    <w:rsid w:val="540A1C46"/>
    <w:rsid w:val="541225B6"/>
    <w:rsid w:val="54163E63"/>
    <w:rsid w:val="541F0995"/>
    <w:rsid w:val="54211294"/>
    <w:rsid w:val="54231E53"/>
    <w:rsid w:val="54253141"/>
    <w:rsid w:val="54281565"/>
    <w:rsid w:val="542844FD"/>
    <w:rsid w:val="54287E1B"/>
    <w:rsid w:val="542E4DE0"/>
    <w:rsid w:val="542F0744"/>
    <w:rsid w:val="543567C8"/>
    <w:rsid w:val="543D77A6"/>
    <w:rsid w:val="54404D60"/>
    <w:rsid w:val="54452B6D"/>
    <w:rsid w:val="54461D49"/>
    <w:rsid w:val="54477BB9"/>
    <w:rsid w:val="54496617"/>
    <w:rsid w:val="544978AC"/>
    <w:rsid w:val="544A12B7"/>
    <w:rsid w:val="545C7C14"/>
    <w:rsid w:val="54602D3D"/>
    <w:rsid w:val="5462578C"/>
    <w:rsid w:val="54661356"/>
    <w:rsid w:val="54682D25"/>
    <w:rsid w:val="546A367E"/>
    <w:rsid w:val="547907F0"/>
    <w:rsid w:val="54807A9B"/>
    <w:rsid w:val="548B0A7F"/>
    <w:rsid w:val="548C3226"/>
    <w:rsid w:val="548D612F"/>
    <w:rsid w:val="549611C7"/>
    <w:rsid w:val="54965CFF"/>
    <w:rsid w:val="549B4DB8"/>
    <w:rsid w:val="54A02C27"/>
    <w:rsid w:val="54A63FB0"/>
    <w:rsid w:val="54A67A35"/>
    <w:rsid w:val="54B8209D"/>
    <w:rsid w:val="54BB2E94"/>
    <w:rsid w:val="54BB5E67"/>
    <w:rsid w:val="54CB7780"/>
    <w:rsid w:val="54CD0D3A"/>
    <w:rsid w:val="54D25903"/>
    <w:rsid w:val="54D46E00"/>
    <w:rsid w:val="54D53B9C"/>
    <w:rsid w:val="54D55A34"/>
    <w:rsid w:val="54D64A22"/>
    <w:rsid w:val="54D70B42"/>
    <w:rsid w:val="54D87D5B"/>
    <w:rsid w:val="54D95C80"/>
    <w:rsid w:val="54DD475C"/>
    <w:rsid w:val="54E21663"/>
    <w:rsid w:val="54E71A9D"/>
    <w:rsid w:val="54E7735C"/>
    <w:rsid w:val="54E84190"/>
    <w:rsid w:val="54ED79AB"/>
    <w:rsid w:val="54EE6D71"/>
    <w:rsid w:val="54F21541"/>
    <w:rsid w:val="54F63F7F"/>
    <w:rsid w:val="54FC0B56"/>
    <w:rsid w:val="5508330F"/>
    <w:rsid w:val="551518CC"/>
    <w:rsid w:val="55172F52"/>
    <w:rsid w:val="551869BF"/>
    <w:rsid w:val="55191054"/>
    <w:rsid w:val="551F78F3"/>
    <w:rsid w:val="55282BDF"/>
    <w:rsid w:val="553412FD"/>
    <w:rsid w:val="55361813"/>
    <w:rsid w:val="553D3100"/>
    <w:rsid w:val="55412463"/>
    <w:rsid w:val="554155F5"/>
    <w:rsid w:val="5542737E"/>
    <w:rsid w:val="555B1E6C"/>
    <w:rsid w:val="555D20A2"/>
    <w:rsid w:val="55682092"/>
    <w:rsid w:val="556875A2"/>
    <w:rsid w:val="5578507D"/>
    <w:rsid w:val="558013C6"/>
    <w:rsid w:val="55803ABC"/>
    <w:rsid w:val="55827329"/>
    <w:rsid w:val="55845872"/>
    <w:rsid w:val="558C3A16"/>
    <w:rsid w:val="55944F9F"/>
    <w:rsid w:val="559614DA"/>
    <w:rsid w:val="559E60B9"/>
    <w:rsid w:val="55A1602E"/>
    <w:rsid w:val="55A445C0"/>
    <w:rsid w:val="55B8469D"/>
    <w:rsid w:val="55B960DE"/>
    <w:rsid w:val="55BB7396"/>
    <w:rsid w:val="55BF1479"/>
    <w:rsid w:val="55C249B0"/>
    <w:rsid w:val="55C30AC9"/>
    <w:rsid w:val="55C4637C"/>
    <w:rsid w:val="55C46BEC"/>
    <w:rsid w:val="55CB7B8A"/>
    <w:rsid w:val="55CE5E03"/>
    <w:rsid w:val="55CE77C6"/>
    <w:rsid w:val="55D0161A"/>
    <w:rsid w:val="55D2774D"/>
    <w:rsid w:val="55E233A1"/>
    <w:rsid w:val="55E91F48"/>
    <w:rsid w:val="55EA63C3"/>
    <w:rsid w:val="55F02C51"/>
    <w:rsid w:val="55F10902"/>
    <w:rsid w:val="55F136A3"/>
    <w:rsid w:val="55F50396"/>
    <w:rsid w:val="55F76444"/>
    <w:rsid w:val="55F92B93"/>
    <w:rsid w:val="560B1D9C"/>
    <w:rsid w:val="560F7B0E"/>
    <w:rsid w:val="5612630D"/>
    <w:rsid w:val="56153A8C"/>
    <w:rsid w:val="561A44C2"/>
    <w:rsid w:val="561B7E53"/>
    <w:rsid w:val="561E31B2"/>
    <w:rsid w:val="562C5B48"/>
    <w:rsid w:val="562E2EB1"/>
    <w:rsid w:val="56354946"/>
    <w:rsid w:val="563F5F7D"/>
    <w:rsid w:val="56444433"/>
    <w:rsid w:val="5646799C"/>
    <w:rsid w:val="564E6368"/>
    <w:rsid w:val="56521689"/>
    <w:rsid w:val="565B063C"/>
    <w:rsid w:val="565F1B17"/>
    <w:rsid w:val="56654489"/>
    <w:rsid w:val="5665666D"/>
    <w:rsid w:val="56685660"/>
    <w:rsid w:val="56720E4C"/>
    <w:rsid w:val="56750583"/>
    <w:rsid w:val="567A7740"/>
    <w:rsid w:val="5680594A"/>
    <w:rsid w:val="568D32A2"/>
    <w:rsid w:val="568F4FC4"/>
    <w:rsid w:val="56A21BC1"/>
    <w:rsid w:val="56A71481"/>
    <w:rsid w:val="56A7746F"/>
    <w:rsid w:val="56AB1F0E"/>
    <w:rsid w:val="56AD398B"/>
    <w:rsid w:val="56B00813"/>
    <w:rsid w:val="56B24866"/>
    <w:rsid w:val="56B80149"/>
    <w:rsid w:val="56BF143C"/>
    <w:rsid w:val="56C04BFA"/>
    <w:rsid w:val="56C7557D"/>
    <w:rsid w:val="56CA034F"/>
    <w:rsid w:val="56CE40C2"/>
    <w:rsid w:val="56D60D95"/>
    <w:rsid w:val="56D67AC9"/>
    <w:rsid w:val="56DE7126"/>
    <w:rsid w:val="56E00D10"/>
    <w:rsid w:val="56E0560F"/>
    <w:rsid w:val="56E057C3"/>
    <w:rsid w:val="56E35A9D"/>
    <w:rsid w:val="56E376E1"/>
    <w:rsid w:val="56F24A66"/>
    <w:rsid w:val="56FC0BE6"/>
    <w:rsid w:val="57093A46"/>
    <w:rsid w:val="570C5F6E"/>
    <w:rsid w:val="570F0440"/>
    <w:rsid w:val="57130121"/>
    <w:rsid w:val="57151DFE"/>
    <w:rsid w:val="571F6DEF"/>
    <w:rsid w:val="57207C23"/>
    <w:rsid w:val="57256ED1"/>
    <w:rsid w:val="57286468"/>
    <w:rsid w:val="573152D2"/>
    <w:rsid w:val="57323BE6"/>
    <w:rsid w:val="57327067"/>
    <w:rsid w:val="57397DEB"/>
    <w:rsid w:val="57487DF1"/>
    <w:rsid w:val="574A2D83"/>
    <w:rsid w:val="57503CCA"/>
    <w:rsid w:val="575A6093"/>
    <w:rsid w:val="575D005D"/>
    <w:rsid w:val="57611B9F"/>
    <w:rsid w:val="57632E92"/>
    <w:rsid w:val="576E116D"/>
    <w:rsid w:val="57751605"/>
    <w:rsid w:val="57777550"/>
    <w:rsid w:val="57850A96"/>
    <w:rsid w:val="579C25D9"/>
    <w:rsid w:val="57A627FD"/>
    <w:rsid w:val="57A64955"/>
    <w:rsid w:val="57A9031A"/>
    <w:rsid w:val="57AF69EC"/>
    <w:rsid w:val="57B342E5"/>
    <w:rsid w:val="57B57081"/>
    <w:rsid w:val="57B7572D"/>
    <w:rsid w:val="57BD7FE8"/>
    <w:rsid w:val="57BF6ADF"/>
    <w:rsid w:val="57C807D3"/>
    <w:rsid w:val="57CE5D1D"/>
    <w:rsid w:val="57E961BC"/>
    <w:rsid w:val="57EC7E8D"/>
    <w:rsid w:val="5806474C"/>
    <w:rsid w:val="580B6FA1"/>
    <w:rsid w:val="580C7D39"/>
    <w:rsid w:val="58111458"/>
    <w:rsid w:val="5816731D"/>
    <w:rsid w:val="581B6C38"/>
    <w:rsid w:val="58242F37"/>
    <w:rsid w:val="582474B7"/>
    <w:rsid w:val="582B23E9"/>
    <w:rsid w:val="5830081F"/>
    <w:rsid w:val="58357126"/>
    <w:rsid w:val="584038B2"/>
    <w:rsid w:val="58543033"/>
    <w:rsid w:val="58551A30"/>
    <w:rsid w:val="585728E5"/>
    <w:rsid w:val="585C3081"/>
    <w:rsid w:val="585C31CF"/>
    <w:rsid w:val="586656C9"/>
    <w:rsid w:val="586F587B"/>
    <w:rsid w:val="58703A7F"/>
    <w:rsid w:val="587136EA"/>
    <w:rsid w:val="587145DA"/>
    <w:rsid w:val="58737B23"/>
    <w:rsid w:val="587B201D"/>
    <w:rsid w:val="588723F0"/>
    <w:rsid w:val="58882925"/>
    <w:rsid w:val="588A0C73"/>
    <w:rsid w:val="588A4D29"/>
    <w:rsid w:val="589954F9"/>
    <w:rsid w:val="58A55739"/>
    <w:rsid w:val="58A77CE5"/>
    <w:rsid w:val="58AB7112"/>
    <w:rsid w:val="58B1018F"/>
    <w:rsid w:val="58C10905"/>
    <w:rsid w:val="58CC2F8A"/>
    <w:rsid w:val="58D26272"/>
    <w:rsid w:val="58D57EEE"/>
    <w:rsid w:val="58D95A0B"/>
    <w:rsid w:val="58DC6738"/>
    <w:rsid w:val="58DE0FB9"/>
    <w:rsid w:val="58E02195"/>
    <w:rsid w:val="58E05BD6"/>
    <w:rsid w:val="58E56AAA"/>
    <w:rsid w:val="58E653C4"/>
    <w:rsid w:val="58E7679B"/>
    <w:rsid w:val="58E83D3B"/>
    <w:rsid w:val="58E936FC"/>
    <w:rsid w:val="58E96C95"/>
    <w:rsid w:val="58EB633F"/>
    <w:rsid w:val="58EE1460"/>
    <w:rsid w:val="58F11887"/>
    <w:rsid w:val="58FB2FB6"/>
    <w:rsid w:val="590465F0"/>
    <w:rsid w:val="590803D1"/>
    <w:rsid w:val="59095B94"/>
    <w:rsid w:val="590A1C3B"/>
    <w:rsid w:val="591175AA"/>
    <w:rsid w:val="591A5FCA"/>
    <w:rsid w:val="59231866"/>
    <w:rsid w:val="593341F0"/>
    <w:rsid w:val="593D2B9A"/>
    <w:rsid w:val="593F2815"/>
    <w:rsid w:val="59477C70"/>
    <w:rsid w:val="5948465A"/>
    <w:rsid w:val="5952613A"/>
    <w:rsid w:val="59547E01"/>
    <w:rsid w:val="595C025D"/>
    <w:rsid w:val="595C407C"/>
    <w:rsid w:val="59673555"/>
    <w:rsid w:val="596750BA"/>
    <w:rsid w:val="59691D21"/>
    <w:rsid w:val="59732B99"/>
    <w:rsid w:val="597F2B0E"/>
    <w:rsid w:val="59842761"/>
    <w:rsid w:val="59874010"/>
    <w:rsid w:val="59887771"/>
    <w:rsid w:val="59924FDD"/>
    <w:rsid w:val="5992779A"/>
    <w:rsid w:val="59990040"/>
    <w:rsid w:val="599A2964"/>
    <w:rsid w:val="59A11A8F"/>
    <w:rsid w:val="59A217D6"/>
    <w:rsid w:val="59A6010D"/>
    <w:rsid w:val="59AB20B6"/>
    <w:rsid w:val="59B4507F"/>
    <w:rsid w:val="59B849E7"/>
    <w:rsid w:val="59BC70C5"/>
    <w:rsid w:val="59C92E83"/>
    <w:rsid w:val="59D5142C"/>
    <w:rsid w:val="59D825BF"/>
    <w:rsid w:val="59DA1C80"/>
    <w:rsid w:val="59DC43A3"/>
    <w:rsid w:val="59DE3957"/>
    <w:rsid w:val="59E9375F"/>
    <w:rsid w:val="59ED333B"/>
    <w:rsid w:val="59EE66E7"/>
    <w:rsid w:val="59F2266B"/>
    <w:rsid w:val="59F721D1"/>
    <w:rsid w:val="5A060D6A"/>
    <w:rsid w:val="5A0A3945"/>
    <w:rsid w:val="5A0B0822"/>
    <w:rsid w:val="5A0F66FF"/>
    <w:rsid w:val="5A131835"/>
    <w:rsid w:val="5A1D15B0"/>
    <w:rsid w:val="5A1D1722"/>
    <w:rsid w:val="5A1D5AF2"/>
    <w:rsid w:val="5A234A8D"/>
    <w:rsid w:val="5A2E5EBF"/>
    <w:rsid w:val="5A3340DC"/>
    <w:rsid w:val="5A3F66D6"/>
    <w:rsid w:val="5A484F0E"/>
    <w:rsid w:val="5A4A40AA"/>
    <w:rsid w:val="5A506939"/>
    <w:rsid w:val="5A52127B"/>
    <w:rsid w:val="5A5B60E6"/>
    <w:rsid w:val="5A5C0627"/>
    <w:rsid w:val="5A5C441C"/>
    <w:rsid w:val="5A605C18"/>
    <w:rsid w:val="5A634F72"/>
    <w:rsid w:val="5A722807"/>
    <w:rsid w:val="5A73231F"/>
    <w:rsid w:val="5A7421A8"/>
    <w:rsid w:val="5A7830D6"/>
    <w:rsid w:val="5A785FFE"/>
    <w:rsid w:val="5A7D651B"/>
    <w:rsid w:val="5A8E29AE"/>
    <w:rsid w:val="5A96676D"/>
    <w:rsid w:val="5A9941E3"/>
    <w:rsid w:val="5A9B7112"/>
    <w:rsid w:val="5AA121A4"/>
    <w:rsid w:val="5AA64777"/>
    <w:rsid w:val="5AAA10C5"/>
    <w:rsid w:val="5AAE59E0"/>
    <w:rsid w:val="5AB64E82"/>
    <w:rsid w:val="5AB87F28"/>
    <w:rsid w:val="5AC0562D"/>
    <w:rsid w:val="5AC87F19"/>
    <w:rsid w:val="5AC93D66"/>
    <w:rsid w:val="5ACC7D8F"/>
    <w:rsid w:val="5AD221D7"/>
    <w:rsid w:val="5ADC0798"/>
    <w:rsid w:val="5ADC4920"/>
    <w:rsid w:val="5AE80E77"/>
    <w:rsid w:val="5AEB56D2"/>
    <w:rsid w:val="5AF65CBF"/>
    <w:rsid w:val="5AFE5148"/>
    <w:rsid w:val="5B093828"/>
    <w:rsid w:val="5B0B5221"/>
    <w:rsid w:val="5B0B6CEC"/>
    <w:rsid w:val="5B10286F"/>
    <w:rsid w:val="5B1B6940"/>
    <w:rsid w:val="5B281722"/>
    <w:rsid w:val="5B3B4B4B"/>
    <w:rsid w:val="5B425642"/>
    <w:rsid w:val="5B4750EC"/>
    <w:rsid w:val="5B4E4265"/>
    <w:rsid w:val="5B553359"/>
    <w:rsid w:val="5B591C40"/>
    <w:rsid w:val="5B595FF1"/>
    <w:rsid w:val="5B596969"/>
    <w:rsid w:val="5B5F6DED"/>
    <w:rsid w:val="5B6C27C2"/>
    <w:rsid w:val="5B700E22"/>
    <w:rsid w:val="5B7252DE"/>
    <w:rsid w:val="5B726AB9"/>
    <w:rsid w:val="5B7B7FF7"/>
    <w:rsid w:val="5B821D61"/>
    <w:rsid w:val="5B850043"/>
    <w:rsid w:val="5B9A2BC5"/>
    <w:rsid w:val="5BA17C50"/>
    <w:rsid w:val="5BA73D44"/>
    <w:rsid w:val="5BA76F95"/>
    <w:rsid w:val="5BAA6F76"/>
    <w:rsid w:val="5BAE2688"/>
    <w:rsid w:val="5BB26726"/>
    <w:rsid w:val="5BB4006A"/>
    <w:rsid w:val="5BBD4F60"/>
    <w:rsid w:val="5BC3198E"/>
    <w:rsid w:val="5BC75568"/>
    <w:rsid w:val="5BCB6B9F"/>
    <w:rsid w:val="5BD376DF"/>
    <w:rsid w:val="5BE26E50"/>
    <w:rsid w:val="5BF06033"/>
    <w:rsid w:val="5BF461DC"/>
    <w:rsid w:val="5BFA4B5B"/>
    <w:rsid w:val="5C014A0A"/>
    <w:rsid w:val="5C054A82"/>
    <w:rsid w:val="5C0F0BB9"/>
    <w:rsid w:val="5C0F327F"/>
    <w:rsid w:val="5C103354"/>
    <w:rsid w:val="5C18563E"/>
    <w:rsid w:val="5C1B23BB"/>
    <w:rsid w:val="5C1C6BD1"/>
    <w:rsid w:val="5C286FBD"/>
    <w:rsid w:val="5C2D29D9"/>
    <w:rsid w:val="5C347247"/>
    <w:rsid w:val="5C384CDC"/>
    <w:rsid w:val="5C391356"/>
    <w:rsid w:val="5C3C300E"/>
    <w:rsid w:val="5C5E52F3"/>
    <w:rsid w:val="5C682B69"/>
    <w:rsid w:val="5C6E5C70"/>
    <w:rsid w:val="5C715F13"/>
    <w:rsid w:val="5C7916CB"/>
    <w:rsid w:val="5C792D7C"/>
    <w:rsid w:val="5C7F0426"/>
    <w:rsid w:val="5C8452F6"/>
    <w:rsid w:val="5C877A76"/>
    <w:rsid w:val="5C8F51E8"/>
    <w:rsid w:val="5C934334"/>
    <w:rsid w:val="5CA63B1C"/>
    <w:rsid w:val="5CA938C7"/>
    <w:rsid w:val="5CAC64DF"/>
    <w:rsid w:val="5CB13AAF"/>
    <w:rsid w:val="5CB9086F"/>
    <w:rsid w:val="5CB90C4B"/>
    <w:rsid w:val="5CC23B73"/>
    <w:rsid w:val="5CCB003B"/>
    <w:rsid w:val="5CCD5855"/>
    <w:rsid w:val="5CE338D4"/>
    <w:rsid w:val="5CE536B1"/>
    <w:rsid w:val="5CF36AF0"/>
    <w:rsid w:val="5CF72C74"/>
    <w:rsid w:val="5CF87DAD"/>
    <w:rsid w:val="5CF944FB"/>
    <w:rsid w:val="5D0342D3"/>
    <w:rsid w:val="5D0627A0"/>
    <w:rsid w:val="5D0F13D4"/>
    <w:rsid w:val="5D1503A1"/>
    <w:rsid w:val="5D1B64B2"/>
    <w:rsid w:val="5D2230E4"/>
    <w:rsid w:val="5D291881"/>
    <w:rsid w:val="5D2B3FB5"/>
    <w:rsid w:val="5D346E55"/>
    <w:rsid w:val="5D37243B"/>
    <w:rsid w:val="5D383F3D"/>
    <w:rsid w:val="5D386B30"/>
    <w:rsid w:val="5D3F1EAD"/>
    <w:rsid w:val="5D5A71AF"/>
    <w:rsid w:val="5D604AFA"/>
    <w:rsid w:val="5D620F57"/>
    <w:rsid w:val="5D6244F9"/>
    <w:rsid w:val="5D643738"/>
    <w:rsid w:val="5D654B13"/>
    <w:rsid w:val="5D6A6B38"/>
    <w:rsid w:val="5D6C2D8C"/>
    <w:rsid w:val="5D6D0AD2"/>
    <w:rsid w:val="5D6D27F6"/>
    <w:rsid w:val="5D6D7E0D"/>
    <w:rsid w:val="5D741D31"/>
    <w:rsid w:val="5D781984"/>
    <w:rsid w:val="5D823379"/>
    <w:rsid w:val="5D874850"/>
    <w:rsid w:val="5D981E86"/>
    <w:rsid w:val="5D9D6F2F"/>
    <w:rsid w:val="5DA22B36"/>
    <w:rsid w:val="5DA34BC7"/>
    <w:rsid w:val="5DA83FA1"/>
    <w:rsid w:val="5DAA02DA"/>
    <w:rsid w:val="5DAF12B9"/>
    <w:rsid w:val="5DB65C4B"/>
    <w:rsid w:val="5DB73D31"/>
    <w:rsid w:val="5DC15346"/>
    <w:rsid w:val="5DC63117"/>
    <w:rsid w:val="5DC92823"/>
    <w:rsid w:val="5DCE6CB1"/>
    <w:rsid w:val="5DD148D6"/>
    <w:rsid w:val="5DDA204F"/>
    <w:rsid w:val="5DE4176E"/>
    <w:rsid w:val="5DE57640"/>
    <w:rsid w:val="5DE65536"/>
    <w:rsid w:val="5DEC53CB"/>
    <w:rsid w:val="5DED4F46"/>
    <w:rsid w:val="5DF20679"/>
    <w:rsid w:val="5DF55F59"/>
    <w:rsid w:val="5DF667DC"/>
    <w:rsid w:val="5E092945"/>
    <w:rsid w:val="5E1030F2"/>
    <w:rsid w:val="5E161D6A"/>
    <w:rsid w:val="5E180A32"/>
    <w:rsid w:val="5E1D4B47"/>
    <w:rsid w:val="5E223C5C"/>
    <w:rsid w:val="5E224C4E"/>
    <w:rsid w:val="5E36731B"/>
    <w:rsid w:val="5E39347D"/>
    <w:rsid w:val="5E3966D0"/>
    <w:rsid w:val="5E426F23"/>
    <w:rsid w:val="5E455250"/>
    <w:rsid w:val="5E4573B6"/>
    <w:rsid w:val="5E4737FB"/>
    <w:rsid w:val="5E4A18E2"/>
    <w:rsid w:val="5E4C3A27"/>
    <w:rsid w:val="5E4E5B0A"/>
    <w:rsid w:val="5E5263CE"/>
    <w:rsid w:val="5E5630E1"/>
    <w:rsid w:val="5E5A00EF"/>
    <w:rsid w:val="5E5E6D38"/>
    <w:rsid w:val="5E6406DB"/>
    <w:rsid w:val="5E6A1DF5"/>
    <w:rsid w:val="5E6B6AD8"/>
    <w:rsid w:val="5E7252CC"/>
    <w:rsid w:val="5E7367A0"/>
    <w:rsid w:val="5E744AB4"/>
    <w:rsid w:val="5E74741E"/>
    <w:rsid w:val="5E761AA2"/>
    <w:rsid w:val="5E7B1AB9"/>
    <w:rsid w:val="5E803D0C"/>
    <w:rsid w:val="5E846E54"/>
    <w:rsid w:val="5E914D18"/>
    <w:rsid w:val="5E9C2594"/>
    <w:rsid w:val="5EA76712"/>
    <w:rsid w:val="5EA92364"/>
    <w:rsid w:val="5EB021B9"/>
    <w:rsid w:val="5EB24ABB"/>
    <w:rsid w:val="5EB438C7"/>
    <w:rsid w:val="5EBA6E3B"/>
    <w:rsid w:val="5EBF3D75"/>
    <w:rsid w:val="5EBF766D"/>
    <w:rsid w:val="5EC5028C"/>
    <w:rsid w:val="5EC75D61"/>
    <w:rsid w:val="5EC83572"/>
    <w:rsid w:val="5ECD24A6"/>
    <w:rsid w:val="5ED425C7"/>
    <w:rsid w:val="5EE345E1"/>
    <w:rsid w:val="5EE41378"/>
    <w:rsid w:val="5EE961BD"/>
    <w:rsid w:val="5EEB3655"/>
    <w:rsid w:val="5EF333F9"/>
    <w:rsid w:val="5EF6212F"/>
    <w:rsid w:val="5EF87AA3"/>
    <w:rsid w:val="5EFB0214"/>
    <w:rsid w:val="5F0651F5"/>
    <w:rsid w:val="5F0843AB"/>
    <w:rsid w:val="5F1B12CF"/>
    <w:rsid w:val="5F1C4C5F"/>
    <w:rsid w:val="5F222CA3"/>
    <w:rsid w:val="5F2661E9"/>
    <w:rsid w:val="5F2757CC"/>
    <w:rsid w:val="5F2C6A72"/>
    <w:rsid w:val="5F2E2E44"/>
    <w:rsid w:val="5F301EB9"/>
    <w:rsid w:val="5F317E17"/>
    <w:rsid w:val="5F3265D2"/>
    <w:rsid w:val="5F332CF2"/>
    <w:rsid w:val="5F3D011B"/>
    <w:rsid w:val="5F3F7310"/>
    <w:rsid w:val="5F413D35"/>
    <w:rsid w:val="5F45688E"/>
    <w:rsid w:val="5F542C0C"/>
    <w:rsid w:val="5F5D5470"/>
    <w:rsid w:val="5F5E5780"/>
    <w:rsid w:val="5F7676C4"/>
    <w:rsid w:val="5F8971CE"/>
    <w:rsid w:val="5F8E1F3F"/>
    <w:rsid w:val="5FA1593C"/>
    <w:rsid w:val="5FA15C9C"/>
    <w:rsid w:val="5FB018C9"/>
    <w:rsid w:val="5FC05F1F"/>
    <w:rsid w:val="5FC570E8"/>
    <w:rsid w:val="5FCC70BC"/>
    <w:rsid w:val="5FE9710C"/>
    <w:rsid w:val="5FEF313F"/>
    <w:rsid w:val="5FF65227"/>
    <w:rsid w:val="5FF66195"/>
    <w:rsid w:val="5FFC3D69"/>
    <w:rsid w:val="5FFC537E"/>
    <w:rsid w:val="60006E03"/>
    <w:rsid w:val="60026542"/>
    <w:rsid w:val="60042954"/>
    <w:rsid w:val="600C249C"/>
    <w:rsid w:val="6011008B"/>
    <w:rsid w:val="601661AB"/>
    <w:rsid w:val="601848A7"/>
    <w:rsid w:val="601A48B0"/>
    <w:rsid w:val="601E6AB3"/>
    <w:rsid w:val="601F71F2"/>
    <w:rsid w:val="60224F3B"/>
    <w:rsid w:val="60292640"/>
    <w:rsid w:val="602D40D8"/>
    <w:rsid w:val="60311044"/>
    <w:rsid w:val="60384498"/>
    <w:rsid w:val="603F5D4E"/>
    <w:rsid w:val="6040146D"/>
    <w:rsid w:val="60401C12"/>
    <w:rsid w:val="60462F77"/>
    <w:rsid w:val="605D2457"/>
    <w:rsid w:val="605D6059"/>
    <w:rsid w:val="605E6E7B"/>
    <w:rsid w:val="60664EAC"/>
    <w:rsid w:val="606C566B"/>
    <w:rsid w:val="60764EA1"/>
    <w:rsid w:val="607800EA"/>
    <w:rsid w:val="607878E3"/>
    <w:rsid w:val="60875E99"/>
    <w:rsid w:val="608A2960"/>
    <w:rsid w:val="609A0976"/>
    <w:rsid w:val="60A4768E"/>
    <w:rsid w:val="60AA7DCB"/>
    <w:rsid w:val="60AB3581"/>
    <w:rsid w:val="60AD7078"/>
    <w:rsid w:val="60B645C0"/>
    <w:rsid w:val="60B84160"/>
    <w:rsid w:val="60C94278"/>
    <w:rsid w:val="60CB6923"/>
    <w:rsid w:val="60CF64A1"/>
    <w:rsid w:val="60D037A2"/>
    <w:rsid w:val="60D31607"/>
    <w:rsid w:val="60DC2E87"/>
    <w:rsid w:val="60E06C66"/>
    <w:rsid w:val="60E21ACB"/>
    <w:rsid w:val="60E93634"/>
    <w:rsid w:val="60EE1E18"/>
    <w:rsid w:val="60EF5CE6"/>
    <w:rsid w:val="60F71E03"/>
    <w:rsid w:val="61043436"/>
    <w:rsid w:val="610E54D7"/>
    <w:rsid w:val="611127BA"/>
    <w:rsid w:val="61125FBC"/>
    <w:rsid w:val="611E1241"/>
    <w:rsid w:val="61217848"/>
    <w:rsid w:val="61223E80"/>
    <w:rsid w:val="612D3984"/>
    <w:rsid w:val="6133148A"/>
    <w:rsid w:val="61347FFD"/>
    <w:rsid w:val="61372CE5"/>
    <w:rsid w:val="613D3215"/>
    <w:rsid w:val="61444C20"/>
    <w:rsid w:val="61473BAE"/>
    <w:rsid w:val="61490D01"/>
    <w:rsid w:val="6150541F"/>
    <w:rsid w:val="61527FC2"/>
    <w:rsid w:val="61572FDA"/>
    <w:rsid w:val="61584EF7"/>
    <w:rsid w:val="61594FE9"/>
    <w:rsid w:val="61607FD9"/>
    <w:rsid w:val="61676A4D"/>
    <w:rsid w:val="616871DF"/>
    <w:rsid w:val="616D1D20"/>
    <w:rsid w:val="61710360"/>
    <w:rsid w:val="61731A93"/>
    <w:rsid w:val="61780BC9"/>
    <w:rsid w:val="61803B37"/>
    <w:rsid w:val="618340CC"/>
    <w:rsid w:val="6188629A"/>
    <w:rsid w:val="619D5E69"/>
    <w:rsid w:val="61AB310B"/>
    <w:rsid w:val="61AC3DD4"/>
    <w:rsid w:val="61AD6474"/>
    <w:rsid w:val="61AF6753"/>
    <w:rsid w:val="61B25438"/>
    <w:rsid w:val="61B84CCA"/>
    <w:rsid w:val="61BB3D27"/>
    <w:rsid w:val="61C169A5"/>
    <w:rsid w:val="61C86AC7"/>
    <w:rsid w:val="61E51007"/>
    <w:rsid w:val="61E71733"/>
    <w:rsid w:val="61E74B33"/>
    <w:rsid w:val="61EA2DD4"/>
    <w:rsid w:val="61EF2372"/>
    <w:rsid w:val="61F65C4C"/>
    <w:rsid w:val="61FC51EA"/>
    <w:rsid w:val="61FE479D"/>
    <w:rsid w:val="6204334A"/>
    <w:rsid w:val="6206334F"/>
    <w:rsid w:val="62072949"/>
    <w:rsid w:val="620A107B"/>
    <w:rsid w:val="62125124"/>
    <w:rsid w:val="62134D14"/>
    <w:rsid w:val="62141C06"/>
    <w:rsid w:val="62267FC6"/>
    <w:rsid w:val="62275474"/>
    <w:rsid w:val="62291B21"/>
    <w:rsid w:val="62293272"/>
    <w:rsid w:val="62303229"/>
    <w:rsid w:val="62444AEA"/>
    <w:rsid w:val="624573D5"/>
    <w:rsid w:val="6246604D"/>
    <w:rsid w:val="6253045F"/>
    <w:rsid w:val="62531223"/>
    <w:rsid w:val="62572260"/>
    <w:rsid w:val="625B3696"/>
    <w:rsid w:val="62642213"/>
    <w:rsid w:val="626B69FF"/>
    <w:rsid w:val="626E72F3"/>
    <w:rsid w:val="626E7A06"/>
    <w:rsid w:val="626F2154"/>
    <w:rsid w:val="62706202"/>
    <w:rsid w:val="627076B7"/>
    <w:rsid w:val="62717BBA"/>
    <w:rsid w:val="627964FC"/>
    <w:rsid w:val="6283676C"/>
    <w:rsid w:val="628639D1"/>
    <w:rsid w:val="62872F3D"/>
    <w:rsid w:val="62892C8D"/>
    <w:rsid w:val="628C6E99"/>
    <w:rsid w:val="628D6F50"/>
    <w:rsid w:val="628E16FA"/>
    <w:rsid w:val="629331D1"/>
    <w:rsid w:val="62947535"/>
    <w:rsid w:val="62955C65"/>
    <w:rsid w:val="629A059D"/>
    <w:rsid w:val="629C4219"/>
    <w:rsid w:val="62A5670B"/>
    <w:rsid w:val="62B35B07"/>
    <w:rsid w:val="62B63CD0"/>
    <w:rsid w:val="62BD59F5"/>
    <w:rsid w:val="62C611E1"/>
    <w:rsid w:val="62C970E6"/>
    <w:rsid w:val="62CB2FAE"/>
    <w:rsid w:val="62D07513"/>
    <w:rsid w:val="62D12433"/>
    <w:rsid w:val="62D126DA"/>
    <w:rsid w:val="62D25555"/>
    <w:rsid w:val="62DE2BCC"/>
    <w:rsid w:val="62DE773F"/>
    <w:rsid w:val="62EC1030"/>
    <w:rsid w:val="62ED5265"/>
    <w:rsid w:val="62F050C3"/>
    <w:rsid w:val="62F111BB"/>
    <w:rsid w:val="62F85ADF"/>
    <w:rsid w:val="62F94996"/>
    <w:rsid w:val="62FA0070"/>
    <w:rsid w:val="62FA7A40"/>
    <w:rsid w:val="62FD7711"/>
    <w:rsid w:val="62FF0DAE"/>
    <w:rsid w:val="630678DF"/>
    <w:rsid w:val="630F0286"/>
    <w:rsid w:val="6314319B"/>
    <w:rsid w:val="63186930"/>
    <w:rsid w:val="631B48BB"/>
    <w:rsid w:val="631E5B1C"/>
    <w:rsid w:val="631F3596"/>
    <w:rsid w:val="63234749"/>
    <w:rsid w:val="632B5818"/>
    <w:rsid w:val="632B73EB"/>
    <w:rsid w:val="63304530"/>
    <w:rsid w:val="63426278"/>
    <w:rsid w:val="6344028B"/>
    <w:rsid w:val="63474929"/>
    <w:rsid w:val="634813CF"/>
    <w:rsid w:val="634C6FF9"/>
    <w:rsid w:val="63504643"/>
    <w:rsid w:val="635B0046"/>
    <w:rsid w:val="635C4715"/>
    <w:rsid w:val="635F3B09"/>
    <w:rsid w:val="63632450"/>
    <w:rsid w:val="63681111"/>
    <w:rsid w:val="636D0E1A"/>
    <w:rsid w:val="6373528B"/>
    <w:rsid w:val="63737B7B"/>
    <w:rsid w:val="637920CB"/>
    <w:rsid w:val="63845225"/>
    <w:rsid w:val="63855F3C"/>
    <w:rsid w:val="639130C5"/>
    <w:rsid w:val="639A3719"/>
    <w:rsid w:val="639E3B7B"/>
    <w:rsid w:val="63A402A2"/>
    <w:rsid w:val="63B0340E"/>
    <w:rsid w:val="63BE1DCF"/>
    <w:rsid w:val="63BF78AB"/>
    <w:rsid w:val="63C51F93"/>
    <w:rsid w:val="63C527A6"/>
    <w:rsid w:val="63C81EF5"/>
    <w:rsid w:val="63C95DEE"/>
    <w:rsid w:val="63D0403F"/>
    <w:rsid w:val="63D2410E"/>
    <w:rsid w:val="63D657AA"/>
    <w:rsid w:val="63D7212C"/>
    <w:rsid w:val="63D828D2"/>
    <w:rsid w:val="63D85812"/>
    <w:rsid w:val="63D94846"/>
    <w:rsid w:val="63DD649A"/>
    <w:rsid w:val="63DE10CB"/>
    <w:rsid w:val="63E4693B"/>
    <w:rsid w:val="63EA7A01"/>
    <w:rsid w:val="63EB7F0B"/>
    <w:rsid w:val="63ED3ECB"/>
    <w:rsid w:val="63F03E96"/>
    <w:rsid w:val="63FD5464"/>
    <w:rsid w:val="64062CCE"/>
    <w:rsid w:val="64075788"/>
    <w:rsid w:val="6408272F"/>
    <w:rsid w:val="641603F6"/>
    <w:rsid w:val="641D4B88"/>
    <w:rsid w:val="641F5FA4"/>
    <w:rsid w:val="6427358E"/>
    <w:rsid w:val="6427769E"/>
    <w:rsid w:val="642C121F"/>
    <w:rsid w:val="643737E6"/>
    <w:rsid w:val="643B2B9E"/>
    <w:rsid w:val="644F51E6"/>
    <w:rsid w:val="645663C7"/>
    <w:rsid w:val="64643DD3"/>
    <w:rsid w:val="64653D1C"/>
    <w:rsid w:val="646C16C4"/>
    <w:rsid w:val="64726279"/>
    <w:rsid w:val="647434A3"/>
    <w:rsid w:val="647A41E8"/>
    <w:rsid w:val="647B3E1F"/>
    <w:rsid w:val="64911905"/>
    <w:rsid w:val="64936367"/>
    <w:rsid w:val="64994E50"/>
    <w:rsid w:val="649D2A4F"/>
    <w:rsid w:val="64A354B7"/>
    <w:rsid w:val="64A81845"/>
    <w:rsid w:val="64AA1CEB"/>
    <w:rsid w:val="64AD6692"/>
    <w:rsid w:val="64B04438"/>
    <w:rsid w:val="64B5213A"/>
    <w:rsid w:val="64BA3432"/>
    <w:rsid w:val="64BA3B04"/>
    <w:rsid w:val="64CE3E50"/>
    <w:rsid w:val="64D50321"/>
    <w:rsid w:val="64D91585"/>
    <w:rsid w:val="64E8602D"/>
    <w:rsid w:val="64EA57E3"/>
    <w:rsid w:val="64F041BD"/>
    <w:rsid w:val="64F62D78"/>
    <w:rsid w:val="64F81F67"/>
    <w:rsid w:val="64F9505A"/>
    <w:rsid w:val="650768F0"/>
    <w:rsid w:val="650D141B"/>
    <w:rsid w:val="650E3045"/>
    <w:rsid w:val="651D1279"/>
    <w:rsid w:val="651F1AD1"/>
    <w:rsid w:val="65211733"/>
    <w:rsid w:val="652B1BC9"/>
    <w:rsid w:val="65313169"/>
    <w:rsid w:val="65374268"/>
    <w:rsid w:val="653D5388"/>
    <w:rsid w:val="65466D5E"/>
    <w:rsid w:val="654A1914"/>
    <w:rsid w:val="65531205"/>
    <w:rsid w:val="65563CBA"/>
    <w:rsid w:val="655C3A64"/>
    <w:rsid w:val="6562357A"/>
    <w:rsid w:val="65631659"/>
    <w:rsid w:val="656A5F42"/>
    <w:rsid w:val="656F129C"/>
    <w:rsid w:val="657B3E5F"/>
    <w:rsid w:val="657D7A21"/>
    <w:rsid w:val="658A62BC"/>
    <w:rsid w:val="65906755"/>
    <w:rsid w:val="6598348D"/>
    <w:rsid w:val="65990849"/>
    <w:rsid w:val="65AE38D1"/>
    <w:rsid w:val="65B20B61"/>
    <w:rsid w:val="65B278D6"/>
    <w:rsid w:val="65B54675"/>
    <w:rsid w:val="65B64544"/>
    <w:rsid w:val="65B7417B"/>
    <w:rsid w:val="65B92519"/>
    <w:rsid w:val="65C10E4A"/>
    <w:rsid w:val="65C217FE"/>
    <w:rsid w:val="65C436EA"/>
    <w:rsid w:val="65D41AD5"/>
    <w:rsid w:val="65E216AB"/>
    <w:rsid w:val="65E917CC"/>
    <w:rsid w:val="65F104C7"/>
    <w:rsid w:val="65FA6D95"/>
    <w:rsid w:val="65FC02DB"/>
    <w:rsid w:val="65FC234B"/>
    <w:rsid w:val="65FF4660"/>
    <w:rsid w:val="66051765"/>
    <w:rsid w:val="660A63F8"/>
    <w:rsid w:val="66121CA1"/>
    <w:rsid w:val="66130ECD"/>
    <w:rsid w:val="66191685"/>
    <w:rsid w:val="6619754C"/>
    <w:rsid w:val="661C4E51"/>
    <w:rsid w:val="661C505E"/>
    <w:rsid w:val="661E0890"/>
    <w:rsid w:val="661E5E3D"/>
    <w:rsid w:val="66223FCC"/>
    <w:rsid w:val="66273CC9"/>
    <w:rsid w:val="66290F0E"/>
    <w:rsid w:val="662B79AB"/>
    <w:rsid w:val="66323EE0"/>
    <w:rsid w:val="663A2542"/>
    <w:rsid w:val="66433856"/>
    <w:rsid w:val="66603789"/>
    <w:rsid w:val="6662406D"/>
    <w:rsid w:val="66737BCE"/>
    <w:rsid w:val="66775A72"/>
    <w:rsid w:val="66842C88"/>
    <w:rsid w:val="668666CD"/>
    <w:rsid w:val="668A1198"/>
    <w:rsid w:val="669525E4"/>
    <w:rsid w:val="66991EF2"/>
    <w:rsid w:val="669A6D1B"/>
    <w:rsid w:val="669B5FA9"/>
    <w:rsid w:val="669D559A"/>
    <w:rsid w:val="66A2017D"/>
    <w:rsid w:val="66A2779F"/>
    <w:rsid w:val="66A35D04"/>
    <w:rsid w:val="66A50838"/>
    <w:rsid w:val="66B259C0"/>
    <w:rsid w:val="66B675AE"/>
    <w:rsid w:val="66BB5BD9"/>
    <w:rsid w:val="66C2212D"/>
    <w:rsid w:val="66C6493E"/>
    <w:rsid w:val="66CC6C37"/>
    <w:rsid w:val="66D907B3"/>
    <w:rsid w:val="66E421ED"/>
    <w:rsid w:val="66E5185C"/>
    <w:rsid w:val="66E87DAE"/>
    <w:rsid w:val="66FA4A09"/>
    <w:rsid w:val="66FA78E2"/>
    <w:rsid w:val="6710250A"/>
    <w:rsid w:val="67116998"/>
    <w:rsid w:val="671421A0"/>
    <w:rsid w:val="67153CB2"/>
    <w:rsid w:val="67196859"/>
    <w:rsid w:val="671F206B"/>
    <w:rsid w:val="67284476"/>
    <w:rsid w:val="672A2E67"/>
    <w:rsid w:val="673214A1"/>
    <w:rsid w:val="6733390E"/>
    <w:rsid w:val="67392A8F"/>
    <w:rsid w:val="673F5645"/>
    <w:rsid w:val="67426851"/>
    <w:rsid w:val="67564A9A"/>
    <w:rsid w:val="675838D0"/>
    <w:rsid w:val="67632F79"/>
    <w:rsid w:val="67654097"/>
    <w:rsid w:val="676A1AEC"/>
    <w:rsid w:val="676C63CC"/>
    <w:rsid w:val="6776500E"/>
    <w:rsid w:val="67774385"/>
    <w:rsid w:val="67816069"/>
    <w:rsid w:val="67843767"/>
    <w:rsid w:val="6785021B"/>
    <w:rsid w:val="67853FC2"/>
    <w:rsid w:val="67860329"/>
    <w:rsid w:val="678655D3"/>
    <w:rsid w:val="678738FB"/>
    <w:rsid w:val="67876D2F"/>
    <w:rsid w:val="67883B17"/>
    <w:rsid w:val="678A4EAA"/>
    <w:rsid w:val="678C50E4"/>
    <w:rsid w:val="67A7368F"/>
    <w:rsid w:val="67B57B55"/>
    <w:rsid w:val="67BA520D"/>
    <w:rsid w:val="67C177C9"/>
    <w:rsid w:val="67C92AE2"/>
    <w:rsid w:val="67CD14D0"/>
    <w:rsid w:val="67D618FB"/>
    <w:rsid w:val="67E006AD"/>
    <w:rsid w:val="67F560F1"/>
    <w:rsid w:val="680B204C"/>
    <w:rsid w:val="680B46C5"/>
    <w:rsid w:val="680C5928"/>
    <w:rsid w:val="681316F2"/>
    <w:rsid w:val="68152EE3"/>
    <w:rsid w:val="68221F19"/>
    <w:rsid w:val="682523A6"/>
    <w:rsid w:val="682B2511"/>
    <w:rsid w:val="68352C57"/>
    <w:rsid w:val="68372978"/>
    <w:rsid w:val="68390641"/>
    <w:rsid w:val="68467EAB"/>
    <w:rsid w:val="684A6214"/>
    <w:rsid w:val="684C64F1"/>
    <w:rsid w:val="684D049D"/>
    <w:rsid w:val="68562A4A"/>
    <w:rsid w:val="686F5562"/>
    <w:rsid w:val="687B2CCB"/>
    <w:rsid w:val="687B4116"/>
    <w:rsid w:val="687D278F"/>
    <w:rsid w:val="687F1DF7"/>
    <w:rsid w:val="68854414"/>
    <w:rsid w:val="688A036B"/>
    <w:rsid w:val="68977A0B"/>
    <w:rsid w:val="68A01E17"/>
    <w:rsid w:val="68A51CAF"/>
    <w:rsid w:val="68B43BC1"/>
    <w:rsid w:val="68B8299E"/>
    <w:rsid w:val="68C03847"/>
    <w:rsid w:val="68CA2921"/>
    <w:rsid w:val="68CD7422"/>
    <w:rsid w:val="68CE30DD"/>
    <w:rsid w:val="68CF48F3"/>
    <w:rsid w:val="68D02109"/>
    <w:rsid w:val="68D538C5"/>
    <w:rsid w:val="68D76AC9"/>
    <w:rsid w:val="68D862A4"/>
    <w:rsid w:val="68F13D46"/>
    <w:rsid w:val="68FB306D"/>
    <w:rsid w:val="690815DC"/>
    <w:rsid w:val="690A5B47"/>
    <w:rsid w:val="69131396"/>
    <w:rsid w:val="691577EF"/>
    <w:rsid w:val="6924424D"/>
    <w:rsid w:val="692A173B"/>
    <w:rsid w:val="6931370F"/>
    <w:rsid w:val="693410BB"/>
    <w:rsid w:val="693A5709"/>
    <w:rsid w:val="69494305"/>
    <w:rsid w:val="694F57D9"/>
    <w:rsid w:val="69506875"/>
    <w:rsid w:val="69583244"/>
    <w:rsid w:val="6958476B"/>
    <w:rsid w:val="695D391E"/>
    <w:rsid w:val="6965702B"/>
    <w:rsid w:val="69671E36"/>
    <w:rsid w:val="696723F5"/>
    <w:rsid w:val="69673125"/>
    <w:rsid w:val="69677C9C"/>
    <w:rsid w:val="69686A49"/>
    <w:rsid w:val="696927B2"/>
    <w:rsid w:val="69712903"/>
    <w:rsid w:val="69721A60"/>
    <w:rsid w:val="69731B03"/>
    <w:rsid w:val="69735899"/>
    <w:rsid w:val="69783BC0"/>
    <w:rsid w:val="697A1181"/>
    <w:rsid w:val="697C6618"/>
    <w:rsid w:val="698051E9"/>
    <w:rsid w:val="698B410A"/>
    <w:rsid w:val="698C49C3"/>
    <w:rsid w:val="698D5402"/>
    <w:rsid w:val="699D38F2"/>
    <w:rsid w:val="69A35F57"/>
    <w:rsid w:val="69B5690F"/>
    <w:rsid w:val="69B75952"/>
    <w:rsid w:val="69BA5FC9"/>
    <w:rsid w:val="69BF5DF1"/>
    <w:rsid w:val="69C1631D"/>
    <w:rsid w:val="69CD00C7"/>
    <w:rsid w:val="69DD7DAF"/>
    <w:rsid w:val="69DF0F3F"/>
    <w:rsid w:val="69F26487"/>
    <w:rsid w:val="69F34FEC"/>
    <w:rsid w:val="69FC3CF4"/>
    <w:rsid w:val="6A0631D6"/>
    <w:rsid w:val="6A0B183C"/>
    <w:rsid w:val="6A0E3BFC"/>
    <w:rsid w:val="6A167E3F"/>
    <w:rsid w:val="6A180F4D"/>
    <w:rsid w:val="6A1E4D21"/>
    <w:rsid w:val="6A201973"/>
    <w:rsid w:val="6A2B4E65"/>
    <w:rsid w:val="6A34325B"/>
    <w:rsid w:val="6A374CCE"/>
    <w:rsid w:val="6A397C8F"/>
    <w:rsid w:val="6A3A50FC"/>
    <w:rsid w:val="6A3E13B5"/>
    <w:rsid w:val="6A3F16D3"/>
    <w:rsid w:val="6A466408"/>
    <w:rsid w:val="6A4A542F"/>
    <w:rsid w:val="6A4A5737"/>
    <w:rsid w:val="6A515C21"/>
    <w:rsid w:val="6A541E08"/>
    <w:rsid w:val="6A562318"/>
    <w:rsid w:val="6A636E71"/>
    <w:rsid w:val="6A67003D"/>
    <w:rsid w:val="6A707233"/>
    <w:rsid w:val="6A7144A5"/>
    <w:rsid w:val="6A731B83"/>
    <w:rsid w:val="6A7A5FE4"/>
    <w:rsid w:val="6A8B5689"/>
    <w:rsid w:val="6A97339E"/>
    <w:rsid w:val="6A9D4EF8"/>
    <w:rsid w:val="6AAE297B"/>
    <w:rsid w:val="6AB04B32"/>
    <w:rsid w:val="6AB92FBB"/>
    <w:rsid w:val="6AB94DA9"/>
    <w:rsid w:val="6ABA05DA"/>
    <w:rsid w:val="6AC825FB"/>
    <w:rsid w:val="6ADD3CAB"/>
    <w:rsid w:val="6AE374FB"/>
    <w:rsid w:val="6AEC4160"/>
    <w:rsid w:val="6B016AAB"/>
    <w:rsid w:val="6B077FC4"/>
    <w:rsid w:val="6B094940"/>
    <w:rsid w:val="6B0B3589"/>
    <w:rsid w:val="6B0D0524"/>
    <w:rsid w:val="6B1E2797"/>
    <w:rsid w:val="6B2A4CAB"/>
    <w:rsid w:val="6B2A6C74"/>
    <w:rsid w:val="6B2B011D"/>
    <w:rsid w:val="6B2C2F49"/>
    <w:rsid w:val="6B2D519C"/>
    <w:rsid w:val="6B2E0AF2"/>
    <w:rsid w:val="6B317A1E"/>
    <w:rsid w:val="6B3B33C7"/>
    <w:rsid w:val="6B3C4754"/>
    <w:rsid w:val="6B423CA3"/>
    <w:rsid w:val="6B4728AE"/>
    <w:rsid w:val="6B481109"/>
    <w:rsid w:val="6B4B43EB"/>
    <w:rsid w:val="6B557525"/>
    <w:rsid w:val="6B5B4542"/>
    <w:rsid w:val="6B5C71B4"/>
    <w:rsid w:val="6B5E1BED"/>
    <w:rsid w:val="6B6038E7"/>
    <w:rsid w:val="6B646BE9"/>
    <w:rsid w:val="6B662025"/>
    <w:rsid w:val="6B6A5812"/>
    <w:rsid w:val="6B6E4910"/>
    <w:rsid w:val="6B7003D8"/>
    <w:rsid w:val="6B743CD0"/>
    <w:rsid w:val="6B781B2C"/>
    <w:rsid w:val="6B7B3245"/>
    <w:rsid w:val="6B7C4E24"/>
    <w:rsid w:val="6B7E73D9"/>
    <w:rsid w:val="6B8325ED"/>
    <w:rsid w:val="6B872805"/>
    <w:rsid w:val="6B886E63"/>
    <w:rsid w:val="6B9103BC"/>
    <w:rsid w:val="6B9524B0"/>
    <w:rsid w:val="6B973039"/>
    <w:rsid w:val="6B990D3F"/>
    <w:rsid w:val="6BAB7F74"/>
    <w:rsid w:val="6BB44010"/>
    <w:rsid w:val="6BBE6708"/>
    <w:rsid w:val="6BCA6343"/>
    <w:rsid w:val="6BED0DA0"/>
    <w:rsid w:val="6BF3756D"/>
    <w:rsid w:val="6BF44CA5"/>
    <w:rsid w:val="6BF93F86"/>
    <w:rsid w:val="6BFE42F0"/>
    <w:rsid w:val="6BFF6B09"/>
    <w:rsid w:val="6C016C61"/>
    <w:rsid w:val="6C05259E"/>
    <w:rsid w:val="6C0618D1"/>
    <w:rsid w:val="6C067473"/>
    <w:rsid w:val="6C084BE7"/>
    <w:rsid w:val="6C0E1989"/>
    <w:rsid w:val="6C1F604C"/>
    <w:rsid w:val="6C260EED"/>
    <w:rsid w:val="6C28575E"/>
    <w:rsid w:val="6C2C6953"/>
    <w:rsid w:val="6C392121"/>
    <w:rsid w:val="6C3E1089"/>
    <w:rsid w:val="6C3E1797"/>
    <w:rsid w:val="6C497BD5"/>
    <w:rsid w:val="6C51154D"/>
    <w:rsid w:val="6C5222F2"/>
    <w:rsid w:val="6C5557D2"/>
    <w:rsid w:val="6C5C0EEC"/>
    <w:rsid w:val="6C624109"/>
    <w:rsid w:val="6C662016"/>
    <w:rsid w:val="6C66414A"/>
    <w:rsid w:val="6C6878C1"/>
    <w:rsid w:val="6C6909D6"/>
    <w:rsid w:val="6C71675D"/>
    <w:rsid w:val="6C72565D"/>
    <w:rsid w:val="6C7A22BB"/>
    <w:rsid w:val="6C893695"/>
    <w:rsid w:val="6C8E765B"/>
    <w:rsid w:val="6C9769E3"/>
    <w:rsid w:val="6C9B55D9"/>
    <w:rsid w:val="6CA87E44"/>
    <w:rsid w:val="6CAE7E50"/>
    <w:rsid w:val="6CB019D4"/>
    <w:rsid w:val="6CC256DA"/>
    <w:rsid w:val="6CCA4623"/>
    <w:rsid w:val="6CD34C09"/>
    <w:rsid w:val="6CD6528C"/>
    <w:rsid w:val="6CDA5AD5"/>
    <w:rsid w:val="6CE20A5C"/>
    <w:rsid w:val="6CE6152B"/>
    <w:rsid w:val="6CE626D3"/>
    <w:rsid w:val="6CE6501B"/>
    <w:rsid w:val="6CE8619F"/>
    <w:rsid w:val="6CE87786"/>
    <w:rsid w:val="6CF4404C"/>
    <w:rsid w:val="6CF91F01"/>
    <w:rsid w:val="6D0A666E"/>
    <w:rsid w:val="6D0B68F1"/>
    <w:rsid w:val="6D18246C"/>
    <w:rsid w:val="6D3279E4"/>
    <w:rsid w:val="6D34220C"/>
    <w:rsid w:val="6D35611B"/>
    <w:rsid w:val="6D3E25DC"/>
    <w:rsid w:val="6D4240EC"/>
    <w:rsid w:val="6D4F5541"/>
    <w:rsid w:val="6D57026A"/>
    <w:rsid w:val="6D5D4036"/>
    <w:rsid w:val="6D664774"/>
    <w:rsid w:val="6D664FB6"/>
    <w:rsid w:val="6D6A5C11"/>
    <w:rsid w:val="6D732584"/>
    <w:rsid w:val="6D734AC7"/>
    <w:rsid w:val="6D7B2FE2"/>
    <w:rsid w:val="6D7D38B1"/>
    <w:rsid w:val="6D7E4270"/>
    <w:rsid w:val="6D80402F"/>
    <w:rsid w:val="6D830DDF"/>
    <w:rsid w:val="6D8376FD"/>
    <w:rsid w:val="6D8B4079"/>
    <w:rsid w:val="6D8B40B9"/>
    <w:rsid w:val="6D8E7219"/>
    <w:rsid w:val="6D9A45B0"/>
    <w:rsid w:val="6D9C3A32"/>
    <w:rsid w:val="6D9C4EE4"/>
    <w:rsid w:val="6DA147DB"/>
    <w:rsid w:val="6DA26B75"/>
    <w:rsid w:val="6DA27034"/>
    <w:rsid w:val="6DA44B1C"/>
    <w:rsid w:val="6DA65145"/>
    <w:rsid w:val="6DAB2E02"/>
    <w:rsid w:val="6DAC3D48"/>
    <w:rsid w:val="6DAE6E06"/>
    <w:rsid w:val="6DB01AB0"/>
    <w:rsid w:val="6DB1161D"/>
    <w:rsid w:val="6DB244C8"/>
    <w:rsid w:val="6DB87046"/>
    <w:rsid w:val="6DC43CFD"/>
    <w:rsid w:val="6DCD2C90"/>
    <w:rsid w:val="6DD75A02"/>
    <w:rsid w:val="6DE050BE"/>
    <w:rsid w:val="6DE200CB"/>
    <w:rsid w:val="6DE511AD"/>
    <w:rsid w:val="6DF0056A"/>
    <w:rsid w:val="6DF824D4"/>
    <w:rsid w:val="6DF85E90"/>
    <w:rsid w:val="6DF9586C"/>
    <w:rsid w:val="6DFD21C4"/>
    <w:rsid w:val="6E044FC2"/>
    <w:rsid w:val="6E0B6E22"/>
    <w:rsid w:val="6E0E1A65"/>
    <w:rsid w:val="6E137D17"/>
    <w:rsid w:val="6E175E49"/>
    <w:rsid w:val="6E1D2C18"/>
    <w:rsid w:val="6E226DDC"/>
    <w:rsid w:val="6E2E1F16"/>
    <w:rsid w:val="6E386EFC"/>
    <w:rsid w:val="6E3A01E3"/>
    <w:rsid w:val="6E3E7FC7"/>
    <w:rsid w:val="6E3F2B72"/>
    <w:rsid w:val="6E3F46DC"/>
    <w:rsid w:val="6E3F4B94"/>
    <w:rsid w:val="6E430A00"/>
    <w:rsid w:val="6E586031"/>
    <w:rsid w:val="6E596CD5"/>
    <w:rsid w:val="6E5D2659"/>
    <w:rsid w:val="6E5D7FE1"/>
    <w:rsid w:val="6E6221E1"/>
    <w:rsid w:val="6E682850"/>
    <w:rsid w:val="6E69727E"/>
    <w:rsid w:val="6E7224A4"/>
    <w:rsid w:val="6E791BAF"/>
    <w:rsid w:val="6E7E1B9B"/>
    <w:rsid w:val="6E80551B"/>
    <w:rsid w:val="6E81258F"/>
    <w:rsid w:val="6E9214CB"/>
    <w:rsid w:val="6E937884"/>
    <w:rsid w:val="6E954A29"/>
    <w:rsid w:val="6E9E4102"/>
    <w:rsid w:val="6EA7773A"/>
    <w:rsid w:val="6EAA310F"/>
    <w:rsid w:val="6EAF1A1E"/>
    <w:rsid w:val="6EB0069D"/>
    <w:rsid w:val="6EB031F4"/>
    <w:rsid w:val="6EB57403"/>
    <w:rsid w:val="6EB668B6"/>
    <w:rsid w:val="6EB84550"/>
    <w:rsid w:val="6EBA3CA9"/>
    <w:rsid w:val="6EBD3E61"/>
    <w:rsid w:val="6EC62475"/>
    <w:rsid w:val="6ECA66F9"/>
    <w:rsid w:val="6ED27F20"/>
    <w:rsid w:val="6ED7019B"/>
    <w:rsid w:val="6EDD0C1F"/>
    <w:rsid w:val="6EDD74F9"/>
    <w:rsid w:val="6EE23F9D"/>
    <w:rsid w:val="6EE6317F"/>
    <w:rsid w:val="6EE63EF6"/>
    <w:rsid w:val="6EE744DF"/>
    <w:rsid w:val="6EE74EB3"/>
    <w:rsid w:val="6EEA5751"/>
    <w:rsid w:val="6EF514B9"/>
    <w:rsid w:val="6EFA0EB5"/>
    <w:rsid w:val="6EFF227D"/>
    <w:rsid w:val="6F1E72C3"/>
    <w:rsid w:val="6F2828C6"/>
    <w:rsid w:val="6F293238"/>
    <w:rsid w:val="6F2C3967"/>
    <w:rsid w:val="6F405356"/>
    <w:rsid w:val="6F4B7B67"/>
    <w:rsid w:val="6F4E5048"/>
    <w:rsid w:val="6F532398"/>
    <w:rsid w:val="6F556EDD"/>
    <w:rsid w:val="6F5D5773"/>
    <w:rsid w:val="6F7619A9"/>
    <w:rsid w:val="6F7C17BB"/>
    <w:rsid w:val="6F7E1206"/>
    <w:rsid w:val="6F834436"/>
    <w:rsid w:val="6F8A7F91"/>
    <w:rsid w:val="6F8B03A2"/>
    <w:rsid w:val="6F8B5709"/>
    <w:rsid w:val="6F8F47C4"/>
    <w:rsid w:val="6F960BCE"/>
    <w:rsid w:val="6F9A4B1A"/>
    <w:rsid w:val="6F9A4C7E"/>
    <w:rsid w:val="6FAA04B4"/>
    <w:rsid w:val="6FAE55FC"/>
    <w:rsid w:val="6FAF2C1E"/>
    <w:rsid w:val="6FBB28C7"/>
    <w:rsid w:val="6FD0437D"/>
    <w:rsid w:val="6FDD2F18"/>
    <w:rsid w:val="6FE36A07"/>
    <w:rsid w:val="6FE83080"/>
    <w:rsid w:val="6FEA122E"/>
    <w:rsid w:val="6FF06D3A"/>
    <w:rsid w:val="6FF109E5"/>
    <w:rsid w:val="6FFC2A0A"/>
    <w:rsid w:val="700477A7"/>
    <w:rsid w:val="70070EB8"/>
    <w:rsid w:val="700775E0"/>
    <w:rsid w:val="70180293"/>
    <w:rsid w:val="701906CB"/>
    <w:rsid w:val="702549E6"/>
    <w:rsid w:val="70272869"/>
    <w:rsid w:val="70332184"/>
    <w:rsid w:val="70436837"/>
    <w:rsid w:val="704911FE"/>
    <w:rsid w:val="70501497"/>
    <w:rsid w:val="705431DA"/>
    <w:rsid w:val="7054654A"/>
    <w:rsid w:val="70615D15"/>
    <w:rsid w:val="70616CA7"/>
    <w:rsid w:val="7064441C"/>
    <w:rsid w:val="706E3397"/>
    <w:rsid w:val="707230FA"/>
    <w:rsid w:val="7074267A"/>
    <w:rsid w:val="70762E92"/>
    <w:rsid w:val="707A24F4"/>
    <w:rsid w:val="707E3F05"/>
    <w:rsid w:val="70856562"/>
    <w:rsid w:val="708C4C5B"/>
    <w:rsid w:val="709160EB"/>
    <w:rsid w:val="70937F76"/>
    <w:rsid w:val="709B1801"/>
    <w:rsid w:val="70A8084C"/>
    <w:rsid w:val="70A953B4"/>
    <w:rsid w:val="70AC74AE"/>
    <w:rsid w:val="70AE51A5"/>
    <w:rsid w:val="70B229D0"/>
    <w:rsid w:val="70C47226"/>
    <w:rsid w:val="70C72865"/>
    <w:rsid w:val="70C76EC4"/>
    <w:rsid w:val="70CB231D"/>
    <w:rsid w:val="70CB5522"/>
    <w:rsid w:val="70CE5F0F"/>
    <w:rsid w:val="70DF214F"/>
    <w:rsid w:val="70E85D23"/>
    <w:rsid w:val="70E958C3"/>
    <w:rsid w:val="70FB3387"/>
    <w:rsid w:val="70FD4143"/>
    <w:rsid w:val="70FE625A"/>
    <w:rsid w:val="710043EC"/>
    <w:rsid w:val="71060D39"/>
    <w:rsid w:val="710B6A48"/>
    <w:rsid w:val="710C7067"/>
    <w:rsid w:val="711071E4"/>
    <w:rsid w:val="71122462"/>
    <w:rsid w:val="71126BC7"/>
    <w:rsid w:val="71150C16"/>
    <w:rsid w:val="71154388"/>
    <w:rsid w:val="711C1FD9"/>
    <w:rsid w:val="711C5637"/>
    <w:rsid w:val="71236380"/>
    <w:rsid w:val="713161F8"/>
    <w:rsid w:val="71334D9C"/>
    <w:rsid w:val="71335D85"/>
    <w:rsid w:val="7135035B"/>
    <w:rsid w:val="713A36F7"/>
    <w:rsid w:val="714423E3"/>
    <w:rsid w:val="714944CC"/>
    <w:rsid w:val="714D303E"/>
    <w:rsid w:val="714D7EF8"/>
    <w:rsid w:val="714E5CE8"/>
    <w:rsid w:val="71513E6D"/>
    <w:rsid w:val="715215D6"/>
    <w:rsid w:val="715C75BD"/>
    <w:rsid w:val="715F47C4"/>
    <w:rsid w:val="716421EF"/>
    <w:rsid w:val="7165127B"/>
    <w:rsid w:val="7168223F"/>
    <w:rsid w:val="716D284E"/>
    <w:rsid w:val="7170433E"/>
    <w:rsid w:val="717068C5"/>
    <w:rsid w:val="717835AD"/>
    <w:rsid w:val="717D4FAF"/>
    <w:rsid w:val="71803599"/>
    <w:rsid w:val="71806675"/>
    <w:rsid w:val="71856E4D"/>
    <w:rsid w:val="718A14C6"/>
    <w:rsid w:val="718A551D"/>
    <w:rsid w:val="718D04BB"/>
    <w:rsid w:val="718E1E84"/>
    <w:rsid w:val="719051D9"/>
    <w:rsid w:val="7191468F"/>
    <w:rsid w:val="719A1FD8"/>
    <w:rsid w:val="71C02586"/>
    <w:rsid w:val="71C12CC6"/>
    <w:rsid w:val="71C35CA2"/>
    <w:rsid w:val="71C42EF4"/>
    <w:rsid w:val="71C754E3"/>
    <w:rsid w:val="71D8729C"/>
    <w:rsid w:val="71DC4F32"/>
    <w:rsid w:val="71DF14D6"/>
    <w:rsid w:val="71E21E7C"/>
    <w:rsid w:val="71E85EF8"/>
    <w:rsid w:val="71F105AE"/>
    <w:rsid w:val="71FA7658"/>
    <w:rsid w:val="71FF4718"/>
    <w:rsid w:val="720425B5"/>
    <w:rsid w:val="72090F3F"/>
    <w:rsid w:val="720B169D"/>
    <w:rsid w:val="720E25D4"/>
    <w:rsid w:val="720E3C0D"/>
    <w:rsid w:val="721604F0"/>
    <w:rsid w:val="7217247F"/>
    <w:rsid w:val="721F4C51"/>
    <w:rsid w:val="722A65EB"/>
    <w:rsid w:val="723108FA"/>
    <w:rsid w:val="72341CA1"/>
    <w:rsid w:val="72396D99"/>
    <w:rsid w:val="7244530F"/>
    <w:rsid w:val="7249335E"/>
    <w:rsid w:val="724935B4"/>
    <w:rsid w:val="72512B3F"/>
    <w:rsid w:val="725859DF"/>
    <w:rsid w:val="725B2502"/>
    <w:rsid w:val="725C12A5"/>
    <w:rsid w:val="725C379C"/>
    <w:rsid w:val="72694718"/>
    <w:rsid w:val="726B448A"/>
    <w:rsid w:val="726E4DD7"/>
    <w:rsid w:val="727546F2"/>
    <w:rsid w:val="72781328"/>
    <w:rsid w:val="72781D13"/>
    <w:rsid w:val="72783176"/>
    <w:rsid w:val="727D4DA2"/>
    <w:rsid w:val="727E5AD4"/>
    <w:rsid w:val="72863023"/>
    <w:rsid w:val="728E7777"/>
    <w:rsid w:val="729744A6"/>
    <w:rsid w:val="729858F7"/>
    <w:rsid w:val="729B2D8E"/>
    <w:rsid w:val="729B71EE"/>
    <w:rsid w:val="729C0AC3"/>
    <w:rsid w:val="729E2943"/>
    <w:rsid w:val="72A94034"/>
    <w:rsid w:val="72B826A7"/>
    <w:rsid w:val="72B97C01"/>
    <w:rsid w:val="72BE245B"/>
    <w:rsid w:val="72C13B80"/>
    <w:rsid w:val="72C17B6C"/>
    <w:rsid w:val="72C91EAA"/>
    <w:rsid w:val="72D32693"/>
    <w:rsid w:val="72D454CF"/>
    <w:rsid w:val="72D56A32"/>
    <w:rsid w:val="72D624EF"/>
    <w:rsid w:val="72E86984"/>
    <w:rsid w:val="72F13B0B"/>
    <w:rsid w:val="72F2212D"/>
    <w:rsid w:val="72F936B3"/>
    <w:rsid w:val="72FB509F"/>
    <w:rsid w:val="73055F45"/>
    <w:rsid w:val="730764F5"/>
    <w:rsid w:val="73094814"/>
    <w:rsid w:val="730953CF"/>
    <w:rsid w:val="73273632"/>
    <w:rsid w:val="73273DA9"/>
    <w:rsid w:val="732C6AC2"/>
    <w:rsid w:val="733423C0"/>
    <w:rsid w:val="733D49AD"/>
    <w:rsid w:val="733D74FE"/>
    <w:rsid w:val="73434915"/>
    <w:rsid w:val="73463C5E"/>
    <w:rsid w:val="735868D9"/>
    <w:rsid w:val="735C4A21"/>
    <w:rsid w:val="73694AD7"/>
    <w:rsid w:val="736B275D"/>
    <w:rsid w:val="736D18DD"/>
    <w:rsid w:val="73715D7F"/>
    <w:rsid w:val="73822192"/>
    <w:rsid w:val="73833C82"/>
    <w:rsid w:val="739E7FA4"/>
    <w:rsid w:val="73A02F20"/>
    <w:rsid w:val="73A41808"/>
    <w:rsid w:val="73A868DF"/>
    <w:rsid w:val="73A872AD"/>
    <w:rsid w:val="73B32AF8"/>
    <w:rsid w:val="73B92362"/>
    <w:rsid w:val="73C743C9"/>
    <w:rsid w:val="73CA7FB8"/>
    <w:rsid w:val="73D81445"/>
    <w:rsid w:val="73D908CB"/>
    <w:rsid w:val="73E41A7F"/>
    <w:rsid w:val="73F01185"/>
    <w:rsid w:val="73F4543C"/>
    <w:rsid w:val="73F857C9"/>
    <w:rsid w:val="73FD7F93"/>
    <w:rsid w:val="74005B6C"/>
    <w:rsid w:val="74044080"/>
    <w:rsid w:val="740717E4"/>
    <w:rsid w:val="740A7890"/>
    <w:rsid w:val="740E3015"/>
    <w:rsid w:val="74106468"/>
    <w:rsid w:val="74166749"/>
    <w:rsid w:val="74171DE4"/>
    <w:rsid w:val="741F2D98"/>
    <w:rsid w:val="742E7CA3"/>
    <w:rsid w:val="74354FE5"/>
    <w:rsid w:val="743C5B2A"/>
    <w:rsid w:val="743D68D0"/>
    <w:rsid w:val="743E7599"/>
    <w:rsid w:val="743F14B9"/>
    <w:rsid w:val="744267CD"/>
    <w:rsid w:val="74450126"/>
    <w:rsid w:val="74451AE1"/>
    <w:rsid w:val="74471FC0"/>
    <w:rsid w:val="744D5912"/>
    <w:rsid w:val="74584356"/>
    <w:rsid w:val="745E72E0"/>
    <w:rsid w:val="746B7C76"/>
    <w:rsid w:val="74705D9A"/>
    <w:rsid w:val="74707990"/>
    <w:rsid w:val="747E46AE"/>
    <w:rsid w:val="74933EDE"/>
    <w:rsid w:val="749908CA"/>
    <w:rsid w:val="749D6646"/>
    <w:rsid w:val="74AB72C8"/>
    <w:rsid w:val="74B42F9E"/>
    <w:rsid w:val="74BC24C5"/>
    <w:rsid w:val="74BE5FC1"/>
    <w:rsid w:val="74BF03F2"/>
    <w:rsid w:val="74CC6F7F"/>
    <w:rsid w:val="74CD6655"/>
    <w:rsid w:val="74CF0A0B"/>
    <w:rsid w:val="74CF36A6"/>
    <w:rsid w:val="74D3353F"/>
    <w:rsid w:val="74DE36FB"/>
    <w:rsid w:val="74E0524A"/>
    <w:rsid w:val="74E801E2"/>
    <w:rsid w:val="74EA3D68"/>
    <w:rsid w:val="74F3288E"/>
    <w:rsid w:val="74FA0211"/>
    <w:rsid w:val="74FC2849"/>
    <w:rsid w:val="75051104"/>
    <w:rsid w:val="75084FAA"/>
    <w:rsid w:val="751152DD"/>
    <w:rsid w:val="75186AC6"/>
    <w:rsid w:val="751A1B1C"/>
    <w:rsid w:val="75241F06"/>
    <w:rsid w:val="75295663"/>
    <w:rsid w:val="753C1101"/>
    <w:rsid w:val="75416EB4"/>
    <w:rsid w:val="7553077B"/>
    <w:rsid w:val="755443A2"/>
    <w:rsid w:val="755509CB"/>
    <w:rsid w:val="755D7AC0"/>
    <w:rsid w:val="75614882"/>
    <w:rsid w:val="75676874"/>
    <w:rsid w:val="756E0136"/>
    <w:rsid w:val="756F5610"/>
    <w:rsid w:val="757759DF"/>
    <w:rsid w:val="757B441B"/>
    <w:rsid w:val="757C7984"/>
    <w:rsid w:val="757D5E3D"/>
    <w:rsid w:val="75843952"/>
    <w:rsid w:val="758C31CD"/>
    <w:rsid w:val="7597518A"/>
    <w:rsid w:val="75AE2F51"/>
    <w:rsid w:val="75CE61FF"/>
    <w:rsid w:val="75D02CE5"/>
    <w:rsid w:val="75D05B75"/>
    <w:rsid w:val="75D90BD3"/>
    <w:rsid w:val="75DF537F"/>
    <w:rsid w:val="75E933B0"/>
    <w:rsid w:val="75EB7BD3"/>
    <w:rsid w:val="75ED1AFB"/>
    <w:rsid w:val="75F40DE6"/>
    <w:rsid w:val="76060806"/>
    <w:rsid w:val="76086733"/>
    <w:rsid w:val="760A764A"/>
    <w:rsid w:val="76192F0F"/>
    <w:rsid w:val="761D232A"/>
    <w:rsid w:val="762F016B"/>
    <w:rsid w:val="762F1442"/>
    <w:rsid w:val="76333703"/>
    <w:rsid w:val="76381A82"/>
    <w:rsid w:val="76382DB0"/>
    <w:rsid w:val="763A2F30"/>
    <w:rsid w:val="76492F60"/>
    <w:rsid w:val="764D5505"/>
    <w:rsid w:val="764F3A04"/>
    <w:rsid w:val="76590839"/>
    <w:rsid w:val="765A3A30"/>
    <w:rsid w:val="765F1297"/>
    <w:rsid w:val="76614F53"/>
    <w:rsid w:val="766C4A77"/>
    <w:rsid w:val="766F106F"/>
    <w:rsid w:val="76846742"/>
    <w:rsid w:val="768A32B2"/>
    <w:rsid w:val="768C151B"/>
    <w:rsid w:val="768F34DD"/>
    <w:rsid w:val="76924F8C"/>
    <w:rsid w:val="76964480"/>
    <w:rsid w:val="76A95C85"/>
    <w:rsid w:val="76B764B7"/>
    <w:rsid w:val="76BD4CF8"/>
    <w:rsid w:val="76C13E29"/>
    <w:rsid w:val="76C16770"/>
    <w:rsid w:val="76C17337"/>
    <w:rsid w:val="76C83132"/>
    <w:rsid w:val="76CA153F"/>
    <w:rsid w:val="76CD1A03"/>
    <w:rsid w:val="76D16C22"/>
    <w:rsid w:val="76DA18DD"/>
    <w:rsid w:val="76E34384"/>
    <w:rsid w:val="76E61E5B"/>
    <w:rsid w:val="76E628D9"/>
    <w:rsid w:val="76E8337B"/>
    <w:rsid w:val="76EB4B8E"/>
    <w:rsid w:val="76F209E0"/>
    <w:rsid w:val="76F47B61"/>
    <w:rsid w:val="76F95D37"/>
    <w:rsid w:val="77084BEE"/>
    <w:rsid w:val="770A4592"/>
    <w:rsid w:val="770A71D3"/>
    <w:rsid w:val="770F2ACF"/>
    <w:rsid w:val="77145F02"/>
    <w:rsid w:val="77175FA9"/>
    <w:rsid w:val="772030A0"/>
    <w:rsid w:val="7726001D"/>
    <w:rsid w:val="772D3A9C"/>
    <w:rsid w:val="773C2F83"/>
    <w:rsid w:val="773C380B"/>
    <w:rsid w:val="77416534"/>
    <w:rsid w:val="77462C49"/>
    <w:rsid w:val="7749514B"/>
    <w:rsid w:val="77514AB0"/>
    <w:rsid w:val="7755001C"/>
    <w:rsid w:val="775F3BC2"/>
    <w:rsid w:val="77647531"/>
    <w:rsid w:val="7766393E"/>
    <w:rsid w:val="776A2D59"/>
    <w:rsid w:val="776A57E2"/>
    <w:rsid w:val="776C167F"/>
    <w:rsid w:val="776C50B8"/>
    <w:rsid w:val="776F1938"/>
    <w:rsid w:val="776F37A5"/>
    <w:rsid w:val="77762511"/>
    <w:rsid w:val="777D20D6"/>
    <w:rsid w:val="778C3D57"/>
    <w:rsid w:val="778C4864"/>
    <w:rsid w:val="778F3427"/>
    <w:rsid w:val="779155A8"/>
    <w:rsid w:val="77946278"/>
    <w:rsid w:val="77995572"/>
    <w:rsid w:val="779A2BAA"/>
    <w:rsid w:val="779E1788"/>
    <w:rsid w:val="77A05F49"/>
    <w:rsid w:val="77B77AB7"/>
    <w:rsid w:val="77BA42B9"/>
    <w:rsid w:val="77C6067E"/>
    <w:rsid w:val="77CA5F7E"/>
    <w:rsid w:val="77D93F6C"/>
    <w:rsid w:val="77D95014"/>
    <w:rsid w:val="77DA2007"/>
    <w:rsid w:val="77E82413"/>
    <w:rsid w:val="77F066FC"/>
    <w:rsid w:val="77F61A63"/>
    <w:rsid w:val="77F67CB0"/>
    <w:rsid w:val="77F879D0"/>
    <w:rsid w:val="77FA3456"/>
    <w:rsid w:val="780478EE"/>
    <w:rsid w:val="780B76C7"/>
    <w:rsid w:val="781357E0"/>
    <w:rsid w:val="78152E19"/>
    <w:rsid w:val="78215654"/>
    <w:rsid w:val="78233538"/>
    <w:rsid w:val="78257E35"/>
    <w:rsid w:val="78280C2D"/>
    <w:rsid w:val="782C5BD1"/>
    <w:rsid w:val="782C750A"/>
    <w:rsid w:val="782E522E"/>
    <w:rsid w:val="78367068"/>
    <w:rsid w:val="78374D37"/>
    <w:rsid w:val="783C140E"/>
    <w:rsid w:val="783C20F6"/>
    <w:rsid w:val="784027A6"/>
    <w:rsid w:val="78483F11"/>
    <w:rsid w:val="78561E03"/>
    <w:rsid w:val="78566C43"/>
    <w:rsid w:val="785D293D"/>
    <w:rsid w:val="785F70F3"/>
    <w:rsid w:val="7864384F"/>
    <w:rsid w:val="7865275A"/>
    <w:rsid w:val="78710ACF"/>
    <w:rsid w:val="7872505C"/>
    <w:rsid w:val="78740780"/>
    <w:rsid w:val="787C13E0"/>
    <w:rsid w:val="78973CC7"/>
    <w:rsid w:val="78986AAB"/>
    <w:rsid w:val="78A2198D"/>
    <w:rsid w:val="78AB624A"/>
    <w:rsid w:val="78B75B38"/>
    <w:rsid w:val="78BA58B3"/>
    <w:rsid w:val="78BC0BE1"/>
    <w:rsid w:val="78BE1AEB"/>
    <w:rsid w:val="78C30398"/>
    <w:rsid w:val="78C306AC"/>
    <w:rsid w:val="78D865DD"/>
    <w:rsid w:val="78D974B0"/>
    <w:rsid w:val="78DA659D"/>
    <w:rsid w:val="78DF78C7"/>
    <w:rsid w:val="78E31663"/>
    <w:rsid w:val="78E35C45"/>
    <w:rsid w:val="78EC3E3F"/>
    <w:rsid w:val="78F05F20"/>
    <w:rsid w:val="78F57C83"/>
    <w:rsid w:val="79020CF3"/>
    <w:rsid w:val="790536F9"/>
    <w:rsid w:val="790D4E70"/>
    <w:rsid w:val="790F14D7"/>
    <w:rsid w:val="791069FE"/>
    <w:rsid w:val="791806C7"/>
    <w:rsid w:val="791E26E8"/>
    <w:rsid w:val="791E327F"/>
    <w:rsid w:val="79225397"/>
    <w:rsid w:val="79264E07"/>
    <w:rsid w:val="7930473F"/>
    <w:rsid w:val="7933470A"/>
    <w:rsid w:val="79345205"/>
    <w:rsid w:val="793B6F24"/>
    <w:rsid w:val="79412EA1"/>
    <w:rsid w:val="79444701"/>
    <w:rsid w:val="79453285"/>
    <w:rsid w:val="794905AA"/>
    <w:rsid w:val="794B2D31"/>
    <w:rsid w:val="794F5CFC"/>
    <w:rsid w:val="7960177B"/>
    <w:rsid w:val="796132A4"/>
    <w:rsid w:val="79631139"/>
    <w:rsid w:val="796663C1"/>
    <w:rsid w:val="796E3FD6"/>
    <w:rsid w:val="79721DED"/>
    <w:rsid w:val="7975784C"/>
    <w:rsid w:val="7979374F"/>
    <w:rsid w:val="7981754E"/>
    <w:rsid w:val="798C6798"/>
    <w:rsid w:val="798D66D0"/>
    <w:rsid w:val="798F02E7"/>
    <w:rsid w:val="79991B53"/>
    <w:rsid w:val="799E4ABE"/>
    <w:rsid w:val="79AA638B"/>
    <w:rsid w:val="79AB426C"/>
    <w:rsid w:val="79AB78D6"/>
    <w:rsid w:val="79AC1D19"/>
    <w:rsid w:val="79AD46DB"/>
    <w:rsid w:val="79B07049"/>
    <w:rsid w:val="79B47941"/>
    <w:rsid w:val="79C338B1"/>
    <w:rsid w:val="79C8141E"/>
    <w:rsid w:val="79D46367"/>
    <w:rsid w:val="79D50DDA"/>
    <w:rsid w:val="79DA3992"/>
    <w:rsid w:val="79DF1958"/>
    <w:rsid w:val="79E908EF"/>
    <w:rsid w:val="79E93ABD"/>
    <w:rsid w:val="7A094BFD"/>
    <w:rsid w:val="7A0A13B4"/>
    <w:rsid w:val="7A0C4B8E"/>
    <w:rsid w:val="7A0F2BA3"/>
    <w:rsid w:val="7A10759B"/>
    <w:rsid w:val="7A137718"/>
    <w:rsid w:val="7A1B2C0A"/>
    <w:rsid w:val="7A2041CB"/>
    <w:rsid w:val="7A237870"/>
    <w:rsid w:val="7A295CDD"/>
    <w:rsid w:val="7A2C0B8B"/>
    <w:rsid w:val="7A3A1255"/>
    <w:rsid w:val="7A3C359F"/>
    <w:rsid w:val="7A450AB1"/>
    <w:rsid w:val="7A4D2750"/>
    <w:rsid w:val="7A503036"/>
    <w:rsid w:val="7A583B3C"/>
    <w:rsid w:val="7A657D05"/>
    <w:rsid w:val="7A6652B4"/>
    <w:rsid w:val="7A6C159D"/>
    <w:rsid w:val="7A8231D1"/>
    <w:rsid w:val="7A871D83"/>
    <w:rsid w:val="7A8A2FF5"/>
    <w:rsid w:val="7A8B6DD2"/>
    <w:rsid w:val="7A8F316A"/>
    <w:rsid w:val="7A982233"/>
    <w:rsid w:val="7A983E7D"/>
    <w:rsid w:val="7A985455"/>
    <w:rsid w:val="7A9F732C"/>
    <w:rsid w:val="7AA21FF8"/>
    <w:rsid w:val="7AA468A2"/>
    <w:rsid w:val="7AA90D35"/>
    <w:rsid w:val="7AAD4817"/>
    <w:rsid w:val="7AB567F6"/>
    <w:rsid w:val="7AB85396"/>
    <w:rsid w:val="7AB96334"/>
    <w:rsid w:val="7AC5063C"/>
    <w:rsid w:val="7AC62712"/>
    <w:rsid w:val="7AC9040C"/>
    <w:rsid w:val="7AC96AA8"/>
    <w:rsid w:val="7AD74F90"/>
    <w:rsid w:val="7ADA370D"/>
    <w:rsid w:val="7AEB2255"/>
    <w:rsid w:val="7AED2DF6"/>
    <w:rsid w:val="7AF64429"/>
    <w:rsid w:val="7B017065"/>
    <w:rsid w:val="7B0831A1"/>
    <w:rsid w:val="7B0C0D6A"/>
    <w:rsid w:val="7B0C7606"/>
    <w:rsid w:val="7B0F3FAE"/>
    <w:rsid w:val="7B10192D"/>
    <w:rsid w:val="7B11766B"/>
    <w:rsid w:val="7B194F00"/>
    <w:rsid w:val="7B262C34"/>
    <w:rsid w:val="7B272353"/>
    <w:rsid w:val="7B2C6A21"/>
    <w:rsid w:val="7B334E47"/>
    <w:rsid w:val="7B37360E"/>
    <w:rsid w:val="7B3907DF"/>
    <w:rsid w:val="7B391A21"/>
    <w:rsid w:val="7B3C5B7B"/>
    <w:rsid w:val="7B400EBA"/>
    <w:rsid w:val="7B472395"/>
    <w:rsid w:val="7B472CB1"/>
    <w:rsid w:val="7B4F4D02"/>
    <w:rsid w:val="7B552ABD"/>
    <w:rsid w:val="7B555DF8"/>
    <w:rsid w:val="7B5A73E1"/>
    <w:rsid w:val="7B670C5F"/>
    <w:rsid w:val="7B67626B"/>
    <w:rsid w:val="7B6E0E35"/>
    <w:rsid w:val="7B761545"/>
    <w:rsid w:val="7B763765"/>
    <w:rsid w:val="7B825EDB"/>
    <w:rsid w:val="7B865902"/>
    <w:rsid w:val="7B8D2FB4"/>
    <w:rsid w:val="7B92622E"/>
    <w:rsid w:val="7B977853"/>
    <w:rsid w:val="7B9D5C0E"/>
    <w:rsid w:val="7BA632BD"/>
    <w:rsid w:val="7BA846C9"/>
    <w:rsid w:val="7BAF4869"/>
    <w:rsid w:val="7BB12EAF"/>
    <w:rsid w:val="7BB166C6"/>
    <w:rsid w:val="7BBC77F0"/>
    <w:rsid w:val="7BC21B42"/>
    <w:rsid w:val="7BC300E5"/>
    <w:rsid w:val="7BC4041E"/>
    <w:rsid w:val="7BC524E2"/>
    <w:rsid w:val="7BC72E1F"/>
    <w:rsid w:val="7BC83B14"/>
    <w:rsid w:val="7BC91727"/>
    <w:rsid w:val="7BC941C6"/>
    <w:rsid w:val="7BCC4F82"/>
    <w:rsid w:val="7BCC705B"/>
    <w:rsid w:val="7BCE666B"/>
    <w:rsid w:val="7BCF76BC"/>
    <w:rsid w:val="7BD1465F"/>
    <w:rsid w:val="7BD377E8"/>
    <w:rsid w:val="7BE05F49"/>
    <w:rsid w:val="7BE441F2"/>
    <w:rsid w:val="7BE508E9"/>
    <w:rsid w:val="7BE82387"/>
    <w:rsid w:val="7BEC3308"/>
    <w:rsid w:val="7BED4CFA"/>
    <w:rsid w:val="7BF011F7"/>
    <w:rsid w:val="7BF42571"/>
    <w:rsid w:val="7BF70039"/>
    <w:rsid w:val="7BF821AB"/>
    <w:rsid w:val="7BFC59A3"/>
    <w:rsid w:val="7C042096"/>
    <w:rsid w:val="7C065DDD"/>
    <w:rsid w:val="7C0864DF"/>
    <w:rsid w:val="7C0C1BF4"/>
    <w:rsid w:val="7C0C470F"/>
    <w:rsid w:val="7C0F3468"/>
    <w:rsid w:val="7C112B77"/>
    <w:rsid w:val="7C167A48"/>
    <w:rsid w:val="7C1A5EFC"/>
    <w:rsid w:val="7C1B3590"/>
    <w:rsid w:val="7C1F35D3"/>
    <w:rsid w:val="7C22650F"/>
    <w:rsid w:val="7C2342C4"/>
    <w:rsid w:val="7C2B6F90"/>
    <w:rsid w:val="7C2E6785"/>
    <w:rsid w:val="7C364331"/>
    <w:rsid w:val="7C471F28"/>
    <w:rsid w:val="7C497D54"/>
    <w:rsid w:val="7C4C4A1B"/>
    <w:rsid w:val="7C581E7E"/>
    <w:rsid w:val="7C5A38A0"/>
    <w:rsid w:val="7C6107D6"/>
    <w:rsid w:val="7C61459D"/>
    <w:rsid w:val="7C67541F"/>
    <w:rsid w:val="7C675867"/>
    <w:rsid w:val="7C7304DD"/>
    <w:rsid w:val="7C774EBF"/>
    <w:rsid w:val="7C7766F2"/>
    <w:rsid w:val="7C8413A1"/>
    <w:rsid w:val="7C851357"/>
    <w:rsid w:val="7C8923CA"/>
    <w:rsid w:val="7C8966B0"/>
    <w:rsid w:val="7C8D24FA"/>
    <w:rsid w:val="7C945D9C"/>
    <w:rsid w:val="7C97285E"/>
    <w:rsid w:val="7C9743FA"/>
    <w:rsid w:val="7C9E0353"/>
    <w:rsid w:val="7CA07427"/>
    <w:rsid w:val="7CA31B43"/>
    <w:rsid w:val="7CA50206"/>
    <w:rsid w:val="7CB43062"/>
    <w:rsid w:val="7CB9387E"/>
    <w:rsid w:val="7CBB5C85"/>
    <w:rsid w:val="7CBC6B11"/>
    <w:rsid w:val="7CC44637"/>
    <w:rsid w:val="7CCE4BB5"/>
    <w:rsid w:val="7CD73286"/>
    <w:rsid w:val="7CE20A3F"/>
    <w:rsid w:val="7CE47965"/>
    <w:rsid w:val="7D035C06"/>
    <w:rsid w:val="7D093C56"/>
    <w:rsid w:val="7D0E3426"/>
    <w:rsid w:val="7D0F1F7D"/>
    <w:rsid w:val="7D1142C2"/>
    <w:rsid w:val="7D1A57E9"/>
    <w:rsid w:val="7D1A5CE4"/>
    <w:rsid w:val="7D2722F7"/>
    <w:rsid w:val="7D295AE9"/>
    <w:rsid w:val="7D2C1229"/>
    <w:rsid w:val="7D2D6C11"/>
    <w:rsid w:val="7D2E7B1C"/>
    <w:rsid w:val="7D316677"/>
    <w:rsid w:val="7D3219F9"/>
    <w:rsid w:val="7D360F9E"/>
    <w:rsid w:val="7D3930C8"/>
    <w:rsid w:val="7D4079CF"/>
    <w:rsid w:val="7D460D00"/>
    <w:rsid w:val="7D466E5B"/>
    <w:rsid w:val="7D496EE6"/>
    <w:rsid w:val="7D4B1BF6"/>
    <w:rsid w:val="7D4C2476"/>
    <w:rsid w:val="7D505243"/>
    <w:rsid w:val="7D52613B"/>
    <w:rsid w:val="7D5452C3"/>
    <w:rsid w:val="7D60201D"/>
    <w:rsid w:val="7D6070E6"/>
    <w:rsid w:val="7D643D07"/>
    <w:rsid w:val="7D6D27D2"/>
    <w:rsid w:val="7D706C09"/>
    <w:rsid w:val="7D7B609F"/>
    <w:rsid w:val="7D9B2966"/>
    <w:rsid w:val="7D9C5E9F"/>
    <w:rsid w:val="7D9F57BA"/>
    <w:rsid w:val="7DA06E6D"/>
    <w:rsid w:val="7DA541A2"/>
    <w:rsid w:val="7DAA546B"/>
    <w:rsid w:val="7DAC4E4E"/>
    <w:rsid w:val="7DAF57E2"/>
    <w:rsid w:val="7DB57100"/>
    <w:rsid w:val="7DB7038E"/>
    <w:rsid w:val="7DC115B6"/>
    <w:rsid w:val="7DC31662"/>
    <w:rsid w:val="7DCC00E5"/>
    <w:rsid w:val="7DCC4552"/>
    <w:rsid w:val="7DCC701F"/>
    <w:rsid w:val="7DD079E3"/>
    <w:rsid w:val="7DD626AD"/>
    <w:rsid w:val="7DD83F99"/>
    <w:rsid w:val="7DDB1B6F"/>
    <w:rsid w:val="7DE10EF9"/>
    <w:rsid w:val="7DE21945"/>
    <w:rsid w:val="7DF91FDC"/>
    <w:rsid w:val="7E04756A"/>
    <w:rsid w:val="7E052EA5"/>
    <w:rsid w:val="7E081242"/>
    <w:rsid w:val="7E087C45"/>
    <w:rsid w:val="7E0B4635"/>
    <w:rsid w:val="7E1164E8"/>
    <w:rsid w:val="7E1A3E32"/>
    <w:rsid w:val="7E1E046C"/>
    <w:rsid w:val="7E20758F"/>
    <w:rsid w:val="7E267596"/>
    <w:rsid w:val="7E293510"/>
    <w:rsid w:val="7E2B4924"/>
    <w:rsid w:val="7E2E4A1D"/>
    <w:rsid w:val="7E341BBA"/>
    <w:rsid w:val="7E346B00"/>
    <w:rsid w:val="7E366203"/>
    <w:rsid w:val="7E3F18CF"/>
    <w:rsid w:val="7E41615A"/>
    <w:rsid w:val="7E443FF8"/>
    <w:rsid w:val="7E475C14"/>
    <w:rsid w:val="7E5210E9"/>
    <w:rsid w:val="7E5B430D"/>
    <w:rsid w:val="7E5E73D1"/>
    <w:rsid w:val="7E602D8B"/>
    <w:rsid w:val="7E8418C7"/>
    <w:rsid w:val="7E851646"/>
    <w:rsid w:val="7E886639"/>
    <w:rsid w:val="7E916B74"/>
    <w:rsid w:val="7EA00BDC"/>
    <w:rsid w:val="7EA17D52"/>
    <w:rsid w:val="7EB1160A"/>
    <w:rsid w:val="7EBD4685"/>
    <w:rsid w:val="7EBD5A57"/>
    <w:rsid w:val="7EBF392D"/>
    <w:rsid w:val="7EC1466C"/>
    <w:rsid w:val="7EC2715B"/>
    <w:rsid w:val="7ECD5AA1"/>
    <w:rsid w:val="7ED51867"/>
    <w:rsid w:val="7ED63F2A"/>
    <w:rsid w:val="7ED97906"/>
    <w:rsid w:val="7EE30D88"/>
    <w:rsid w:val="7EE71335"/>
    <w:rsid w:val="7EEC4F93"/>
    <w:rsid w:val="7EF00832"/>
    <w:rsid w:val="7EF13B65"/>
    <w:rsid w:val="7EFB4B02"/>
    <w:rsid w:val="7EFB5A9A"/>
    <w:rsid w:val="7F010C07"/>
    <w:rsid w:val="7F010C72"/>
    <w:rsid w:val="7F020208"/>
    <w:rsid w:val="7F035A39"/>
    <w:rsid w:val="7F0707C2"/>
    <w:rsid w:val="7F0A1AFC"/>
    <w:rsid w:val="7F0F2025"/>
    <w:rsid w:val="7F18619B"/>
    <w:rsid w:val="7F192F09"/>
    <w:rsid w:val="7F2A70F4"/>
    <w:rsid w:val="7F2B04C0"/>
    <w:rsid w:val="7F3A0F12"/>
    <w:rsid w:val="7F3F4B25"/>
    <w:rsid w:val="7F45797A"/>
    <w:rsid w:val="7F4852FB"/>
    <w:rsid w:val="7F493456"/>
    <w:rsid w:val="7F49749D"/>
    <w:rsid w:val="7F4D36A4"/>
    <w:rsid w:val="7F502CE0"/>
    <w:rsid w:val="7F5E2CB9"/>
    <w:rsid w:val="7F602111"/>
    <w:rsid w:val="7F6235E3"/>
    <w:rsid w:val="7F657C66"/>
    <w:rsid w:val="7F6C409B"/>
    <w:rsid w:val="7F701A0F"/>
    <w:rsid w:val="7F76605D"/>
    <w:rsid w:val="7F872EEB"/>
    <w:rsid w:val="7F896501"/>
    <w:rsid w:val="7F964B2C"/>
    <w:rsid w:val="7F991345"/>
    <w:rsid w:val="7F9D6A57"/>
    <w:rsid w:val="7FA4274F"/>
    <w:rsid w:val="7FAC364B"/>
    <w:rsid w:val="7FBE759F"/>
    <w:rsid w:val="7FC9402C"/>
    <w:rsid w:val="7FD54C1F"/>
    <w:rsid w:val="7FD9147E"/>
    <w:rsid w:val="7FDD51DA"/>
    <w:rsid w:val="7FE465F1"/>
    <w:rsid w:val="7FF02DFC"/>
    <w:rsid w:val="7FFA49C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firstLineChars="0"/>
      <w:jc w:val="both"/>
    </w:pPr>
    <w:rPr>
      <w:rFonts w:ascii="宋体" w:hAnsi="宋体" w:eastAsia="宋体" w:cs="Times New Roman"/>
      <w:sz w:val="24"/>
      <w:lang w:val="en-US" w:eastAsia="zh-CN" w:bidi="ar-SA"/>
    </w:rPr>
  </w:style>
  <w:style w:type="paragraph" w:styleId="3">
    <w:name w:val="heading 1"/>
    <w:basedOn w:val="1"/>
    <w:next w:val="1"/>
    <w:link w:val="100"/>
    <w:qFormat/>
    <w:uiPriority w:val="0"/>
    <w:pPr>
      <w:keepNext/>
      <w:keepLines/>
      <w:numPr>
        <w:ilvl w:val="0"/>
        <w:numId w:val="1"/>
      </w:numPr>
      <w:spacing w:before="400" w:after="400"/>
      <w:jc w:val="center"/>
      <w:outlineLvl w:val="0"/>
    </w:pPr>
    <w:rPr>
      <w:rFonts w:ascii="Times New Roman" w:hAnsi="Times New Roman" w:eastAsia="楷体_GB2312"/>
      <w:b/>
      <w:bCs/>
      <w:kern w:val="44"/>
      <w:sz w:val="44"/>
      <w:szCs w:val="44"/>
    </w:rPr>
  </w:style>
  <w:style w:type="paragraph" w:styleId="4">
    <w:name w:val="heading 2"/>
    <w:basedOn w:val="1"/>
    <w:next w:val="1"/>
    <w:link w:val="101"/>
    <w:qFormat/>
    <w:uiPriority w:val="0"/>
    <w:pPr>
      <w:keepNext/>
      <w:keepLines/>
      <w:adjustRightInd/>
      <w:spacing w:before="50" w:beforeLines="50" w:after="50" w:afterLines="50" w:line="360" w:lineRule="auto"/>
      <w:ind w:left="578" w:hanging="578" w:firstLineChars="0"/>
      <w:jc w:val="left"/>
      <w:textAlignment w:val="auto"/>
      <w:outlineLvl w:val="1"/>
    </w:pPr>
    <w:rPr>
      <w:rFonts w:hAnsi="宋体" w:eastAsia="楷体_GB2312"/>
      <w:b/>
      <w:bCs/>
      <w:sz w:val="36"/>
      <w:szCs w:val="32"/>
    </w:rPr>
  </w:style>
  <w:style w:type="paragraph" w:styleId="5">
    <w:name w:val="heading 3"/>
    <w:basedOn w:val="1"/>
    <w:next w:val="1"/>
    <w:link w:val="94"/>
    <w:qFormat/>
    <w:uiPriority w:val="0"/>
    <w:pPr>
      <w:keepNext/>
      <w:keepLines/>
      <w:spacing w:before="50" w:beforeLines="50" w:after="156" w:line="360" w:lineRule="auto"/>
      <w:ind w:firstLine="0" w:firstLineChars="0"/>
      <w:jc w:val="left"/>
      <w:outlineLvl w:val="2"/>
    </w:pPr>
    <w:rPr>
      <w:rFonts w:ascii="Times New Roman" w:eastAsia="华文楷体"/>
      <w:b/>
      <w:bCs/>
      <w:sz w:val="32"/>
      <w:szCs w:val="32"/>
    </w:rPr>
  </w:style>
  <w:style w:type="paragraph" w:styleId="6">
    <w:name w:val="heading 4"/>
    <w:basedOn w:val="1"/>
    <w:next w:val="1"/>
    <w:link w:val="92"/>
    <w:qFormat/>
    <w:uiPriority w:val="0"/>
    <w:pPr>
      <w:numPr>
        <w:ilvl w:val="0"/>
        <w:numId w:val="0"/>
      </w:numPr>
      <w:snapToGrid/>
      <w:spacing w:line="360" w:lineRule="auto"/>
      <w:jc w:val="left"/>
      <w:outlineLvl w:val="3"/>
    </w:pPr>
    <w:rPr>
      <w:rFonts w:ascii="宋体" w:hAnsi="宋体" w:eastAsia="宋体"/>
      <w:b/>
      <w:sz w:val="24"/>
    </w:rPr>
  </w:style>
  <w:style w:type="paragraph" w:styleId="7">
    <w:name w:val="heading 5"/>
    <w:basedOn w:val="1"/>
    <w:next w:val="1"/>
    <w:link w:val="91"/>
    <w:qFormat/>
    <w:uiPriority w:val="0"/>
    <w:pPr>
      <w:keepNext/>
      <w:keepLines/>
      <w:spacing w:before="50" w:beforeLines="50" w:after="50" w:afterLines="50" w:line="360" w:lineRule="auto"/>
      <w:ind w:firstLine="375" w:firstLineChars="85"/>
      <w:outlineLvl w:val="4"/>
    </w:pPr>
    <w:rPr>
      <w:rFonts w:ascii="Times New Roman" w:hAnsi="Times New Roman" w:eastAsia="宋体"/>
      <w:b/>
      <w:bCs/>
      <w:szCs w:val="28"/>
    </w:rPr>
  </w:style>
  <w:style w:type="paragraph" w:styleId="8">
    <w:name w:val="heading 6"/>
    <w:basedOn w:val="1"/>
    <w:next w:val="1"/>
    <w:link w:val="102"/>
    <w:qFormat/>
    <w:uiPriority w:val="0"/>
    <w:pPr>
      <w:keepNext/>
      <w:keepLines/>
      <w:numPr>
        <w:ilvl w:val="5"/>
        <w:numId w:val="2"/>
      </w:numPr>
      <w:tabs>
        <w:tab w:val="left" w:pos="3024"/>
        <w:tab w:val="clear" w:pos="2520"/>
      </w:tabs>
      <w:adjustRightInd w:val="0"/>
      <w:spacing w:before="240" w:beforeLines="0" w:after="64" w:afterLines="0" w:line="320" w:lineRule="atLeast"/>
      <w:jc w:val="left"/>
      <w:textAlignment w:val="baseline"/>
      <w:outlineLvl w:val="5"/>
    </w:pPr>
    <w:rPr>
      <w:rFonts w:ascii="Arial" w:hAnsi="Arial" w:eastAsia="黑体"/>
      <w:b/>
      <w:bCs/>
      <w:kern w:val="0"/>
      <w:sz w:val="24"/>
      <w:szCs w:val="24"/>
    </w:rPr>
  </w:style>
  <w:style w:type="paragraph" w:styleId="9">
    <w:name w:val="heading 7"/>
    <w:basedOn w:val="1"/>
    <w:next w:val="1"/>
    <w:link w:val="103"/>
    <w:qFormat/>
    <w:uiPriority w:val="0"/>
    <w:pPr>
      <w:keepNext/>
      <w:keepLines/>
      <w:tabs>
        <w:tab w:val="left" w:pos="1296"/>
      </w:tabs>
      <w:spacing w:before="240" w:beforeLines="0" w:after="64" w:afterLines="0" w:line="320" w:lineRule="auto"/>
      <w:ind w:left="1296" w:hanging="1296"/>
      <w:outlineLvl w:val="6"/>
    </w:pPr>
    <w:rPr>
      <w:rFonts w:ascii="Times New Roman" w:hAnsi="Times New Roman"/>
      <w:b/>
      <w:bCs/>
      <w:kern w:val="0"/>
      <w:sz w:val="24"/>
      <w:szCs w:val="24"/>
    </w:rPr>
  </w:style>
  <w:style w:type="paragraph" w:styleId="10">
    <w:name w:val="heading 8"/>
    <w:basedOn w:val="1"/>
    <w:next w:val="1"/>
    <w:link w:val="104"/>
    <w:qFormat/>
    <w:uiPriority w:val="0"/>
    <w:pPr>
      <w:keepNext/>
      <w:keepLines/>
      <w:numPr>
        <w:ilvl w:val="7"/>
        <w:numId w:val="2"/>
      </w:numPr>
      <w:tabs>
        <w:tab w:val="left" w:pos="3864"/>
        <w:tab w:val="clear" w:pos="3360"/>
      </w:tabs>
      <w:adjustRightInd w:val="0"/>
      <w:spacing w:before="240" w:beforeLines="0" w:after="64" w:afterLines="0" w:line="320" w:lineRule="atLeast"/>
      <w:jc w:val="left"/>
      <w:textAlignment w:val="baseline"/>
      <w:outlineLvl w:val="7"/>
    </w:pPr>
    <w:rPr>
      <w:rFonts w:ascii="Arial" w:hAnsi="Arial" w:eastAsia="黑体"/>
      <w:kern w:val="0"/>
      <w:sz w:val="24"/>
      <w:szCs w:val="24"/>
    </w:rPr>
  </w:style>
  <w:style w:type="paragraph" w:styleId="11">
    <w:name w:val="heading 9"/>
    <w:basedOn w:val="1"/>
    <w:next w:val="1"/>
    <w:link w:val="105"/>
    <w:qFormat/>
    <w:uiPriority w:val="0"/>
    <w:pPr>
      <w:keepNext/>
      <w:keepLines/>
      <w:numPr>
        <w:ilvl w:val="8"/>
        <w:numId w:val="2"/>
      </w:numPr>
      <w:tabs>
        <w:tab w:val="left" w:pos="4284"/>
        <w:tab w:val="clear" w:pos="3780"/>
      </w:tabs>
      <w:adjustRightInd w:val="0"/>
      <w:spacing w:before="240" w:beforeLines="0" w:after="64" w:afterLines="0" w:line="320" w:lineRule="atLeast"/>
      <w:jc w:val="left"/>
      <w:textAlignment w:val="baseline"/>
      <w:outlineLvl w:val="8"/>
    </w:pPr>
    <w:rPr>
      <w:rFonts w:ascii="Arial" w:hAnsi="Arial" w:eastAsia="黑体"/>
      <w:kern w:val="0"/>
      <w:sz w:val="20"/>
      <w:szCs w:val="21"/>
    </w:rPr>
  </w:style>
  <w:style w:type="character" w:default="1" w:styleId="82">
    <w:name w:val="Default Paragraph Font"/>
    <w:unhideWhenUsed/>
    <w:qFormat/>
    <w:uiPriority w:val="1"/>
  </w:style>
  <w:style w:type="table" w:default="1" w:styleId="80">
    <w:name w:val="Normal Table"/>
    <w:unhideWhenUsed/>
    <w:qFormat/>
    <w:uiPriority w:val="99"/>
    <w:tblPr>
      <w:tblCellMar>
        <w:top w:w="0" w:type="dxa"/>
        <w:left w:w="108" w:type="dxa"/>
        <w:bottom w:w="0" w:type="dxa"/>
        <w:right w:w="108" w:type="dxa"/>
      </w:tblCellMar>
    </w:tblPr>
  </w:style>
  <w:style w:type="paragraph" w:styleId="2">
    <w:name w:val="List"/>
    <w:basedOn w:val="1"/>
    <w:next w:val="1"/>
    <w:link w:val="99"/>
    <w:qFormat/>
    <w:uiPriority w:val="0"/>
    <w:pPr>
      <w:adjustRightInd w:val="0"/>
      <w:spacing w:line="360" w:lineRule="auto"/>
      <w:ind w:left="-2" w:leftChars="-1" w:right="-108" w:rightChars="-45" w:firstLine="420" w:firstLineChars="200"/>
      <w:jc w:val="left"/>
      <w:textAlignment w:val="baseline"/>
    </w:pPr>
    <w:rPr>
      <w:rFonts w:ascii="黑体" w:hAnsi="Times New Roman" w:eastAsia="黑体"/>
      <w:kern w:val="0"/>
      <w:sz w:val="20"/>
      <w:szCs w:val="20"/>
    </w:rPr>
  </w:style>
  <w:style w:type="paragraph" w:styleId="12">
    <w:name w:val="List 3"/>
    <w:basedOn w:val="1"/>
    <w:qFormat/>
    <w:uiPriority w:val="0"/>
    <w:pPr>
      <w:ind w:left="100" w:leftChars="400" w:hanging="200" w:hangingChars="200"/>
    </w:pPr>
    <w:rPr>
      <w:rFonts w:ascii="Times New Roman" w:hAnsi="Times New Roman"/>
      <w:szCs w:val="24"/>
    </w:rPr>
  </w:style>
  <w:style w:type="paragraph" w:styleId="13">
    <w:name w:val="toc 7"/>
    <w:basedOn w:val="1"/>
    <w:next w:val="1"/>
    <w:qFormat/>
    <w:uiPriority w:val="39"/>
    <w:pPr>
      <w:ind w:left="1260"/>
      <w:jc w:val="left"/>
    </w:pPr>
    <w:rPr>
      <w:rFonts w:ascii="Calibri" w:hAnsi="Calibri" w:eastAsia="宋体" w:cs="Times New Roman"/>
      <w:sz w:val="18"/>
      <w:szCs w:val="18"/>
    </w:rPr>
  </w:style>
  <w:style w:type="paragraph" w:styleId="14">
    <w:name w:val="List Number 2"/>
    <w:basedOn w:val="1"/>
    <w:qFormat/>
    <w:uiPriority w:val="0"/>
    <w:pPr>
      <w:tabs>
        <w:tab w:val="left" w:pos="780"/>
      </w:tabs>
      <w:ind w:left="780" w:leftChars="200" w:hanging="360" w:hangingChars="200"/>
    </w:pPr>
    <w:rPr>
      <w:rFonts w:ascii="仿宋_GB2312" w:hAnsi="Times New Roman" w:eastAsia="仿宋_GB2312"/>
      <w:sz w:val="28"/>
      <w:szCs w:val="24"/>
    </w:rPr>
  </w:style>
  <w:style w:type="paragraph" w:styleId="15">
    <w:name w:val="Note Heading"/>
    <w:basedOn w:val="1"/>
    <w:next w:val="1"/>
    <w:link w:val="106"/>
    <w:qFormat/>
    <w:uiPriority w:val="0"/>
    <w:pPr>
      <w:jc w:val="center"/>
    </w:pPr>
    <w:rPr>
      <w:rFonts w:ascii="宋体" w:hAnsi="Times New Roman"/>
      <w:szCs w:val="20"/>
    </w:rPr>
  </w:style>
  <w:style w:type="paragraph" w:styleId="16">
    <w:name w:val="List Bullet 4"/>
    <w:basedOn w:val="1"/>
    <w:qFormat/>
    <w:uiPriority w:val="0"/>
    <w:pPr>
      <w:tabs>
        <w:tab w:val="left" w:pos="1620"/>
      </w:tabs>
      <w:ind w:left="1620" w:leftChars="600" w:hanging="360" w:hangingChars="200"/>
    </w:pPr>
    <w:rPr>
      <w:rFonts w:ascii="仿宋_GB2312" w:hAnsi="Times New Roman" w:eastAsia="仿宋_GB2312"/>
      <w:sz w:val="28"/>
      <w:szCs w:val="24"/>
    </w:rPr>
  </w:style>
  <w:style w:type="paragraph" w:styleId="17">
    <w:name w:val="E-mail Signature"/>
    <w:basedOn w:val="1"/>
    <w:link w:val="107"/>
    <w:qFormat/>
    <w:uiPriority w:val="0"/>
    <w:pPr>
      <w:ind w:firstLine="200" w:firstLineChars="200"/>
    </w:pPr>
    <w:rPr>
      <w:rFonts w:ascii="仿宋_GB2312" w:hAnsi="Times New Roman" w:eastAsia="仿宋_GB2312"/>
      <w:sz w:val="28"/>
      <w:szCs w:val="24"/>
    </w:rPr>
  </w:style>
  <w:style w:type="paragraph" w:styleId="18">
    <w:name w:val="List Number"/>
    <w:basedOn w:val="1"/>
    <w:qFormat/>
    <w:uiPriority w:val="0"/>
    <w:pPr>
      <w:tabs>
        <w:tab w:val="left" w:pos="360"/>
      </w:tabs>
      <w:ind w:left="360" w:hanging="360" w:hangingChars="200"/>
    </w:pPr>
    <w:rPr>
      <w:rFonts w:ascii="仿宋_GB2312" w:hAnsi="Times New Roman" w:eastAsia="仿宋_GB2312"/>
      <w:sz w:val="28"/>
      <w:szCs w:val="24"/>
    </w:rPr>
  </w:style>
  <w:style w:type="paragraph" w:styleId="19">
    <w:name w:val="Normal Indent"/>
    <w:basedOn w:val="1"/>
    <w:link w:val="108"/>
    <w:qFormat/>
    <w:uiPriority w:val="0"/>
    <w:pPr>
      <w:ind w:firstLine="420"/>
    </w:pPr>
    <w:rPr>
      <w:rFonts w:ascii="Times New Roman" w:hAnsi="Times New Roman"/>
      <w:kern w:val="0"/>
      <w:sz w:val="28"/>
      <w:szCs w:val="20"/>
    </w:rPr>
  </w:style>
  <w:style w:type="paragraph" w:styleId="20">
    <w:name w:val="caption"/>
    <w:basedOn w:val="1"/>
    <w:next w:val="1"/>
    <w:link w:val="97"/>
    <w:qFormat/>
    <w:uiPriority w:val="0"/>
    <w:pPr>
      <w:spacing w:before="50" w:beforeLines="50" w:afterLines="0"/>
      <w:ind w:firstLine="0" w:firstLineChars="0"/>
      <w:jc w:val="center"/>
    </w:pPr>
    <w:rPr>
      <w:rFonts w:ascii="黑体" w:hAnsi="黑体" w:eastAsia="宋体"/>
      <w:b/>
      <w:kern w:val="0"/>
      <w:sz w:val="21"/>
      <w:szCs w:val="20"/>
    </w:rPr>
  </w:style>
  <w:style w:type="paragraph" w:styleId="21">
    <w:name w:val="index 5"/>
    <w:basedOn w:val="1"/>
    <w:next w:val="1"/>
    <w:semiHidden/>
    <w:qFormat/>
    <w:uiPriority w:val="0"/>
    <w:pPr>
      <w:ind w:left="800" w:leftChars="800"/>
    </w:pPr>
    <w:rPr>
      <w:rFonts w:ascii="Times New Roman" w:hAnsi="Times New Roman"/>
      <w:szCs w:val="24"/>
    </w:rPr>
  </w:style>
  <w:style w:type="paragraph" w:styleId="22">
    <w:name w:val="List Bullet"/>
    <w:basedOn w:val="1"/>
    <w:qFormat/>
    <w:uiPriority w:val="0"/>
    <w:pPr>
      <w:tabs>
        <w:tab w:val="left" w:pos="360"/>
      </w:tabs>
      <w:ind w:left="360" w:hanging="360" w:hangingChars="200"/>
    </w:pPr>
    <w:rPr>
      <w:rFonts w:ascii="仿宋_GB2312" w:hAnsi="Times New Roman" w:eastAsia="仿宋_GB2312"/>
      <w:sz w:val="28"/>
      <w:szCs w:val="24"/>
    </w:rPr>
  </w:style>
  <w:style w:type="paragraph" w:styleId="23">
    <w:name w:val="envelope address"/>
    <w:basedOn w:val="1"/>
    <w:qFormat/>
    <w:uiPriority w:val="0"/>
    <w:pPr>
      <w:framePr w:w="7920" w:h="1980" w:hRule="exact" w:hSpace="180" w:wrap="around" w:vAnchor="margin" w:hAnchor="page" w:xAlign="center" w:yAlign="bottom"/>
      <w:snapToGrid w:val="0"/>
      <w:ind w:left="100" w:leftChars="1400" w:firstLine="200" w:firstLineChars="200"/>
    </w:pPr>
    <w:rPr>
      <w:rFonts w:ascii="Arial" w:hAnsi="Arial" w:eastAsia="仿宋_GB2312" w:cs="Arial"/>
      <w:sz w:val="24"/>
      <w:szCs w:val="24"/>
    </w:rPr>
  </w:style>
  <w:style w:type="paragraph" w:styleId="24">
    <w:name w:val="Document Map"/>
    <w:basedOn w:val="1"/>
    <w:link w:val="109"/>
    <w:semiHidden/>
    <w:qFormat/>
    <w:uiPriority w:val="0"/>
    <w:pPr>
      <w:shd w:val="clear" w:color="auto" w:fill="000080"/>
    </w:pPr>
    <w:rPr>
      <w:rFonts w:ascii="Times New Roman" w:hAnsi="Times New Roman"/>
      <w:kern w:val="0"/>
      <w:sz w:val="20"/>
      <w:szCs w:val="24"/>
    </w:rPr>
  </w:style>
  <w:style w:type="paragraph" w:styleId="25">
    <w:name w:val="toa heading"/>
    <w:basedOn w:val="1"/>
    <w:next w:val="1"/>
    <w:qFormat/>
    <w:uiPriority w:val="0"/>
    <w:pPr>
      <w:spacing w:before="120" w:beforeLines="0"/>
    </w:pPr>
    <w:rPr>
      <w:rFonts w:ascii="Arial" w:hAnsi="Arial"/>
      <w:sz w:val="24"/>
      <w:szCs w:val="20"/>
    </w:rPr>
  </w:style>
  <w:style w:type="paragraph" w:styleId="26">
    <w:name w:val="annotation text"/>
    <w:basedOn w:val="1"/>
    <w:link w:val="96"/>
    <w:semiHidden/>
    <w:qFormat/>
    <w:uiPriority w:val="99"/>
    <w:pPr>
      <w:jc w:val="left"/>
    </w:pPr>
    <w:rPr>
      <w:rFonts w:ascii="Times New Roman" w:hAnsi="Times New Roman"/>
      <w:kern w:val="0"/>
      <w:sz w:val="20"/>
      <w:szCs w:val="24"/>
    </w:rPr>
  </w:style>
  <w:style w:type="paragraph" w:styleId="27">
    <w:name w:val="Salutation"/>
    <w:basedOn w:val="1"/>
    <w:next w:val="1"/>
    <w:link w:val="110"/>
    <w:qFormat/>
    <w:uiPriority w:val="0"/>
    <w:pPr>
      <w:spacing w:line="360" w:lineRule="auto"/>
    </w:pPr>
    <w:rPr>
      <w:rFonts w:ascii="Times New Roman" w:hAnsi="Times New Roman"/>
      <w:sz w:val="28"/>
      <w:szCs w:val="20"/>
    </w:rPr>
  </w:style>
  <w:style w:type="paragraph" w:styleId="28">
    <w:name w:val="Body Text 3"/>
    <w:basedOn w:val="1"/>
    <w:link w:val="111"/>
    <w:qFormat/>
    <w:uiPriority w:val="0"/>
    <w:rPr>
      <w:rFonts w:ascii="Times New Roman" w:hAnsi="Times New Roman"/>
      <w:sz w:val="18"/>
      <w:szCs w:val="24"/>
    </w:rPr>
  </w:style>
  <w:style w:type="paragraph" w:styleId="29">
    <w:name w:val="Closing"/>
    <w:basedOn w:val="1"/>
    <w:link w:val="112"/>
    <w:qFormat/>
    <w:uiPriority w:val="0"/>
    <w:pPr>
      <w:ind w:left="100" w:leftChars="2100" w:firstLine="200" w:firstLineChars="200"/>
    </w:pPr>
    <w:rPr>
      <w:rFonts w:ascii="仿宋_GB2312" w:hAnsi="Times New Roman" w:eastAsia="仿宋_GB2312"/>
      <w:sz w:val="28"/>
      <w:szCs w:val="24"/>
    </w:rPr>
  </w:style>
  <w:style w:type="paragraph" w:styleId="30">
    <w:name w:val="List Bullet 3"/>
    <w:basedOn w:val="1"/>
    <w:qFormat/>
    <w:uiPriority w:val="0"/>
    <w:pPr>
      <w:tabs>
        <w:tab w:val="left" w:pos="1200"/>
      </w:tabs>
      <w:ind w:left="1200" w:leftChars="400" w:hanging="360" w:hangingChars="200"/>
    </w:pPr>
    <w:rPr>
      <w:rFonts w:ascii="仿宋_GB2312" w:hAnsi="Times New Roman" w:eastAsia="仿宋_GB2312"/>
      <w:sz w:val="28"/>
      <w:szCs w:val="24"/>
    </w:rPr>
  </w:style>
  <w:style w:type="paragraph" w:styleId="31">
    <w:name w:val="Body Text"/>
    <w:basedOn w:val="1"/>
    <w:next w:val="32"/>
    <w:link w:val="113"/>
    <w:qFormat/>
    <w:uiPriority w:val="0"/>
    <w:pPr>
      <w:spacing w:after="120" w:afterLines="0"/>
    </w:pPr>
    <w:rPr>
      <w:rFonts w:ascii="Times New Roman" w:hAnsi="Times New Roman"/>
      <w:kern w:val="0"/>
      <w:sz w:val="20"/>
      <w:szCs w:val="24"/>
    </w:rPr>
  </w:style>
  <w:style w:type="paragraph" w:customStyle="1" w:styleId="32">
    <w:name w:val="Default"/>
    <w:basedOn w:val="3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
    <w:name w:val="1 表头"/>
    <w:basedOn w:val="1"/>
    <w:qFormat/>
    <w:uiPriority w:val="0"/>
    <w:pPr>
      <w:adjustRightInd w:val="0"/>
      <w:snapToGrid w:val="0"/>
      <w:spacing w:line="240" w:lineRule="auto"/>
      <w:ind w:firstLine="0" w:firstLineChars="0"/>
      <w:jc w:val="center"/>
    </w:pPr>
    <w:rPr>
      <w:b/>
      <w:color w:val="000000"/>
      <w:sz w:val="21"/>
      <w:szCs w:val="21"/>
    </w:rPr>
  </w:style>
  <w:style w:type="paragraph" w:styleId="34">
    <w:name w:val="Body Text Indent"/>
    <w:basedOn w:val="1"/>
    <w:next w:val="35"/>
    <w:link w:val="114"/>
    <w:qFormat/>
    <w:uiPriority w:val="0"/>
    <w:pPr>
      <w:spacing w:line="360" w:lineRule="auto"/>
      <w:ind w:firstLine="540" w:firstLineChars="225"/>
    </w:pPr>
    <w:rPr>
      <w:rFonts w:ascii="Times New Roman" w:hAnsi="Times New Roman"/>
      <w:kern w:val="0"/>
      <w:sz w:val="24"/>
      <w:szCs w:val="24"/>
    </w:rPr>
  </w:style>
  <w:style w:type="paragraph" w:customStyle="1" w:styleId="35">
    <w:name w:val="样式 正文文本缩进 + 行距: 1.5 倍行距"/>
    <w:basedOn w:val="1"/>
    <w:qFormat/>
    <w:uiPriority w:val="0"/>
    <w:pPr>
      <w:spacing w:after="120" w:line="360" w:lineRule="auto"/>
      <w:ind w:left="90" w:leftChars="32" w:firstLine="560" w:firstLineChars="200"/>
    </w:pPr>
    <w:rPr>
      <w:rFonts w:cs="宋体"/>
    </w:rPr>
  </w:style>
  <w:style w:type="paragraph" w:styleId="36">
    <w:name w:val="List Number 3"/>
    <w:basedOn w:val="1"/>
    <w:qFormat/>
    <w:uiPriority w:val="0"/>
    <w:pPr>
      <w:tabs>
        <w:tab w:val="left" w:pos="1200"/>
      </w:tabs>
      <w:ind w:left="1200" w:leftChars="400" w:hanging="360" w:hangingChars="200"/>
    </w:pPr>
    <w:rPr>
      <w:rFonts w:ascii="仿宋_GB2312" w:hAnsi="Times New Roman" w:eastAsia="仿宋_GB2312"/>
      <w:sz w:val="28"/>
      <w:szCs w:val="24"/>
    </w:rPr>
  </w:style>
  <w:style w:type="paragraph" w:styleId="37">
    <w:name w:val="List 2"/>
    <w:basedOn w:val="1"/>
    <w:qFormat/>
    <w:uiPriority w:val="0"/>
    <w:pPr>
      <w:ind w:left="100" w:leftChars="200" w:hanging="200" w:hangingChars="200"/>
    </w:pPr>
    <w:rPr>
      <w:rFonts w:ascii="Times New Roman" w:hAnsi="Times New Roman"/>
      <w:szCs w:val="24"/>
    </w:rPr>
  </w:style>
  <w:style w:type="paragraph" w:styleId="38">
    <w:name w:val="List Continue"/>
    <w:basedOn w:val="1"/>
    <w:qFormat/>
    <w:uiPriority w:val="0"/>
    <w:pPr>
      <w:spacing w:after="120" w:afterLines="0"/>
      <w:ind w:left="420" w:leftChars="200" w:firstLine="200" w:firstLineChars="200"/>
    </w:pPr>
    <w:rPr>
      <w:rFonts w:ascii="仿宋_GB2312" w:hAnsi="Times New Roman" w:eastAsia="仿宋_GB2312"/>
      <w:sz w:val="28"/>
      <w:szCs w:val="24"/>
    </w:rPr>
  </w:style>
  <w:style w:type="paragraph" w:styleId="39">
    <w:name w:val="Block Text"/>
    <w:basedOn w:val="1"/>
    <w:qFormat/>
    <w:uiPriority w:val="0"/>
    <w:pPr>
      <w:ind w:left="-359" w:leftChars="-171" w:right="-334" w:rightChars="-159" w:firstLine="538" w:firstLineChars="192"/>
    </w:pPr>
    <w:rPr>
      <w:rFonts w:ascii="Times New Roman" w:hAnsi="Times New Roman"/>
      <w:sz w:val="28"/>
      <w:szCs w:val="24"/>
    </w:rPr>
  </w:style>
  <w:style w:type="paragraph" w:styleId="40">
    <w:name w:val="List Bullet 2"/>
    <w:basedOn w:val="1"/>
    <w:qFormat/>
    <w:uiPriority w:val="0"/>
    <w:pPr>
      <w:tabs>
        <w:tab w:val="left" w:pos="0"/>
        <w:tab w:val="left" w:pos="852"/>
      </w:tabs>
      <w:suppressAutoHyphens/>
      <w:autoSpaceDE w:val="0"/>
      <w:adjustRightInd w:val="0"/>
      <w:snapToGrid w:val="0"/>
      <w:jc w:val="center"/>
    </w:pPr>
    <w:rPr>
      <w:rFonts w:ascii="仿宋_GB2312" w:hAnsi="宋体" w:eastAsia="仿宋_GB2312"/>
      <w:bCs/>
      <w:color w:val="000000"/>
      <w:sz w:val="24"/>
      <w:szCs w:val="24"/>
    </w:rPr>
  </w:style>
  <w:style w:type="paragraph" w:styleId="41">
    <w:name w:val="HTML Address"/>
    <w:basedOn w:val="1"/>
    <w:link w:val="115"/>
    <w:qFormat/>
    <w:uiPriority w:val="0"/>
    <w:pPr>
      <w:ind w:firstLine="200" w:firstLineChars="200"/>
    </w:pPr>
    <w:rPr>
      <w:rFonts w:ascii="仿宋_GB2312" w:hAnsi="Times New Roman" w:eastAsia="仿宋_GB2312"/>
      <w:i/>
      <w:iCs/>
      <w:sz w:val="28"/>
      <w:szCs w:val="24"/>
    </w:rPr>
  </w:style>
  <w:style w:type="paragraph" w:styleId="42">
    <w:name w:val="toc 5"/>
    <w:basedOn w:val="1"/>
    <w:next w:val="1"/>
    <w:qFormat/>
    <w:uiPriority w:val="39"/>
    <w:pPr>
      <w:ind w:left="840"/>
      <w:jc w:val="left"/>
    </w:pPr>
    <w:rPr>
      <w:rFonts w:ascii="Calibri" w:hAnsi="Calibri" w:eastAsia="宋体" w:cs="Times New Roman"/>
      <w:sz w:val="18"/>
      <w:szCs w:val="18"/>
    </w:rPr>
  </w:style>
  <w:style w:type="paragraph" w:styleId="43">
    <w:name w:val="toc 3"/>
    <w:basedOn w:val="1"/>
    <w:next w:val="1"/>
    <w:qFormat/>
    <w:uiPriority w:val="39"/>
    <w:pPr>
      <w:ind w:left="420"/>
      <w:jc w:val="left"/>
    </w:pPr>
    <w:rPr>
      <w:rFonts w:ascii="Calibri" w:hAnsi="Calibri" w:eastAsia="宋体" w:cs="Times New Roman"/>
      <w:i/>
      <w:iCs/>
      <w:sz w:val="20"/>
      <w:szCs w:val="20"/>
    </w:rPr>
  </w:style>
  <w:style w:type="paragraph" w:styleId="44">
    <w:name w:val="Plain Text"/>
    <w:basedOn w:val="1"/>
    <w:next w:val="45"/>
    <w:link w:val="116"/>
    <w:qFormat/>
    <w:uiPriority w:val="0"/>
    <w:rPr>
      <w:rFonts w:ascii="宋体" w:hAnsi="Courier New"/>
      <w:kern w:val="0"/>
      <w:sz w:val="20"/>
      <w:szCs w:val="21"/>
    </w:rPr>
  </w:style>
  <w:style w:type="paragraph" w:styleId="45">
    <w:name w:val="toc 1"/>
    <w:basedOn w:val="1"/>
    <w:next w:val="1"/>
    <w:qFormat/>
    <w:uiPriority w:val="39"/>
    <w:pPr>
      <w:tabs>
        <w:tab w:val="right" w:leader="dot" w:pos="8948"/>
      </w:tabs>
      <w:spacing w:before="120" w:beforeLines="0" w:after="120" w:afterLines="0"/>
      <w:jc w:val="left"/>
    </w:pPr>
    <w:rPr>
      <w:rFonts w:ascii="仿宋_GB2312" w:hAnsi="宋体" w:eastAsia="仿宋_GB2312" w:cs="Times New Roman"/>
      <w:b/>
      <w:bCs/>
      <w:caps/>
      <w:sz w:val="20"/>
      <w:szCs w:val="20"/>
    </w:rPr>
  </w:style>
  <w:style w:type="paragraph" w:styleId="46">
    <w:name w:val="List Bullet 5"/>
    <w:basedOn w:val="1"/>
    <w:qFormat/>
    <w:uiPriority w:val="0"/>
    <w:pPr>
      <w:ind w:left="425" w:hanging="425"/>
    </w:pPr>
    <w:rPr>
      <w:rFonts w:hint="eastAsia" w:ascii="宋体" w:hAnsi="宋体"/>
      <w:sz w:val="24"/>
      <w:szCs w:val="24"/>
    </w:rPr>
  </w:style>
  <w:style w:type="paragraph" w:styleId="47">
    <w:name w:val="List Number 4"/>
    <w:basedOn w:val="1"/>
    <w:qFormat/>
    <w:uiPriority w:val="0"/>
    <w:pPr>
      <w:tabs>
        <w:tab w:val="left" w:pos="1620"/>
      </w:tabs>
      <w:ind w:left="1620" w:leftChars="600" w:hanging="360" w:hangingChars="200"/>
    </w:pPr>
    <w:rPr>
      <w:rFonts w:ascii="仿宋_GB2312" w:hAnsi="Times New Roman" w:eastAsia="仿宋_GB2312"/>
      <w:sz w:val="28"/>
      <w:szCs w:val="24"/>
    </w:rPr>
  </w:style>
  <w:style w:type="paragraph" w:styleId="48">
    <w:name w:val="toc 8"/>
    <w:basedOn w:val="1"/>
    <w:next w:val="1"/>
    <w:qFormat/>
    <w:uiPriority w:val="39"/>
    <w:pPr>
      <w:ind w:left="1470"/>
      <w:jc w:val="left"/>
    </w:pPr>
    <w:rPr>
      <w:rFonts w:ascii="Calibri" w:hAnsi="Calibri" w:eastAsia="宋体" w:cs="Times New Roman"/>
      <w:sz w:val="18"/>
      <w:szCs w:val="18"/>
    </w:rPr>
  </w:style>
  <w:style w:type="paragraph" w:styleId="49">
    <w:name w:val="Date"/>
    <w:basedOn w:val="1"/>
    <w:next w:val="1"/>
    <w:link w:val="117"/>
    <w:qFormat/>
    <w:uiPriority w:val="0"/>
    <w:pPr>
      <w:ind w:left="100" w:leftChars="2500"/>
    </w:pPr>
    <w:rPr>
      <w:rFonts w:ascii="Times New Roman" w:hAnsi="Times New Roman"/>
      <w:kern w:val="0"/>
      <w:sz w:val="20"/>
      <w:szCs w:val="24"/>
    </w:rPr>
  </w:style>
  <w:style w:type="paragraph" w:styleId="50">
    <w:name w:val="Body Text Indent 2"/>
    <w:basedOn w:val="1"/>
    <w:link w:val="118"/>
    <w:qFormat/>
    <w:uiPriority w:val="0"/>
    <w:pPr>
      <w:spacing w:line="512" w:lineRule="exact"/>
      <w:ind w:firstLine="560" w:firstLineChars="200"/>
    </w:pPr>
    <w:rPr>
      <w:rFonts w:ascii="宋体" w:hAnsi="宋体"/>
      <w:kern w:val="0"/>
      <w:sz w:val="28"/>
      <w:szCs w:val="28"/>
    </w:rPr>
  </w:style>
  <w:style w:type="paragraph" w:styleId="51">
    <w:name w:val="endnote text"/>
    <w:basedOn w:val="1"/>
    <w:link w:val="119"/>
    <w:qFormat/>
    <w:uiPriority w:val="0"/>
    <w:pPr>
      <w:snapToGrid w:val="0"/>
      <w:jc w:val="left"/>
    </w:pPr>
    <w:rPr>
      <w:sz w:val="18"/>
      <w:szCs w:val="18"/>
    </w:rPr>
  </w:style>
  <w:style w:type="paragraph" w:styleId="52">
    <w:name w:val="List Continue 5"/>
    <w:basedOn w:val="1"/>
    <w:qFormat/>
    <w:uiPriority w:val="0"/>
    <w:pPr>
      <w:spacing w:after="120" w:afterLines="0"/>
      <w:ind w:left="2100" w:leftChars="1000" w:firstLine="200" w:firstLineChars="200"/>
    </w:pPr>
    <w:rPr>
      <w:rFonts w:ascii="仿宋_GB2312" w:hAnsi="Times New Roman" w:eastAsia="仿宋_GB2312"/>
      <w:sz w:val="28"/>
      <w:szCs w:val="24"/>
    </w:rPr>
  </w:style>
  <w:style w:type="paragraph" w:styleId="53">
    <w:name w:val="Balloon Text"/>
    <w:basedOn w:val="1"/>
    <w:link w:val="120"/>
    <w:semiHidden/>
    <w:qFormat/>
    <w:uiPriority w:val="0"/>
    <w:rPr>
      <w:rFonts w:ascii="Times New Roman" w:hAnsi="Times New Roman"/>
      <w:kern w:val="0"/>
      <w:sz w:val="18"/>
      <w:szCs w:val="18"/>
    </w:rPr>
  </w:style>
  <w:style w:type="paragraph" w:styleId="54">
    <w:name w:val="footer"/>
    <w:basedOn w:val="1"/>
    <w:link w:val="121"/>
    <w:qFormat/>
    <w:uiPriority w:val="99"/>
    <w:pPr>
      <w:tabs>
        <w:tab w:val="center" w:pos="4153"/>
        <w:tab w:val="right" w:pos="8306"/>
      </w:tabs>
      <w:snapToGrid w:val="0"/>
      <w:jc w:val="left"/>
    </w:pPr>
    <w:rPr>
      <w:rFonts w:ascii="Times New Roman" w:hAnsi="Times New Roman"/>
      <w:kern w:val="0"/>
      <w:sz w:val="18"/>
      <w:szCs w:val="18"/>
    </w:rPr>
  </w:style>
  <w:style w:type="paragraph" w:styleId="55">
    <w:name w:val="envelope return"/>
    <w:basedOn w:val="1"/>
    <w:qFormat/>
    <w:uiPriority w:val="0"/>
    <w:pPr>
      <w:snapToGrid w:val="0"/>
      <w:ind w:firstLine="200" w:firstLineChars="200"/>
    </w:pPr>
    <w:rPr>
      <w:rFonts w:ascii="Arial" w:hAnsi="Arial" w:eastAsia="仿宋_GB2312" w:cs="Arial"/>
      <w:sz w:val="28"/>
      <w:szCs w:val="24"/>
    </w:rPr>
  </w:style>
  <w:style w:type="paragraph" w:styleId="56">
    <w:name w:val="header"/>
    <w:basedOn w:val="1"/>
    <w:link w:val="122"/>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57">
    <w:name w:val="Signature"/>
    <w:basedOn w:val="1"/>
    <w:link w:val="123"/>
    <w:qFormat/>
    <w:uiPriority w:val="0"/>
    <w:pPr>
      <w:ind w:left="100" w:leftChars="2100" w:firstLine="200" w:firstLineChars="200"/>
    </w:pPr>
    <w:rPr>
      <w:rFonts w:ascii="仿宋_GB2312" w:hAnsi="Times New Roman" w:eastAsia="仿宋_GB2312"/>
      <w:sz w:val="28"/>
      <w:szCs w:val="24"/>
    </w:rPr>
  </w:style>
  <w:style w:type="paragraph" w:styleId="58">
    <w:name w:val="List Continue 4"/>
    <w:basedOn w:val="1"/>
    <w:qFormat/>
    <w:uiPriority w:val="0"/>
    <w:pPr>
      <w:spacing w:after="120" w:afterLines="0"/>
      <w:ind w:left="1680" w:leftChars="800"/>
    </w:pPr>
    <w:rPr>
      <w:rFonts w:ascii="Times New Roman" w:hAnsi="Times New Roman"/>
      <w:szCs w:val="24"/>
    </w:rPr>
  </w:style>
  <w:style w:type="paragraph" w:styleId="59">
    <w:name w:val="toc 4"/>
    <w:basedOn w:val="1"/>
    <w:next w:val="1"/>
    <w:qFormat/>
    <w:uiPriority w:val="39"/>
    <w:pPr>
      <w:ind w:left="630"/>
      <w:jc w:val="left"/>
    </w:pPr>
    <w:rPr>
      <w:rFonts w:ascii="Calibri" w:hAnsi="Calibri" w:eastAsia="宋体" w:cs="Times New Roman"/>
      <w:sz w:val="18"/>
      <w:szCs w:val="18"/>
    </w:rPr>
  </w:style>
  <w:style w:type="paragraph" w:styleId="60">
    <w:name w:val="Subtitle"/>
    <w:basedOn w:val="1"/>
    <w:next w:val="1"/>
    <w:link w:val="124"/>
    <w:qFormat/>
    <w:uiPriority w:val="0"/>
    <w:pPr>
      <w:spacing w:before="240" w:beforeLines="0" w:after="60" w:afterLines="0" w:line="312" w:lineRule="auto"/>
      <w:jc w:val="center"/>
      <w:outlineLvl w:val="1"/>
    </w:pPr>
    <w:rPr>
      <w:rFonts w:ascii="Arial" w:hAnsi="Arial"/>
      <w:b/>
      <w:kern w:val="28"/>
      <w:sz w:val="32"/>
      <w:szCs w:val="20"/>
    </w:rPr>
  </w:style>
  <w:style w:type="paragraph" w:styleId="61">
    <w:name w:val="List Number 5"/>
    <w:basedOn w:val="1"/>
    <w:qFormat/>
    <w:uiPriority w:val="0"/>
    <w:pPr>
      <w:tabs>
        <w:tab w:val="left" w:pos="2040"/>
      </w:tabs>
      <w:ind w:left="2040" w:leftChars="800" w:hanging="360" w:hangingChars="200"/>
    </w:pPr>
    <w:rPr>
      <w:rFonts w:ascii="仿宋_GB2312" w:hAnsi="Times New Roman" w:eastAsia="仿宋_GB2312"/>
      <w:sz w:val="28"/>
      <w:szCs w:val="24"/>
    </w:rPr>
  </w:style>
  <w:style w:type="paragraph" w:styleId="62">
    <w:name w:val="footnote text"/>
    <w:basedOn w:val="1"/>
    <w:link w:val="125"/>
    <w:qFormat/>
    <w:uiPriority w:val="0"/>
    <w:pPr>
      <w:snapToGrid w:val="0"/>
      <w:jc w:val="left"/>
    </w:pPr>
    <w:rPr>
      <w:kern w:val="0"/>
      <w:sz w:val="18"/>
      <w:szCs w:val="18"/>
    </w:rPr>
  </w:style>
  <w:style w:type="paragraph" w:styleId="63">
    <w:name w:val="toc 6"/>
    <w:basedOn w:val="1"/>
    <w:next w:val="1"/>
    <w:qFormat/>
    <w:uiPriority w:val="39"/>
    <w:pPr>
      <w:ind w:left="1050"/>
      <w:jc w:val="left"/>
    </w:pPr>
    <w:rPr>
      <w:rFonts w:ascii="Calibri" w:hAnsi="Calibri" w:eastAsia="宋体" w:cs="Times New Roman"/>
      <w:sz w:val="18"/>
      <w:szCs w:val="18"/>
    </w:rPr>
  </w:style>
  <w:style w:type="paragraph" w:styleId="64">
    <w:name w:val="List 5"/>
    <w:basedOn w:val="1"/>
    <w:qFormat/>
    <w:uiPriority w:val="0"/>
    <w:pPr>
      <w:ind w:left="100" w:leftChars="800" w:hanging="200" w:hangingChars="200"/>
    </w:pPr>
    <w:rPr>
      <w:rFonts w:ascii="Times New Roman" w:hAnsi="Times New Roman"/>
      <w:szCs w:val="24"/>
    </w:rPr>
  </w:style>
  <w:style w:type="paragraph" w:styleId="65">
    <w:name w:val="Body Text Indent 3"/>
    <w:basedOn w:val="1"/>
    <w:link w:val="126"/>
    <w:qFormat/>
    <w:uiPriority w:val="0"/>
    <w:pPr>
      <w:spacing w:line="360" w:lineRule="auto"/>
      <w:ind w:firstLine="480" w:firstLineChars="200"/>
    </w:pPr>
    <w:rPr>
      <w:rFonts w:ascii="Times New Roman" w:hAnsi="Times New Roman"/>
      <w:kern w:val="0"/>
      <w:sz w:val="24"/>
      <w:szCs w:val="24"/>
    </w:rPr>
  </w:style>
  <w:style w:type="paragraph" w:styleId="66">
    <w:name w:val="toc 2"/>
    <w:basedOn w:val="1"/>
    <w:next w:val="1"/>
    <w:qFormat/>
    <w:uiPriority w:val="39"/>
    <w:pPr>
      <w:ind w:left="210"/>
      <w:jc w:val="left"/>
    </w:pPr>
    <w:rPr>
      <w:rFonts w:ascii="Calibri" w:hAnsi="Calibri" w:eastAsia="宋体" w:cs="Times New Roman"/>
      <w:smallCaps/>
      <w:sz w:val="20"/>
      <w:szCs w:val="20"/>
    </w:rPr>
  </w:style>
  <w:style w:type="paragraph" w:styleId="67">
    <w:name w:val="toc 9"/>
    <w:basedOn w:val="1"/>
    <w:next w:val="1"/>
    <w:qFormat/>
    <w:uiPriority w:val="39"/>
    <w:pPr>
      <w:ind w:left="1680"/>
      <w:jc w:val="left"/>
    </w:pPr>
    <w:rPr>
      <w:rFonts w:ascii="Calibri" w:hAnsi="Calibri" w:eastAsia="宋体" w:cs="Times New Roman"/>
      <w:sz w:val="18"/>
      <w:szCs w:val="18"/>
    </w:rPr>
  </w:style>
  <w:style w:type="paragraph" w:styleId="68">
    <w:name w:val="Body Text 2"/>
    <w:basedOn w:val="1"/>
    <w:link w:val="127"/>
    <w:qFormat/>
    <w:uiPriority w:val="0"/>
    <w:pPr>
      <w:spacing w:after="120" w:afterLines="0" w:line="480" w:lineRule="auto"/>
    </w:pPr>
    <w:rPr>
      <w:rFonts w:ascii="宋体" w:hAnsi="Times New Roman"/>
      <w:kern w:val="0"/>
      <w:sz w:val="20"/>
      <w:szCs w:val="20"/>
    </w:rPr>
  </w:style>
  <w:style w:type="paragraph" w:styleId="69">
    <w:name w:val="List 4"/>
    <w:basedOn w:val="1"/>
    <w:qFormat/>
    <w:uiPriority w:val="0"/>
    <w:pPr>
      <w:ind w:left="100" w:leftChars="600" w:hanging="200" w:hangingChars="200"/>
    </w:pPr>
    <w:rPr>
      <w:rFonts w:ascii="Times New Roman" w:hAnsi="Times New Roman"/>
      <w:szCs w:val="24"/>
    </w:rPr>
  </w:style>
  <w:style w:type="paragraph" w:styleId="70">
    <w:name w:val="List Continue 2"/>
    <w:basedOn w:val="1"/>
    <w:qFormat/>
    <w:uiPriority w:val="0"/>
    <w:pPr>
      <w:spacing w:after="120" w:afterLines="0"/>
      <w:ind w:left="840" w:leftChars="400"/>
    </w:pPr>
    <w:rPr>
      <w:rFonts w:ascii="Times New Roman" w:hAnsi="Times New Roman"/>
      <w:szCs w:val="24"/>
    </w:rPr>
  </w:style>
  <w:style w:type="paragraph" w:styleId="71">
    <w:name w:val="Message Header"/>
    <w:basedOn w:val="1"/>
    <w:link w:val="12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仿宋_GB2312"/>
      <w:sz w:val="24"/>
      <w:szCs w:val="24"/>
    </w:rPr>
  </w:style>
  <w:style w:type="paragraph" w:styleId="72">
    <w:name w:val="HTML Preformatted"/>
    <w:basedOn w:val="1"/>
    <w:link w:val="1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kern w:val="0"/>
      <w:sz w:val="19"/>
      <w:szCs w:val="19"/>
    </w:rPr>
  </w:style>
  <w:style w:type="paragraph" w:styleId="73">
    <w:name w:val="Normal (Web)"/>
    <w:basedOn w:val="1"/>
    <w:qFormat/>
    <w:uiPriority w:val="0"/>
    <w:pPr>
      <w:widowControl/>
      <w:jc w:val="left"/>
    </w:pPr>
    <w:rPr>
      <w:rFonts w:ascii="宋体" w:hAnsi="宋体" w:eastAsia="宋体" w:cs="宋体"/>
      <w:kern w:val="0"/>
      <w:sz w:val="24"/>
      <w:szCs w:val="24"/>
    </w:rPr>
  </w:style>
  <w:style w:type="paragraph" w:styleId="74">
    <w:name w:val="List Continue 3"/>
    <w:basedOn w:val="1"/>
    <w:qFormat/>
    <w:uiPriority w:val="0"/>
    <w:pPr>
      <w:spacing w:after="120" w:afterLines="0"/>
      <w:ind w:left="1260" w:leftChars="600"/>
    </w:pPr>
    <w:rPr>
      <w:rFonts w:ascii="Times New Roman" w:hAnsi="Times New Roman"/>
      <w:szCs w:val="24"/>
    </w:rPr>
  </w:style>
  <w:style w:type="paragraph" w:styleId="75">
    <w:name w:val="index 1"/>
    <w:basedOn w:val="1"/>
    <w:next w:val="1"/>
    <w:qFormat/>
    <w:uiPriority w:val="0"/>
    <w:pPr>
      <w:spacing w:line="480" w:lineRule="exact"/>
      <w:ind w:firstLine="480" w:firstLineChars="200"/>
    </w:pPr>
    <w:rPr>
      <w:rFonts w:ascii="宋体" w:hAnsi="宋体"/>
      <w:sz w:val="24"/>
      <w:szCs w:val="24"/>
    </w:rPr>
  </w:style>
  <w:style w:type="paragraph" w:styleId="76">
    <w:name w:val="Title"/>
    <w:basedOn w:val="1"/>
    <w:link w:val="130"/>
    <w:qFormat/>
    <w:uiPriority w:val="0"/>
    <w:pPr>
      <w:spacing w:before="240" w:beforeLines="0" w:after="60" w:afterLines="0"/>
      <w:jc w:val="center"/>
      <w:outlineLvl w:val="0"/>
    </w:pPr>
    <w:rPr>
      <w:rFonts w:ascii="Arial" w:hAnsi="Arial"/>
      <w:b/>
      <w:bCs/>
      <w:sz w:val="32"/>
      <w:szCs w:val="32"/>
    </w:rPr>
  </w:style>
  <w:style w:type="paragraph" w:styleId="77">
    <w:name w:val="annotation subject"/>
    <w:basedOn w:val="26"/>
    <w:next w:val="26"/>
    <w:link w:val="95"/>
    <w:qFormat/>
    <w:uiPriority w:val="0"/>
    <w:pPr>
      <w:spacing w:after="50" w:afterLines="50"/>
      <w:ind w:firstLine="0" w:firstLineChars="0"/>
      <w:jc w:val="center"/>
    </w:pPr>
    <w:rPr>
      <w:rFonts w:ascii="Times New Roman" w:hAnsi="Times New Roman"/>
      <w:b/>
      <w:bCs/>
      <w:sz w:val="21"/>
    </w:rPr>
  </w:style>
  <w:style w:type="paragraph" w:styleId="78">
    <w:name w:val="Body Text First Indent"/>
    <w:basedOn w:val="31"/>
    <w:next w:val="1"/>
    <w:link w:val="131"/>
    <w:qFormat/>
    <w:uiPriority w:val="0"/>
    <w:pPr>
      <w:spacing w:line="480" w:lineRule="exact"/>
      <w:ind w:firstLine="520" w:firstLineChars="200"/>
    </w:pPr>
    <w:rPr>
      <w:rFonts w:ascii="Times New Roman" w:hAnsi="宋体"/>
      <w:bCs/>
      <w:sz w:val="26"/>
      <w:szCs w:val="26"/>
    </w:rPr>
  </w:style>
  <w:style w:type="paragraph" w:styleId="79">
    <w:name w:val="Body Text First Indent 2"/>
    <w:basedOn w:val="34"/>
    <w:next w:val="44"/>
    <w:link w:val="132"/>
    <w:qFormat/>
    <w:uiPriority w:val="0"/>
    <w:pPr>
      <w:spacing w:after="120" w:afterLines="0" w:line="240" w:lineRule="auto"/>
      <w:ind w:left="420" w:leftChars="200" w:firstLine="420" w:firstLineChars="200"/>
    </w:pPr>
    <w:rPr>
      <w:kern w:val="2"/>
      <w:sz w:val="21"/>
    </w:rPr>
  </w:style>
  <w:style w:type="table" w:styleId="81">
    <w:name w:val="Table Grid"/>
    <w:basedOn w:val="8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3">
    <w:name w:val="Strong"/>
    <w:basedOn w:val="82"/>
    <w:qFormat/>
    <w:uiPriority w:val="0"/>
    <w:rPr>
      <w:b/>
      <w:bCs/>
    </w:rPr>
  </w:style>
  <w:style w:type="character" w:styleId="84">
    <w:name w:val="endnote reference"/>
    <w:semiHidden/>
    <w:qFormat/>
    <w:uiPriority w:val="0"/>
    <w:rPr>
      <w:vertAlign w:val="superscript"/>
    </w:rPr>
  </w:style>
  <w:style w:type="character" w:styleId="85">
    <w:name w:val="page number"/>
    <w:qFormat/>
    <w:uiPriority w:val="0"/>
  </w:style>
  <w:style w:type="character" w:styleId="86">
    <w:name w:val="FollowedHyperlink"/>
    <w:qFormat/>
    <w:uiPriority w:val="99"/>
    <w:rPr>
      <w:color w:val="800080"/>
      <w:u w:val="single"/>
    </w:rPr>
  </w:style>
  <w:style w:type="character" w:styleId="87">
    <w:name w:val="Emphasis"/>
    <w:qFormat/>
    <w:uiPriority w:val="0"/>
    <w:rPr>
      <w:color w:val="CC0000"/>
    </w:rPr>
  </w:style>
  <w:style w:type="character" w:styleId="88">
    <w:name w:val="Hyperlink"/>
    <w:basedOn w:val="82"/>
    <w:qFormat/>
    <w:uiPriority w:val="99"/>
    <w:rPr>
      <w:color w:val="0000FF"/>
      <w:u w:val="none"/>
    </w:rPr>
  </w:style>
  <w:style w:type="character" w:styleId="89">
    <w:name w:val="annotation reference"/>
    <w:semiHidden/>
    <w:qFormat/>
    <w:uiPriority w:val="99"/>
    <w:rPr>
      <w:sz w:val="21"/>
      <w:szCs w:val="21"/>
    </w:rPr>
  </w:style>
  <w:style w:type="character" w:styleId="90">
    <w:name w:val="footnote reference"/>
    <w:qFormat/>
    <w:uiPriority w:val="0"/>
    <w:rPr>
      <w:vertAlign w:val="superscript"/>
    </w:rPr>
  </w:style>
  <w:style w:type="character" w:customStyle="1" w:styleId="91">
    <w:name w:val="标题 5 Char"/>
    <w:link w:val="7"/>
    <w:qFormat/>
    <w:uiPriority w:val="0"/>
    <w:rPr>
      <w:rFonts w:ascii="Times New Roman" w:hAnsi="Times New Roman" w:eastAsia="宋体" w:cs="Times New Roman"/>
      <w:b/>
      <w:bCs/>
      <w:sz w:val="24"/>
      <w:szCs w:val="28"/>
    </w:rPr>
  </w:style>
  <w:style w:type="character" w:customStyle="1" w:styleId="92">
    <w:name w:val="标题 4 Char"/>
    <w:link w:val="6"/>
    <w:qFormat/>
    <w:uiPriority w:val="0"/>
    <w:rPr>
      <w:rFonts w:ascii="宋体" w:hAnsi="宋体" w:eastAsia="宋体"/>
      <w:b/>
      <w:sz w:val="24"/>
      <w:lang w:bidi="ar-SA"/>
    </w:rPr>
  </w:style>
  <w:style w:type="character" w:customStyle="1" w:styleId="93">
    <w:name w:val="标题 2 Char"/>
    <w:semiHidden/>
    <w:qFormat/>
    <w:uiPriority w:val="9"/>
    <w:rPr>
      <w:rFonts w:ascii="Cambria" w:hAnsi="Cambria" w:eastAsia="宋体" w:cs="Times New Roman"/>
      <w:b/>
      <w:bCs/>
      <w:sz w:val="32"/>
      <w:szCs w:val="32"/>
    </w:rPr>
  </w:style>
  <w:style w:type="character" w:customStyle="1" w:styleId="94">
    <w:name w:val="标题 3 Char1"/>
    <w:link w:val="5"/>
    <w:qFormat/>
    <w:uiPriority w:val="0"/>
    <w:rPr>
      <w:rFonts w:ascii="Times New Roman" w:hAnsi="Times New Roman" w:eastAsia="华文楷体" w:cs="Times New Roman"/>
      <w:b/>
      <w:bCs/>
      <w:sz w:val="32"/>
      <w:szCs w:val="32"/>
    </w:rPr>
  </w:style>
  <w:style w:type="character" w:customStyle="1" w:styleId="95">
    <w:name w:val="批注主题 Char"/>
    <w:link w:val="77"/>
    <w:semiHidden/>
    <w:qFormat/>
    <w:uiPriority w:val="0"/>
    <w:rPr>
      <w:rFonts w:ascii="Times New Roman" w:hAnsi="Times New Roman" w:eastAsia="宋体" w:cs="Times New Roman"/>
      <w:b/>
      <w:bCs/>
      <w:sz w:val="21"/>
      <w:szCs w:val="24"/>
    </w:rPr>
  </w:style>
  <w:style w:type="character" w:customStyle="1" w:styleId="96">
    <w:name w:val="批注文字 Char"/>
    <w:link w:val="26"/>
    <w:qFormat/>
    <w:uiPriority w:val="99"/>
    <w:rPr>
      <w:rFonts w:ascii="Times New Roman" w:hAnsi="Times New Roman" w:eastAsia="宋体" w:cs="Times New Roman"/>
      <w:szCs w:val="24"/>
    </w:rPr>
  </w:style>
  <w:style w:type="character" w:customStyle="1" w:styleId="97">
    <w:name w:val="题注 Char"/>
    <w:link w:val="20"/>
    <w:qFormat/>
    <w:uiPriority w:val="0"/>
    <w:rPr>
      <w:rFonts w:ascii="黑体" w:hAnsi="黑体" w:eastAsia="宋体" w:cs="Arial"/>
      <w:b/>
      <w:sz w:val="21"/>
      <w:szCs w:val="20"/>
    </w:rPr>
  </w:style>
  <w:style w:type="paragraph" w:customStyle="1" w:styleId="98">
    <w:name w:val="样式 首行缩进:  2 字符1"/>
    <w:basedOn w:val="1"/>
    <w:qFormat/>
    <w:uiPriority w:val="0"/>
    <w:pPr>
      <w:spacing w:line="560" w:lineRule="exact"/>
      <w:ind w:right="272" w:firstLine="480" w:firstLineChars="200"/>
    </w:pPr>
    <w:rPr>
      <w:rFonts w:ascii="仿宋_GB2312" w:hAnsi="Times New Roman" w:eastAsia="仿宋_GB2312" w:cs="宋体"/>
      <w:kern w:val="0"/>
      <w:sz w:val="24"/>
      <w:szCs w:val="20"/>
    </w:rPr>
  </w:style>
  <w:style w:type="character" w:customStyle="1" w:styleId="99">
    <w:name w:val="列表 Char"/>
    <w:link w:val="2"/>
    <w:qFormat/>
    <w:uiPriority w:val="0"/>
    <w:rPr>
      <w:rFonts w:ascii="黑体" w:hAnsi="Times New Roman" w:eastAsia="黑体" w:cs="Times New Roman"/>
      <w:szCs w:val="20"/>
    </w:rPr>
  </w:style>
  <w:style w:type="character" w:customStyle="1" w:styleId="100">
    <w:name w:val="标题 1 Char"/>
    <w:link w:val="3"/>
    <w:qFormat/>
    <w:uiPriority w:val="0"/>
    <w:rPr>
      <w:rFonts w:eastAsia="楷体_GB2312"/>
      <w:b/>
      <w:bCs/>
      <w:kern w:val="44"/>
      <w:sz w:val="44"/>
      <w:szCs w:val="44"/>
      <w:lang w:val="en-US" w:eastAsia="zh-CN" w:bidi="ar-SA"/>
    </w:rPr>
  </w:style>
  <w:style w:type="character" w:customStyle="1" w:styleId="101">
    <w:name w:val="标题 2 Char1"/>
    <w:link w:val="4"/>
    <w:qFormat/>
    <w:uiPriority w:val="0"/>
    <w:rPr>
      <w:rFonts w:ascii="宋体" w:hAnsi="宋体" w:eastAsia="楷体_GB2312" w:cs="Times New Roman"/>
      <w:b/>
      <w:bCs/>
      <w:kern w:val="0"/>
      <w:sz w:val="36"/>
      <w:szCs w:val="32"/>
    </w:rPr>
  </w:style>
  <w:style w:type="character" w:customStyle="1" w:styleId="102">
    <w:name w:val="标题 6 Char"/>
    <w:link w:val="8"/>
    <w:qFormat/>
    <w:uiPriority w:val="0"/>
    <w:rPr>
      <w:rFonts w:ascii="Arial" w:hAnsi="Arial" w:eastAsia="黑体" w:cs="Times New Roman"/>
      <w:b/>
      <w:bCs/>
      <w:kern w:val="0"/>
      <w:sz w:val="24"/>
      <w:szCs w:val="24"/>
    </w:rPr>
  </w:style>
  <w:style w:type="character" w:customStyle="1" w:styleId="103">
    <w:name w:val="标题 7 Char"/>
    <w:link w:val="9"/>
    <w:qFormat/>
    <w:uiPriority w:val="0"/>
    <w:rPr>
      <w:rFonts w:ascii="Times New Roman" w:hAnsi="Times New Roman" w:eastAsia="宋体" w:cs="Times New Roman"/>
      <w:b/>
      <w:bCs/>
      <w:sz w:val="24"/>
      <w:szCs w:val="24"/>
    </w:rPr>
  </w:style>
  <w:style w:type="character" w:customStyle="1" w:styleId="104">
    <w:name w:val="标题 8 Char"/>
    <w:link w:val="10"/>
    <w:qFormat/>
    <w:uiPriority w:val="0"/>
    <w:rPr>
      <w:rFonts w:ascii="Arial" w:hAnsi="Arial" w:eastAsia="黑体" w:cs="Times New Roman"/>
      <w:kern w:val="0"/>
      <w:sz w:val="24"/>
      <w:szCs w:val="24"/>
    </w:rPr>
  </w:style>
  <w:style w:type="character" w:customStyle="1" w:styleId="105">
    <w:name w:val="标题 9 Char"/>
    <w:link w:val="11"/>
    <w:qFormat/>
    <w:uiPriority w:val="0"/>
    <w:rPr>
      <w:rFonts w:ascii="Arial" w:hAnsi="Arial" w:eastAsia="黑体" w:cs="Times New Roman"/>
      <w:kern w:val="0"/>
      <w:szCs w:val="21"/>
    </w:rPr>
  </w:style>
  <w:style w:type="character" w:customStyle="1" w:styleId="106">
    <w:name w:val="注释标题 Char"/>
    <w:link w:val="15"/>
    <w:qFormat/>
    <w:uiPriority w:val="0"/>
    <w:rPr>
      <w:rFonts w:ascii="宋体" w:hAnsi="Times New Roman"/>
      <w:kern w:val="2"/>
      <w:sz w:val="21"/>
    </w:rPr>
  </w:style>
  <w:style w:type="character" w:customStyle="1" w:styleId="107">
    <w:name w:val="电子邮件签名 Char"/>
    <w:link w:val="17"/>
    <w:qFormat/>
    <w:uiPriority w:val="0"/>
    <w:rPr>
      <w:rFonts w:ascii="仿宋_GB2312" w:hAnsi="Times New Roman" w:eastAsia="仿宋_GB2312"/>
      <w:kern w:val="2"/>
      <w:sz w:val="28"/>
      <w:szCs w:val="24"/>
    </w:rPr>
  </w:style>
  <w:style w:type="character" w:customStyle="1" w:styleId="108">
    <w:name w:val="正文缩进 Char"/>
    <w:link w:val="19"/>
    <w:qFormat/>
    <w:uiPriority w:val="0"/>
    <w:rPr>
      <w:rFonts w:ascii="Times New Roman" w:hAnsi="Times New Roman" w:eastAsia="宋体" w:cs="Times New Roman"/>
      <w:snapToGrid/>
      <w:kern w:val="0"/>
      <w:sz w:val="28"/>
      <w:szCs w:val="20"/>
    </w:rPr>
  </w:style>
  <w:style w:type="character" w:customStyle="1" w:styleId="109">
    <w:name w:val="文档结构图 Char"/>
    <w:link w:val="24"/>
    <w:qFormat/>
    <w:uiPriority w:val="0"/>
    <w:rPr>
      <w:rFonts w:ascii="Times New Roman" w:hAnsi="Times New Roman" w:eastAsia="宋体" w:cs="Times New Roman"/>
      <w:szCs w:val="24"/>
      <w:shd w:val="clear" w:color="auto" w:fill="000080"/>
    </w:rPr>
  </w:style>
  <w:style w:type="character" w:customStyle="1" w:styleId="110">
    <w:name w:val="称呼 Char"/>
    <w:link w:val="27"/>
    <w:qFormat/>
    <w:uiPriority w:val="0"/>
    <w:rPr>
      <w:rFonts w:ascii="Times New Roman" w:hAnsi="Times New Roman"/>
      <w:kern w:val="2"/>
      <w:sz w:val="28"/>
    </w:rPr>
  </w:style>
  <w:style w:type="character" w:customStyle="1" w:styleId="111">
    <w:name w:val="正文文本 3 Char"/>
    <w:link w:val="28"/>
    <w:qFormat/>
    <w:uiPriority w:val="0"/>
    <w:rPr>
      <w:rFonts w:ascii="Times New Roman" w:hAnsi="Times New Roman"/>
      <w:kern w:val="2"/>
      <w:sz w:val="18"/>
      <w:szCs w:val="24"/>
    </w:rPr>
  </w:style>
  <w:style w:type="character" w:customStyle="1" w:styleId="112">
    <w:name w:val="结束语 Char"/>
    <w:link w:val="29"/>
    <w:qFormat/>
    <w:uiPriority w:val="0"/>
    <w:rPr>
      <w:rFonts w:ascii="仿宋_GB2312" w:hAnsi="Times New Roman" w:eastAsia="仿宋_GB2312"/>
      <w:kern w:val="2"/>
      <w:sz w:val="28"/>
      <w:szCs w:val="24"/>
    </w:rPr>
  </w:style>
  <w:style w:type="character" w:customStyle="1" w:styleId="113">
    <w:name w:val="正文文本 Char"/>
    <w:link w:val="31"/>
    <w:qFormat/>
    <w:uiPriority w:val="0"/>
    <w:rPr>
      <w:rFonts w:ascii="Times New Roman" w:hAnsi="Times New Roman" w:eastAsia="宋体" w:cs="Times New Roman"/>
      <w:szCs w:val="24"/>
    </w:rPr>
  </w:style>
  <w:style w:type="character" w:customStyle="1" w:styleId="114">
    <w:name w:val="正文文本缩进 Char"/>
    <w:link w:val="34"/>
    <w:qFormat/>
    <w:uiPriority w:val="0"/>
    <w:rPr>
      <w:rFonts w:ascii="Times New Roman" w:hAnsi="Times New Roman" w:eastAsia="宋体" w:cs="Times New Roman"/>
      <w:sz w:val="24"/>
      <w:szCs w:val="24"/>
    </w:rPr>
  </w:style>
  <w:style w:type="character" w:customStyle="1" w:styleId="115">
    <w:name w:val="HTML 地址 Char"/>
    <w:link w:val="41"/>
    <w:qFormat/>
    <w:uiPriority w:val="0"/>
    <w:rPr>
      <w:rFonts w:ascii="仿宋_GB2312" w:hAnsi="Times New Roman" w:eastAsia="仿宋_GB2312"/>
      <w:i/>
      <w:iCs/>
      <w:kern w:val="2"/>
      <w:sz w:val="28"/>
      <w:szCs w:val="24"/>
    </w:rPr>
  </w:style>
  <w:style w:type="character" w:customStyle="1" w:styleId="116">
    <w:name w:val="纯文本 Char"/>
    <w:link w:val="44"/>
    <w:qFormat/>
    <w:uiPriority w:val="0"/>
    <w:rPr>
      <w:rFonts w:ascii="宋体" w:hAnsi="Courier New" w:eastAsia="宋体" w:cs="Courier New"/>
      <w:szCs w:val="21"/>
    </w:rPr>
  </w:style>
  <w:style w:type="character" w:customStyle="1" w:styleId="117">
    <w:name w:val="日期 Char"/>
    <w:link w:val="49"/>
    <w:qFormat/>
    <w:uiPriority w:val="0"/>
    <w:rPr>
      <w:rFonts w:ascii="Times New Roman" w:hAnsi="Times New Roman" w:eastAsia="宋体" w:cs="Times New Roman"/>
      <w:szCs w:val="24"/>
    </w:rPr>
  </w:style>
  <w:style w:type="character" w:customStyle="1" w:styleId="118">
    <w:name w:val="正文文本缩进 2 Char1"/>
    <w:link w:val="50"/>
    <w:qFormat/>
    <w:uiPriority w:val="0"/>
    <w:rPr>
      <w:rFonts w:ascii="宋体" w:hAnsi="宋体" w:eastAsia="宋体" w:cs="Times New Roman"/>
      <w:sz w:val="28"/>
      <w:szCs w:val="28"/>
    </w:rPr>
  </w:style>
  <w:style w:type="character" w:customStyle="1" w:styleId="119">
    <w:name w:val="尾注文本 Char"/>
    <w:link w:val="51"/>
    <w:qFormat/>
    <w:uiPriority w:val="0"/>
    <w:rPr>
      <w:kern w:val="2"/>
      <w:sz w:val="18"/>
      <w:szCs w:val="18"/>
    </w:rPr>
  </w:style>
  <w:style w:type="character" w:customStyle="1" w:styleId="120">
    <w:name w:val="批注框文本 Char"/>
    <w:link w:val="53"/>
    <w:qFormat/>
    <w:uiPriority w:val="0"/>
    <w:rPr>
      <w:rFonts w:ascii="Times New Roman" w:hAnsi="Times New Roman" w:eastAsia="宋体" w:cs="Times New Roman"/>
      <w:sz w:val="18"/>
      <w:szCs w:val="18"/>
    </w:rPr>
  </w:style>
  <w:style w:type="character" w:customStyle="1" w:styleId="121">
    <w:name w:val="页脚 Char"/>
    <w:link w:val="54"/>
    <w:qFormat/>
    <w:uiPriority w:val="99"/>
    <w:rPr>
      <w:rFonts w:ascii="Times New Roman" w:hAnsi="Times New Roman" w:eastAsia="宋体" w:cs="Times New Roman"/>
      <w:sz w:val="18"/>
      <w:szCs w:val="18"/>
    </w:rPr>
  </w:style>
  <w:style w:type="character" w:customStyle="1" w:styleId="122">
    <w:name w:val="页眉 Char"/>
    <w:link w:val="56"/>
    <w:qFormat/>
    <w:uiPriority w:val="0"/>
    <w:rPr>
      <w:rFonts w:ascii="Times New Roman" w:hAnsi="Times New Roman" w:eastAsia="宋体" w:cs="Times New Roman"/>
      <w:sz w:val="18"/>
      <w:szCs w:val="18"/>
    </w:rPr>
  </w:style>
  <w:style w:type="character" w:customStyle="1" w:styleId="123">
    <w:name w:val="签名 Char"/>
    <w:link w:val="57"/>
    <w:qFormat/>
    <w:uiPriority w:val="0"/>
    <w:rPr>
      <w:rFonts w:ascii="仿宋_GB2312" w:hAnsi="Times New Roman" w:eastAsia="仿宋_GB2312"/>
      <w:kern w:val="2"/>
      <w:sz w:val="28"/>
      <w:szCs w:val="24"/>
    </w:rPr>
  </w:style>
  <w:style w:type="character" w:customStyle="1" w:styleId="124">
    <w:name w:val="副标题 Char"/>
    <w:link w:val="60"/>
    <w:qFormat/>
    <w:uiPriority w:val="0"/>
    <w:rPr>
      <w:rFonts w:ascii="Arial" w:hAnsi="Arial"/>
      <w:b/>
      <w:kern w:val="28"/>
      <w:sz w:val="32"/>
    </w:rPr>
  </w:style>
  <w:style w:type="character" w:customStyle="1" w:styleId="125">
    <w:name w:val="脚注文本 Char"/>
    <w:link w:val="62"/>
    <w:qFormat/>
    <w:uiPriority w:val="0"/>
    <w:rPr>
      <w:sz w:val="18"/>
      <w:szCs w:val="18"/>
    </w:rPr>
  </w:style>
  <w:style w:type="character" w:customStyle="1" w:styleId="126">
    <w:name w:val="正文文本缩进 3 Char"/>
    <w:link w:val="65"/>
    <w:qFormat/>
    <w:uiPriority w:val="0"/>
    <w:rPr>
      <w:rFonts w:ascii="Times New Roman" w:hAnsi="Times New Roman" w:eastAsia="宋体" w:cs="Times New Roman"/>
      <w:sz w:val="24"/>
      <w:szCs w:val="24"/>
    </w:rPr>
  </w:style>
  <w:style w:type="character" w:customStyle="1" w:styleId="127">
    <w:name w:val="正文文本 2 Char"/>
    <w:link w:val="68"/>
    <w:qFormat/>
    <w:uiPriority w:val="0"/>
    <w:rPr>
      <w:rFonts w:ascii="宋体" w:hAnsi="Times New Roman" w:eastAsia="宋体" w:cs="Times New Roman"/>
      <w:szCs w:val="20"/>
    </w:rPr>
  </w:style>
  <w:style w:type="character" w:customStyle="1" w:styleId="128">
    <w:name w:val="信息标题 Char"/>
    <w:link w:val="71"/>
    <w:qFormat/>
    <w:uiPriority w:val="0"/>
    <w:rPr>
      <w:rFonts w:ascii="Arial" w:hAnsi="Arial" w:eastAsia="仿宋_GB2312" w:cs="Arial"/>
      <w:kern w:val="2"/>
      <w:sz w:val="24"/>
      <w:szCs w:val="24"/>
      <w:shd w:val="pct20" w:color="auto" w:fill="auto"/>
    </w:rPr>
  </w:style>
  <w:style w:type="character" w:customStyle="1" w:styleId="129">
    <w:name w:val="HTML 预设格式 Char"/>
    <w:link w:val="72"/>
    <w:qFormat/>
    <w:uiPriority w:val="0"/>
    <w:rPr>
      <w:rFonts w:ascii="Arial" w:hAnsi="Arial" w:eastAsia="宋体" w:cs="Arial"/>
      <w:kern w:val="0"/>
      <w:sz w:val="19"/>
      <w:szCs w:val="19"/>
    </w:rPr>
  </w:style>
  <w:style w:type="character" w:customStyle="1" w:styleId="130">
    <w:name w:val="标题 Char"/>
    <w:link w:val="76"/>
    <w:qFormat/>
    <w:uiPriority w:val="0"/>
    <w:rPr>
      <w:rFonts w:ascii="Arial" w:hAnsi="Arial"/>
      <w:b/>
      <w:bCs/>
      <w:kern w:val="2"/>
      <w:sz w:val="32"/>
      <w:szCs w:val="32"/>
    </w:rPr>
  </w:style>
  <w:style w:type="character" w:customStyle="1" w:styleId="131">
    <w:name w:val="正文首行缩进 Char1"/>
    <w:link w:val="78"/>
    <w:qFormat/>
    <w:uiPriority w:val="0"/>
    <w:rPr>
      <w:rFonts w:ascii="Times New Roman" w:hAnsi="宋体"/>
      <w:bCs/>
      <w:kern w:val="2"/>
      <w:sz w:val="26"/>
      <w:szCs w:val="26"/>
    </w:rPr>
  </w:style>
  <w:style w:type="character" w:customStyle="1" w:styleId="132">
    <w:name w:val="正文首行缩进 2 Char"/>
    <w:link w:val="79"/>
    <w:qFormat/>
    <w:uiPriority w:val="0"/>
    <w:rPr>
      <w:rFonts w:ascii="Times New Roman" w:hAnsi="Times New Roman" w:eastAsia="宋体" w:cs="Times New Roman"/>
      <w:kern w:val="2"/>
      <w:sz w:val="21"/>
      <w:szCs w:val="24"/>
    </w:rPr>
  </w:style>
  <w:style w:type="character" w:customStyle="1" w:styleId="133">
    <w:name w:val="样式 正文文字 + 首行缩进:  2 字符 行距: 最小值 24 磅 Char"/>
    <w:link w:val="134"/>
    <w:qFormat/>
    <w:uiPriority w:val="0"/>
    <w:rPr>
      <w:rFonts w:ascii="Times New Roman" w:hAnsi="Times New Roman" w:cs="宋体"/>
      <w:kern w:val="2"/>
      <w:sz w:val="24"/>
    </w:rPr>
  </w:style>
  <w:style w:type="paragraph" w:customStyle="1" w:styleId="134">
    <w:name w:val="样式 正文文字 + 首行缩进:  2 字符 行距: 最小值 24 磅"/>
    <w:basedOn w:val="1"/>
    <w:link w:val="133"/>
    <w:qFormat/>
    <w:uiPriority w:val="0"/>
    <w:pPr>
      <w:adjustRightInd w:val="0"/>
      <w:snapToGrid w:val="0"/>
      <w:spacing w:line="480" w:lineRule="atLeast"/>
      <w:ind w:firstLine="480" w:firstLineChars="200"/>
    </w:pPr>
    <w:rPr>
      <w:rFonts w:ascii="Times New Roman" w:hAnsi="Times New Roman"/>
      <w:sz w:val="24"/>
      <w:szCs w:val="20"/>
    </w:rPr>
  </w:style>
  <w:style w:type="character" w:customStyle="1" w:styleId="135">
    <w:name w:val="hui141"/>
    <w:qFormat/>
    <w:uiPriority w:val="0"/>
    <w:rPr>
      <w:b/>
      <w:bCs/>
      <w:color w:val="333333"/>
      <w:sz w:val="21"/>
      <w:szCs w:val="21"/>
    </w:rPr>
  </w:style>
  <w:style w:type="character" w:customStyle="1" w:styleId="136">
    <w:name w:val="Char Char181"/>
    <w:qFormat/>
    <w:uiPriority w:val="0"/>
    <w:rPr>
      <w:rFonts w:ascii="Arial" w:hAnsi="Arial" w:eastAsia="黑体"/>
      <w:b/>
      <w:bCs/>
      <w:kern w:val="2"/>
      <w:sz w:val="32"/>
      <w:szCs w:val="32"/>
      <w:lang w:val="en-US" w:eastAsia="zh-CN" w:bidi="ar-SA"/>
    </w:rPr>
  </w:style>
  <w:style w:type="character" w:customStyle="1" w:styleId="137">
    <w:name w:val="正文文字缩进 Char Char"/>
    <w:qFormat/>
    <w:locked/>
    <w:uiPriority w:val="0"/>
    <w:rPr>
      <w:szCs w:val="24"/>
    </w:rPr>
  </w:style>
  <w:style w:type="character" w:customStyle="1" w:styleId="138">
    <w:name w:val="图表名 Char1"/>
    <w:qFormat/>
    <w:uiPriority w:val="0"/>
    <w:rPr>
      <w:rFonts w:eastAsia="黑体"/>
      <w:sz w:val="28"/>
      <w:szCs w:val="28"/>
      <w:lang w:val="en-US" w:eastAsia="zh-CN" w:bidi="ar-SA"/>
    </w:rPr>
  </w:style>
  <w:style w:type="character" w:customStyle="1" w:styleId="139">
    <w:name w:val="text1"/>
    <w:qFormat/>
    <w:uiPriority w:val="0"/>
    <w:rPr>
      <w:color w:val="000000"/>
      <w:sz w:val="18"/>
      <w:szCs w:val="18"/>
    </w:rPr>
  </w:style>
  <w:style w:type="character" w:customStyle="1" w:styleId="140">
    <w:name w:val="！正文 Char"/>
    <w:link w:val="141"/>
    <w:qFormat/>
    <w:uiPriority w:val="0"/>
    <w:rPr>
      <w:rFonts w:ascii="Times New Roman" w:hAnsi="Times New Roman"/>
      <w:kern w:val="2"/>
      <w:sz w:val="28"/>
      <w:szCs w:val="24"/>
    </w:rPr>
  </w:style>
  <w:style w:type="paragraph" w:customStyle="1" w:styleId="141">
    <w:name w:val="！正文"/>
    <w:basedOn w:val="1"/>
    <w:link w:val="140"/>
    <w:qFormat/>
    <w:uiPriority w:val="0"/>
    <w:pPr>
      <w:spacing w:line="360" w:lineRule="auto"/>
      <w:ind w:firstLine="200" w:firstLineChars="200"/>
    </w:pPr>
    <w:rPr>
      <w:rFonts w:ascii="Times New Roman" w:hAnsi="Times New Roman"/>
      <w:sz w:val="28"/>
      <w:szCs w:val="24"/>
    </w:rPr>
  </w:style>
  <w:style w:type="character" w:customStyle="1" w:styleId="142">
    <w:name w:val="Char Char23"/>
    <w:qFormat/>
    <w:uiPriority w:val="0"/>
    <w:rPr>
      <w:rFonts w:ascii="宋体" w:hAnsi="Times New Roman" w:eastAsia="宋体" w:cs="Times New Roman"/>
      <w:szCs w:val="20"/>
    </w:rPr>
  </w:style>
  <w:style w:type="character" w:customStyle="1" w:styleId="143">
    <w:name w:val="Char Char6"/>
    <w:qFormat/>
    <w:locked/>
    <w:uiPriority w:val="0"/>
    <w:rPr>
      <w:rFonts w:ascii="宋体" w:hAnsi="宋体" w:eastAsia="宋体"/>
      <w:kern w:val="2"/>
      <w:sz w:val="18"/>
      <w:szCs w:val="18"/>
      <w:lang w:val="en-US" w:eastAsia="zh-CN" w:bidi="ar-SA"/>
    </w:rPr>
  </w:style>
  <w:style w:type="character" w:customStyle="1" w:styleId="144">
    <w:name w:val="Font Style330"/>
    <w:qFormat/>
    <w:uiPriority w:val="0"/>
    <w:rPr>
      <w:rFonts w:ascii="宋体" w:eastAsia="宋体" w:cs="宋体"/>
      <w:spacing w:val="-10"/>
      <w:sz w:val="12"/>
      <w:szCs w:val="12"/>
    </w:rPr>
  </w:style>
  <w:style w:type="character" w:customStyle="1" w:styleId="145">
    <w:name w:val="text"/>
    <w:qFormat/>
    <w:uiPriority w:val="0"/>
  </w:style>
  <w:style w:type="character" w:customStyle="1" w:styleId="146">
    <w:name w:val="图表名 Char"/>
    <w:link w:val="147"/>
    <w:qFormat/>
    <w:uiPriority w:val="0"/>
    <w:rPr>
      <w:rFonts w:ascii="Times New Roman" w:hAnsi="宋体"/>
      <w:b/>
      <w:kern w:val="2"/>
      <w:sz w:val="21"/>
      <w:szCs w:val="24"/>
    </w:rPr>
  </w:style>
  <w:style w:type="paragraph" w:customStyle="1" w:styleId="147">
    <w:name w:val="图表名"/>
    <w:basedOn w:val="1"/>
    <w:link w:val="146"/>
    <w:qFormat/>
    <w:uiPriority w:val="0"/>
    <w:pPr>
      <w:jc w:val="center"/>
    </w:pPr>
    <w:rPr>
      <w:rFonts w:ascii="Times New Roman" w:hAnsi="宋体"/>
      <w:b/>
      <w:szCs w:val="24"/>
    </w:rPr>
  </w:style>
  <w:style w:type="character" w:customStyle="1" w:styleId="148">
    <w:name w:val="unnamed11"/>
    <w:qFormat/>
    <w:uiPriority w:val="0"/>
    <w:rPr>
      <w:rFonts w:hint="eastAsia" w:ascii="宋体" w:hAnsi="宋体" w:eastAsia="宋体"/>
      <w:sz w:val="18"/>
      <w:szCs w:val="18"/>
    </w:rPr>
  </w:style>
  <w:style w:type="character" w:customStyle="1" w:styleId="149">
    <w:name w:val="style41"/>
    <w:qFormat/>
    <w:uiPriority w:val="0"/>
    <w:rPr>
      <w:color w:val="000000"/>
      <w:sz w:val="16"/>
      <w:szCs w:val="16"/>
    </w:rPr>
  </w:style>
  <w:style w:type="character" w:customStyle="1" w:styleId="150">
    <w:name w:val="标题 3 Char2"/>
    <w:qFormat/>
    <w:uiPriority w:val="0"/>
    <w:rPr>
      <w:rFonts w:eastAsia="宋体"/>
      <w:b/>
      <w:bCs/>
      <w:kern w:val="2"/>
      <w:sz w:val="32"/>
      <w:szCs w:val="32"/>
      <w:lang w:val="en-US" w:eastAsia="zh-CN" w:bidi="ar-SA"/>
    </w:rPr>
  </w:style>
  <w:style w:type="character" w:customStyle="1" w:styleId="151">
    <w:name w:val="样式3 Char"/>
    <w:link w:val="152"/>
    <w:qFormat/>
    <w:uiPriority w:val="0"/>
    <w:rPr>
      <w:rFonts w:ascii="Times New Roman" w:hAnsi="Times New Roman"/>
      <w:kern w:val="2"/>
      <w:sz w:val="21"/>
      <w:szCs w:val="21"/>
      <w:shd w:val="clear" w:color="auto" w:fill="000080"/>
    </w:rPr>
  </w:style>
  <w:style w:type="paragraph" w:customStyle="1" w:styleId="152">
    <w:name w:val="样式3"/>
    <w:basedOn w:val="153"/>
    <w:link w:val="151"/>
    <w:qFormat/>
    <w:uiPriority w:val="0"/>
    <w:pPr>
      <w:shd w:val="clear" w:color="auto" w:fill="000080"/>
    </w:pPr>
  </w:style>
  <w:style w:type="paragraph" w:customStyle="1" w:styleId="153">
    <w:name w:val="样式2"/>
    <w:basedOn w:val="1"/>
    <w:link w:val="154"/>
    <w:qFormat/>
    <w:uiPriority w:val="0"/>
    <w:pPr>
      <w:jc w:val="center"/>
    </w:pPr>
    <w:rPr>
      <w:rFonts w:ascii="Times New Roman" w:hAnsi="Times New Roman"/>
      <w:szCs w:val="21"/>
    </w:rPr>
  </w:style>
  <w:style w:type="character" w:customStyle="1" w:styleId="154">
    <w:name w:val="样式2 Char"/>
    <w:link w:val="153"/>
    <w:qFormat/>
    <w:uiPriority w:val="0"/>
    <w:rPr>
      <w:rFonts w:ascii="Times New Roman" w:hAnsi="Times New Roman"/>
      <w:kern w:val="2"/>
      <w:sz w:val="21"/>
      <w:szCs w:val="21"/>
    </w:rPr>
  </w:style>
  <w:style w:type="character" w:customStyle="1" w:styleId="155">
    <w:name w:val="textcontents"/>
    <w:qFormat/>
    <w:uiPriority w:val="0"/>
  </w:style>
  <w:style w:type="character" w:customStyle="1" w:styleId="156">
    <w:name w:val="Re Char2"/>
    <w:qFormat/>
    <w:uiPriority w:val="0"/>
    <w:rPr>
      <w:rFonts w:eastAsia="宋体"/>
      <w:b/>
      <w:bCs/>
      <w:kern w:val="2"/>
      <w:sz w:val="32"/>
      <w:szCs w:val="32"/>
      <w:lang w:val="en-US" w:eastAsia="zh-CN" w:bidi="ar-SA"/>
    </w:rPr>
  </w:style>
  <w:style w:type="character" w:customStyle="1" w:styleId="157">
    <w:name w:val="标准 Char"/>
    <w:link w:val="158"/>
    <w:qFormat/>
    <w:uiPriority w:val="0"/>
    <w:rPr>
      <w:rFonts w:ascii="Times New Roman" w:hAnsi="Times New Roman"/>
      <w:spacing w:val="-2"/>
      <w:sz w:val="28"/>
      <w:lang w:val="en-GB"/>
    </w:rPr>
  </w:style>
  <w:style w:type="paragraph" w:customStyle="1" w:styleId="158">
    <w:name w:val="标准"/>
    <w:basedOn w:val="1"/>
    <w:link w:val="157"/>
    <w:qFormat/>
    <w:uiPriority w:val="0"/>
    <w:pPr>
      <w:adjustRightInd w:val="0"/>
      <w:spacing w:line="480" w:lineRule="exact"/>
      <w:textAlignment w:val="baseline"/>
    </w:pPr>
    <w:rPr>
      <w:rFonts w:ascii="Times New Roman" w:hAnsi="Times New Roman"/>
      <w:spacing w:val="-2"/>
      <w:kern w:val="0"/>
      <w:sz w:val="28"/>
      <w:szCs w:val="20"/>
      <w:lang w:val="en-GB"/>
    </w:rPr>
  </w:style>
  <w:style w:type="character" w:customStyle="1" w:styleId="159">
    <w:name w:val=". (a.) Char Char"/>
    <w:qFormat/>
    <w:uiPriority w:val="0"/>
    <w:rPr>
      <w:rFonts w:ascii="Arial" w:hAnsi="Arial" w:eastAsia="黑体"/>
      <w:b/>
      <w:bCs/>
      <w:kern w:val="2"/>
      <w:sz w:val="24"/>
      <w:szCs w:val="24"/>
    </w:rPr>
  </w:style>
  <w:style w:type="character" w:customStyle="1" w:styleId="160">
    <w:name w:val="纯文本 Char Char Char Char Char Char"/>
    <w:qFormat/>
    <w:uiPriority w:val="0"/>
    <w:rPr>
      <w:rFonts w:ascii="宋体" w:hAnsi="Courier New" w:eastAsia="宋体" w:cs="Courier New"/>
      <w:kern w:val="2"/>
      <w:sz w:val="21"/>
      <w:szCs w:val="21"/>
      <w:lang w:val="en-US" w:eastAsia="zh-CN" w:bidi="ar-SA"/>
    </w:rPr>
  </w:style>
  <w:style w:type="character" w:customStyle="1" w:styleId="161">
    <w:name w:val="标题 1 Char Char Char"/>
    <w:qFormat/>
    <w:uiPriority w:val="0"/>
    <w:rPr>
      <w:rFonts w:eastAsia="宋体"/>
      <w:b/>
      <w:kern w:val="44"/>
      <w:sz w:val="44"/>
      <w:lang w:val="en-US" w:eastAsia="zh-CN"/>
    </w:rPr>
  </w:style>
  <w:style w:type="character" w:customStyle="1" w:styleId="162">
    <w:name w:val="tpc_content1"/>
    <w:qFormat/>
    <w:uiPriority w:val="0"/>
    <w:rPr>
      <w:sz w:val="13"/>
      <w:szCs w:val="13"/>
    </w:rPr>
  </w:style>
  <w:style w:type="character" w:customStyle="1" w:styleId="163">
    <w:name w:val="标题 3，BSH-3条标题1.1.1 Char Char"/>
    <w:link w:val="164"/>
    <w:qFormat/>
    <w:uiPriority w:val="0"/>
    <w:rPr>
      <w:rFonts w:ascii="宋体" w:hAnsi="宋体"/>
      <w:caps/>
      <w:sz w:val="24"/>
      <w:szCs w:val="24"/>
    </w:rPr>
  </w:style>
  <w:style w:type="paragraph" w:customStyle="1" w:styleId="164">
    <w:name w:val="标题 3，BSH-3条标题1.1.1"/>
    <w:basedOn w:val="5"/>
    <w:link w:val="163"/>
    <w:qFormat/>
    <w:uiPriority w:val="0"/>
    <w:pPr>
      <w:spacing w:before="0" w:beforeLines="0" w:after="0" w:afterLines="0" w:line="360" w:lineRule="auto"/>
      <w:jc w:val="left"/>
      <w:outlineLvl w:val="9"/>
    </w:pPr>
    <w:rPr>
      <w:rFonts w:ascii="宋体" w:hAnsi="宋体"/>
      <w:b w:val="0"/>
      <w:bCs w:val="0"/>
      <w:caps/>
      <w:sz w:val="24"/>
      <w:szCs w:val="24"/>
    </w:rPr>
  </w:style>
  <w:style w:type="character" w:customStyle="1" w:styleId="165">
    <w:name w:val="脚注文本 Char1"/>
    <w:semiHidden/>
    <w:qFormat/>
    <w:uiPriority w:val="99"/>
    <w:rPr>
      <w:kern w:val="2"/>
      <w:sz w:val="18"/>
      <w:szCs w:val="18"/>
    </w:rPr>
  </w:style>
  <w:style w:type="character" w:customStyle="1" w:styleId="166">
    <w:name w:val="Char Char1"/>
    <w:qFormat/>
    <w:uiPriority w:val="0"/>
    <w:rPr>
      <w:rFonts w:eastAsia="宋体"/>
      <w:kern w:val="2"/>
      <w:sz w:val="18"/>
      <w:szCs w:val="18"/>
      <w:lang w:val="en-US" w:eastAsia="zh-CN" w:bidi="ar-SA"/>
    </w:rPr>
  </w:style>
  <w:style w:type="character" w:customStyle="1" w:styleId="167">
    <w:name w:val="表文 Char2"/>
    <w:link w:val="168"/>
    <w:semiHidden/>
    <w:qFormat/>
    <w:uiPriority w:val="0"/>
    <w:rPr>
      <w:rFonts w:ascii="Times New Roman" w:hAnsi="Times New Roman"/>
      <w:snapToGrid/>
      <w:sz w:val="18"/>
      <w:szCs w:val="18"/>
    </w:rPr>
  </w:style>
  <w:style w:type="paragraph" w:customStyle="1" w:styleId="168">
    <w:name w:val="表文"/>
    <w:basedOn w:val="1"/>
    <w:link w:val="167"/>
    <w:semiHidden/>
    <w:qFormat/>
    <w:uiPriority w:val="0"/>
    <w:pPr>
      <w:adjustRightInd w:val="0"/>
      <w:snapToGrid w:val="0"/>
      <w:spacing w:before="93" w:beforeLines="30" w:after="31" w:afterLines="10"/>
      <w:jc w:val="center"/>
      <w:textAlignment w:val="baseline"/>
    </w:pPr>
    <w:rPr>
      <w:rFonts w:ascii="Times New Roman" w:hAnsi="Times New Roman"/>
      <w:kern w:val="0"/>
      <w:sz w:val="18"/>
      <w:szCs w:val="18"/>
    </w:rPr>
  </w:style>
  <w:style w:type="character" w:customStyle="1" w:styleId="169">
    <w:name w:val="Char Char24"/>
    <w:qFormat/>
    <w:uiPriority w:val="0"/>
    <w:rPr>
      <w:rFonts w:ascii="Times New Roman" w:hAnsi="Times New Roman" w:eastAsia="宋体" w:cs="Times New Roman"/>
      <w:sz w:val="18"/>
      <w:szCs w:val="18"/>
    </w:rPr>
  </w:style>
  <w:style w:type="character" w:customStyle="1" w:styleId="170">
    <w:name w:val="headline-content2"/>
    <w:qFormat/>
    <w:uiPriority w:val="0"/>
  </w:style>
  <w:style w:type="character" w:customStyle="1" w:styleId="171">
    <w:name w:val="小2号宋体居中行距2倍 Char"/>
    <w:qFormat/>
    <w:locked/>
    <w:uiPriority w:val="0"/>
    <w:rPr>
      <w:rFonts w:eastAsia="宋体"/>
      <w:b/>
      <w:bCs/>
      <w:kern w:val="44"/>
      <w:sz w:val="44"/>
      <w:szCs w:val="44"/>
      <w:lang w:val="en-US" w:eastAsia="zh-CN" w:bidi="ar-SA"/>
    </w:rPr>
  </w:style>
  <w:style w:type="character" w:customStyle="1" w:styleId="172">
    <w:name w:val="标题3"/>
    <w:qFormat/>
    <w:uiPriority w:val="0"/>
  </w:style>
  <w:style w:type="character" w:customStyle="1" w:styleId="173">
    <w:name w:val="ninept"/>
    <w:qFormat/>
    <w:uiPriority w:val="0"/>
  </w:style>
  <w:style w:type="character" w:customStyle="1" w:styleId="174">
    <w:name w:val="Char Char11"/>
    <w:qFormat/>
    <w:uiPriority w:val="0"/>
    <w:rPr>
      <w:rFonts w:ascii="Arial" w:hAnsi="Arial" w:eastAsia="黑体"/>
      <w:b/>
      <w:bCs/>
      <w:kern w:val="2"/>
      <w:sz w:val="28"/>
      <w:szCs w:val="28"/>
      <w:lang w:val="en-US" w:eastAsia="zh-CN" w:bidi="ar-SA"/>
    </w:rPr>
  </w:style>
  <w:style w:type="character" w:customStyle="1" w:styleId="175">
    <w:name w:val="图题 Char"/>
    <w:qFormat/>
    <w:uiPriority w:val="0"/>
    <w:rPr>
      <w:rFonts w:eastAsia="宋体"/>
      <w:b/>
      <w:sz w:val="21"/>
      <w:szCs w:val="24"/>
      <w:lang w:val="zh-CN" w:eastAsia="zh-CN" w:bidi="ar-SA"/>
    </w:rPr>
  </w:style>
  <w:style w:type="character" w:customStyle="1" w:styleId="176">
    <w:name w:val="引用 Char"/>
    <w:link w:val="177"/>
    <w:qFormat/>
    <w:uiPriority w:val="0"/>
    <w:rPr>
      <w:rFonts w:ascii="Times New Roman" w:hAnsi="Times New Roman"/>
      <w:i/>
      <w:iCs/>
      <w:sz w:val="28"/>
      <w:szCs w:val="22"/>
      <w:lang w:eastAsia="en-US" w:bidi="en-US"/>
    </w:rPr>
  </w:style>
  <w:style w:type="paragraph" w:customStyle="1" w:styleId="177">
    <w:name w:val="引用"/>
    <w:basedOn w:val="1"/>
    <w:next w:val="1"/>
    <w:link w:val="176"/>
    <w:qFormat/>
    <w:uiPriority w:val="0"/>
    <w:pPr>
      <w:widowControl/>
      <w:spacing w:before="200" w:beforeLines="0" w:line="480" w:lineRule="exact"/>
      <w:ind w:left="360" w:right="360"/>
      <w:jc w:val="left"/>
    </w:pPr>
    <w:rPr>
      <w:rFonts w:ascii="Times New Roman" w:hAnsi="Times New Roman"/>
      <w:i/>
      <w:iCs/>
      <w:kern w:val="0"/>
      <w:sz w:val="28"/>
      <w:lang w:eastAsia="en-US" w:bidi="en-US"/>
    </w:rPr>
  </w:style>
  <w:style w:type="character" w:customStyle="1" w:styleId="178">
    <w:name w:val="电脑标志 Char Char"/>
    <w:qFormat/>
    <w:uiPriority w:val="0"/>
    <w:rPr>
      <w:rFonts w:ascii="Arial" w:hAnsi="Arial" w:eastAsia="黑体"/>
      <w:b/>
      <w:bCs/>
      <w:kern w:val="2"/>
      <w:sz w:val="32"/>
      <w:szCs w:val="32"/>
      <w:lang w:val="en-US" w:eastAsia="zh-CN" w:bidi="ar-SA"/>
    </w:rPr>
  </w:style>
  <w:style w:type="character" w:customStyle="1" w:styleId="179">
    <w:name w:val="Char Char30"/>
    <w:qFormat/>
    <w:uiPriority w:val="0"/>
    <w:rPr>
      <w:rFonts w:ascii="仿宋_GB2312" w:hAnsi="宋体" w:eastAsia="仿宋_GB2312" w:cs="Times New Roman"/>
      <w:sz w:val="28"/>
      <w:szCs w:val="24"/>
    </w:rPr>
  </w:style>
  <w:style w:type="character" w:customStyle="1" w:styleId="180">
    <w:name w:val="表格式 Char"/>
    <w:link w:val="181"/>
    <w:qFormat/>
    <w:uiPriority w:val="0"/>
    <w:rPr>
      <w:rFonts w:ascii="宋体" w:hAnsi="宋体"/>
      <w:color w:val="0000FF"/>
      <w:spacing w:val="-5"/>
      <w:kern w:val="2"/>
      <w:sz w:val="21"/>
      <w:szCs w:val="21"/>
      <w:lang w:val="zh-CN"/>
    </w:rPr>
  </w:style>
  <w:style w:type="paragraph" w:customStyle="1" w:styleId="181">
    <w:name w:val="表格式"/>
    <w:basedOn w:val="2"/>
    <w:link w:val="180"/>
    <w:qFormat/>
    <w:uiPriority w:val="0"/>
    <w:pPr>
      <w:adjustRightInd/>
      <w:spacing w:line="240" w:lineRule="auto"/>
      <w:ind w:left="0" w:leftChars="0" w:right="0" w:rightChars="0" w:firstLine="0" w:firstLineChars="0"/>
      <w:jc w:val="center"/>
      <w:textAlignment w:val="auto"/>
    </w:pPr>
    <w:rPr>
      <w:rFonts w:ascii="宋体" w:hAnsi="宋体" w:eastAsia="宋体"/>
      <w:color w:val="0000FF"/>
      <w:spacing w:val="-5"/>
      <w:kern w:val="2"/>
      <w:sz w:val="21"/>
      <w:szCs w:val="21"/>
      <w:lang w:val="zh-CN"/>
    </w:rPr>
  </w:style>
  <w:style w:type="character" w:customStyle="1" w:styleId="182">
    <w:name w:val="不明显参考"/>
    <w:qFormat/>
    <w:uiPriority w:val="0"/>
    <w:rPr>
      <w:sz w:val="24"/>
      <w:szCs w:val="24"/>
      <w:u w:val="single"/>
    </w:rPr>
  </w:style>
  <w:style w:type="character" w:customStyle="1" w:styleId="183">
    <w:name w:val="第五层条 Char Char"/>
    <w:qFormat/>
    <w:uiPriority w:val="0"/>
    <w:rPr>
      <w:rFonts w:ascii="Arial" w:hAnsi="Arial" w:eastAsia="黑体"/>
      <w:b/>
      <w:bCs/>
      <w:kern w:val="2"/>
      <w:sz w:val="24"/>
      <w:szCs w:val="24"/>
      <w:lang w:val="en-US" w:eastAsia="zh-CN" w:bidi="ar-SA"/>
    </w:rPr>
  </w:style>
  <w:style w:type="character" w:customStyle="1" w:styleId="184">
    <w:name w:val="样式 正文表文字00 +"/>
    <w:qFormat/>
    <w:uiPriority w:val="0"/>
    <w:rPr>
      <w:rFonts w:eastAsia="宋体"/>
      <w:kern w:val="0"/>
      <w:sz w:val="21"/>
    </w:rPr>
  </w:style>
  <w:style w:type="character" w:customStyle="1" w:styleId="185">
    <w:name w:val="列表 Char1"/>
    <w:qFormat/>
    <w:uiPriority w:val="0"/>
    <w:rPr>
      <w:rFonts w:ascii="黑体" w:eastAsia="黑体"/>
      <w:kern w:val="2"/>
      <w:sz w:val="21"/>
      <w:lang w:val="en-US" w:eastAsia="zh-CN" w:bidi="ar-SA"/>
    </w:rPr>
  </w:style>
  <w:style w:type="character" w:customStyle="1" w:styleId="186">
    <w:name w:val="newsbt2"/>
    <w:qFormat/>
    <w:uiPriority w:val="0"/>
  </w:style>
  <w:style w:type="character" w:customStyle="1" w:styleId="187">
    <w:name w:val=" Char Char20"/>
    <w:qFormat/>
    <w:uiPriority w:val="0"/>
    <w:rPr>
      <w:rFonts w:ascii="Times New Roman" w:hAnsi="宋体" w:cs="Times New Roman"/>
      <w:b/>
      <w:bCs/>
      <w:kern w:val="2"/>
      <w:sz w:val="28"/>
      <w:szCs w:val="32"/>
    </w:rPr>
  </w:style>
  <w:style w:type="character" w:customStyle="1" w:styleId="188">
    <w:name w:val="样式 标题 2 + 段前: 0 磅 段后: 0 磅 行距: 多倍行距 1.73 字行 Char"/>
    <w:link w:val="189"/>
    <w:qFormat/>
    <w:uiPriority w:val="0"/>
    <w:rPr>
      <w:rFonts w:ascii="Arial" w:hAnsi="Arial" w:eastAsia="黑体"/>
      <w:bCs/>
      <w:sz w:val="32"/>
    </w:rPr>
  </w:style>
  <w:style w:type="paragraph" w:customStyle="1" w:styleId="189">
    <w:name w:val="样式 标题 2 + 段前: 0 磅 段后: 0 磅 行距: 多倍行距 1.73 字行"/>
    <w:basedOn w:val="4"/>
    <w:link w:val="188"/>
    <w:qFormat/>
    <w:uiPriority w:val="0"/>
    <w:pPr>
      <w:adjustRightInd/>
      <w:spacing w:before="240" w:beforeLines="0" w:after="240" w:afterLines="0" w:line="360" w:lineRule="auto"/>
      <w:textAlignment w:val="auto"/>
    </w:pPr>
    <w:rPr>
      <w:rFonts w:ascii="Arial" w:hAnsi="Arial" w:eastAsia="黑体"/>
      <w:b w:val="0"/>
      <w:sz w:val="32"/>
      <w:szCs w:val="20"/>
    </w:rPr>
  </w:style>
  <w:style w:type="character" w:customStyle="1" w:styleId="190">
    <w:name w:val="zhenwen14"/>
    <w:qFormat/>
    <w:uiPriority w:val="0"/>
  </w:style>
  <w:style w:type="character" w:customStyle="1" w:styleId="191">
    <w:name w:val="Font Style391"/>
    <w:qFormat/>
    <w:uiPriority w:val="0"/>
    <w:rPr>
      <w:rFonts w:ascii="宋体" w:eastAsia="宋体" w:cs="宋体"/>
      <w:w w:val="350"/>
      <w:sz w:val="12"/>
      <w:szCs w:val="12"/>
    </w:rPr>
  </w:style>
  <w:style w:type="character" w:customStyle="1" w:styleId="192">
    <w:name w:val="标题 4 Char1"/>
    <w:semiHidden/>
    <w:qFormat/>
    <w:uiPriority w:val="0"/>
    <w:rPr>
      <w:rFonts w:ascii="Cambria" w:hAnsi="Cambria" w:eastAsia="宋体"/>
      <w:b/>
      <w:bCs/>
      <w:kern w:val="2"/>
      <w:sz w:val="28"/>
      <w:szCs w:val="28"/>
      <w:lang w:bidi="ar-SA"/>
    </w:rPr>
  </w:style>
  <w:style w:type="character" w:customStyle="1" w:styleId="193">
    <w:name w:val="正文文本缩进 3 Char1"/>
    <w:semiHidden/>
    <w:qFormat/>
    <w:uiPriority w:val="0"/>
    <w:rPr>
      <w:rFonts w:ascii="Times New Roman" w:hAnsi="Times New Roman" w:eastAsia="宋体" w:cs="Times New Roman"/>
      <w:sz w:val="16"/>
      <w:szCs w:val="16"/>
    </w:rPr>
  </w:style>
  <w:style w:type="character" w:customStyle="1" w:styleId="194">
    <w:name w:val="注释 Char"/>
    <w:qFormat/>
    <w:uiPriority w:val="0"/>
    <w:rPr>
      <w:rFonts w:eastAsia="宋体"/>
      <w:kern w:val="2"/>
      <w:sz w:val="15"/>
      <w:szCs w:val="24"/>
      <w:lang w:val="en-US" w:eastAsia="zh-CN" w:bidi="ar-SA"/>
    </w:rPr>
  </w:style>
  <w:style w:type="character" w:customStyle="1" w:styleId="195">
    <w:name w:val="链接"/>
    <w:qFormat/>
    <w:uiPriority w:val="0"/>
    <w:rPr>
      <w:rFonts w:ascii="Times New Roman" w:eastAsia="宋体"/>
      <w:color w:val="0000FF"/>
      <w:sz w:val="21"/>
      <w:u w:val="single" w:color="0000FF"/>
      <w:vertAlign w:val="baseline"/>
      <w:lang w:val="en-US" w:eastAsia="zh-CN"/>
    </w:rPr>
  </w:style>
  <w:style w:type="character" w:customStyle="1" w:styleId="196">
    <w:name w:val="Font Style347"/>
    <w:qFormat/>
    <w:uiPriority w:val="0"/>
    <w:rPr>
      <w:rFonts w:ascii="Times New Roman" w:hAnsi="Times New Roman" w:cs="Times New Roman"/>
      <w:sz w:val="14"/>
      <w:szCs w:val="14"/>
    </w:rPr>
  </w:style>
  <w:style w:type="character" w:customStyle="1" w:styleId="197">
    <w:name w:val="highlight1"/>
    <w:qFormat/>
    <w:uiPriority w:val="0"/>
    <w:rPr>
      <w:sz w:val="202"/>
      <w:szCs w:val="202"/>
    </w:rPr>
  </w:style>
  <w:style w:type="character" w:customStyle="1" w:styleId="198">
    <w:name w:val="表格 Char"/>
    <w:link w:val="199"/>
    <w:qFormat/>
    <w:uiPriority w:val="0"/>
    <w:rPr>
      <w:rFonts w:ascii="宋体" w:hAnsi="宋体" w:eastAsia="宋体" w:cs="Times New Roman"/>
      <w:szCs w:val="20"/>
    </w:rPr>
  </w:style>
  <w:style w:type="paragraph" w:customStyle="1" w:styleId="199">
    <w:name w:val="表格"/>
    <w:basedOn w:val="73"/>
    <w:next w:val="19"/>
    <w:link w:val="198"/>
    <w:qFormat/>
    <w:uiPriority w:val="0"/>
    <w:pPr>
      <w:snapToGrid w:val="0"/>
      <w:spacing w:line="240" w:lineRule="atLeast"/>
      <w:jc w:val="center"/>
    </w:pPr>
    <w:rPr>
      <w:rFonts w:ascii="宋体" w:hAnsi="宋体"/>
      <w:kern w:val="0"/>
      <w:sz w:val="20"/>
      <w:szCs w:val="20"/>
    </w:rPr>
  </w:style>
  <w:style w:type="character" w:customStyle="1" w:styleId="200">
    <w:name w:val="Char Char8"/>
    <w:qFormat/>
    <w:uiPriority w:val="0"/>
    <w:rPr>
      <w:rFonts w:eastAsia="宋体"/>
      <w:b/>
      <w:bCs/>
      <w:kern w:val="2"/>
      <w:sz w:val="28"/>
      <w:szCs w:val="28"/>
      <w:lang w:val="en-US" w:eastAsia="zh-CN" w:bidi="ar-SA"/>
    </w:rPr>
  </w:style>
  <w:style w:type="character" w:customStyle="1" w:styleId="201">
    <w:name w:val="正文文字1 Char3"/>
    <w:qFormat/>
    <w:uiPriority w:val="0"/>
    <w:rPr>
      <w:rFonts w:eastAsia="宋体"/>
      <w:kern w:val="2"/>
      <w:sz w:val="18"/>
      <w:szCs w:val="24"/>
      <w:lang w:val="en-US" w:eastAsia="zh-CN" w:bidi="ar-SA"/>
    </w:rPr>
  </w:style>
  <w:style w:type="character" w:customStyle="1" w:styleId="202">
    <w:name w:val="正文 Char"/>
    <w:link w:val="203"/>
    <w:qFormat/>
    <w:uiPriority w:val="0"/>
    <w:rPr>
      <w:rFonts w:ascii="宋体" w:hAnsi="宋体" w:eastAsia="宋体" w:cs="宋体"/>
      <w:sz w:val="24"/>
      <w:szCs w:val="24"/>
    </w:rPr>
  </w:style>
  <w:style w:type="paragraph" w:customStyle="1" w:styleId="203">
    <w:name w:val="正文3"/>
    <w:basedOn w:val="1"/>
    <w:next w:val="1"/>
    <w:link w:val="202"/>
    <w:qFormat/>
    <w:uiPriority w:val="0"/>
    <w:pPr>
      <w:spacing w:line="529" w:lineRule="exact"/>
      <w:ind w:firstLine="200" w:firstLineChars="200"/>
    </w:pPr>
    <w:rPr>
      <w:rFonts w:ascii="宋体" w:hAnsi="宋体"/>
      <w:kern w:val="0"/>
      <w:sz w:val="24"/>
      <w:szCs w:val="24"/>
    </w:rPr>
  </w:style>
  <w:style w:type="character" w:customStyle="1" w:styleId="204">
    <w:name w:val="Char Char Char"/>
    <w:qFormat/>
    <w:uiPriority w:val="0"/>
    <w:rPr>
      <w:rFonts w:eastAsia="宋体"/>
      <w:kern w:val="2"/>
      <w:sz w:val="24"/>
      <w:szCs w:val="24"/>
      <w:lang w:val="en-US" w:eastAsia="zh-CN" w:bidi="ar-SA"/>
    </w:rPr>
  </w:style>
  <w:style w:type="character" w:customStyle="1" w:styleId="205">
    <w:name w:val="google-src-text1"/>
    <w:qFormat/>
    <w:uiPriority w:val="0"/>
    <w:rPr>
      <w:vanish/>
    </w:rPr>
  </w:style>
  <w:style w:type="character" w:customStyle="1" w:styleId="206">
    <w:name w:val=" Char Char18"/>
    <w:qFormat/>
    <w:uiPriority w:val="0"/>
    <w:rPr>
      <w:b/>
      <w:bCs/>
      <w:color w:val="auto"/>
    </w:rPr>
  </w:style>
  <w:style w:type="character" w:customStyle="1" w:styleId="207">
    <w:name w:val="正文：段落格式 Char"/>
    <w:link w:val="208"/>
    <w:qFormat/>
    <w:uiPriority w:val="0"/>
    <w:rPr>
      <w:rFonts w:ascii="宋体" w:hAnsi="宋体"/>
      <w:color w:val="000000"/>
      <w:kern w:val="15"/>
      <w:sz w:val="24"/>
      <w:szCs w:val="24"/>
    </w:rPr>
  </w:style>
  <w:style w:type="paragraph" w:customStyle="1" w:styleId="208">
    <w:name w:val="正文：段落格式"/>
    <w:basedOn w:val="1"/>
    <w:link w:val="207"/>
    <w:qFormat/>
    <w:uiPriority w:val="0"/>
    <w:pPr>
      <w:tabs>
        <w:tab w:val="left" w:pos="1440"/>
      </w:tabs>
      <w:adjustRightInd w:val="0"/>
      <w:snapToGrid w:val="0"/>
      <w:spacing w:line="440" w:lineRule="atLeast"/>
      <w:ind w:left="1440" w:hanging="360"/>
    </w:pPr>
    <w:rPr>
      <w:rFonts w:ascii="宋体" w:hAnsi="宋体"/>
      <w:color w:val="000000"/>
      <w:kern w:val="15"/>
      <w:sz w:val="24"/>
      <w:szCs w:val="24"/>
    </w:rPr>
  </w:style>
  <w:style w:type="character" w:customStyle="1" w:styleId="209">
    <w:name w:val="Char Char29"/>
    <w:qFormat/>
    <w:uiPriority w:val="0"/>
    <w:rPr>
      <w:rFonts w:ascii="Times New Roman" w:hAnsi="Times New Roman" w:eastAsia="宋体" w:cs="Times New Roman"/>
      <w:szCs w:val="24"/>
      <w:shd w:val="clear" w:color="auto" w:fill="000080"/>
    </w:rPr>
  </w:style>
  <w:style w:type="character" w:customStyle="1" w:styleId="210">
    <w:name w:val="正文文字缩进 21 Char1"/>
    <w:qFormat/>
    <w:uiPriority w:val="0"/>
    <w:rPr>
      <w:rFonts w:ascii="Times New Roman" w:hAnsi="Times New Roman"/>
      <w:kern w:val="2"/>
      <w:sz w:val="21"/>
      <w:szCs w:val="24"/>
    </w:rPr>
  </w:style>
  <w:style w:type="character" w:customStyle="1" w:styleId="211">
    <w:name w:val="c1"/>
    <w:qFormat/>
    <w:uiPriority w:val="0"/>
    <w:rPr>
      <w:rFonts w:hint="default" w:ascii="ˎ̥" w:hAnsi="ˎ̥"/>
      <w:color w:val="000000"/>
      <w:sz w:val="21"/>
      <w:szCs w:val="21"/>
      <w:u w:val="none"/>
    </w:rPr>
  </w:style>
  <w:style w:type="character" w:customStyle="1" w:styleId="212">
    <w:name w:val="font01"/>
    <w:basedOn w:val="82"/>
    <w:qFormat/>
    <w:uiPriority w:val="0"/>
    <w:rPr>
      <w:rFonts w:hint="eastAsia" w:ascii="宋体" w:hAnsi="宋体" w:eastAsia="宋体" w:cs="宋体"/>
      <w:color w:val="000000"/>
      <w:sz w:val="20"/>
      <w:szCs w:val="20"/>
      <w:u w:val="none"/>
      <w:vertAlign w:val="superscript"/>
    </w:rPr>
  </w:style>
  <w:style w:type="character" w:customStyle="1" w:styleId="213">
    <w:name w:val="页眉小5号 Char Char"/>
    <w:qFormat/>
    <w:uiPriority w:val="0"/>
    <w:rPr>
      <w:rFonts w:eastAsia="宋体"/>
      <w:kern w:val="2"/>
      <w:sz w:val="18"/>
      <w:szCs w:val="18"/>
      <w:lang w:val="en-US" w:eastAsia="zh-CN" w:bidi="ar-SA"/>
    </w:rPr>
  </w:style>
  <w:style w:type="character" w:customStyle="1" w:styleId="214">
    <w:name w:val="正文文本缩进 Char1"/>
    <w:qFormat/>
    <w:uiPriority w:val="0"/>
    <w:rPr>
      <w:kern w:val="2"/>
      <w:sz w:val="21"/>
      <w:szCs w:val="24"/>
    </w:rPr>
  </w:style>
  <w:style w:type="character" w:customStyle="1" w:styleId="215">
    <w:name w:val="引用 Char1"/>
    <w:qFormat/>
    <w:uiPriority w:val="29"/>
    <w:rPr>
      <w:rFonts w:ascii="Times New Roman" w:hAnsi="Times New Roman"/>
      <w:i/>
      <w:iCs/>
      <w:color w:val="000000"/>
      <w:kern w:val="2"/>
      <w:sz w:val="21"/>
      <w:szCs w:val="24"/>
    </w:rPr>
  </w:style>
  <w:style w:type="character" w:customStyle="1" w:styleId="216">
    <w:name w:val="s4 Char Char"/>
    <w:qFormat/>
    <w:uiPriority w:val="0"/>
    <w:rPr>
      <w:rFonts w:eastAsia="宋体"/>
      <w:kern w:val="2"/>
      <w:sz w:val="21"/>
      <w:szCs w:val="24"/>
      <w:lang w:val="en-US" w:eastAsia="zh-CN" w:bidi="ar-SA"/>
    </w:rPr>
  </w:style>
  <w:style w:type="character" w:customStyle="1" w:styleId="217">
    <w:name w:val="style211"/>
    <w:qFormat/>
    <w:uiPriority w:val="0"/>
    <w:rPr>
      <w:sz w:val="20"/>
      <w:szCs w:val="20"/>
    </w:rPr>
  </w:style>
  <w:style w:type="character" w:customStyle="1" w:styleId="218">
    <w:name w:val="正文首行缩进-修改 Char"/>
    <w:link w:val="219"/>
    <w:qFormat/>
    <w:uiPriority w:val="0"/>
    <w:rPr>
      <w:rFonts w:ascii="Times New Roman" w:hAnsi="Times New Roman"/>
      <w:kern w:val="2"/>
      <w:sz w:val="24"/>
      <w:szCs w:val="24"/>
    </w:rPr>
  </w:style>
  <w:style w:type="paragraph" w:customStyle="1" w:styleId="219">
    <w:name w:val="正文首行缩进-修改"/>
    <w:basedOn w:val="1"/>
    <w:link w:val="218"/>
    <w:qFormat/>
    <w:uiPriority w:val="0"/>
    <w:pPr>
      <w:spacing w:line="360" w:lineRule="auto"/>
      <w:ind w:firstLine="480" w:firstLineChars="200"/>
    </w:pPr>
    <w:rPr>
      <w:rFonts w:ascii="Times New Roman" w:hAnsi="Times New Roman"/>
      <w:sz w:val="24"/>
      <w:szCs w:val="24"/>
    </w:rPr>
  </w:style>
  <w:style w:type="character" w:customStyle="1" w:styleId="220">
    <w:name w:val="even Char Char"/>
    <w:qFormat/>
    <w:uiPriority w:val="0"/>
    <w:rPr>
      <w:rFonts w:eastAsia="宋体"/>
      <w:kern w:val="2"/>
      <w:sz w:val="18"/>
      <w:szCs w:val="18"/>
      <w:lang w:val="en-US" w:eastAsia="zh-CN" w:bidi="ar-SA"/>
    </w:rPr>
  </w:style>
  <w:style w:type="character" w:customStyle="1" w:styleId="221">
    <w:name w:val="keywords"/>
    <w:qFormat/>
    <w:uiPriority w:val="0"/>
    <w:rPr>
      <w:b/>
      <w:bCs/>
      <w:color w:val="EE0033"/>
    </w:rPr>
  </w:style>
  <w:style w:type="character" w:customStyle="1" w:styleId="222">
    <w:name w:val="wbz2"/>
    <w:qFormat/>
    <w:uiPriority w:val="0"/>
    <w:rPr>
      <w:rFonts w:hint="default"/>
      <w:color w:val="000000"/>
      <w:spacing w:val="0"/>
      <w:sz w:val="18"/>
      <w:szCs w:val="18"/>
      <w:u w:val="none"/>
    </w:rPr>
  </w:style>
  <w:style w:type="character" w:customStyle="1" w:styleId="223">
    <w:name w:val="apple-style-span"/>
    <w:qFormat/>
    <w:uiPriority w:val="0"/>
  </w:style>
  <w:style w:type="character" w:customStyle="1" w:styleId="224">
    <w:name w:val="123YJ Char Char1"/>
    <w:qFormat/>
    <w:uiPriority w:val="0"/>
    <w:rPr>
      <w:rFonts w:eastAsia="宋体"/>
      <w:kern w:val="2"/>
      <w:sz w:val="18"/>
      <w:szCs w:val="18"/>
      <w:lang w:val="en-US" w:eastAsia="zh-CN" w:bidi="ar-SA"/>
    </w:rPr>
  </w:style>
  <w:style w:type="character" w:customStyle="1" w:styleId="225">
    <w:name w:val="正文(首行缩进)宋旭峰 Char Char"/>
    <w:link w:val="226"/>
    <w:qFormat/>
    <w:uiPriority w:val="0"/>
    <w:rPr>
      <w:snapToGrid/>
      <w:sz w:val="28"/>
    </w:rPr>
  </w:style>
  <w:style w:type="paragraph" w:customStyle="1" w:styleId="226">
    <w:name w:val="正文(首行缩进)宋旭峰"/>
    <w:basedOn w:val="19"/>
    <w:link w:val="225"/>
    <w:qFormat/>
    <w:uiPriority w:val="0"/>
    <w:pPr>
      <w:spacing w:before="156" w:beforeLines="50" w:after="156" w:afterLines="50" w:line="360" w:lineRule="auto"/>
      <w:ind w:firstLine="560" w:firstLineChars="200"/>
    </w:pPr>
    <w:rPr>
      <w:rFonts w:ascii="Calibri" w:hAnsi="Calibri"/>
      <w:snapToGrid/>
    </w:rPr>
  </w:style>
  <w:style w:type="character" w:customStyle="1" w:styleId="227">
    <w:name w:val="样式 标题 2节标题 1.11.1标题2SeBSH-2h2l22nd levelTitre22Header ... Char"/>
    <w:link w:val="228"/>
    <w:qFormat/>
    <w:uiPriority w:val="0"/>
    <w:rPr>
      <w:rFonts w:ascii="宋体" w:hAnsi="宋体" w:eastAsia="黑体"/>
      <w:bCs/>
      <w:kern w:val="2"/>
      <w:sz w:val="24"/>
      <w:szCs w:val="32"/>
    </w:rPr>
  </w:style>
  <w:style w:type="paragraph" w:customStyle="1" w:styleId="228">
    <w:name w:val="样式 标题 2节标题 1.11.1标题2SeBSH-2h2l22nd levelTitre22Header ..."/>
    <w:basedOn w:val="4"/>
    <w:link w:val="227"/>
    <w:qFormat/>
    <w:uiPriority w:val="0"/>
    <w:pPr>
      <w:adjustRightInd/>
      <w:spacing w:line="415" w:lineRule="auto"/>
      <w:textAlignment w:val="auto"/>
    </w:pPr>
    <w:rPr>
      <w:rFonts w:eastAsia="黑体"/>
      <w:b w:val="0"/>
      <w:kern w:val="2"/>
      <w:sz w:val="24"/>
    </w:rPr>
  </w:style>
  <w:style w:type="character" w:customStyle="1" w:styleId="229">
    <w:name w:val="正文文本 Char Char Char"/>
    <w:qFormat/>
    <w:locked/>
    <w:uiPriority w:val="0"/>
    <w:rPr>
      <w:rFonts w:eastAsia="宋体"/>
      <w:kern w:val="2"/>
      <w:sz w:val="21"/>
      <w:szCs w:val="24"/>
      <w:lang w:val="en-US" w:eastAsia="zh-CN" w:bidi="ar-SA"/>
    </w:rPr>
  </w:style>
  <w:style w:type="character" w:customStyle="1" w:styleId="230">
    <w:name w:val="m1"/>
    <w:qFormat/>
    <w:uiPriority w:val="0"/>
    <w:rPr>
      <w:color w:val="666666"/>
    </w:rPr>
  </w:style>
  <w:style w:type="character" w:customStyle="1" w:styleId="231">
    <w:name w:val="样式 标题 2 + 宋体 小二 首行缩进:  2 字符 Char"/>
    <w:link w:val="232"/>
    <w:qFormat/>
    <w:locked/>
    <w:uiPriority w:val="0"/>
    <w:rPr>
      <w:rFonts w:ascii="宋体" w:hAnsi="宋体" w:cs="宋体"/>
      <w:b/>
      <w:bCs/>
      <w:kern w:val="2"/>
      <w:sz w:val="32"/>
    </w:rPr>
  </w:style>
  <w:style w:type="paragraph" w:customStyle="1" w:styleId="232">
    <w:name w:val="样式 标题 2 + 宋体 小二 首行缩进:  2 字符"/>
    <w:basedOn w:val="4"/>
    <w:link w:val="231"/>
    <w:qFormat/>
    <w:uiPriority w:val="0"/>
    <w:pPr>
      <w:adjustRightInd/>
      <w:spacing w:before="156" w:beforeLines="50" w:after="156" w:afterLines="50" w:line="240" w:lineRule="auto"/>
      <w:textAlignment w:val="auto"/>
    </w:pPr>
    <w:rPr>
      <w:kern w:val="2"/>
      <w:sz w:val="32"/>
      <w:szCs w:val="20"/>
    </w:rPr>
  </w:style>
  <w:style w:type="character" w:customStyle="1" w:styleId="233">
    <w:name w:val="正文首行缩进 Char Char Char Char2"/>
    <w:qFormat/>
    <w:uiPriority w:val="0"/>
    <w:rPr>
      <w:rFonts w:eastAsia="宋体"/>
      <w:kern w:val="2"/>
      <w:sz w:val="21"/>
      <w:szCs w:val="24"/>
      <w:lang w:val="en-US" w:eastAsia="zh-CN" w:bidi="ar-SA"/>
    </w:rPr>
  </w:style>
  <w:style w:type="character" w:customStyle="1" w:styleId="234">
    <w:name w:val="文本 Char1"/>
    <w:qFormat/>
    <w:uiPriority w:val="0"/>
    <w:rPr>
      <w:rFonts w:eastAsia="宋体"/>
      <w:snapToGrid/>
      <w:sz w:val="28"/>
      <w:lang w:val="en-US" w:eastAsia="zh-CN" w:bidi="ar-SA"/>
    </w:rPr>
  </w:style>
  <w:style w:type="character" w:customStyle="1" w:styleId="235">
    <w:name w:val="Char Char13"/>
    <w:qFormat/>
    <w:uiPriority w:val="0"/>
    <w:rPr>
      <w:rFonts w:eastAsia="宋体"/>
      <w:kern w:val="2"/>
      <w:sz w:val="18"/>
      <w:szCs w:val="18"/>
      <w:lang w:val="en-US" w:eastAsia="zh-CN" w:bidi="ar-SA"/>
    </w:rPr>
  </w:style>
  <w:style w:type="character" w:customStyle="1" w:styleId="236">
    <w:name w:val="样式 纯文本 + 首行缩进:  2 字符 Char Char"/>
    <w:link w:val="237"/>
    <w:qFormat/>
    <w:uiPriority w:val="0"/>
    <w:rPr>
      <w:rFonts w:ascii="宋体" w:hAnsi="Courier New"/>
      <w:kern w:val="2"/>
      <w:sz w:val="21"/>
    </w:rPr>
  </w:style>
  <w:style w:type="paragraph" w:customStyle="1" w:styleId="237">
    <w:name w:val="样式 纯文本 + 首行缩进:  2 字符 Char"/>
    <w:basedOn w:val="44"/>
    <w:link w:val="236"/>
    <w:qFormat/>
    <w:uiPriority w:val="0"/>
    <w:pPr>
      <w:spacing w:line="300" w:lineRule="auto"/>
      <w:ind w:firstLine="420" w:firstLineChars="200"/>
    </w:pPr>
    <w:rPr>
      <w:kern w:val="2"/>
      <w:sz w:val="21"/>
      <w:szCs w:val="20"/>
    </w:rPr>
  </w:style>
  <w:style w:type="character" w:customStyle="1" w:styleId="238">
    <w:name w:val="占位符文本"/>
    <w:semiHidden/>
    <w:qFormat/>
    <w:uiPriority w:val="0"/>
    <w:rPr>
      <w:color w:val="808080"/>
    </w:rPr>
  </w:style>
  <w:style w:type="character" w:customStyle="1" w:styleId="239">
    <w:name w:val="正文文本 Char1"/>
    <w:qFormat/>
    <w:uiPriority w:val="0"/>
    <w:rPr>
      <w:rFonts w:eastAsia="宋体"/>
      <w:kern w:val="2"/>
      <w:sz w:val="21"/>
      <w:szCs w:val="24"/>
      <w:lang w:val="en-US" w:eastAsia="zh-CN" w:bidi="ar-SA"/>
    </w:rPr>
  </w:style>
  <w:style w:type="character" w:customStyle="1" w:styleId="240">
    <w:name w:val="1.1标题 2 Char Char"/>
    <w:qFormat/>
    <w:uiPriority w:val="0"/>
    <w:rPr>
      <w:rFonts w:hint="default" w:ascii="Arial" w:hAnsi="Arial" w:eastAsia="宋体" w:cs="Times New Roman"/>
      <w:b/>
      <w:kern w:val="44"/>
      <w:sz w:val="28"/>
      <w:szCs w:val="20"/>
    </w:rPr>
  </w:style>
  <w:style w:type="character" w:customStyle="1" w:styleId="241">
    <w:name w:val="标题 7表内5号 Char Char"/>
    <w:qFormat/>
    <w:uiPriority w:val="0"/>
    <w:rPr>
      <w:rFonts w:eastAsia="宋体"/>
      <w:b/>
      <w:kern w:val="2"/>
      <w:sz w:val="24"/>
      <w:lang w:val="en-US" w:eastAsia="zh-CN" w:bidi="ar-SA"/>
    </w:rPr>
  </w:style>
  <w:style w:type="character" w:customStyle="1" w:styleId="242">
    <w:name w:val="样式12q Char"/>
    <w:link w:val="243"/>
    <w:qFormat/>
    <w:uiPriority w:val="0"/>
    <w:rPr>
      <w:rFonts w:ascii="Times New Roman" w:hAnsi="Times New Roman"/>
      <w:kern w:val="2"/>
      <w:sz w:val="28"/>
      <w:szCs w:val="28"/>
    </w:rPr>
  </w:style>
  <w:style w:type="paragraph" w:customStyle="1" w:styleId="243">
    <w:name w:val="样式12q"/>
    <w:basedOn w:val="1"/>
    <w:link w:val="242"/>
    <w:qFormat/>
    <w:uiPriority w:val="0"/>
    <w:pPr>
      <w:spacing w:line="360" w:lineRule="auto"/>
      <w:ind w:firstLine="560" w:firstLineChars="200"/>
    </w:pPr>
    <w:rPr>
      <w:rFonts w:ascii="Times New Roman" w:hAnsi="Times New Roman"/>
      <w:sz w:val="28"/>
      <w:szCs w:val="28"/>
    </w:rPr>
  </w:style>
  <w:style w:type="character" w:customStyle="1" w:styleId="244">
    <w:name w:val="正文（首行缩进两字） Char Char Char Char Char"/>
    <w:qFormat/>
    <w:uiPriority w:val="0"/>
    <w:rPr>
      <w:rFonts w:eastAsia="宋体"/>
      <w:kern w:val="2"/>
      <w:sz w:val="21"/>
      <w:lang w:val="en-US" w:eastAsia="zh-CN" w:bidi="ar-SA"/>
    </w:rPr>
  </w:style>
  <w:style w:type="character" w:customStyle="1" w:styleId="245">
    <w:name w:val="ta14"/>
    <w:qFormat/>
    <w:uiPriority w:val="0"/>
  </w:style>
  <w:style w:type="character" w:customStyle="1" w:styleId="246">
    <w:name w:val="Char Char171"/>
    <w:qFormat/>
    <w:uiPriority w:val="0"/>
    <w:rPr>
      <w:rFonts w:eastAsia="宋体"/>
      <w:b/>
      <w:bCs/>
      <w:kern w:val="2"/>
      <w:sz w:val="32"/>
      <w:szCs w:val="32"/>
      <w:lang w:val="en-US" w:eastAsia="zh-CN" w:bidi="ar-SA"/>
    </w:rPr>
  </w:style>
  <w:style w:type="character" w:customStyle="1" w:styleId="247">
    <w:name w:val="right1"/>
    <w:qFormat/>
    <w:uiPriority w:val="0"/>
  </w:style>
  <w:style w:type="character" w:customStyle="1" w:styleId="248">
    <w:name w:val="表头名称 Char"/>
    <w:qFormat/>
    <w:uiPriority w:val="0"/>
    <w:rPr>
      <w:rFonts w:ascii="黑体" w:hAnsi="宋体" w:eastAsia="黑体"/>
      <w:kern w:val="2"/>
      <w:sz w:val="24"/>
      <w:szCs w:val="24"/>
      <w:lang w:val="en-US" w:eastAsia="zh-CN" w:bidi="ar-SA"/>
    </w:rPr>
  </w:style>
  <w:style w:type="character" w:customStyle="1" w:styleId="249">
    <w:name w:val="无节款 Char1"/>
    <w:qFormat/>
    <w:uiPriority w:val="0"/>
    <w:rPr>
      <w:rFonts w:ascii="Arial" w:hAnsi="Arial" w:eastAsia="黑体" w:cs="Times New Roman"/>
      <w:sz w:val="24"/>
      <w:szCs w:val="24"/>
    </w:rPr>
  </w:style>
  <w:style w:type="character" w:customStyle="1" w:styleId="250">
    <w:name w:val="5号宋体居中 Char Char"/>
    <w:qFormat/>
    <w:locked/>
    <w:uiPriority w:val="0"/>
    <w:rPr>
      <w:rFonts w:ascii="Arial" w:hAnsi="Arial" w:eastAsia="黑体"/>
      <w:kern w:val="2"/>
      <w:sz w:val="21"/>
      <w:lang w:val="en-US" w:eastAsia="zh-CN" w:bidi="ar-SA"/>
    </w:rPr>
  </w:style>
  <w:style w:type="character" w:customStyle="1" w:styleId="251">
    <w:name w:val="明显强调"/>
    <w:qFormat/>
    <w:uiPriority w:val="0"/>
    <w:rPr>
      <w:b/>
      <w:i/>
      <w:sz w:val="24"/>
      <w:szCs w:val="24"/>
      <w:u w:val="single"/>
    </w:rPr>
  </w:style>
  <w:style w:type="character" w:customStyle="1" w:styleId="252">
    <w:name w:val="正文文字缩进 Char Char1"/>
    <w:qFormat/>
    <w:locked/>
    <w:uiPriority w:val="0"/>
    <w:rPr>
      <w:szCs w:val="24"/>
      <w:lang w:bidi="ar-SA"/>
    </w:rPr>
  </w:style>
  <w:style w:type="character" w:customStyle="1" w:styleId="253">
    <w:name w:val="H8 Char"/>
    <w:qFormat/>
    <w:uiPriority w:val="0"/>
    <w:rPr>
      <w:rFonts w:ascii="Arial" w:hAnsi="Arial" w:eastAsia="黑体"/>
      <w:sz w:val="24"/>
      <w:szCs w:val="24"/>
      <w:lang w:val="en-US" w:eastAsia="zh-CN" w:bidi="ar-SA"/>
    </w:rPr>
  </w:style>
  <w:style w:type="character" w:customStyle="1" w:styleId="254">
    <w:name w:val="标题 1 Char Char Char Char Char1"/>
    <w:qFormat/>
    <w:uiPriority w:val="0"/>
    <w:rPr>
      <w:rFonts w:eastAsia="宋体"/>
      <w:b/>
      <w:bCs/>
      <w:kern w:val="44"/>
      <w:sz w:val="44"/>
      <w:szCs w:val="44"/>
      <w:lang w:val="en-US" w:eastAsia="zh-CN" w:bidi="ar-SA"/>
    </w:rPr>
  </w:style>
  <w:style w:type="character" w:customStyle="1" w:styleId="255">
    <w:name w:val="Char Char28"/>
    <w:qFormat/>
    <w:uiPriority w:val="0"/>
    <w:rPr>
      <w:rFonts w:ascii="宋体" w:hAnsi="宋体" w:eastAsia="宋体" w:cs="Times New Roman"/>
      <w:sz w:val="24"/>
      <w:szCs w:val="20"/>
    </w:rPr>
  </w:style>
  <w:style w:type="character" w:customStyle="1" w:styleId="256">
    <w:name w:val="标题6 Char"/>
    <w:link w:val="257"/>
    <w:qFormat/>
    <w:uiPriority w:val="0"/>
    <w:rPr>
      <w:rFonts w:ascii="宋体" w:hAnsi="宋体"/>
      <w:kern w:val="2"/>
      <w:sz w:val="21"/>
      <w:szCs w:val="21"/>
    </w:rPr>
  </w:style>
  <w:style w:type="paragraph" w:customStyle="1" w:styleId="257">
    <w:name w:val="标题6"/>
    <w:basedOn w:val="1"/>
    <w:link w:val="256"/>
    <w:qFormat/>
    <w:uiPriority w:val="0"/>
    <w:pPr>
      <w:spacing w:line="300" w:lineRule="auto"/>
      <w:ind w:firstLine="480" w:firstLineChars="200"/>
      <w:outlineLvl w:val="0"/>
    </w:pPr>
    <w:rPr>
      <w:rFonts w:ascii="宋体" w:hAnsi="宋体"/>
      <w:szCs w:val="21"/>
    </w:rPr>
  </w:style>
  <w:style w:type="character" w:customStyle="1" w:styleId="258">
    <w:name w:val="x文 Char Char"/>
    <w:link w:val="259"/>
    <w:qFormat/>
    <w:uiPriority w:val="0"/>
    <w:rPr>
      <w:rFonts w:ascii="宋体" w:hAnsi="宋体"/>
      <w:kern w:val="2"/>
      <w:sz w:val="24"/>
      <w:szCs w:val="24"/>
    </w:rPr>
  </w:style>
  <w:style w:type="paragraph" w:customStyle="1" w:styleId="259">
    <w:name w:val="x文"/>
    <w:basedOn w:val="1"/>
    <w:link w:val="258"/>
    <w:qFormat/>
    <w:uiPriority w:val="0"/>
    <w:pPr>
      <w:spacing w:line="360" w:lineRule="auto"/>
      <w:ind w:firstLine="480" w:firstLineChars="200"/>
    </w:pPr>
    <w:rPr>
      <w:rFonts w:ascii="宋体" w:hAnsi="宋体"/>
      <w:sz w:val="24"/>
      <w:szCs w:val="24"/>
    </w:rPr>
  </w:style>
  <w:style w:type="character" w:customStyle="1" w:styleId="260">
    <w:name w:val="style31"/>
    <w:qFormat/>
    <w:uiPriority w:val="0"/>
    <w:rPr>
      <w:b/>
      <w:bCs/>
      <w:color w:val="3795D2"/>
      <w:sz w:val="21"/>
      <w:szCs w:val="21"/>
    </w:rPr>
  </w:style>
  <w:style w:type="character" w:customStyle="1" w:styleId="261">
    <w:name w:val="四号仿宋左空1格行距1倍 Char Char"/>
    <w:qFormat/>
    <w:locked/>
    <w:uiPriority w:val="0"/>
    <w:rPr>
      <w:rFonts w:ascii="Arial" w:hAnsi="Arial" w:eastAsia="黑体"/>
      <w:b/>
      <w:kern w:val="2"/>
      <w:sz w:val="28"/>
      <w:lang w:val="en-US" w:eastAsia="zh-CN" w:bidi="ar-SA"/>
    </w:rPr>
  </w:style>
  <w:style w:type="character" w:customStyle="1" w:styleId="262">
    <w:name w:val=" Char Char21"/>
    <w:qFormat/>
    <w:uiPriority w:val="0"/>
    <w:rPr>
      <w:rFonts w:ascii="黑体" w:hAnsi="Times New Roman" w:eastAsia="黑体"/>
      <w:bCs/>
      <w:kern w:val="44"/>
      <w:sz w:val="30"/>
      <w:szCs w:val="44"/>
    </w:rPr>
  </w:style>
  <w:style w:type="character" w:customStyle="1" w:styleId="263">
    <w:name w:val="pr101"/>
    <w:qFormat/>
    <w:uiPriority w:val="0"/>
  </w:style>
  <w:style w:type="character" w:customStyle="1" w:styleId="264">
    <w:name w:val="Char Char7"/>
    <w:qFormat/>
    <w:locked/>
    <w:uiPriority w:val="0"/>
    <w:rPr>
      <w:rFonts w:eastAsia="宋体"/>
      <w:kern w:val="2"/>
      <w:sz w:val="18"/>
      <w:szCs w:val="18"/>
      <w:lang w:val="en-US" w:eastAsia="zh-CN" w:bidi="ar-SA"/>
    </w:rPr>
  </w:style>
  <w:style w:type="character" w:customStyle="1" w:styleId="265">
    <w:name w:val="蒲标题3 Char"/>
    <w:link w:val="266"/>
    <w:qFormat/>
    <w:uiPriority w:val="0"/>
    <w:rPr>
      <w:rFonts w:ascii="Times New Roman" w:hAnsi="Times New Roman"/>
      <w:b/>
      <w:bCs/>
      <w:color w:val="000000"/>
      <w:kern w:val="2"/>
      <w:sz w:val="24"/>
      <w:szCs w:val="24"/>
    </w:rPr>
  </w:style>
  <w:style w:type="paragraph" w:customStyle="1" w:styleId="266">
    <w:name w:val="蒲标题3"/>
    <w:basedOn w:val="5"/>
    <w:link w:val="265"/>
    <w:qFormat/>
    <w:uiPriority w:val="0"/>
    <w:pPr>
      <w:autoSpaceDE w:val="0"/>
      <w:autoSpaceDN w:val="0"/>
      <w:adjustRightInd w:val="0"/>
      <w:snapToGrid w:val="0"/>
      <w:spacing w:before="0" w:beforeLines="0" w:after="0" w:afterLines="0" w:line="360" w:lineRule="auto"/>
      <w:outlineLvl w:val="0"/>
    </w:pPr>
    <w:rPr>
      <w:color w:val="000000"/>
      <w:kern w:val="2"/>
      <w:sz w:val="24"/>
      <w:szCs w:val="24"/>
    </w:rPr>
  </w:style>
  <w:style w:type="character" w:customStyle="1" w:styleId="267">
    <w:name w:val="默认"/>
    <w:qFormat/>
    <w:uiPriority w:val="0"/>
  </w:style>
  <w:style w:type="character" w:customStyle="1" w:styleId="268">
    <w:name w:val="Font Style328"/>
    <w:qFormat/>
    <w:uiPriority w:val="0"/>
    <w:rPr>
      <w:rFonts w:ascii="Georgia" w:hAnsi="Georgia" w:cs="Georgia"/>
      <w:b/>
      <w:bCs/>
      <w:spacing w:val="-20"/>
      <w:sz w:val="20"/>
      <w:szCs w:val="20"/>
    </w:rPr>
  </w:style>
  <w:style w:type="character" w:customStyle="1" w:styleId="269">
    <w:name w:val="Re Char3"/>
    <w:qFormat/>
    <w:uiPriority w:val="0"/>
    <w:rPr>
      <w:rFonts w:eastAsia="宋体"/>
      <w:b/>
      <w:bCs/>
      <w:kern w:val="2"/>
      <w:sz w:val="32"/>
      <w:szCs w:val="32"/>
      <w:lang w:val="en-US" w:eastAsia="zh-CN" w:bidi="ar-SA"/>
    </w:rPr>
  </w:style>
  <w:style w:type="character" w:customStyle="1" w:styleId="270">
    <w:name w:val="style51"/>
    <w:qFormat/>
    <w:uiPriority w:val="0"/>
    <w:rPr>
      <w:sz w:val="21"/>
      <w:szCs w:val="21"/>
    </w:rPr>
  </w:style>
  <w:style w:type="character" w:customStyle="1" w:styleId="271">
    <w:name w:val="jc"/>
    <w:qFormat/>
    <w:uiPriority w:val="0"/>
  </w:style>
  <w:style w:type="character" w:customStyle="1" w:styleId="272">
    <w:name w:val="11p1"/>
    <w:qFormat/>
    <w:uiPriority w:val="0"/>
    <w:rPr>
      <w:sz w:val="23"/>
      <w:szCs w:val="23"/>
    </w:rPr>
  </w:style>
  <w:style w:type="character" w:customStyle="1" w:styleId="273">
    <w:name w:val="第四层条 Char2"/>
    <w:qFormat/>
    <w:uiPriority w:val="0"/>
    <w:rPr>
      <w:rFonts w:eastAsia="宋体"/>
      <w:b/>
      <w:bCs/>
      <w:kern w:val="2"/>
      <w:sz w:val="28"/>
      <w:szCs w:val="28"/>
      <w:lang w:val="en-US" w:eastAsia="zh-CN" w:bidi="ar-SA"/>
    </w:rPr>
  </w:style>
  <w:style w:type="character" w:customStyle="1" w:styleId="274">
    <w:name w:val="三级标题 Char"/>
    <w:qFormat/>
    <w:uiPriority w:val="0"/>
    <w:rPr>
      <w:rFonts w:eastAsia="宋体"/>
      <w:b/>
      <w:bCs/>
      <w:kern w:val="2"/>
      <w:sz w:val="32"/>
      <w:szCs w:val="32"/>
      <w:lang w:val="en-US" w:eastAsia="zh-CN" w:bidi="ar-SA"/>
    </w:rPr>
  </w:style>
  <w:style w:type="character" w:customStyle="1" w:styleId="275">
    <w:name w:val="123YJ Char Char2"/>
    <w:qFormat/>
    <w:uiPriority w:val="0"/>
    <w:rPr>
      <w:kern w:val="2"/>
      <w:sz w:val="18"/>
      <w:szCs w:val="18"/>
    </w:rPr>
  </w:style>
  <w:style w:type="character" w:customStyle="1" w:styleId="276">
    <w:name w:val="可研表格 Char"/>
    <w:link w:val="277"/>
    <w:qFormat/>
    <w:locked/>
    <w:uiPriority w:val="0"/>
    <w:rPr>
      <w:rFonts w:ascii="Times New Roman" w:hAnsi="Times New Roman"/>
      <w:kern w:val="2"/>
      <w:sz w:val="24"/>
      <w:szCs w:val="24"/>
    </w:rPr>
  </w:style>
  <w:style w:type="paragraph" w:customStyle="1" w:styleId="277">
    <w:name w:val="可研表格"/>
    <w:basedOn w:val="1"/>
    <w:next w:val="1"/>
    <w:link w:val="276"/>
    <w:qFormat/>
    <w:uiPriority w:val="0"/>
    <w:pPr>
      <w:tabs>
        <w:tab w:val="left" w:pos="3686"/>
      </w:tabs>
      <w:spacing w:line="440" w:lineRule="exact"/>
      <w:jc w:val="center"/>
    </w:pPr>
    <w:rPr>
      <w:rFonts w:ascii="Times New Roman" w:hAnsi="Times New Roman"/>
      <w:sz w:val="24"/>
      <w:szCs w:val="24"/>
    </w:rPr>
  </w:style>
  <w:style w:type="character" w:customStyle="1" w:styleId="278">
    <w:name w:val="1标题 Char"/>
    <w:link w:val="279"/>
    <w:qFormat/>
    <w:uiPriority w:val="0"/>
    <w:rPr>
      <w:rFonts w:ascii="宋体" w:hAnsi="宋体"/>
      <w:b/>
      <w:kern w:val="44"/>
      <w:sz w:val="30"/>
      <w:szCs w:val="30"/>
    </w:rPr>
  </w:style>
  <w:style w:type="paragraph" w:customStyle="1" w:styleId="279">
    <w:name w:val="1标题"/>
    <w:basedOn w:val="3"/>
    <w:link w:val="278"/>
    <w:qFormat/>
    <w:uiPriority w:val="0"/>
    <w:pPr>
      <w:numPr>
        <w:ilvl w:val="0"/>
        <w:numId w:val="0"/>
      </w:numPr>
      <w:adjustRightInd w:val="0"/>
      <w:snapToGrid w:val="0"/>
      <w:spacing w:before="468" w:beforeLines="150" w:after="312" w:afterLines="100" w:line="480" w:lineRule="auto"/>
      <w:ind w:firstLine="566" w:firstLineChars="188"/>
      <w:jc w:val="left"/>
      <w:textAlignment w:val="baseline"/>
    </w:pPr>
    <w:rPr>
      <w:rFonts w:ascii="宋体" w:hAnsi="宋体"/>
      <w:bCs w:val="0"/>
      <w:sz w:val="30"/>
      <w:szCs w:val="30"/>
    </w:rPr>
  </w:style>
  <w:style w:type="character" w:customStyle="1" w:styleId="280">
    <w:name w:val="样式 首行缩进:  0.77 厘米 行距: 固定值 20 磅 Char"/>
    <w:link w:val="281"/>
    <w:qFormat/>
    <w:uiPriority w:val="0"/>
    <w:rPr>
      <w:rFonts w:ascii="Times New Roman" w:hAnsi="Times New Roman"/>
      <w:kern w:val="2"/>
      <w:sz w:val="24"/>
    </w:rPr>
  </w:style>
  <w:style w:type="paragraph" w:customStyle="1" w:styleId="281">
    <w:name w:val="样式 首行缩进:  0.77 厘米 行距: 固定值 20 磅"/>
    <w:basedOn w:val="1"/>
    <w:link w:val="280"/>
    <w:qFormat/>
    <w:uiPriority w:val="0"/>
    <w:pPr>
      <w:spacing w:line="360" w:lineRule="auto"/>
      <w:ind w:firstLine="435"/>
    </w:pPr>
    <w:rPr>
      <w:rFonts w:ascii="Times New Roman" w:hAnsi="Times New Roman"/>
      <w:sz w:val="24"/>
      <w:szCs w:val="20"/>
    </w:rPr>
  </w:style>
  <w:style w:type="character" w:customStyle="1" w:styleId="282">
    <w:name w:val="标题 3 Char1 Char Char1"/>
    <w:qFormat/>
    <w:uiPriority w:val="0"/>
    <w:rPr>
      <w:rFonts w:eastAsia="宋体"/>
      <w:b/>
      <w:bCs/>
      <w:kern w:val="2"/>
      <w:sz w:val="32"/>
      <w:szCs w:val="32"/>
      <w:lang w:val="en-US" w:eastAsia="zh-CN" w:bidi="ar-SA"/>
    </w:rPr>
  </w:style>
  <w:style w:type="character" w:customStyle="1" w:styleId="283">
    <w:name w:val="标题 2 Char1 Char1"/>
    <w:qFormat/>
    <w:uiPriority w:val="0"/>
    <w:rPr>
      <w:rFonts w:ascii="Arial" w:hAnsi="Arial" w:eastAsia="宋体"/>
      <w:b/>
      <w:bCs/>
      <w:kern w:val="2"/>
      <w:sz w:val="28"/>
      <w:szCs w:val="32"/>
      <w:lang w:val="en-US" w:eastAsia="zh-CN" w:bidi="ar-SA"/>
    </w:rPr>
  </w:style>
  <w:style w:type="character" w:customStyle="1" w:styleId="284">
    <w:name w:val="文本 Char2"/>
    <w:qFormat/>
    <w:uiPriority w:val="0"/>
    <w:rPr>
      <w:rFonts w:eastAsia="宋体"/>
      <w:snapToGrid/>
      <w:sz w:val="28"/>
    </w:rPr>
  </w:style>
  <w:style w:type="character" w:customStyle="1" w:styleId="285">
    <w:name w:val="正文文字缩进 21 Char Char"/>
    <w:qFormat/>
    <w:locked/>
    <w:uiPriority w:val="0"/>
    <w:rPr>
      <w:rFonts w:eastAsia="宋体"/>
      <w:kern w:val="2"/>
      <w:sz w:val="21"/>
      <w:szCs w:val="24"/>
      <w:lang w:val="en-US" w:eastAsia="zh-CN" w:bidi="ar-SA"/>
    </w:rPr>
  </w:style>
  <w:style w:type="character" w:customStyle="1" w:styleId="286">
    <w:name w:val="px141"/>
    <w:qFormat/>
    <w:uiPriority w:val="0"/>
    <w:rPr>
      <w:rFonts w:hint="default" w:ascii="ˎ̥" w:hAnsi="ˎ̥"/>
      <w:sz w:val="21"/>
    </w:rPr>
  </w:style>
  <w:style w:type="character" w:customStyle="1" w:styleId="287">
    <w:name w:val="图表 Char"/>
    <w:qFormat/>
    <w:uiPriority w:val="0"/>
    <w:rPr>
      <w:rFonts w:eastAsia="宋体"/>
      <w:snapToGrid/>
      <w:sz w:val="28"/>
      <w:lang w:val="en-US" w:eastAsia="zh-CN" w:bidi="ar-SA"/>
    </w:rPr>
  </w:style>
  <w:style w:type="character" w:customStyle="1" w:styleId="288">
    <w:name w:val="Char Char14"/>
    <w:qFormat/>
    <w:uiPriority w:val="0"/>
    <w:rPr>
      <w:rFonts w:eastAsia="宋体"/>
      <w:kern w:val="2"/>
      <w:sz w:val="18"/>
      <w:szCs w:val="18"/>
      <w:lang w:val="en-US" w:eastAsia="zh-CN" w:bidi="ar-SA"/>
    </w:rPr>
  </w:style>
  <w:style w:type="character" w:customStyle="1" w:styleId="289">
    <w:name w:val="666 Char"/>
    <w:link w:val="290"/>
    <w:qFormat/>
    <w:uiPriority w:val="0"/>
    <w:rPr>
      <w:rFonts w:ascii="Times New Roman" w:hAnsi="宋体" w:eastAsia="黑体"/>
      <w:sz w:val="24"/>
      <w:szCs w:val="18"/>
    </w:rPr>
  </w:style>
  <w:style w:type="paragraph" w:customStyle="1" w:styleId="290">
    <w:name w:val="666"/>
    <w:basedOn w:val="1"/>
    <w:link w:val="289"/>
    <w:qFormat/>
    <w:uiPriority w:val="0"/>
    <w:pPr>
      <w:widowControl/>
      <w:spacing w:line="400" w:lineRule="exact"/>
      <w:jc w:val="center"/>
    </w:pPr>
    <w:rPr>
      <w:rFonts w:ascii="Times New Roman" w:hAnsi="宋体" w:eastAsia="黑体"/>
      <w:kern w:val="0"/>
      <w:sz w:val="24"/>
      <w:szCs w:val="18"/>
    </w:rPr>
  </w:style>
  <w:style w:type="character" w:customStyle="1" w:styleId="291">
    <w:name w:val="123YJ Char Char"/>
    <w:qFormat/>
    <w:uiPriority w:val="0"/>
    <w:rPr>
      <w:rFonts w:eastAsia="宋体"/>
      <w:kern w:val="2"/>
      <w:sz w:val="18"/>
      <w:lang w:val="en-US" w:eastAsia="zh-CN" w:bidi="ar-SA"/>
    </w:rPr>
  </w:style>
  <w:style w:type="character" w:customStyle="1" w:styleId="292">
    <w:name w:val="14red1"/>
    <w:qFormat/>
    <w:uiPriority w:val="0"/>
    <w:rPr>
      <w:color w:val="FF0000"/>
      <w:sz w:val="21"/>
      <w:szCs w:val="21"/>
      <w:u w:val="none"/>
    </w:rPr>
  </w:style>
  <w:style w:type="character" w:customStyle="1" w:styleId="293">
    <w:name w:val="5正文 Char"/>
    <w:link w:val="294"/>
    <w:qFormat/>
    <w:uiPriority w:val="0"/>
    <w:rPr>
      <w:rFonts w:ascii="宋体" w:hAnsi="宋体"/>
      <w:sz w:val="24"/>
      <w:szCs w:val="28"/>
    </w:rPr>
  </w:style>
  <w:style w:type="paragraph" w:customStyle="1" w:styleId="294">
    <w:name w:val="5正文"/>
    <w:basedOn w:val="1"/>
    <w:link w:val="293"/>
    <w:qFormat/>
    <w:uiPriority w:val="0"/>
    <w:pPr>
      <w:adjustRightInd w:val="0"/>
      <w:snapToGrid w:val="0"/>
      <w:spacing w:line="400" w:lineRule="exact"/>
      <w:ind w:firstLine="200" w:firstLineChars="200"/>
    </w:pPr>
    <w:rPr>
      <w:rFonts w:ascii="宋体" w:hAnsi="宋体"/>
      <w:kern w:val="0"/>
      <w:sz w:val="24"/>
      <w:szCs w:val="28"/>
    </w:rPr>
  </w:style>
  <w:style w:type="character" w:customStyle="1" w:styleId="295">
    <w:name w:val="Char Char15"/>
    <w:qFormat/>
    <w:locked/>
    <w:uiPriority w:val="0"/>
    <w:rPr>
      <w:rFonts w:ascii="宋体" w:eastAsia="宋体" w:cs="宋体"/>
      <w:sz w:val="24"/>
      <w:szCs w:val="24"/>
      <w:lang w:val="en-US" w:eastAsia="zh-CN" w:bidi="ar-SA"/>
    </w:rPr>
  </w:style>
  <w:style w:type="character" w:customStyle="1" w:styleId="296">
    <w:name w:val="style501"/>
    <w:qFormat/>
    <w:uiPriority w:val="0"/>
    <w:rPr>
      <w:color w:val="000000"/>
    </w:rPr>
  </w:style>
  <w:style w:type="character" w:customStyle="1" w:styleId="297">
    <w:name w:val="ft610"/>
    <w:qFormat/>
    <w:uiPriority w:val="0"/>
    <w:rPr>
      <w:rFonts w:hint="default" w:ascii="Times" w:hAnsi="Times" w:cs="Times"/>
      <w:color w:val="000000"/>
      <w:sz w:val="24"/>
      <w:szCs w:val="24"/>
    </w:rPr>
  </w:style>
  <w:style w:type="character" w:customStyle="1" w:styleId="298">
    <w:name w:val="样式4 Char"/>
    <w:link w:val="299"/>
    <w:qFormat/>
    <w:uiPriority w:val="0"/>
    <w:rPr>
      <w:rFonts w:ascii="Times New Roman" w:hAnsi="Times New Roman"/>
      <w:kern w:val="2"/>
      <w:sz w:val="18"/>
      <w:szCs w:val="24"/>
    </w:rPr>
  </w:style>
  <w:style w:type="paragraph" w:customStyle="1" w:styleId="299">
    <w:name w:val="样式4"/>
    <w:basedOn w:val="1"/>
    <w:link w:val="298"/>
    <w:qFormat/>
    <w:uiPriority w:val="0"/>
    <w:pPr>
      <w:tabs>
        <w:tab w:val="center" w:pos="4153"/>
        <w:tab w:val="right" w:pos="8306"/>
      </w:tabs>
      <w:snapToGrid w:val="0"/>
      <w:jc w:val="center"/>
    </w:pPr>
    <w:rPr>
      <w:rFonts w:ascii="Times New Roman" w:hAnsi="Times New Roman"/>
      <w:sz w:val="18"/>
      <w:szCs w:val="24"/>
    </w:rPr>
  </w:style>
  <w:style w:type="character" w:customStyle="1" w:styleId="300">
    <w:name w:val="Char Char91"/>
    <w:qFormat/>
    <w:uiPriority w:val="0"/>
    <w:rPr>
      <w:rFonts w:ascii="Arial" w:hAnsi="Arial" w:eastAsia="黑体"/>
      <w:b/>
      <w:bCs/>
      <w:kern w:val="2"/>
      <w:sz w:val="28"/>
      <w:szCs w:val="28"/>
      <w:lang w:val="en-US" w:eastAsia="zh-CN" w:bidi="ar-SA"/>
    </w:rPr>
  </w:style>
  <w:style w:type="character" w:customStyle="1" w:styleId="301">
    <w:name w:val="Font Style373"/>
    <w:qFormat/>
    <w:uiPriority w:val="0"/>
    <w:rPr>
      <w:rFonts w:ascii="宋体" w:eastAsia="宋体" w:cs="宋体"/>
      <w:spacing w:val="-20"/>
      <w:sz w:val="18"/>
      <w:szCs w:val="18"/>
    </w:rPr>
  </w:style>
  <w:style w:type="character" w:customStyle="1" w:styleId="302">
    <w:name w:val="上标"/>
    <w:qFormat/>
    <w:uiPriority w:val="0"/>
    <w:rPr>
      <w:vertAlign w:val="superscript"/>
    </w:rPr>
  </w:style>
  <w:style w:type="character" w:customStyle="1" w:styleId="303">
    <w:name w:val="三级标题 Char1"/>
    <w:qFormat/>
    <w:uiPriority w:val="0"/>
    <w:rPr>
      <w:rFonts w:ascii="Times New Roman" w:hAnsi="Times New Roman" w:eastAsia="宋体" w:cs="Times New Roman"/>
      <w:b/>
      <w:bCs/>
      <w:sz w:val="32"/>
      <w:szCs w:val="32"/>
    </w:rPr>
  </w:style>
  <w:style w:type="character" w:customStyle="1" w:styleId="304">
    <w:name w:val="样式1 Char"/>
    <w:link w:val="305"/>
    <w:qFormat/>
    <w:uiPriority w:val="0"/>
    <w:rPr>
      <w:rFonts w:ascii="Times New Roman" w:hAnsi="Times New Roman" w:eastAsia="宋体" w:cs="Times New Roman"/>
      <w:sz w:val="24"/>
      <w:szCs w:val="24"/>
    </w:rPr>
  </w:style>
  <w:style w:type="paragraph" w:customStyle="1" w:styleId="305">
    <w:name w:val="样式1"/>
    <w:basedOn w:val="1"/>
    <w:link w:val="304"/>
    <w:qFormat/>
    <w:uiPriority w:val="0"/>
    <w:pPr>
      <w:spacing w:before="312" w:beforeLines="100" w:after="312" w:afterLines="100" w:line="360" w:lineRule="auto"/>
      <w:ind w:firstLine="200" w:firstLineChars="200"/>
    </w:pPr>
    <w:rPr>
      <w:rFonts w:ascii="Times New Roman" w:hAnsi="Times New Roman"/>
      <w:kern w:val="0"/>
      <w:sz w:val="24"/>
      <w:szCs w:val="24"/>
    </w:rPr>
  </w:style>
  <w:style w:type="character" w:customStyle="1" w:styleId="306">
    <w:name w:val="Char Char27"/>
    <w:qFormat/>
    <w:uiPriority w:val="0"/>
    <w:rPr>
      <w:kern w:val="2"/>
      <w:sz w:val="21"/>
      <w:szCs w:val="24"/>
      <w:shd w:val="clear" w:color="auto" w:fill="000080"/>
    </w:rPr>
  </w:style>
  <w:style w:type="character" w:customStyle="1" w:styleId="307">
    <w:name w:val="Char Char131"/>
    <w:qFormat/>
    <w:uiPriority w:val="0"/>
    <w:rPr>
      <w:rFonts w:eastAsia="宋体"/>
      <w:kern w:val="2"/>
      <w:sz w:val="18"/>
      <w:szCs w:val="18"/>
      <w:lang w:val="en-US" w:eastAsia="zh-CN" w:bidi="ar-SA"/>
    </w:rPr>
  </w:style>
  <w:style w:type="character" w:customStyle="1" w:styleId="308">
    <w:name w:val="rsdesckey1"/>
    <w:qFormat/>
    <w:uiPriority w:val="0"/>
    <w:rPr>
      <w:color w:val="FF0000"/>
    </w:rPr>
  </w:style>
  <w:style w:type="character" w:customStyle="1" w:styleId="309">
    <w:name w:val="Char2"/>
    <w:qFormat/>
    <w:uiPriority w:val="0"/>
    <w:rPr>
      <w:rFonts w:ascii="黑体" w:eastAsia="黑体"/>
      <w:bCs/>
      <w:kern w:val="2"/>
      <w:sz w:val="32"/>
      <w:szCs w:val="32"/>
      <w:lang w:val="en-US" w:eastAsia="zh-CN" w:bidi="ar-SA"/>
    </w:rPr>
  </w:style>
  <w:style w:type="character" w:customStyle="1" w:styleId="310">
    <w:name w:val=" Char Char14"/>
    <w:qFormat/>
    <w:uiPriority w:val="0"/>
    <w:rPr>
      <w:rFonts w:eastAsia="宋体"/>
      <w:kern w:val="2"/>
      <w:sz w:val="21"/>
      <w:szCs w:val="24"/>
      <w:lang w:val="en-US" w:eastAsia="zh-CN" w:bidi="ar-SA"/>
    </w:rPr>
  </w:style>
  <w:style w:type="character" w:customStyle="1" w:styleId="311">
    <w:name w:val=" Char Char8"/>
    <w:qFormat/>
    <w:uiPriority w:val="0"/>
    <w:rPr>
      <w:rFonts w:eastAsia="宋体"/>
      <w:b/>
      <w:bCs/>
      <w:kern w:val="2"/>
      <w:sz w:val="28"/>
      <w:szCs w:val="28"/>
      <w:lang w:val="en-US" w:eastAsia="zh-CN" w:bidi="ar-SA"/>
    </w:rPr>
  </w:style>
  <w:style w:type="character" w:customStyle="1" w:styleId="312">
    <w:name w:val="无间隔 Char"/>
    <w:link w:val="313"/>
    <w:qFormat/>
    <w:uiPriority w:val="0"/>
    <w:rPr>
      <w:rFonts w:ascii="Times New Roman" w:hAnsi="Times New Roman"/>
      <w:kern w:val="2"/>
      <w:sz w:val="24"/>
      <w:szCs w:val="24"/>
      <w:lang w:val="en-US" w:eastAsia="zh-CN" w:bidi="ar-SA"/>
    </w:rPr>
  </w:style>
  <w:style w:type="paragraph" w:customStyle="1" w:styleId="313">
    <w:name w:val="无间隔1"/>
    <w:link w:val="312"/>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character" w:customStyle="1" w:styleId="314">
    <w:name w:val="明显引用 Char1"/>
    <w:qFormat/>
    <w:uiPriority w:val="30"/>
    <w:rPr>
      <w:b/>
      <w:bCs/>
      <w:i/>
      <w:iCs/>
      <w:color w:val="4F81BD"/>
      <w:kern w:val="2"/>
      <w:sz w:val="21"/>
      <w:szCs w:val="22"/>
    </w:rPr>
  </w:style>
  <w:style w:type="character" w:customStyle="1" w:styleId="315">
    <w:name w:val="13haozi1"/>
    <w:qFormat/>
    <w:uiPriority w:val="0"/>
    <w:rPr>
      <w:color w:val="000000"/>
      <w:sz w:val="26"/>
      <w:szCs w:val="26"/>
      <w:u w:val="none"/>
    </w:rPr>
  </w:style>
  <w:style w:type="character" w:customStyle="1" w:styleId="316">
    <w:name w:val="duanluo1"/>
    <w:qFormat/>
    <w:uiPriority w:val="0"/>
  </w:style>
  <w:style w:type="character" w:customStyle="1" w:styleId="317">
    <w:name w:val="Font Style399"/>
    <w:qFormat/>
    <w:uiPriority w:val="0"/>
    <w:rPr>
      <w:rFonts w:ascii="宋体" w:eastAsia="宋体" w:cs="宋体"/>
      <w:i/>
      <w:iCs/>
      <w:spacing w:val="60"/>
      <w:w w:val="200"/>
      <w:sz w:val="10"/>
      <w:szCs w:val="10"/>
    </w:rPr>
  </w:style>
  <w:style w:type="character" w:customStyle="1" w:styleId="318">
    <w:name w:val="不明显强调"/>
    <w:qFormat/>
    <w:uiPriority w:val="0"/>
    <w:rPr>
      <w:i/>
      <w:color w:val="5A5A5A"/>
    </w:rPr>
  </w:style>
  <w:style w:type="character" w:customStyle="1" w:styleId="319">
    <w:name w:val="lh131"/>
    <w:qFormat/>
    <w:uiPriority w:val="0"/>
  </w:style>
  <w:style w:type="character" w:customStyle="1" w:styleId="320">
    <w:name w:val="cityhighlight1"/>
    <w:qFormat/>
    <w:uiPriority w:val="0"/>
    <w:rPr>
      <w:b/>
      <w:bCs/>
      <w:color w:val="CC0000"/>
    </w:rPr>
  </w:style>
  <w:style w:type="character" w:customStyle="1" w:styleId="321">
    <w:name w:val="标题 11 Char"/>
    <w:qFormat/>
    <w:uiPriority w:val="0"/>
    <w:rPr>
      <w:rFonts w:hint="eastAsia" w:ascii="宋体" w:hAnsi="宋体" w:eastAsia="宋体" w:cs="Times New Roman"/>
      <w:kern w:val="44"/>
      <w:sz w:val="32"/>
      <w:szCs w:val="32"/>
    </w:rPr>
  </w:style>
  <w:style w:type="character" w:customStyle="1" w:styleId="322">
    <w:name w:val="Char Char191"/>
    <w:qFormat/>
    <w:uiPriority w:val="0"/>
    <w:rPr>
      <w:rFonts w:ascii="Times New Roman" w:hAnsi="Times New Roman"/>
      <w:b/>
      <w:bCs/>
      <w:iCs/>
      <w:sz w:val="28"/>
      <w:szCs w:val="28"/>
      <w:lang w:bidi="en-US"/>
    </w:rPr>
  </w:style>
  <w:style w:type="character" w:customStyle="1" w:styleId="323">
    <w:name w:val="style11"/>
    <w:qFormat/>
    <w:uiPriority w:val="0"/>
    <w:rPr>
      <w:color w:val="000000"/>
    </w:rPr>
  </w:style>
  <w:style w:type="character" w:customStyle="1" w:styleId="324">
    <w:name w:val="样式 表头 + 五号 Char"/>
    <w:link w:val="325"/>
    <w:qFormat/>
    <w:uiPriority w:val="0"/>
    <w:rPr>
      <w:rFonts w:ascii="黑体" w:hAnsi="Times New Roman" w:eastAsia="黑体"/>
      <w:bCs/>
      <w:kern w:val="2"/>
      <w:sz w:val="24"/>
      <w:szCs w:val="24"/>
    </w:rPr>
  </w:style>
  <w:style w:type="paragraph" w:customStyle="1" w:styleId="325">
    <w:name w:val="样式 表头 + 五号"/>
    <w:basedOn w:val="2"/>
    <w:link w:val="324"/>
    <w:qFormat/>
    <w:uiPriority w:val="0"/>
    <w:pPr>
      <w:keepNext/>
      <w:adjustRightInd/>
      <w:spacing w:line="240" w:lineRule="auto"/>
      <w:ind w:left="0" w:leftChars="0" w:right="0" w:rightChars="0" w:firstLine="0" w:firstLineChars="0"/>
      <w:jc w:val="center"/>
      <w:textAlignment w:val="auto"/>
    </w:pPr>
    <w:rPr>
      <w:bCs/>
      <w:kern w:val="2"/>
      <w:sz w:val="24"/>
      <w:szCs w:val="24"/>
    </w:rPr>
  </w:style>
  <w:style w:type="character" w:customStyle="1" w:styleId="326">
    <w:name w:val="样式 自动设置"/>
    <w:qFormat/>
    <w:uiPriority w:val="0"/>
    <w:rPr>
      <w:color w:val="auto"/>
    </w:rPr>
  </w:style>
  <w:style w:type="character" w:customStyle="1" w:styleId="327">
    <w:name w:val="goog_qs-tidbit goog_qs-tidbit-1"/>
    <w:qFormat/>
    <w:uiPriority w:val="0"/>
  </w:style>
  <w:style w:type="character" w:customStyle="1" w:styleId="328">
    <w:name w:val="fo Char2"/>
    <w:qFormat/>
    <w:uiPriority w:val="0"/>
    <w:rPr>
      <w:rFonts w:eastAsia="宋体"/>
      <w:kern w:val="2"/>
      <w:sz w:val="18"/>
      <w:szCs w:val="18"/>
      <w:lang w:val="en-US" w:eastAsia="zh-CN" w:bidi="ar-SA"/>
    </w:rPr>
  </w:style>
  <w:style w:type="character" w:customStyle="1" w:styleId="329">
    <w:name w:val="pt91"/>
    <w:qFormat/>
    <w:uiPriority w:val="0"/>
    <w:rPr>
      <w:rFonts w:hint="default" w:ascii="ˎ̥" w:hAnsi="ˎ̥" w:cs="Times New Roman"/>
      <w:color w:val="000000"/>
      <w:sz w:val="18"/>
      <w:szCs w:val="18"/>
    </w:rPr>
  </w:style>
  <w:style w:type="character" w:customStyle="1" w:styleId="330">
    <w:name w:val="段落1 Char1"/>
    <w:link w:val="331"/>
    <w:qFormat/>
    <w:uiPriority w:val="0"/>
    <w:rPr>
      <w:rFonts w:ascii="宋体" w:hAnsi="宋体"/>
      <w:kern w:val="2"/>
      <w:sz w:val="24"/>
      <w:szCs w:val="24"/>
      <w:lang w:val="en-AU"/>
    </w:rPr>
  </w:style>
  <w:style w:type="paragraph" w:customStyle="1" w:styleId="331">
    <w:name w:val="段落1"/>
    <w:basedOn w:val="1"/>
    <w:link w:val="330"/>
    <w:qFormat/>
    <w:uiPriority w:val="0"/>
    <w:pPr>
      <w:adjustRightInd w:val="0"/>
      <w:spacing w:line="360" w:lineRule="auto"/>
      <w:ind w:right="210" w:rightChars="100" w:firstLine="480" w:firstLineChars="200"/>
      <w:textAlignment w:val="baseline"/>
    </w:pPr>
    <w:rPr>
      <w:rFonts w:ascii="宋体" w:hAnsi="宋体"/>
      <w:sz w:val="24"/>
      <w:szCs w:val="24"/>
      <w:lang w:val="en-AU"/>
    </w:rPr>
  </w:style>
  <w:style w:type="character" w:customStyle="1" w:styleId="332">
    <w:name w:val="title"/>
    <w:qFormat/>
    <w:uiPriority w:val="0"/>
  </w:style>
  <w:style w:type="character" w:customStyle="1" w:styleId="333">
    <w:name w:val="正文文字( 首段缩进两字） Char1"/>
    <w:qFormat/>
    <w:uiPriority w:val="0"/>
    <w:rPr>
      <w:rFonts w:ascii="宋体" w:hAnsi="宋体"/>
      <w:sz w:val="24"/>
    </w:rPr>
  </w:style>
  <w:style w:type="character" w:customStyle="1" w:styleId="334">
    <w:name w:val="Char Char19"/>
    <w:qFormat/>
    <w:uiPriority w:val="0"/>
    <w:rPr>
      <w:rFonts w:ascii="Times New Roman" w:hAnsi="Times New Roman"/>
      <w:b/>
      <w:bCs/>
      <w:iCs/>
      <w:sz w:val="28"/>
      <w:szCs w:val="28"/>
      <w:lang w:bidi="en-US"/>
    </w:rPr>
  </w:style>
  <w:style w:type="character" w:customStyle="1" w:styleId="335">
    <w:name w:val="明显参考"/>
    <w:qFormat/>
    <w:uiPriority w:val="0"/>
    <w:rPr>
      <w:b/>
      <w:sz w:val="24"/>
      <w:u w:val="single"/>
    </w:rPr>
  </w:style>
  <w:style w:type="character" w:customStyle="1" w:styleId="336">
    <w:name w:val="表题 Char Char"/>
    <w:link w:val="337"/>
    <w:qFormat/>
    <w:uiPriority w:val="0"/>
    <w:rPr>
      <w:rFonts w:ascii="Times New Roman" w:hAnsi="Times New Roman"/>
      <w:b/>
      <w:kern w:val="2"/>
      <w:sz w:val="21"/>
      <w:szCs w:val="21"/>
    </w:rPr>
  </w:style>
  <w:style w:type="paragraph" w:customStyle="1" w:styleId="337">
    <w:name w:val="表题"/>
    <w:basedOn w:val="1"/>
    <w:link w:val="336"/>
    <w:qFormat/>
    <w:uiPriority w:val="0"/>
    <w:pPr>
      <w:spacing w:before="62" w:beforeLines="20"/>
      <w:jc w:val="center"/>
    </w:pPr>
    <w:rPr>
      <w:rFonts w:ascii="Times New Roman" w:hAnsi="Times New Roman"/>
      <w:b/>
      <w:szCs w:val="21"/>
    </w:rPr>
  </w:style>
  <w:style w:type="character" w:customStyle="1" w:styleId="338">
    <w:name w:val="g1"/>
    <w:qFormat/>
    <w:uiPriority w:val="0"/>
    <w:rPr>
      <w:color w:val="008000"/>
    </w:rPr>
  </w:style>
  <w:style w:type="character" w:customStyle="1" w:styleId="339">
    <w:name w:val="digest1"/>
    <w:qFormat/>
    <w:uiPriority w:val="0"/>
    <w:rPr>
      <w:color w:val="393939"/>
      <w:sz w:val="20"/>
      <w:szCs w:val="20"/>
    </w:rPr>
  </w:style>
  <w:style w:type="character" w:customStyle="1" w:styleId="340">
    <w:name w:val="正文 宋体 小四 Char"/>
    <w:link w:val="341"/>
    <w:qFormat/>
    <w:uiPriority w:val="0"/>
    <w:rPr>
      <w:rFonts w:ascii="宋体" w:hAnsi="宋体"/>
      <w:kern w:val="2"/>
      <w:sz w:val="24"/>
    </w:rPr>
  </w:style>
  <w:style w:type="paragraph" w:customStyle="1" w:styleId="341">
    <w:name w:val="正文 宋体 小四"/>
    <w:basedOn w:val="1"/>
    <w:link w:val="340"/>
    <w:qFormat/>
    <w:uiPriority w:val="0"/>
    <w:pPr>
      <w:spacing w:line="360" w:lineRule="auto"/>
      <w:ind w:firstLine="480"/>
    </w:pPr>
    <w:rPr>
      <w:rFonts w:ascii="宋体" w:hAnsi="宋体"/>
      <w:sz w:val="24"/>
      <w:szCs w:val="20"/>
    </w:rPr>
  </w:style>
  <w:style w:type="character" w:customStyle="1" w:styleId="342">
    <w:name w:val="页脚 Char1"/>
    <w:qFormat/>
    <w:uiPriority w:val="99"/>
    <w:rPr>
      <w:rFonts w:ascii="Times New Roman" w:hAnsi="Times New Roman"/>
      <w:kern w:val="2"/>
      <w:sz w:val="18"/>
      <w:szCs w:val="18"/>
    </w:rPr>
  </w:style>
  <w:style w:type="character" w:customStyle="1" w:styleId="343">
    <w:name w:val="正文(首行缩进) Char1"/>
    <w:qFormat/>
    <w:uiPriority w:val="0"/>
    <w:rPr>
      <w:rFonts w:ascii="宋体" w:hAnsi="宋体"/>
      <w:snapToGrid/>
      <w:spacing w:val="2"/>
      <w:sz w:val="24"/>
      <w:szCs w:val="21"/>
    </w:rPr>
  </w:style>
  <w:style w:type="character" w:customStyle="1" w:styleId="344">
    <w:name w:val="Char Char18"/>
    <w:qFormat/>
    <w:uiPriority w:val="0"/>
    <w:rPr>
      <w:rFonts w:ascii="Arial" w:hAnsi="Arial" w:eastAsia="黑体"/>
      <w:b/>
      <w:bCs/>
      <w:kern w:val="2"/>
      <w:sz w:val="32"/>
      <w:szCs w:val="32"/>
      <w:lang w:val="en-US" w:eastAsia="zh-CN" w:bidi="ar-SA"/>
    </w:rPr>
  </w:style>
  <w:style w:type="character" w:customStyle="1" w:styleId="345">
    <w:name w:val="Char Char26"/>
    <w:qFormat/>
    <w:uiPriority w:val="0"/>
    <w:rPr>
      <w:rFonts w:eastAsia="宋体"/>
      <w:kern w:val="2"/>
      <w:sz w:val="21"/>
      <w:szCs w:val="24"/>
      <w:lang w:val="en-US" w:eastAsia="zh-CN" w:bidi="ar-SA"/>
    </w:rPr>
  </w:style>
  <w:style w:type="character" w:customStyle="1" w:styleId="346">
    <w:name w:val="p11"/>
    <w:qFormat/>
    <w:uiPriority w:val="0"/>
    <w:rPr>
      <w:rFonts w:hint="default" w:ascii="_x000B__x000C_" w:hAnsi="_x000B__x000C_"/>
      <w:sz w:val="18"/>
      <w:szCs w:val="18"/>
    </w:rPr>
  </w:style>
  <w:style w:type="character" w:customStyle="1" w:styleId="347">
    <w:name w:val="图表说明 Char3"/>
    <w:qFormat/>
    <w:uiPriority w:val="0"/>
    <w:rPr>
      <w:rFonts w:ascii="宋体" w:hAnsi="Courier New" w:eastAsia="仿宋_GB2312"/>
      <w:kern w:val="2"/>
      <w:sz w:val="28"/>
      <w:lang w:val="en-US" w:eastAsia="zh-CN" w:bidi="ar-SA"/>
    </w:rPr>
  </w:style>
  <w:style w:type="character" w:customStyle="1" w:styleId="348">
    <w:name w:val="chword"/>
    <w:qFormat/>
    <w:uiPriority w:val="0"/>
  </w:style>
  <w:style w:type="character" w:customStyle="1" w:styleId="349">
    <w:name w:val="4号黑体左空2格行距1倍 Char"/>
    <w:qFormat/>
    <w:locked/>
    <w:uiPriority w:val="0"/>
    <w:rPr>
      <w:rFonts w:eastAsia="宋体"/>
      <w:b/>
      <w:kern w:val="2"/>
      <w:sz w:val="24"/>
      <w:lang w:val="en-US" w:eastAsia="zh-CN" w:bidi="ar-SA"/>
    </w:rPr>
  </w:style>
  <w:style w:type="character" w:customStyle="1" w:styleId="350">
    <w:name w:val="图题 Char Char"/>
    <w:link w:val="351"/>
    <w:qFormat/>
    <w:uiPriority w:val="0"/>
    <w:rPr>
      <w:rFonts w:ascii="Times New Roman" w:hAnsi="宋体"/>
      <w:b/>
      <w:kern w:val="2"/>
      <w:sz w:val="21"/>
      <w:szCs w:val="24"/>
    </w:rPr>
  </w:style>
  <w:style w:type="paragraph" w:customStyle="1" w:styleId="351">
    <w:name w:val="图题"/>
    <w:basedOn w:val="1"/>
    <w:link w:val="350"/>
    <w:qFormat/>
    <w:uiPriority w:val="0"/>
    <w:pPr>
      <w:tabs>
        <w:tab w:val="center" w:pos="4153"/>
        <w:tab w:val="right" w:pos="8306"/>
      </w:tabs>
      <w:snapToGrid w:val="0"/>
      <w:spacing w:after="156" w:afterLines="50"/>
      <w:jc w:val="center"/>
    </w:pPr>
    <w:rPr>
      <w:rFonts w:ascii="Times New Roman" w:hAnsi="宋体"/>
      <w:b/>
      <w:szCs w:val="24"/>
    </w:rPr>
  </w:style>
  <w:style w:type="character" w:customStyle="1" w:styleId="352">
    <w:name w:val="dan7-1表头7 Char"/>
    <w:link w:val="353"/>
    <w:qFormat/>
    <w:uiPriority w:val="0"/>
    <w:rPr>
      <w:rFonts w:ascii="Times New Roman" w:hAnsi="Times New Roman" w:eastAsia="黑体"/>
      <w:kern w:val="2"/>
      <w:sz w:val="24"/>
      <w:szCs w:val="24"/>
    </w:rPr>
  </w:style>
  <w:style w:type="paragraph" w:customStyle="1" w:styleId="353">
    <w:name w:val="dan7-1表头7"/>
    <w:basedOn w:val="1"/>
    <w:link w:val="352"/>
    <w:qFormat/>
    <w:uiPriority w:val="0"/>
    <w:pPr>
      <w:tabs>
        <w:tab w:val="center" w:pos="0"/>
        <w:tab w:val="left" w:pos="840"/>
      </w:tabs>
      <w:spacing w:before="40" w:beforeLines="0" w:after="40" w:afterLines="0" w:line="360" w:lineRule="auto"/>
      <w:ind w:left="840" w:hanging="360"/>
      <w:jc w:val="center"/>
    </w:pPr>
    <w:rPr>
      <w:rFonts w:ascii="Times New Roman" w:hAnsi="Times New Roman" w:eastAsia="黑体"/>
      <w:sz w:val="24"/>
      <w:szCs w:val="24"/>
    </w:rPr>
  </w:style>
  <w:style w:type="character" w:customStyle="1" w:styleId="354">
    <w:name w:val="Normal Char"/>
    <w:link w:val="355"/>
    <w:qFormat/>
    <w:uiPriority w:val="0"/>
    <w:rPr>
      <w:rFonts w:ascii="宋体" w:hAnsi="Times New Roman"/>
      <w:sz w:val="24"/>
      <w:lang w:val="en-US" w:eastAsia="zh-CN" w:bidi="ar-SA"/>
    </w:rPr>
  </w:style>
  <w:style w:type="paragraph" w:customStyle="1" w:styleId="355">
    <w:name w:val="正文2"/>
    <w:link w:val="354"/>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character" w:customStyle="1" w:styleId="356">
    <w:name w:val=" Char Char10"/>
    <w:qFormat/>
    <w:uiPriority w:val="0"/>
    <w:rPr>
      <w:rFonts w:eastAsia="宋体"/>
      <w:b/>
      <w:bCs/>
      <w:kern w:val="44"/>
      <w:sz w:val="44"/>
      <w:szCs w:val="44"/>
      <w:lang w:val="en-US" w:eastAsia="zh-CN" w:bidi="ar-SA"/>
    </w:rPr>
  </w:style>
  <w:style w:type="character" w:customStyle="1" w:styleId="357">
    <w:name w:val="Font Style322"/>
    <w:qFormat/>
    <w:uiPriority w:val="0"/>
    <w:rPr>
      <w:rFonts w:ascii="Times New Roman" w:hAnsi="Times New Roman" w:cs="Times New Roman"/>
      <w:i/>
      <w:iCs/>
      <w:sz w:val="22"/>
      <w:szCs w:val="22"/>
    </w:rPr>
  </w:style>
  <w:style w:type="character" w:customStyle="1" w:styleId="358">
    <w:name w:val="222 Char"/>
    <w:link w:val="359"/>
    <w:qFormat/>
    <w:uiPriority w:val="0"/>
    <w:rPr>
      <w:rFonts w:ascii="宋体" w:hAnsi="宋体" w:eastAsia="黑体"/>
      <w:sz w:val="30"/>
      <w:szCs w:val="28"/>
    </w:rPr>
  </w:style>
  <w:style w:type="paragraph" w:customStyle="1" w:styleId="359">
    <w:name w:val="222"/>
    <w:basedOn w:val="1"/>
    <w:link w:val="358"/>
    <w:qFormat/>
    <w:uiPriority w:val="0"/>
    <w:pPr>
      <w:adjustRightInd w:val="0"/>
      <w:snapToGrid w:val="0"/>
    </w:pPr>
    <w:rPr>
      <w:rFonts w:ascii="宋体" w:hAnsi="宋体" w:eastAsia="黑体"/>
      <w:kern w:val="0"/>
      <w:sz w:val="30"/>
      <w:szCs w:val="28"/>
    </w:rPr>
  </w:style>
  <w:style w:type="character" w:customStyle="1" w:styleId="360">
    <w:name w:val="infodetail"/>
    <w:qFormat/>
    <w:uiPriority w:val="0"/>
  </w:style>
  <w:style w:type="character" w:customStyle="1" w:styleId="361">
    <w:name w:val=". [(iii)] Char1"/>
    <w:qFormat/>
    <w:uiPriority w:val="0"/>
    <w:rPr>
      <w:rFonts w:ascii="Arial" w:hAnsi="Arial" w:eastAsia="黑体" w:cs="Times New Roman"/>
      <w:szCs w:val="21"/>
    </w:rPr>
  </w:style>
  <w:style w:type="character" w:customStyle="1" w:styleId="362">
    <w:name w:val="+正文 Char1"/>
    <w:link w:val="363"/>
    <w:qFormat/>
    <w:uiPriority w:val="0"/>
    <w:rPr>
      <w:rFonts w:ascii="Times New Roman" w:hAnsi="Times New Roman" w:eastAsia="宋体" w:cs="Times New Roman"/>
      <w:sz w:val="28"/>
      <w:szCs w:val="28"/>
    </w:rPr>
  </w:style>
  <w:style w:type="paragraph" w:customStyle="1" w:styleId="363">
    <w:name w:val="+正文"/>
    <w:basedOn w:val="1"/>
    <w:link w:val="362"/>
    <w:qFormat/>
    <w:uiPriority w:val="0"/>
    <w:pPr>
      <w:spacing w:line="360" w:lineRule="auto"/>
      <w:ind w:firstLine="200" w:firstLineChars="200"/>
    </w:pPr>
    <w:rPr>
      <w:rFonts w:ascii="Times New Roman" w:hAnsi="Times New Roman"/>
      <w:kern w:val="0"/>
      <w:sz w:val="28"/>
      <w:szCs w:val="28"/>
    </w:rPr>
  </w:style>
  <w:style w:type="character" w:customStyle="1" w:styleId="364">
    <w:name w:val="Char Char5"/>
    <w:semiHidden/>
    <w:qFormat/>
    <w:locked/>
    <w:uiPriority w:val="0"/>
    <w:rPr>
      <w:rFonts w:eastAsia="仿宋_GB2312"/>
      <w:kern w:val="2"/>
      <w:sz w:val="32"/>
      <w:szCs w:val="24"/>
      <w:lang w:val="en-US" w:eastAsia="zh-CN" w:bidi="ar-SA"/>
    </w:rPr>
  </w:style>
  <w:style w:type="character" w:customStyle="1" w:styleId="365">
    <w:name w:val="14black"/>
    <w:qFormat/>
    <w:uiPriority w:val="0"/>
  </w:style>
  <w:style w:type="character" w:customStyle="1" w:styleId="366">
    <w:name w:val="ht1"/>
    <w:qFormat/>
    <w:uiPriority w:val="0"/>
    <w:rPr>
      <w:rFonts w:ascii="黑体" w:eastAsia="黑体"/>
      <w:b/>
      <w:bCs/>
    </w:rPr>
  </w:style>
  <w:style w:type="character" w:customStyle="1" w:styleId="367">
    <w:name w:val="keyword"/>
    <w:qFormat/>
    <w:uiPriority w:val="0"/>
  </w:style>
  <w:style w:type="character" w:customStyle="1" w:styleId="368">
    <w:name w:val="body-font"/>
    <w:qFormat/>
    <w:uiPriority w:val="0"/>
  </w:style>
  <w:style w:type="character" w:customStyle="1" w:styleId="369">
    <w:name w:val=" Char Char19"/>
    <w:qFormat/>
    <w:uiPriority w:val="0"/>
    <w:rPr>
      <w:rFonts w:ascii="Times New Roman" w:hAnsi="Times New Roman"/>
      <w:b/>
      <w:bCs/>
      <w:iCs/>
      <w:sz w:val="28"/>
      <w:szCs w:val="28"/>
      <w:lang w:bidi="en-US"/>
    </w:rPr>
  </w:style>
  <w:style w:type="character" w:customStyle="1" w:styleId="370">
    <w:name w:val="Char Char20"/>
    <w:qFormat/>
    <w:uiPriority w:val="0"/>
    <w:rPr>
      <w:rFonts w:hint="default" w:ascii="Times New Roman" w:hAnsi="宋体" w:cs="Times New Roman"/>
      <w:b/>
      <w:bCs/>
      <w:kern w:val="2"/>
      <w:sz w:val="28"/>
      <w:szCs w:val="32"/>
    </w:rPr>
  </w:style>
  <w:style w:type="character" w:customStyle="1" w:styleId="371">
    <w:name w:val="infodetail1"/>
    <w:qFormat/>
    <w:uiPriority w:val="0"/>
  </w:style>
  <w:style w:type="character" w:customStyle="1" w:styleId="372">
    <w:name w:val="H1 Char1"/>
    <w:qFormat/>
    <w:uiPriority w:val="0"/>
    <w:rPr>
      <w:rFonts w:ascii="Times New Roman" w:hAnsi="Times New Roman" w:eastAsia="宋体" w:cs="Times New Roman"/>
      <w:b/>
      <w:bCs/>
      <w:kern w:val="44"/>
      <w:sz w:val="44"/>
      <w:szCs w:val="44"/>
    </w:rPr>
  </w:style>
  <w:style w:type="character" w:customStyle="1" w:styleId="373">
    <w:name w:val="bold1"/>
    <w:qFormat/>
    <w:uiPriority w:val="0"/>
  </w:style>
  <w:style w:type="character" w:customStyle="1" w:styleId="374">
    <w:name w:val="表格文字 Char"/>
    <w:link w:val="375"/>
    <w:qFormat/>
    <w:uiPriority w:val="0"/>
    <w:rPr>
      <w:rFonts w:ascii="宋体" w:hAnsi="宋体"/>
      <w:sz w:val="21"/>
      <w:lang w:val="en-US" w:eastAsia="zh-CN" w:bidi="ar-SA"/>
    </w:rPr>
  </w:style>
  <w:style w:type="paragraph" w:customStyle="1" w:styleId="375">
    <w:name w:val="表格文字"/>
    <w:link w:val="374"/>
    <w:qFormat/>
    <w:uiPriority w:val="0"/>
    <w:pPr>
      <w:snapToGrid w:val="0"/>
    </w:pPr>
    <w:rPr>
      <w:rFonts w:ascii="宋体" w:hAnsi="宋体" w:eastAsia="宋体" w:cs="Times New Roman"/>
      <w:sz w:val="21"/>
      <w:lang w:val="en-US" w:eastAsia="zh-CN" w:bidi="ar-SA"/>
    </w:rPr>
  </w:style>
  <w:style w:type="character" w:customStyle="1" w:styleId="376">
    <w:name w:val="ft44"/>
    <w:qFormat/>
    <w:uiPriority w:val="0"/>
    <w:rPr>
      <w:rFonts w:hint="default" w:ascii="Times" w:hAnsi="Times" w:cs="Times"/>
      <w:color w:val="000000"/>
      <w:sz w:val="11"/>
      <w:szCs w:val="11"/>
    </w:rPr>
  </w:style>
  <w:style w:type="character" w:customStyle="1" w:styleId="377">
    <w:name w:val="标题 1 Char1"/>
    <w:qFormat/>
    <w:uiPriority w:val="9"/>
    <w:rPr>
      <w:rFonts w:ascii="Times New Roman" w:hAnsi="Times New Roman" w:eastAsia="宋体" w:cs="Times New Roman"/>
      <w:b/>
      <w:bCs/>
      <w:kern w:val="44"/>
      <w:sz w:val="44"/>
      <w:szCs w:val="44"/>
    </w:rPr>
  </w:style>
  <w:style w:type="character" w:customStyle="1" w:styleId="378">
    <w:name w:val="四号宋体左齐行距1.5倍 Char"/>
    <w:qFormat/>
    <w:locked/>
    <w:uiPriority w:val="0"/>
    <w:rPr>
      <w:rFonts w:eastAsia="宋体"/>
      <w:b/>
      <w:bCs/>
      <w:kern w:val="2"/>
      <w:sz w:val="32"/>
      <w:szCs w:val="32"/>
      <w:lang w:val="en-US" w:eastAsia="zh-CN" w:bidi="ar-SA"/>
    </w:rPr>
  </w:style>
  <w:style w:type="character" w:customStyle="1" w:styleId="379">
    <w:name w:val="ft183"/>
    <w:qFormat/>
    <w:uiPriority w:val="0"/>
    <w:rPr>
      <w:rFonts w:hint="default" w:ascii="Times" w:hAnsi="Times" w:cs="Times"/>
      <w:color w:val="000000"/>
      <w:sz w:val="24"/>
      <w:szCs w:val="24"/>
    </w:rPr>
  </w:style>
  <w:style w:type="character" w:customStyle="1" w:styleId="380">
    <w:name w:val="蒲正文 Char"/>
    <w:link w:val="381"/>
    <w:qFormat/>
    <w:uiPriority w:val="0"/>
    <w:rPr>
      <w:rFonts w:ascii="Times New Roman" w:hAnsi="Times New Roman"/>
      <w:sz w:val="24"/>
      <w:szCs w:val="24"/>
    </w:rPr>
  </w:style>
  <w:style w:type="paragraph" w:customStyle="1" w:styleId="381">
    <w:name w:val="蒲正文"/>
    <w:basedOn w:val="1"/>
    <w:link w:val="380"/>
    <w:qFormat/>
    <w:uiPriority w:val="0"/>
    <w:pPr>
      <w:adjustRightInd w:val="0"/>
      <w:snapToGrid w:val="0"/>
      <w:spacing w:line="360" w:lineRule="auto"/>
      <w:ind w:firstLine="480" w:firstLineChars="200"/>
    </w:pPr>
    <w:rPr>
      <w:rFonts w:ascii="Times New Roman" w:hAnsi="Times New Roman"/>
      <w:kern w:val="0"/>
      <w:sz w:val="24"/>
      <w:szCs w:val="24"/>
    </w:rPr>
  </w:style>
  <w:style w:type="character" w:customStyle="1" w:styleId="382">
    <w:name w:val="wangyong1"/>
    <w:qFormat/>
    <w:uiPriority w:val="0"/>
    <w:rPr>
      <w:rFonts w:hint="default" w:ascii="_x000B__x000C_" w:hAnsi="_x000B__x000C_"/>
      <w:color w:val="000000"/>
      <w:sz w:val="18"/>
      <w:szCs w:val="18"/>
      <w:u w:val="none"/>
    </w:rPr>
  </w:style>
  <w:style w:type="character" w:customStyle="1" w:styleId="383">
    <w:name w:val="Char Char Char Char Char Char Char Char Char Char Char Char"/>
    <w:qFormat/>
    <w:uiPriority w:val="0"/>
  </w:style>
  <w:style w:type="character" w:customStyle="1" w:styleId="384">
    <w:name w:val="Font Style339"/>
    <w:qFormat/>
    <w:uiPriority w:val="0"/>
    <w:rPr>
      <w:rFonts w:ascii="宋体" w:eastAsia="宋体" w:cs="宋体"/>
      <w:b/>
      <w:bCs/>
      <w:sz w:val="20"/>
      <w:szCs w:val="20"/>
    </w:rPr>
  </w:style>
  <w:style w:type="character" w:customStyle="1" w:styleId="385">
    <w:name w:val=" Char Char16"/>
    <w:qFormat/>
    <w:uiPriority w:val="0"/>
    <w:rPr>
      <w:rFonts w:eastAsia="黑体"/>
      <w:b/>
      <w:kern w:val="2"/>
      <w:sz w:val="28"/>
      <w:szCs w:val="28"/>
    </w:rPr>
  </w:style>
  <w:style w:type="character" w:customStyle="1" w:styleId="386">
    <w:name w:val="Char Char10"/>
    <w:qFormat/>
    <w:uiPriority w:val="0"/>
    <w:rPr>
      <w:rFonts w:eastAsia="宋体"/>
      <w:b/>
      <w:bCs/>
      <w:kern w:val="44"/>
      <w:sz w:val="44"/>
      <w:szCs w:val="44"/>
      <w:lang w:val="en-US" w:eastAsia="zh-CN" w:bidi="ar-SA"/>
    </w:rPr>
  </w:style>
  <w:style w:type="character" w:customStyle="1" w:styleId="387">
    <w:name w:val="页眉小5号 Char Char1"/>
    <w:qFormat/>
    <w:uiPriority w:val="0"/>
    <w:rPr>
      <w:rFonts w:eastAsia="宋体"/>
      <w:kern w:val="2"/>
      <w:sz w:val="18"/>
      <w:szCs w:val="18"/>
      <w:lang w:val="en-US" w:eastAsia="zh-CN" w:bidi="ar-SA"/>
    </w:rPr>
  </w:style>
  <w:style w:type="character" w:customStyle="1" w:styleId="388">
    <w:name w:val="标题 3 Char1 Char Char"/>
    <w:qFormat/>
    <w:uiPriority w:val="0"/>
    <w:rPr>
      <w:rFonts w:eastAsia="宋体"/>
      <w:spacing w:val="-2"/>
      <w:sz w:val="28"/>
      <w:szCs w:val="28"/>
      <w:lang w:val="en-US" w:eastAsia="zh-CN" w:bidi="ar-SA"/>
    </w:rPr>
  </w:style>
  <w:style w:type="character" w:customStyle="1" w:styleId="389">
    <w:name w:val="t2"/>
    <w:qFormat/>
    <w:uiPriority w:val="0"/>
  </w:style>
  <w:style w:type="character" w:customStyle="1" w:styleId="390">
    <w:name w:val="Font Style303"/>
    <w:qFormat/>
    <w:uiPriority w:val="0"/>
    <w:rPr>
      <w:rFonts w:ascii="宋体" w:eastAsia="宋体" w:cs="宋体"/>
      <w:sz w:val="20"/>
      <w:szCs w:val="20"/>
    </w:rPr>
  </w:style>
  <w:style w:type="character" w:customStyle="1" w:styleId="391">
    <w:name w:val="表格1 Char"/>
    <w:link w:val="392"/>
    <w:qFormat/>
    <w:uiPriority w:val="0"/>
    <w:rPr>
      <w:rFonts w:ascii="宋体" w:hAnsi="Times New Roman"/>
      <w:sz w:val="24"/>
      <w:szCs w:val="24"/>
    </w:rPr>
  </w:style>
  <w:style w:type="paragraph" w:customStyle="1" w:styleId="392">
    <w:name w:val="表格1"/>
    <w:basedOn w:val="1"/>
    <w:link w:val="391"/>
    <w:qFormat/>
    <w:uiPriority w:val="0"/>
    <w:pPr>
      <w:adjustRightInd w:val="0"/>
      <w:jc w:val="center"/>
    </w:pPr>
    <w:rPr>
      <w:rFonts w:ascii="宋体" w:hAnsi="Times New Roman"/>
      <w:kern w:val="0"/>
      <w:sz w:val="24"/>
      <w:szCs w:val="24"/>
    </w:rPr>
  </w:style>
  <w:style w:type="character" w:customStyle="1" w:styleId="393">
    <w:name w:val="Font Style337"/>
    <w:qFormat/>
    <w:uiPriority w:val="0"/>
    <w:rPr>
      <w:rFonts w:ascii="宋体" w:eastAsia="宋体" w:cs="宋体"/>
      <w:sz w:val="22"/>
      <w:szCs w:val="22"/>
    </w:rPr>
  </w:style>
  <w:style w:type="character" w:customStyle="1" w:styleId="394">
    <w:name w:val="3标题(治) Char"/>
    <w:link w:val="395"/>
    <w:qFormat/>
    <w:uiPriority w:val="0"/>
    <w:rPr>
      <w:rFonts w:ascii="Times New Roman" w:hAnsi="Times New Roman"/>
      <w:b/>
      <w:bCs/>
      <w:kern w:val="2"/>
      <w:sz w:val="28"/>
      <w:szCs w:val="28"/>
    </w:rPr>
  </w:style>
  <w:style w:type="paragraph" w:customStyle="1" w:styleId="395">
    <w:name w:val="3标题(治)"/>
    <w:basedOn w:val="5"/>
    <w:link w:val="394"/>
    <w:qFormat/>
    <w:uiPriority w:val="0"/>
    <w:pPr>
      <w:spacing w:before="156" w:beforeLines="50" w:after="156" w:afterLines="50" w:line="360" w:lineRule="auto"/>
      <w:textAlignment w:val="baseline"/>
    </w:pPr>
    <w:rPr>
      <w:kern w:val="2"/>
      <w:sz w:val="28"/>
      <w:szCs w:val="28"/>
    </w:rPr>
  </w:style>
  <w:style w:type="character" w:customStyle="1" w:styleId="396">
    <w:name w:val=" Char Char15"/>
    <w:qFormat/>
    <w:uiPriority w:val="0"/>
    <w:rPr>
      <w:rFonts w:eastAsia="宋体"/>
      <w:b/>
      <w:kern w:val="2"/>
      <w:sz w:val="24"/>
      <w:lang w:val="en-US" w:eastAsia="zh-CN" w:bidi="ar-SA"/>
    </w:rPr>
  </w:style>
  <w:style w:type="character" w:customStyle="1" w:styleId="397">
    <w:name w:val="正文文本最新 Char Char Char Char1 Char Char"/>
    <w:link w:val="398"/>
    <w:qFormat/>
    <w:uiPriority w:val="0"/>
    <w:rPr>
      <w:rFonts w:ascii="Times New Roman" w:hAnsi="Times New Roman"/>
      <w:bCs/>
      <w:kern w:val="2"/>
      <w:sz w:val="28"/>
      <w:szCs w:val="24"/>
    </w:rPr>
  </w:style>
  <w:style w:type="paragraph" w:customStyle="1" w:styleId="398">
    <w:name w:val="正文文本最新 Char Char Char Char1 Char"/>
    <w:basedOn w:val="1"/>
    <w:link w:val="397"/>
    <w:qFormat/>
    <w:uiPriority w:val="0"/>
    <w:pPr>
      <w:spacing w:line="360" w:lineRule="auto"/>
      <w:ind w:firstLine="200" w:firstLineChars="200"/>
    </w:pPr>
    <w:rPr>
      <w:rFonts w:ascii="Times New Roman" w:hAnsi="Times New Roman"/>
      <w:bCs/>
      <w:sz w:val="28"/>
      <w:szCs w:val="24"/>
    </w:rPr>
  </w:style>
  <w:style w:type="character" w:customStyle="1" w:styleId="399">
    <w:name w:val="样式 宋体"/>
    <w:qFormat/>
    <w:uiPriority w:val="0"/>
    <w:rPr>
      <w:rFonts w:ascii="宋体" w:hAnsi="宋体"/>
      <w:kern w:val="0"/>
      <w:sz w:val="24"/>
    </w:rPr>
  </w:style>
  <w:style w:type="character" w:customStyle="1" w:styleId="400">
    <w:name w:val="unnamed31"/>
    <w:qFormat/>
    <w:uiPriority w:val="0"/>
    <w:rPr>
      <w:sz w:val="18"/>
      <w:szCs w:val="18"/>
    </w:rPr>
  </w:style>
  <w:style w:type="character" w:customStyle="1" w:styleId="401">
    <w:name w:val="标题 1 Char Char Char Char Char"/>
    <w:qFormat/>
    <w:uiPriority w:val="0"/>
    <w:rPr>
      <w:rFonts w:eastAsia="黑体"/>
      <w:b/>
      <w:bCs/>
      <w:kern w:val="44"/>
      <w:sz w:val="44"/>
      <w:szCs w:val="44"/>
      <w:lang w:val="en-US" w:eastAsia="zh-CN" w:bidi="ar-SA"/>
    </w:rPr>
  </w:style>
  <w:style w:type="character" w:customStyle="1" w:styleId="402">
    <w:name w:val="vctext1"/>
    <w:qFormat/>
    <w:uiPriority w:val="0"/>
    <w:rPr>
      <w:color w:val="666666"/>
      <w:sz w:val="24"/>
      <w:szCs w:val="24"/>
    </w:rPr>
  </w:style>
  <w:style w:type="character" w:customStyle="1" w:styleId="403">
    <w:name w:val="书籍标题"/>
    <w:qFormat/>
    <w:uiPriority w:val="0"/>
    <w:rPr>
      <w:rFonts w:hint="default" w:ascii="Cambria" w:hAnsi="Cambria" w:eastAsia="宋体"/>
      <w:b/>
      <w:i/>
      <w:sz w:val="24"/>
      <w:szCs w:val="24"/>
    </w:rPr>
  </w:style>
  <w:style w:type="character" w:customStyle="1" w:styleId="404">
    <w:name w:val="我的正文 Char"/>
    <w:link w:val="405"/>
    <w:semiHidden/>
    <w:qFormat/>
    <w:uiPriority w:val="0"/>
    <w:rPr>
      <w:rFonts w:ascii="Times New Roman" w:hAnsi="宋体"/>
      <w:kern w:val="2"/>
      <w:sz w:val="24"/>
      <w:szCs w:val="24"/>
    </w:rPr>
  </w:style>
  <w:style w:type="paragraph" w:customStyle="1" w:styleId="405">
    <w:name w:val="我的正文"/>
    <w:basedOn w:val="1"/>
    <w:link w:val="404"/>
    <w:semiHidden/>
    <w:qFormat/>
    <w:uiPriority w:val="0"/>
    <w:pPr>
      <w:spacing w:line="360" w:lineRule="auto"/>
      <w:ind w:firstLine="200" w:firstLineChars="200"/>
    </w:pPr>
    <w:rPr>
      <w:rFonts w:ascii="Times New Roman" w:hAnsi="宋体"/>
      <w:sz w:val="24"/>
      <w:szCs w:val="24"/>
    </w:rPr>
  </w:style>
  <w:style w:type="character" w:customStyle="1" w:styleId="406">
    <w:name w:val="表中文字 Char Char"/>
    <w:qFormat/>
    <w:uiPriority w:val="0"/>
    <w:rPr>
      <w:rFonts w:ascii="宋体" w:hAnsi="宋体" w:eastAsia="宋体"/>
      <w:kern w:val="2"/>
      <w:sz w:val="24"/>
      <w:szCs w:val="24"/>
      <w:lang w:val="en-US" w:eastAsia="zh-CN" w:bidi="ar-SA"/>
    </w:rPr>
  </w:style>
  <w:style w:type="character" w:customStyle="1" w:styleId="407">
    <w:name w:val="正文文本缩进 2 Char"/>
    <w:basedOn w:val="82"/>
    <w:semiHidden/>
    <w:qFormat/>
    <w:uiPriority w:val="99"/>
  </w:style>
  <w:style w:type="character" w:customStyle="1" w:styleId="408">
    <w:name w:val="标题2 Char Char"/>
    <w:qFormat/>
    <w:uiPriority w:val="0"/>
    <w:rPr>
      <w:rFonts w:ascii="Arial" w:hAnsi="Arial" w:eastAsia="黑体"/>
      <w:b/>
      <w:bCs/>
      <w:kern w:val="2"/>
      <w:sz w:val="32"/>
      <w:szCs w:val="32"/>
      <w:lang w:val="en-US" w:eastAsia="zh-CN" w:bidi="ar-SA"/>
    </w:rPr>
  </w:style>
  <w:style w:type="character" w:customStyle="1" w:styleId="409">
    <w:name w:val="目标题 1) Char Char"/>
    <w:qFormat/>
    <w:uiPriority w:val="0"/>
    <w:rPr>
      <w:rFonts w:ascii="Arial" w:hAnsi="Arial" w:eastAsia="黑体"/>
      <w:kern w:val="2"/>
      <w:sz w:val="24"/>
      <w:szCs w:val="24"/>
      <w:lang w:val="en-US" w:eastAsia="zh-CN" w:bidi="ar-SA"/>
    </w:rPr>
  </w:style>
  <w:style w:type="character" w:customStyle="1" w:styleId="410">
    <w:name w:val="h31"/>
    <w:qFormat/>
    <w:uiPriority w:val="0"/>
    <w:rPr>
      <w:sz w:val="21"/>
      <w:szCs w:val="21"/>
    </w:rPr>
  </w:style>
  <w:style w:type="character" w:customStyle="1" w:styleId="411">
    <w:name w:val="Char Char9"/>
    <w:qFormat/>
    <w:uiPriority w:val="0"/>
    <w:rPr>
      <w:rFonts w:ascii="Arial" w:hAnsi="Arial" w:eastAsia="黑体"/>
      <w:b/>
      <w:bCs/>
      <w:kern w:val="2"/>
      <w:sz w:val="28"/>
      <w:szCs w:val="28"/>
      <w:lang w:val="en-US" w:eastAsia="zh-CN" w:bidi="ar-SA"/>
    </w:rPr>
  </w:style>
  <w:style w:type="character" w:customStyle="1" w:styleId="412">
    <w:name w:val="三号宋体居中行距2倍距 Char"/>
    <w:qFormat/>
    <w:locked/>
    <w:uiPriority w:val="0"/>
    <w:rPr>
      <w:rFonts w:ascii="Arial" w:hAnsi="Arial" w:eastAsia="黑体"/>
      <w:b/>
      <w:bCs/>
      <w:kern w:val="2"/>
      <w:sz w:val="32"/>
      <w:szCs w:val="32"/>
      <w:lang w:val="en-US" w:eastAsia="zh-CN" w:bidi="ar-SA"/>
    </w:rPr>
  </w:style>
  <w:style w:type="character" w:customStyle="1" w:styleId="413">
    <w:name w:val="Char Char33"/>
    <w:semiHidden/>
    <w:qFormat/>
    <w:uiPriority w:val="0"/>
    <w:rPr>
      <w:rFonts w:ascii="Times New Roman" w:hAnsi="Times New Roman" w:eastAsia="宋体" w:cs="Times New Roman"/>
      <w:sz w:val="18"/>
      <w:szCs w:val="18"/>
    </w:rPr>
  </w:style>
  <w:style w:type="character" w:customStyle="1" w:styleId="414">
    <w:name w:val="content21"/>
    <w:qFormat/>
    <w:uiPriority w:val="0"/>
    <w:rPr>
      <w:color w:val="000000"/>
      <w:sz w:val="18"/>
      <w:szCs w:val="18"/>
    </w:rPr>
  </w:style>
  <w:style w:type="character" w:customStyle="1" w:styleId="415">
    <w:name w:val="正文文字1 Char Char"/>
    <w:qFormat/>
    <w:uiPriority w:val="0"/>
    <w:rPr>
      <w:rFonts w:eastAsia="宋体"/>
      <w:kern w:val="2"/>
      <w:sz w:val="21"/>
      <w:szCs w:val="24"/>
      <w:lang w:val="en-US" w:eastAsia="zh-CN" w:bidi="ar-SA"/>
    </w:rPr>
  </w:style>
  <w:style w:type="character" w:customStyle="1" w:styleId="416">
    <w:name w:val="正文(首行缩进) Char"/>
    <w:link w:val="417"/>
    <w:qFormat/>
    <w:uiPriority w:val="0"/>
    <w:rPr>
      <w:snapToGrid/>
      <w:sz w:val="24"/>
      <w:szCs w:val="24"/>
    </w:rPr>
  </w:style>
  <w:style w:type="paragraph" w:customStyle="1" w:styleId="417">
    <w:name w:val="正文(首行缩进)"/>
    <w:basedOn w:val="1"/>
    <w:link w:val="416"/>
    <w:qFormat/>
    <w:uiPriority w:val="0"/>
    <w:pPr>
      <w:adjustRightInd w:val="0"/>
      <w:snapToGrid w:val="0"/>
      <w:spacing w:line="360" w:lineRule="auto"/>
      <w:ind w:firstLine="200" w:firstLineChars="200"/>
    </w:pPr>
    <w:rPr>
      <w:kern w:val="0"/>
      <w:sz w:val="24"/>
      <w:szCs w:val="24"/>
    </w:rPr>
  </w:style>
  <w:style w:type="character" w:customStyle="1" w:styleId="418">
    <w:name w:val="text_edit editable-title"/>
    <w:qFormat/>
    <w:uiPriority w:val="0"/>
  </w:style>
  <w:style w:type="character" w:customStyle="1" w:styleId="419">
    <w:name w:val="Re Char4"/>
    <w:qFormat/>
    <w:uiPriority w:val="0"/>
    <w:rPr>
      <w:rFonts w:eastAsia="宋体"/>
      <w:b/>
      <w:bCs/>
      <w:kern w:val="2"/>
      <w:sz w:val="32"/>
      <w:szCs w:val="32"/>
      <w:lang w:val="en-US" w:eastAsia="zh-CN" w:bidi="ar-SA"/>
    </w:rPr>
  </w:style>
  <w:style w:type="character" w:customStyle="1" w:styleId="420">
    <w:name w:val="标题2 Char Char1"/>
    <w:qFormat/>
    <w:uiPriority w:val="0"/>
    <w:rPr>
      <w:rFonts w:ascii="Arial" w:hAnsi="Arial" w:eastAsia="黑体"/>
      <w:b/>
      <w:bCs/>
      <w:kern w:val="2"/>
      <w:sz w:val="32"/>
      <w:szCs w:val="32"/>
      <w:lang w:val="en-US" w:eastAsia="zh-CN" w:bidi="ar-SA"/>
    </w:rPr>
  </w:style>
  <w:style w:type="character" w:customStyle="1" w:styleId="421">
    <w:name w:val="首行缩进2 Char"/>
    <w:link w:val="422"/>
    <w:qFormat/>
    <w:uiPriority w:val="0"/>
    <w:rPr>
      <w:rFonts w:ascii="仿宋_GB2312" w:eastAsia="仿宋_GB2312"/>
      <w:color w:val="000000"/>
      <w:sz w:val="24"/>
      <w:szCs w:val="24"/>
    </w:rPr>
  </w:style>
  <w:style w:type="paragraph" w:customStyle="1" w:styleId="422">
    <w:name w:val="首行缩进2"/>
    <w:basedOn w:val="1"/>
    <w:link w:val="421"/>
    <w:qFormat/>
    <w:uiPriority w:val="0"/>
    <w:pPr>
      <w:adjustRightInd w:val="0"/>
      <w:snapToGrid w:val="0"/>
      <w:spacing w:line="360" w:lineRule="auto"/>
      <w:ind w:firstLine="480" w:firstLineChars="200"/>
    </w:pPr>
    <w:rPr>
      <w:rFonts w:ascii="仿宋_GB2312" w:eastAsia="仿宋_GB2312"/>
      <w:color w:val="000000"/>
      <w:kern w:val="0"/>
      <w:sz w:val="24"/>
      <w:szCs w:val="24"/>
    </w:rPr>
  </w:style>
  <w:style w:type="character" w:customStyle="1" w:styleId="423">
    <w:name w:val="样式5 Char"/>
    <w:link w:val="424"/>
    <w:qFormat/>
    <w:uiPriority w:val="0"/>
    <w:rPr>
      <w:rFonts w:ascii="Times New Roman" w:hAnsi="Times New Roman"/>
      <w:kern w:val="2"/>
      <w:sz w:val="18"/>
      <w:szCs w:val="21"/>
    </w:rPr>
  </w:style>
  <w:style w:type="paragraph" w:customStyle="1" w:styleId="424">
    <w:name w:val="样式5"/>
    <w:basedOn w:val="153"/>
    <w:link w:val="423"/>
    <w:qFormat/>
    <w:uiPriority w:val="0"/>
    <w:pPr>
      <w:tabs>
        <w:tab w:val="center" w:pos="4153"/>
        <w:tab w:val="right" w:pos="8306"/>
      </w:tabs>
      <w:snapToGrid w:val="0"/>
    </w:pPr>
    <w:rPr>
      <w:sz w:val="18"/>
    </w:rPr>
  </w:style>
  <w:style w:type="character" w:customStyle="1" w:styleId="425">
    <w:name w:val="正文文本缩进 Char2"/>
    <w:semiHidden/>
    <w:qFormat/>
    <w:uiPriority w:val="0"/>
    <w:rPr>
      <w:rFonts w:ascii="Times New Roman" w:hAnsi="Times New Roman" w:eastAsia="宋体" w:cs="Times New Roman"/>
      <w:szCs w:val="24"/>
    </w:rPr>
  </w:style>
  <w:style w:type="character" w:customStyle="1" w:styleId="426">
    <w:name w:val="Char Char4"/>
    <w:qFormat/>
    <w:uiPriority w:val="0"/>
    <w:rPr>
      <w:rFonts w:ascii="宋体" w:hAnsi="宋体" w:eastAsia="宋体"/>
      <w:sz w:val="24"/>
      <w:lang w:val="en-US" w:eastAsia="zh-CN" w:bidi="ar-SA"/>
    </w:rPr>
  </w:style>
  <w:style w:type="character" w:customStyle="1" w:styleId="427">
    <w:name w:val="biaoti-61"/>
    <w:qFormat/>
    <w:uiPriority w:val="0"/>
    <w:rPr>
      <w:b/>
      <w:bCs/>
      <w:color w:val="000066"/>
      <w:sz w:val="30"/>
      <w:szCs w:val="30"/>
    </w:rPr>
  </w:style>
  <w:style w:type="character" w:customStyle="1" w:styleId="428">
    <w:name w:val="正 Char1"/>
    <w:qFormat/>
    <w:uiPriority w:val="0"/>
    <w:rPr>
      <w:rFonts w:ascii="宋体" w:hAnsi="宋体" w:eastAsia="宋体"/>
      <w:kern w:val="2"/>
      <w:sz w:val="28"/>
      <w:szCs w:val="28"/>
      <w:lang w:val="zh-CN" w:eastAsia="zh-CN" w:bidi="ar-SA"/>
    </w:rPr>
  </w:style>
  <w:style w:type="character" w:customStyle="1" w:styleId="429">
    <w:name w:val="标题1 Char Char"/>
    <w:qFormat/>
    <w:uiPriority w:val="0"/>
    <w:rPr>
      <w:rFonts w:ascii="Cambria" w:hAnsi="Cambria" w:eastAsia="宋体" w:cs="Times New Roman"/>
      <w:b/>
      <w:bCs/>
      <w:sz w:val="32"/>
      <w:szCs w:val="32"/>
    </w:rPr>
  </w:style>
  <w:style w:type="character" w:customStyle="1" w:styleId="430">
    <w:name w:val="Font Style348"/>
    <w:qFormat/>
    <w:uiPriority w:val="0"/>
    <w:rPr>
      <w:rFonts w:ascii="宋体" w:eastAsia="宋体" w:cs="宋体"/>
      <w:sz w:val="14"/>
      <w:szCs w:val="14"/>
    </w:rPr>
  </w:style>
  <w:style w:type="character" w:customStyle="1" w:styleId="431">
    <w:name w:val="lawsitemtext1"/>
    <w:qFormat/>
    <w:uiPriority w:val="0"/>
    <w:rPr>
      <w:color w:val="154863"/>
      <w:sz w:val="21"/>
      <w:szCs w:val="21"/>
    </w:rPr>
  </w:style>
  <w:style w:type="character" w:customStyle="1" w:styleId="432">
    <w:name w:val="goog_qs-tidbit goog_qs-tidbit-0"/>
    <w:qFormat/>
    <w:uiPriority w:val="0"/>
  </w:style>
  <w:style w:type="character" w:customStyle="1" w:styleId="433">
    <w:name w:val="表小4 Char"/>
    <w:link w:val="434"/>
    <w:qFormat/>
    <w:uiPriority w:val="0"/>
    <w:rPr>
      <w:rFonts w:ascii="Wingdings" w:hAnsi="Wingdings" w:eastAsia="Wingdings"/>
      <w:b/>
      <w:sz w:val="28"/>
    </w:rPr>
  </w:style>
  <w:style w:type="paragraph" w:customStyle="1" w:styleId="434">
    <w:name w:val="表小4"/>
    <w:basedOn w:val="1"/>
    <w:link w:val="433"/>
    <w:qFormat/>
    <w:uiPriority w:val="0"/>
    <w:pPr>
      <w:tabs>
        <w:tab w:val="left" w:pos="0"/>
        <w:tab w:val="left" w:pos="960"/>
      </w:tabs>
      <w:adjustRightInd w:val="0"/>
      <w:spacing w:line="0" w:lineRule="atLeast"/>
      <w:jc w:val="center"/>
    </w:pPr>
    <w:rPr>
      <w:rFonts w:ascii="Wingdings" w:hAnsi="Wingdings" w:eastAsia="Wingdings"/>
      <w:b/>
      <w:kern w:val="0"/>
      <w:sz w:val="28"/>
      <w:szCs w:val="20"/>
    </w:rPr>
  </w:style>
  <w:style w:type="character" w:customStyle="1" w:styleId="435">
    <w:name w:val="表头 Char Char Char"/>
    <w:qFormat/>
    <w:uiPriority w:val="0"/>
    <w:rPr>
      <w:rFonts w:ascii="宋体" w:hAnsi="宋体" w:eastAsia="宋体"/>
      <w:b/>
      <w:kern w:val="2"/>
      <w:sz w:val="24"/>
      <w:szCs w:val="24"/>
      <w:lang w:val="en-US" w:eastAsia="zh-CN" w:bidi="ar-SA"/>
    </w:rPr>
  </w:style>
  <w:style w:type="character" w:customStyle="1" w:styleId="436">
    <w:name w:val="紧缩文字 Char Char"/>
    <w:qFormat/>
    <w:uiPriority w:val="0"/>
    <w:rPr>
      <w:rFonts w:eastAsia="宋体"/>
      <w:spacing w:val="-2"/>
      <w:sz w:val="28"/>
      <w:lang w:val="en-US" w:eastAsia="zh-CN" w:bidi="ar-SA"/>
    </w:rPr>
  </w:style>
  <w:style w:type="character" w:customStyle="1" w:styleId="437">
    <w:name w:val="Char Char21"/>
    <w:qFormat/>
    <w:uiPriority w:val="0"/>
    <w:rPr>
      <w:rFonts w:hint="eastAsia" w:ascii="黑体" w:hAnsi="Times New Roman" w:eastAsia="黑体"/>
      <w:bCs/>
      <w:kern w:val="44"/>
      <w:sz w:val="30"/>
      <w:szCs w:val="44"/>
    </w:rPr>
  </w:style>
  <w:style w:type="character" w:customStyle="1" w:styleId="438">
    <w:name w:val="l_text Char"/>
    <w:link w:val="439"/>
    <w:qFormat/>
    <w:uiPriority w:val="0"/>
    <w:rPr>
      <w:rFonts w:ascii="Times New Roman" w:hAnsi="Times New Roman"/>
      <w:sz w:val="28"/>
      <w:lang w:val="en-GB"/>
    </w:rPr>
  </w:style>
  <w:style w:type="paragraph" w:customStyle="1" w:styleId="439">
    <w:name w:val="l_text"/>
    <w:basedOn w:val="1"/>
    <w:link w:val="438"/>
    <w:qFormat/>
    <w:uiPriority w:val="0"/>
    <w:pPr>
      <w:widowControl/>
      <w:overflowPunct w:val="0"/>
      <w:autoSpaceDE w:val="0"/>
      <w:autoSpaceDN w:val="0"/>
      <w:adjustRightInd w:val="0"/>
      <w:spacing w:line="360" w:lineRule="auto"/>
      <w:ind w:firstLine="567"/>
      <w:textAlignment w:val="baseline"/>
    </w:pPr>
    <w:rPr>
      <w:rFonts w:ascii="Times New Roman" w:hAnsi="Times New Roman"/>
      <w:kern w:val="0"/>
      <w:sz w:val="28"/>
      <w:szCs w:val="20"/>
      <w:lang w:val="en-GB"/>
    </w:rPr>
  </w:style>
  <w:style w:type="character" w:customStyle="1" w:styleId="440">
    <w:name w:val="表文字 Char1"/>
    <w:link w:val="441"/>
    <w:qFormat/>
    <w:uiPriority w:val="0"/>
    <w:rPr>
      <w:rFonts w:ascii="Times New Roman" w:hAnsi="Times New Roman"/>
      <w:sz w:val="24"/>
    </w:rPr>
  </w:style>
  <w:style w:type="paragraph" w:customStyle="1" w:styleId="441">
    <w:name w:val="表文字"/>
    <w:basedOn w:val="1"/>
    <w:next w:val="1"/>
    <w:link w:val="440"/>
    <w:qFormat/>
    <w:uiPriority w:val="0"/>
    <w:pPr>
      <w:overflowPunct w:val="0"/>
      <w:autoSpaceDE w:val="0"/>
      <w:autoSpaceDN w:val="0"/>
      <w:adjustRightInd w:val="0"/>
      <w:spacing w:line="240" w:lineRule="atLeast"/>
      <w:jc w:val="center"/>
      <w:textAlignment w:val="baseline"/>
    </w:pPr>
    <w:rPr>
      <w:rFonts w:ascii="Times New Roman" w:hAnsi="Times New Roman"/>
      <w:kern w:val="0"/>
      <w:sz w:val="24"/>
      <w:szCs w:val="20"/>
    </w:rPr>
  </w:style>
  <w:style w:type="character" w:customStyle="1" w:styleId="442">
    <w:name w:val="Char Char16"/>
    <w:qFormat/>
    <w:uiPriority w:val="0"/>
    <w:rPr>
      <w:rFonts w:eastAsia="宋体"/>
      <w:kern w:val="2"/>
      <w:sz w:val="21"/>
      <w:szCs w:val="24"/>
      <w:lang w:val="en-US" w:eastAsia="zh-CN" w:bidi="ar-SA"/>
    </w:rPr>
  </w:style>
  <w:style w:type="character" w:customStyle="1" w:styleId="443">
    <w:name w:val="表格内容 Char Char"/>
    <w:link w:val="444"/>
    <w:qFormat/>
    <w:uiPriority w:val="0"/>
    <w:rPr>
      <w:rFonts w:ascii="Times New Roman" w:hAnsi="宋体"/>
      <w:sz w:val="18"/>
      <w:szCs w:val="15"/>
    </w:rPr>
  </w:style>
  <w:style w:type="paragraph" w:customStyle="1" w:styleId="444">
    <w:name w:val="表格内容 Char"/>
    <w:basedOn w:val="1"/>
    <w:next w:val="1"/>
    <w:link w:val="443"/>
    <w:qFormat/>
    <w:uiPriority w:val="0"/>
    <w:pPr>
      <w:widowControl/>
      <w:jc w:val="center"/>
    </w:pPr>
    <w:rPr>
      <w:rFonts w:ascii="Times New Roman" w:hAnsi="宋体"/>
      <w:kern w:val="0"/>
      <w:sz w:val="18"/>
      <w:szCs w:val="15"/>
    </w:rPr>
  </w:style>
  <w:style w:type="character" w:customStyle="1" w:styleId="445">
    <w:name w:val="内苡 Char"/>
    <w:link w:val="446"/>
    <w:qFormat/>
    <w:uiPriority w:val="0"/>
    <w:rPr>
      <w:rFonts w:ascii="宋体" w:hAnsi="宋体" w:eastAsia="宋体" w:cs="Times New Roman"/>
      <w:sz w:val="28"/>
      <w:szCs w:val="28"/>
    </w:rPr>
  </w:style>
  <w:style w:type="paragraph" w:customStyle="1" w:styleId="446">
    <w:name w:val="内苡"/>
    <w:basedOn w:val="1"/>
    <w:link w:val="445"/>
    <w:semiHidden/>
    <w:qFormat/>
    <w:uiPriority w:val="0"/>
    <w:pPr>
      <w:ind w:firstLine="560" w:firstLineChars="200"/>
    </w:pPr>
    <w:rPr>
      <w:rFonts w:ascii="宋体" w:hAnsi="宋体"/>
      <w:kern w:val="0"/>
      <w:sz w:val="28"/>
      <w:szCs w:val="28"/>
    </w:rPr>
  </w:style>
  <w:style w:type="character" w:customStyle="1" w:styleId="447">
    <w:name w:val="样式 标题 2 + 首行缩进:  2 字符 Char"/>
    <w:link w:val="448"/>
    <w:qFormat/>
    <w:locked/>
    <w:uiPriority w:val="0"/>
    <w:rPr>
      <w:rFonts w:ascii="Arial" w:hAnsi="Arial" w:cs="宋体"/>
      <w:b/>
      <w:bCs/>
      <w:kern w:val="2"/>
      <w:sz w:val="21"/>
    </w:rPr>
  </w:style>
  <w:style w:type="paragraph" w:customStyle="1" w:styleId="448">
    <w:name w:val="样式 标题 2 + 首行缩进:  2 字符"/>
    <w:basedOn w:val="4"/>
    <w:link w:val="447"/>
    <w:qFormat/>
    <w:uiPriority w:val="0"/>
    <w:pPr>
      <w:tabs>
        <w:tab w:val="left" w:pos="360"/>
      </w:tabs>
      <w:adjustRightInd/>
      <w:spacing w:before="120" w:beforeLines="0" w:after="120" w:afterLines="0" w:line="500" w:lineRule="exact"/>
      <w:ind w:left="840" w:hanging="420" w:firstLineChars="200"/>
      <w:jc w:val="left"/>
      <w:textAlignment w:val="auto"/>
    </w:pPr>
    <w:rPr>
      <w:rFonts w:ascii="Arial" w:hAnsi="Arial"/>
      <w:kern w:val="2"/>
      <w:sz w:val="21"/>
      <w:szCs w:val="20"/>
    </w:rPr>
  </w:style>
  <w:style w:type="character" w:customStyle="1" w:styleId="449">
    <w:name w:val="正文格式 Char"/>
    <w:link w:val="450"/>
    <w:qFormat/>
    <w:uiPriority w:val="0"/>
    <w:rPr>
      <w:rFonts w:ascii="宋体" w:hAnsi="宋体"/>
      <w:color w:val="000000"/>
      <w:kern w:val="2"/>
      <w:sz w:val="24"/>
      <w:szCs w:val="24"/>
    </w:rPr>
  </w:style>
  <w:style w:type="paragraph" w:customStyle="1" w:styleId="450">
    <w:name w:val="正文格式"/>
    <w:basedOn w:val="78"/>
    <w:next w:val="31"/>
    <w:link w:val="449"/>
    <w:qFormat/>
    <w:uiPriority w:val="0"/>
    <w:pPr>
      <w:spacing w:line="360" w:lineRule="auto"/>
      <w:ind w:firstLine="482"/>
    </w:pPr>
    <w:rPr>
      <w:rFonts w:ascii="宋体" w:hAnsi="宋体"/>
      <w:color w:val="000000"/>
      <w:sz w:val="24"/>
      <w:szCs w:val="24"/>
    </w:rPr>
  </w:style>
  <w:style w:type="character" w:customStyle="1" w:styleId="451">
    <w:name w:val="b"/>
    <w:qFormat/>
    <w:uiPriority w:val="0"/>
  </w:style>
  <w:style w:type="character" w:customStyle="1" w:styleId="452">
    <w:name w:val="新正文样式 Char"/>
    <w:link w:val="453"/>
    <w:qFormat/>
    <w:uiPriority w:val="0"/>
    <w:rPr>
      <w:spacing w:val="20"/>
      <w:sz w:val="24"/>
    </w:rPr>
  </w:style>
  <w:style w:type="paragraph" w:customStyle="1" w:styleId="453">
    <w:name w:val="新正文样式"/>
    <w:basedOn w:val="1"/>
    <w:link w:val="452"/>
    <w:qFormat/>
    <w:uiPriority w:val="0"/>
    <w:pPr>
      <w:tabs>
        <w:tab w:val="left" w:pos="567"/>
      </w:tabs>
      <w:spacing w:line="360" w:lineRule="auto"/>
      <w:ind w:firstLine="567"/>
    </w:pPr>
    <w:rPr>
      <w:spacing w:val="20"/>
      <w:kern w:val="0"/>
      <w:sz w:val="24"/>
      <w:szCs w:val="20"/>
    </w:rPr>
  </w:style>
  <w:style w:type="character" w:customStyle="1" w:styleId="454">
    <w:name w:val="H9 Char"/>
    <w:qFormat/>
    <w:uiPriority w:val="0"/>
    <w:rPr>
      <w:rFonts w:ascii="Arial" w:hAnsi="Arial" w:eastAsia="黑体"/>
      <w:sz w:val="21"/>
      <w:szCs w:val="21"/>
      <w:lang w:val="en-US" w:eastAsia="zh-CN" w:bidi="ar-SA"/>
    </w:rPr>
  </w:style>
  <w:style w:type="character" w:customStyle="1" w:styleId="455">
    <w:name w:val="标题31"/>
    <w:qFormat/>
    <w:uiPriority w:val="0"/>
  </w:style>
  <w:style w:type="character" w:customStyle="1" w:styleId="456">
    <w:name w:val="明显引用 Char"/>
    <w:link w:val="457"/>
    <w:qFormat/>
    <w:locked/>
    <w:uiPriority w:val="0"/>
    <w:rPr>
      <w:b/>
      <w:i/>
      <w:sz w:val="24"/>
      <w:szCs w:val="22"/>
      <w:lang w:eastAsia="en-US" w:bidi="en-US"/>
    </w:rPr>
  </w:style>
  <w:style w:type="paragraph" w:customStyle="1" w:styleId="457">
    <w:name w:val="明显引用"/>
    <w:basedOn w:val="1"/>
    <w:next w:val="1"/>
    <w:link w:val="456"/>
    <w:qFormat/>
    <w:uiPriority w:val="0"/>
    <w:pPr>
      <w:widowControl/>
      <w:ind w:left="720" w:right="720"/>
      <w:jc w:val="left"/>
    </w:pPr>
    <w:rPr>
      <w:b/>
      <w:i/>
      <w:kern w:val="0"/>
      <w:sz w:val="24"/>
      <w:lang w:eastAsia="en-US" w:bidi="en-US"/>
    </w:rPr>
  </w:style>
  <w:style w:type="character" w:customStyle="1" w:styleId="458">
    <w:name w:val="Font Style374"/>
    <w:qFormat/>
    <w:uiPriority w:val="0"/>
    <w:rPr>
      <w:rFonts w:ascii="Times New Roman" w:hAnsi="Times New Roman" w:cs="Times New Roman"/>
      <w:sz w:val="12"/>
      <w:szCs w:val="12"/>
    </w:rPr>
  </w:style>
  <w:style w:type="character" w:customStyle="1" w:styleId="459">
    <w:name w:val="正文首行缩进 Char"/>
    <w:qFormat/>
    <w:uiPriority w:val="0"/>
    <w:rPr>
      <w:rFonts w:ascii="Times New Roman" w:hAnsi="Times New Roman" w:eastAsia="宋体" w:cs="Times New Roman"/>
      <w:kern w:val="2"/>
      <w:sz w:val="21"/>
      <w:szCs w:val="22"/>
    </w:rPr>
  </w:style>
  <w:style w:type="character" w:customStyle="1" w:styleId="460">
    <w:name w:val="Font Style336"/>
    <w:qFormat/>
    <w:uiPriority w:val="0"/>
    <w:rPr>
      <w:rFonts w:ascii="宋体" w:eastAsia="宋体" w:cs="宋体"/>
      <w:sz w:val="16"/>
      <w:szCs w:val="16"/>
    </w:rPr>
  </w:style>
  <w:style w:type="character" w:customStyle="1" w:styleId="461">
    <w:name w:val=" Char Char17"/>
    <w:qFormat/>
    <w:uiPriority w:val="0"/>
    <w:rPr>
      <w:rFonts w:ascii="Times New Roman" w:hAnsi="Times New Roman"/>
      <w:bCs/>
      <w:kern w:val="2"/>
      <w:sz w:val="28"/>
      <w:szCs w:val="32"/>
    </w:rPr>
  </w:style>
  <w:style w:type="character" w:customStyle="1" w:styleId="462">
    <w:name w:val="Char Char161"/>
    <w:qFormat/>
    <w:uiPriority w:val="0"/>
    <w:rPr>
      <w:rFonts w:eastAsia="宋体"/>
      <w:kern w:val="2"/>
      <w:sz w:val="21"/>
      <w:szCs w:val="24"/>
      <w:lang w:val="en-US" w:eastAsia="zh-CN" w:bidi="ar-SA"/>
    </w:rPr>
  </w:style>
  <w:style w:type="character" w:customStyle="1" w:styleId="463">
    <w:name w:val="14hei1"/>
    <w:qFormat/>
    <w:uiPriority w:val="0"/>
    <w:rPr>
      <w:color w:val="000000"/>
      <w:sz w:val="28"/>
      <w:szCs w:val="28"/>
      <w:u w:val="none"/>
    </w:rPr>
  </w:style>
  <w:style w:type="character" w:customStyle="1" w:styleId="464">
    <w:name w:val="004 Char Char"/>
    <w:qFormat/>
    <w:uiPriority w:val="0"/>
    <w:rPr>
      <w:rFonts w:ascii="黑体" w:eastAsia="黑体"/>
      <w:kern w:val="2"/>
      <w:sz w:val="24"/>
      <w:lang w:val="en-US" w:eastAsia="zh-CN" w:bidi="ar-SA"/>
    </w:rPr>
  </w:style>
  <w:style w:type="character" w:customStyle="1" w:styleId="465">
    <w:name w:val="Char Char32"/>
    <w:semiHidden/>
    <w:qFormat/>
    <w:uiPriority w:val="0"/>
    <w:rPr>
      <w:rFonts w:ascii="Times New Roman" w:hAnsi="Times New Roman" w:eastAsia="宋体" w:cs="Times New Roman"/>
      <w:szCs w:val="24"/>
    </w:rPr>
  </w:style>
  <w:style w:type="character" w:customStyle="1" w:styleId="466">
    <w:name w:val="表格文字1 Char"/>
    <w:qFormat/>
    <w:uiPriority w:val="0"/>
    <w:rPr>
      <w:rFonts w:ascii="宋体" w:hAnsi="Courier New" w:eastAsia="宋体" w:cs="Courier New"/>
      <w:kern w:val="2"/>
      <w:sz w:val="21"/>
      <w:szCs w:val="21"/>
      <w:lang w:val="en-US" w:eastAsia="zh-CN" w:bidi="ar-SA"/>
    </w:rPr>
  </w:style>
  <w:style w:type="character" w:customStyle="1" w:styleId="467">
    <w:name w:val="HTML 预设格式 Char1"/>
    <w:semiHidden/>
    <w:qFormat/>
    <w:uiPriority w:val="0"/>
    <w:rPr>
      <w:rFonts w:ascii="Courier New" w:hAnsi="Courier New" w:cs="Courier New"/>
      <w:kern w:val="2"/>
    </w:rPr>
  </w:style>
  <w:style w:type="character" w:customStyle="1" w:styleId="468">
    <w:name w:val="Chapter Title Char Char"/>
    <w:qFormat/>
    <w:uiPriority w:val="0"/>
    <w:rPr>
      <w:rFonts w:ascii="Times New Roman" w:hAnsi="Times New Roman"/>
      <w:b/>
      <w:bCs/>
      <w:iCs/>
      <w:sz w:val="30"/>
      <w:szCs w:val="26"/>
      <w:lang w:bidi="en-US"/>
    </w:rPr>
  </w:style>
  <w:style w:type="character" w:customStyle="1" w:styleId="469">
    <w:name w:val="表 Char"/>
    <w:link w:val="470"/>
    <w:qFormat/>
    <w:uiPriority w:val="0"/>
    <w:rPr>
      <w:spacing w:val="2"/>
    </w:rPr>
  </w:style>
  <w:style w:type="paragraph" w:customStyle="1" w:styleId="470">
    <w:name w:val="表2"/>
    <w:basedOn w:val="1"/>
    <w:link w:val="469"/>
    <w:qFormat/>
    <w:uiPriority w:val="0"/>
    <w:pPr>
      <w:snapToGrid w:val="0"/>
      <w:jc w:val="center"/>
    </w:pPr>
    <w:rPr>
      <w:spacing w:val="2"/>
      <w:kern w:val="0"/>
      <w:sz w:val="20"/>
      <w:szCs w:val="20"/>
    </w:rPr>
  </w:style>
  <w:style w:type="character" w:customStyle="1" w:styleId="471">
    <w:name w:val="尾注文本 Char1"/>
    <w:semiHidden/>
    <w:qFormat/>
    <w:uiPriority w:val="0"/>
    <w:rPr>
      <w:rFonts w:ascii="Times New Roman" w:hAnsi="Times New Roman"/>
      <w:kern w:val="2"/>
      <w:sz w:val="21"/>
      <w:szCs w:val="24"/>
    </w:rPr>
  </w:style>
  <w:style w:type="character" w:customStyle="1" w:styleId="472">
    <w:name w:val="Char Char25"/>
    <w:qFormat/>
    <w:uiPriority w:val="0"/>
    <w:rPr>
      <w:kern w:val="2"/>
      <w:sz w:val="21"/>
      <w:szCs w:val="24"/>
    </w:rPr>
  </w:style>
  <w:style w:type="character" w:customStyle="1" w:styleId="473">
    <w:name w:val="content1"/>
    <w:qFormat/>
    <w:uiPriority w:val="0"/>
    <w:rPr>
      <w:sz w:val="21"/>
      <w:szCs w:val="21"/>
    </w:rPr>
  </w:style>
  <w:style w:type="character" w:customStyle="1" w:styleId="474">
    <w:name w:val="1.1标题2 Char Char"/>
    <w:qFormat/>
    <w:uiPriority w:val="0"/>
    <w:rPr>
      <w:rFonts w:ascii="Arial" w:hAnsi="Arial" w:eastAsia="宋体"/>
      <w:b/>
      <w:bCs/>
      <w:kern w:val="2"/>
      <w:sz w:val="28"/>
      <w:szCs w:val="32"/>
      <w:lang w:val="en-US" w:eastAsia="zh-CN" w:bidi="ar-SA"/>
    </w:rPr>
  </w:style>
  <w:style w:type="character" w:customStyle="1" w:styleId="475">
    <w:name w:val="Char Char141"/>
    <w:qFormat/>
    <w:uiPriority w:val="0"/>
    <w:rPr>
      <w:rFonts w:eastAsia="宋体"/>
      <w:kern w:val="2"/>
      <w:sz w:val="18"/>
      <w:szCs w:val="18"/>
      <w:lang w:val="en-US" w:eastAsia="zh-CN" w:bidi="ar-SA"/>
    </w:rPr>
  </w:style>
  <w:style w:type="character" w:customStyle="1" w:styleId="476">
    <w:name w:val="报告正文 Char"/>
    <w:link w:val="477"/>
    <w:qFormat/>
    <w:uiPriority w:val="0"/>
    <w:rPr>
      <w:rFonts w:ascii="Times New Roman" w:hAnsi="Times New Roman" w:eastAsia="宋体" w:cs="宋体"/>
      <w:sz w:val="24"/>
      <w:szCs w:val="20"/>
    </w:rPr>
  </w:style>
  <w:style w:type="paragraph" w:customStyle="1" w:styleId="477">
    <w:name w:val="报告正文"/>
    <w:basedOn w:val="1"/>
    <w:link w:val="476"/>
    <w:qFormat/>
    <w:uiPriority w:val="0"/>
    <w:pPr>
      <w:spacing w:line="360" w:lineRule="auto"/>
      <w:ind w:firstLine="480" w:firstLineChars="200"/>
    </w:pPr>
    <w:rPr>
      <w:rFonts w:ascii="Times New Roman" w:hAnsi="Times New Roman"/>
      <w:kern w:val="0"/>
      <w:sz w:val="24"/>
      <w:szCs w:val="20"/>
    </w:rPr>
  </w:style>
  <w:style w:type="character" w:customStyle="1" w:styleId="478">
    <w:name w:val="纯文本1 Char"/>
    <w:qFormat/>
    <w:uiPriority w:val="0"/>
    <w:rPr>
      <w:rFonts w:ascii="宋体" w:hAnsi="Courier New" w:eastAsia="宋体"/>
      <w:kern w:val="2"/>
      <w:sz w:val="21"/>
      <w:lang w:val="en-US" w:eastAsia="zh-CN" w:bidi="ar-SA"/>
    </w:rPr>
  </w:style>
  <w:style w:type="character" w:customStyle="1" w:styleId="479">
    <w:name w:val="Font Style338"/>
    <w:qFormat/>
    <w:uiPriority w:val="0"/>
    <w:rPr>
      <w:rFonts w:ascii="宋体" w:eastAsia="宋体" w:cs="宋体"/>
      <w:w w:val="120"/>
      <w:sz w:val="18"/>
      <w:szCs w:val="18"/>
    </w:rPr>
  </w:style>
  <w:style w:type="character" w:customStyle="1" w:styleId="480">
    <w:name w:val="Font Style392"/>
    <w:qFormat/>
    <w:uiPriority w:val="0"/>
    <w:rPr>
      <w:rFonts w:ascii="宋体" w:eastAsia="宋体" w:cs="宋体"/>
      <w:w w:val="150"/>
      <w:sz w:val="16"/>
      <w:szCs w:val="16"/>
    </w:rPr>
  </w:style>
  <w:style w:type="character" w:customStyle="1" w:styleId="481">
    <w:name w:val="表格 Char Char"/>
    <w:qFormat/>
    <w:uiPriority w:val="0"/>
    <w:rPr>
      <w:rFonts w:eastAsia="宋体"/>
      <w:kern w:val="2"/>
      <w:sz w:val="21"/>
      <w:szCs w:val="21"/>
      <w:lang w:val="en-US" w:eastAsia="zh-CN" w:bidi="ar-SA"/>
    </w:rPr>
  </w:style>
  <w:style w:type="character" w:customStyle="1" w:styleId="482">
    <w:name w:val="表题图题 Char Char"/>
    <w:link w:val="483"/>
    <w:qFormat/>
    <w:uiPriority w:val="0"/>
    <w:rPr>
      <w:rFonts w:ascii="宋体" w:hAnsi="宋体"/>
      <w:b/>
      <w:sz w:val="21"/>
      <w:szCs w:val="21"/>
    </w:rPr>
  </w:style>
  <w:style w:type="paragraph" w:customStyle="1" w:styleId="483">
    <w:name w:val="表题图题"/>
    <w:basedOn w:val="1"/>
    <w:link w:val="482"/>
    <w:qFormat/>
    <w:uiPriority w:val="0"/>
    <w:pPr>
      <w:spacing w:line="360" w:lineRule="auto"/>
      <w:jc w:val="center"/>
    </w:pPr>
    <w:rPr>
      <w:rFonts w:ascii="宋体" w:hAnsi="宋体"/>
      <w:b/>
      <w:kern w:val="0"/>
      <w:szCs w:val="21"/>
    </w:rPr>
  </w:style>
  <w:style w:type="character" w:customStyle="1" w:styleId="484">
    <w:name w:val="注释 Char1"/>
    <w:link w:val="485"/>
    <w:qFormat/>
    <w:uiPriority w:val="0"/>
    <w:rPr>
      <w:rFonts w:ascii="Times New Roman" w:hAnsi="Times New Roman"/>
      <w:kern w:val="2"/>
      <w:sz w:val="15"/>
      <w:szCs w:val="21"/>
    </w:rPr>
  </w:style>
  <w:style w:type="paragraph" w:customStyle="1" w:styleId="485">
    <w:name w:val="注释"/>
    <w:basedOn w:val="1"/>
    <w:link w:val="484"/>
    <w:qFormat/>
    <w:uiPriority w:val="0"/>
    <w:pPr>
      <w:jc w:val="center"/>
    </w:pPr>
    <w:rPr>
      <w:rFonts w:ascii="Times New Roman" w:hAnsi="Times New Roman"/>
      <w:sz w:val="15"/>
      <w:szCs w:val="21"/>
    </w:rPr>
  </w:style>
  <w:style w:type="character" w:customStyle="1" w:styleId="486">
    <w:name w:val="dan7-1 Char"/>
    <w:link w:val="487"/>
    <w:qFormat/>
    <w:uiPriority w:val="0"/>
    <w:rPr>
      <w:rFonts w:ascii="Times New Roman" w:hAnsi="Times New Roman"/>
      <w:kern w:val="2"/>
      <w:sz w:val="24"/>
      <w:szCs w:val="24"/>
    </w:rPr>
  </w:style>
  <w:style w:type="paragraph" w:customStyle="1" w:styleId="487">
    <w:name w:val="dan7-1"/>
    <w:basedOn w:val="1"/>
    <w:link w:val="486"/>
    <w:qFormat/>
    <w:uiPriority w:val="0"/>
    <w:pPr>
      <w:spacing w:before="40" w:beforeLines="0" w:after="40" w:afterLines="0" w:line="360" w:lineRule="auto"/>
      <w:ind w:firstLine="200" w:firstLineChars="200"/>
    </w:pPr>
    <w:rPr>
      <w:rFonts w:ascii="Times New Roman" w:hAnsi="Times New Roman"/>
      <w:sz w:val="24"/>
      <w:szCs w:val="24"/>
    </w:rPr>
  </w:style>
  <w:style w:type="character" w:customStyle="1" w:styleId="488">
    <w:name w:val="标题 3 Char"/>
    <w:qFormat/>
    <w:uiPriority w:val="9"/>
    <w:rPr>
      <w:b/>
      <w:bCs/>
      <w:sz w:val="32"/>
      <w:szCs w:val="32"/>
    </w:rPr>
  </w:style>
  <w:style w:type="character" w:customStyle="1" w:styleId="489">
    <w:name w:val="5级正文 Char"/>
    <w:link w:val="490"/>
    <w:qFormat/>
    <w:uiPriority w:val="0"/>
    <w:rPr>
      <w:rFonts w:ascii="Times New Roman" w:hAnsi="Times New Roman"/>
      <w:b/>
      <w:kern w:val="2"/>
      <w:sz w:val="24"/>
      <w:szCs w:val="24"/>
    </w:rPr>
  </w:style>
  <w:style w:type="paragraph" w:customStyle="1" w:styleId="490">
    <w:name w:val="5级正文"/>
    <w:basedOn w:val="31"/>
    <w:next w:val="31"/>
    <w:link w:val="489"/>
    <w:qFormat/>
    <w:uiPriority w:val="0"/>
    <w:pPr>
      <w:numPr>
        <w:ilvl w:val="0"/>
        <w:numId w:val="2"/>
      </w:numPr>
      <w:tabs>
        <w:tab w:val="left" w:pos="420"/>
        <w:tab w:val="clear" w:pos="360"/>
      </w:tabs>
      <w:spacing w:after="0" w:afterLines="0" w:line="360" w:lineRule="auto"/>
      <w:ind w:left="0" w:firstLine="200" w:firstLineChars="200"/>
      <w:outlineLvl w:val="4"/>
    </w:pPr>
    <w:rPr>
      <w:b/>
      <w:kern w:val="2"/>
      <w:sz w:val="24"/>
    </w:rPr>
  </w:style>
  <w:style w:type="character" w:customStyle="1" w:styleId="491">
    <w:name w:val="Font Style302"/>
    <w:qFormat/>
    <w:uiPriority w:val="0"/>
    <w:rPr>
      <w:rFonts w:ascii="宋体" w:eastAsia="宋体" w:cs="宋体"/>
      <w:sz w:val="20"/>
      <w:szCs w:val="20"/>
    </w:rPr>
  </w:style>
  <w:style w:type="character" w:customStyle="1" w:styleId="492">
    <w:name w:val="图名 Char Char"/>
    <w:link w:val="493"/>
    <w:qFormat/>
    <w:uiPriority w:val="0"/>
    <w:rPr>
      <w:rFonts w:ascii="Times New Roman" w:hAnsi="宋体"/>
      <w:b/>
      <w:kern w:val="2"/>
      <w:sz w:val="18"/>
      <w:szCs w:val="24"/>
    </w:rPr>
  </w:style>
  <w:style w:type="paragraph" w:customStyle="1" w:styleId="493">
    <w:name w:val="图名 Char"/>
    <w:basedOn w:val="1"/>
    <w:link w:val="492"/>
    <w:qFormat/>
    <w:uiPriority w:val="0"/>
    <w:pPr>
      <w:widowControl/>
      <w:spacing w:after="62" w:afterLines="20"/>
      <w:jc w:val="center"/>
    </w:pPr>
    <w:rPr>
      <w:rFonts w:ascii="Times New Roman" w:hAnsi="宋体"/>
      <w:b/>
      <w:sz w:val="18"/>
      <w:szCs w:val="24"/>
    </w:rPr>
  </w:style>
  <w:style w:type="character" w:customStyle="1" w:styleId="494">
    <w:name w:val="我的论文标题3 Char"/>
    <w:link w:val="495"/>
    <w:qFormat/>
    <w:uiPriority w:val="0"/>
    <w:rPr>
      <w:rFonts w:ascii="Times New Roman" w:hAnsi="宋体" w:eastAsia="黑体"/>
      <w:bCs/>
      <w:kern w:val="2"/>
      <w:sz w:val="28"/>
      <w:szCs w:val="32"/>
    </w:rPr>
  </w:style>
  <w:style w:type="paragraph" w:customStyle="1" w:styleId="495">
    <w:name w:val="我的论文标题3"/>
    <w:basedOn w:val="5"/>
    <w:link w:val="494"/>
    <w:qFormat/>
    <w:uiPriority w:val="0"/>
    <w:pPr>
      <w:spacing w:before="240" w:beforeLines="0" w:after="160" w:afterLines="0" w:line="400" w:lineRule="exact"/>
    </w:pPr>
    <w:rPr>
      <w:rFonts w:hAnsi="宋体" w:eastAsia="黑体"/>
      <w:b w:val="0"/>
      <w:kern w:val="2"/>
      <w:sz w:val="28"/>
    </w:rPr>
  </w:style>
  <w:style w:type="character" w:customStyle="1" w:styleId="496">
    <w:name w:val="font21"/>
    <w:basedOn w:val="82"/>
    <w:qFormat/>
    <w:uiPriority w:val="0"/>
    <w:rPr>
      <w:rFonts w:hint="eastAsia" w:ascii="宋体" w:hAnsi="宋体" w:eastAsia="宋体" w:cs="宋体"/>
      <w:color w:val="000000"/>
      <w:sz w:val="20"/>
      <w:szCs w:val="20"/>
      <w:u w:val="none"/>
    </w:rPr>
  </w:style>
  <w:style w:type="character" w:customStyle="1" w:styleId="497">
    <w:name w:val="2标题 Char"/>
    <w:link w:val="498"/>
    <w:qFormat/>
    <w:uiPriority w:val="0"/>
    <w:rPr>
      <w:rFonts w:ascii="Times New Roman" w:hAnsi="Times New Roman"/>
      <w:b/>
      <w:kern w:val="2"/>
      <w:sz w:val="24"/>
    </w:rPr>
  </w:style>
  <w:style w:type="paragraph" w:customStyle="1" w:styleId="498">
    <w:name w:val="2标题"/>
    <w:basedOn w:val="4"/>
    <w:link w:val="497"/>
    <w:qFormat/>
    <w:uiPriority w:val="0"/>
    <w:pPr>
      <w:snapToGrid w:val="0"/>
      <w:spacing w:before="468" w:beforeLines="150" w:after="312" w:afterLines="100" w:line="480" w:lineRule="auto"/>
      <w:ind w:firstLine="482" w:firstLineChars="200"/>
      <w:jc w:val="left"/>
    </w:pPr>
    <w:rPr>
      <w:rFonts w:ascii="Times New Roman" w:hAnsi="Times New Roman"/>
      <w:bCs w:val="0"/>
      <w:kern w:val="2"/>
      <w:sz w:val="24"/>
      <w:szCs w:val="20"/>
    </w:rPr>
  </w:style>
  <w:style w:type="character" w:customStyle="1" w:styleId="499">
    <w:name w:val=" Char Char13"/>
    <w:qFormat/>
    <w:uiPriority w:val="0"/>
    <w:rPr>
      <w:rFonts w:eastAsia="宋体"/>
      <w:kern w:val="2"/>
      <w:sz w:val="18"/>
      <w:szCs w:val="18"/>
      <w:lang w:val="en-US" w:eastAsia="zh-CN" w:bidi="ar-SA"/>
    </w:rPr>
  </w:style>
  <w:style w:type="character" w:customStyle="1" w:styleId="500">
    <w:name w:val="环 5级 1 Char"/>
    <w:link w:val="501"/>
    <w:qFormat/>
    <w:uiPriority w:val="0"/>
    <w:rPr>
      <w:rFonts w:ascii="宋体" w:hAnsi="宋体" w:eastAsia="宋体" w:cs="Times New Roman"/>
      <w:b/>
      <w:snapToGrid/>
      <w:sz w:val="28"/>
      <w:szCs w:val="28"/>
    </w:rPr>
  </w:style>
  <w:style w:type="paragraph" w:customStyle="1" w:styleId="501">
    <w:name w:val="环 5级 1"/>
    <w:basedOn w:val="1"/>
    <w:link w:val="500"/>
    <w:qFormat/>
    <w:uiPriority w:val="0"/>
    <w:pPr>
      <w:ind w:firstLine="200" w:firstLineChars="200"/>
    </w:pPr>
    <w:rPr>
      <w:rFonts w:ascii="宋体" w:hAnsi="宋体"/>
      <w:b/>
      <w:kern w:val="0"/>
      <w:sz w:val="28"/>
      <w:szCs w:val="28"/>
    </w:rPr>
  </w:style>
  <w:style w:type="character" w:customStyle="1" w:styleId="502">
    <w:name w:val="L正文 Char"/>
    <w:link w:val="503"/>
    <w:qFormat/>
    <w:uiPriority w:val="0"/>
    <w:rPr>
      <w:rFonts w:ascii="Times New Roman" w:hAnsi="Times New Roman" w:cs="宋体"/>
      <w:bCs/>
      <w:snapToGrid/>
      <w:sz w:val="26"/>
      <w:szCs w:val="26"/>
    </w:rPr>
  </w:style>
  <w:style w:type="paragraph" w:customStyle="1" w:styleId="503">
    <w:name w:val="L正文"/>
    <w:basedOn w:val="1"/>
    <w:link w:val="502"/>
    <w:qFormat/>
    <w:uiPriority w:val="0"/>
    <w:pPr>
      <w:autoSpaceDE w:val="0"/>
      <w:autoSpaceDN w:val="0"/>
      <w:adjustRightInd w:val="0"/>
      <w:snapToGrid w:val="0"/>
      <w:spacing w:line="360" w:lineRule="auto"/>
      <w:ind w:firstLine="200" w:firstLineChars="200"/>
    </w:pPr>
    <w:rPr>
      <w:rFonts w:ascii="Times New Roman" w:hAnsi="Times New Roman"/>
      <w:bCs/>
      <w:kern w:val="0"/>
      <w:sz w:val="26"/>
      <w:szCs w:val="26"/>
    </w:rPr>
  </w:style>
  <w:style w:type="character" w:customStyle="1" w:styleId="504">
    <w:name w:val="Char Char121"/>
    <w:qFormat/>
    <w:uiPriority w:val="0"/>
    <w:rPr>
      <w:rFonts w:eastAsia="宋体"/>
      <w:sz w:val="24"/>
      <w:lang w:val="en-US" w:eastAsia="zh-CN" w:bidi="ar-SA"/>
    </w:rPr>
  </w:style>
  <w:style w:type="character" w:customStyle="1" w:styleId="505">
    <w:name w:val="正文1"/>
    <w:qFormat/>
    <w:uiPriority w:val="0"/>
    <w:rPr>
      <w:kern w:val="0"/>
    </w:rPr>
  </w:style>
  <w:style w:type="character" w:customStyle="1" w:styleId="506">
    <w:name w:val="t_tag"/>
    <w:qFormat/>
    <w:uiPriority w:val="0"/>
  </w:style>
  <w:style w:type="character" w:customStyle="1" w:styleId="507">
    <w:name w:val="图名 Char1"/>
    <w:link w:val="508"/>
    <w:qFormat/>
    <w:uiPriority w:val="0"/>
    <w:rPr>
      <w:rFonts w:ascii="Times New Roman" w:hAnsi="Times New Roman"/>
      <w:b/>
      <w:kern w:val="2"/>
      <w:sz w:val="21"/>
      <w:szCs w:val="24"/>
    </w:rPr>
  </w:style>
  <w:style w:type="paragraph" w:customStyle="1" w:styleId="508">
    <w:name w:val="图名"/>
    <w:basedOn w:val="1"/>
    <w:link w:val="507"/>
    <w:qFormat/>
    <w:uiPriority w:val="0"/>
    <w:pPr>
      <w:widowControl/>
      <w:spacing w:after="62" w:afterLines="20"/>
      <w:jc w:val="center"/>
    </w:pPr>
    <w:rPr>
      <w:rFonts w:ascii="Times New Roman" w:hAnsi="Times New Roman"/>
      <w:b/>
      <w:szCs w:val="24"/>
    </w:rPr>
  </w:style>
  <w:style w:type="character" w:customStyle="1" w:styleId="509">
    <w:name w:val="表标题 Char"/>
    <w:link w:val="510"/>
    <w:qFormat/>
    <w:uiPriority w:val="0"/>
    <w:rPr>
      <w:rFonts w:ascii="宋体" w:hAnsi="宋体"/>
      <w:spacing w:val="-5"/>
      <w:sz w:val="24"/>
      <w:szCs w:val="24"/>
    </w:rPr>
  </w:style>
  <w:style w:type="paragraph" w:customStyle="1" w:styleId="510">
    <w:name w:val="表标题"/>
    <w:basedOn w:val="1"/>
    <w:link w:val="509"/>
    <w:qFormat/>
    <w:uiPriority w:val="0"/>
    <w:pPr>
      <w:snapToGrid w:val="0"/>
      <w:spacing w:line="440" w:lineRule="exact"/>
      <w:jc w:val="center"/>
    </w:pPr>
    <w:rPr>
      <w:rFonts w:ascii="宋体" w:hAnsi="宋体"/>
      <w:spacing w:val="-5"/>
      <w:kern w:val="0"/>
      <w:sz w:val="24"/>
      <w:szCs w:val="24"/>
    </w:rPr>
  </w:style>
  <w:style w:type="character" w:customStyle="1" w:styleId="511">
    <w:name w:val="正文文本 Char2"/>
    <w:semiHidden/>
    <w:qFormat/>
    <w:uiPriority w:val="0"/>
    <w:rPr>
      <w:rFonts w:ascii="Times New Roman" w:hAnsi="Times New Roman" w:eastAsia="宋体" w:cs="Times New Roman"/>
      <w:szCs w:val="24"/>
    </w:rPr>
  </w:style>
  <w:style w:type="character" w:customStyle="1" w:styleId="512">
    <w:name w:val="jj1"/>
    <w:qFormat/>
    <w:uiPriority w:val="0"/>
  </w:style>
  <w:style w:type="character" w:customStyle="1" w:styleId="513">
    <w:name w:val="标题 7 表 Char1"/>
    <w:qFormat/>
    <w:uiPriority w:val="0"/>
    <w:rPr>
      <w:rFonts w:ascii="Times New Roman" w:hAnsi="Times New Roman" w:eastAsia="宋体" w:cs="Times New Roman"/>
      <w:b/>
      <w:bCs/>
      <w:sz w:val="24"/>
      <w:szCs w:val="24"/>
    </w:rPr>
  </w:style>
  <w:style w:type="character" w:customStyle="1" w:styleId="514">
    <w:name w:val="ldh14-01"/>
    <w:qFormat/>
    <w:uiPriority w:val="0"/>
    <w:rPr>
      <w:b/>
      <w:bCs/>
      <w:color w:val="FFFFFF"/>
      <w:sz w:val="18"/>
      <w:szCs w:val="18"/>
    </w:rPr>
  </w:style>
  <w:style w:type="character" w:customStyle="1" w:styleId="515">
    <w:name w:val="Char Char17"/>
    <w:qFormat/>
    <w:uiPriority w:val="0"/>
    <w:rPr>
      <w:rFonts w:eastAsia="宋体"/>
      <w:b/>
      <w:bCs/>
      <w:kern w:val="2"/>
      <w:sz w:val="32"/>
      <w:szCs w:val="32"/>
      <w:lang w:val="en-US" w:eastAsia="zh-CN" w:bidi="ar-SA"/>
    </w:rPr>
  </w:style>
  <w:style w:type="character" w:customStyle="1" w:styleId="516">
    <w:name w:val="bold121"/>
    <w:qFormat/>
    <w:uiPriority w:val="0"/>
    <w:rPr>
      <w:b/>
      <w:bCs/>
      <w:sz w:val="18"/>
      <w:szCs w:val="18"/>
    </w:rPr>
  </w:style>
  <w:style w:type="character" w:customStyle="1" w:styleId="517">
    <w:name w:val="Font Style375"/>
    <w:qFormat/>
    <w:uiPriority w:val="0"/>
    <w:rPr>
      <w:rFonts w:ascii="Times New Roman" w:hAnsi="Times New Roman" w:cs="Times New Roman"/>
      <w:sz w:val="22"/>
      <w:szCs w:val="22"/>
    </w:rPr>
  </w:style>
  <w:style w:type="character" w:customStyle="1" w:styleId="518">
    <w:name w:val="Char Char12"/>
    <w:qFormat/>
    <w:uiPriority w:val="0"/>
    <w:rPr>
      <w:rFonts w:eastAsia="宋体"/>
      <w:b/>
      <w:bCs/>
      <w:kern w:val="2"/>
      <w:sz w:val="32"/>
      <w:szCs w:val="32"/>
      <w:lang w:val="en-US" w:eastAsia="zh-CN" w:bidi="ar-SA"/>
    </w:rPr>
  </w:style>
  <w:style w:type="character" w:customStyle="1" w:styleId="519">
    <w:name w:val="表题 Char"/>
    <w:qFormat/>
    <w:uiPriority w:val="0"/>
    <w:rPr>
      <w:rFonts w:eastAsia="宋体"/>
      <w:b/>
      <w:snapToGrid/>
      <w:sz w:val="21"/>
      <w:szCs w:val="21"/>
      <w:lang w:val="en-US" w:eastAsia="zh-CN" w:bidi="ar-SA"/>
    </w:rPr>
  </w:style>
  <w:style w:type="character" w:customStyle="1" w:styleId="520">
    <w:name w:val="f18bt"/>
    <w:qFormat/>
    <w:uiPriority w:val="0"/>
  </w:style>
  <w:style w:type="character" w:customStyle="1" w:styleId="521">
    <w:name w:val="f9wen1"/>
    <w:qFormat/>
    <w:uiPriority w:val="0"/>
    <w:rPr>
      <w:spacing w:val="12"/>
      <w:sz w:val="18"/>
      <w:szCs w:val="18"/>
      <w:u w:val="none"/>
    </w:rPr>
  </w:style>
  <w:style w:type="character" w:customStyle="1" w:styleId="522">
    <w:name w:val="Char Char151"/>
    <w:qFormat/>
    <w:locked/>
    <w:uiPriority w:val="0"/>
    <w:rPr>
      <w:rFonts w:ascii="宋体" w:eastAsia="宋体" w:cs="宋体"/>
      <w:sz w:val="24"/>
      <w:szCs w:val="24"/>
      <w:lang w:val="en-US" w:eastAsia="zh-CN" w:bidi="ar-SA"/>
    </w:rPr>
  </w:style>
  <w:style w:type="character" w:customStyle="1" w:styleId="523">
    <w:name w:val="样式 首行缩进:  2 字符 Char"/>
    <w:link w:val="524"/>
    <w:qFormat/>
    <w:locked/>
    <w:uiPriority w:val="0"/>
    <w:rPr>
      <w:rFonts w:ascii="Times New Roman" w:hAnsi="Times New Roman" w:cs="宋体"/>
      <w:kern w:val="2"/>
      <w:sz w:val="21"/>
    </w:rPr>
  </w:style>
  <w:style w:type="paragraph" w:customStyle="1" w:styleId="524">
    <w:name w:val="样式 首行缩进:  2 字符"/>
    <w:basedOn w:val="1"/>
    <w:link w:val="523"/>
    <w:qFormat/>
    <w:uiPriority w:val="0"/>
    <w:pPr>
      <w:ind w:firstLine="420" w:firstLineChars="200"/>
    </w:pPr>
    <w:rPr>
      <w:rFonts w:ascii="Times New Roman" w:hAnsi="Times New Roman"/>
      <w:szCs w:val="20"/>
    </w:rPr>
  </w:style>
  <w:style w:type="character" w:customStyle="1" w:styleId="525">
    <w:name w:val="表题图题 Char"/>
    <w:qFormat/>
    <w:uiPriority w:val="0"/>
    <w:rPr>
      <w:rFonts w:ascii="宋体" w:hAnsi="宋体" w:eastAsia="宋体" w:cs="Arial Unicode MS"/>
      <w:b/>
      <w:sz w:val="21"/>
      <w:szCs w:val="21"/>
      <w:lang w:val="en-US" w:eastAsia="zh-CN" w:bidi="ar-SA"/>
    </w:rPr>
  </w:style>
  <w:style w:type="character" w:customStyle="1" w:styleId="526">
    <w:name w:val="even Char1"/>
    <w:qFormat/>
    <w:uiPriority w:val="0"/>
    <w:rPr>
      <w:rFonts w:ascii="Times New Roman" w:hAnsi="Times New Roman"/>
      <w:kern w:val="2"/>
      <w:sz w:val="18"/>
      <w:szCs w:val="18"/>
    </w:rPr>
  </w:style>
  <w:style w:type="character" w:customStyle="1" w:styleId="527">
    <w:name w:val="ft42"/>
    <w:qFormat/>
    <w:uiPriority w:val="0"/>
    <w:rPr>
      <w:rFonts w:hint="default" w:ascii="Times" w:hAnsi="Times" w:cs="Times"/>
      <w:color w:val="000000"/>
      <w:sz w:val="27"/>
      <w:szCs w:val="27"/>
    </w:rPr>
  </w:style>
  <w:style w:type="character" w:customStyle="1" w:styleId="528">
    <w:name w:val="注释 Char Char Char"/>
    <w:link w:val="529"/>
    <w:qFormat/>
    <w:uiPriority w:val="0"/>
    <w:rPr>
      <w:rFonts w:ascii="Times New Roman" w:hAnsi="Times New Roman"/>
      <w:bCs/>
      <w:kern w:val="44"/>
      <w:sz w:val="18"/>
      <w:szCs w:val="18"/>
      <w:lang w:val="en-US" w:eastAsia="zh-CN" w:bidi="ar-SA"/>
    </w:rPr>
  </w:style>
  <w:style w:type="paragraph" w:customStyle="1" w:styleId="529">
    <w:name w:val="注释 Char Char"/>
    <w:next w:val="1"/>
    <w:link w:val="528"/>
    <w:qFormat/>
    <w:uiPriority w:val="0"/>
    <w:pPr>
      <w:jc w:val="center"/>
    </w:pPr>
    <w:rPr>
      <w:rFonts w:ascii="Times New Roman" w:hAnsi="Times New Roman" w:eastAsia="宋体" w:cs="Times New Roman"/>
      <w:bCs/>
      <w:kern w:val="44"/>
      <w:sz w:val="18"/>
      <w:szCs w:val="18"/>
      <w:lang w:val="en-US" w:eastAsia="zh-CN" w:bidi="ar-SA"/>
    </w:rPr>
  </w:style>
  <w:style w:type="character" w:customStyle="1" w:styleId="530">
    <w:name w:val="图表名 Char Char Char Char Char Char Char Char Char Char Char"/>
    <w:link w:val="531"/>
    <w:qFormat/>
    <w:uiPriority w:val="0"/>
    <w:rPr>
      <w:rFonts w:ascii="Times New Roman" w:hAnsi="宋体"/>
      <w:b/>
      <w:snapToGrid/>
      <w:kern w:val="2"/>
      <w:sz w:val="21"/>
      <w:szCs w:val="21"/>
    </w:rPr>
  </w:style>
  <w:style w:type="paragraph" w:customStyle="1" w:styleId="531">
    <w:name w:val="图表名 Char Char Char Char Char Char Char Char Char Char"/>
    <w:basedOn w:val="1"/>
    <w:link w:val="530"/>
    <w:qFormat/>
    <w:uiPriority w:val="0"/>
    <w:pPr>
      <w:widowControl/>
      <w:tabs>
        <w:tab w:val="left" w:pos="4680"/>
      </w:tabs>
      <w:spacing w:before="62" w:beforeLines="20" w:after="62" w:afterLines="20"/>
      <w:jc w:val="center"/>
    </w:pPr>
    <w:rPr>
      <w:rFonts w:ascii="Times New Roman" w:hAnsi="宋体"/>
      <w:b/>
      <w:szCs w:val="21"/>
    </w:rPr>
  </w:style>
  <w:style w:type="character" w:customStyle="1" w:styleId="532">
    <w:name w:val="Char Char31"/>
    <w:semiHidden/>
    <w:qFormat/>
    <w:uiPriority w:val="0"/>
    <w:rPr>
      <w:rFonts w:ascii="Times New Roman" w:hAnsi="Times New Roman" w:eastAsia="宋体" w:cs="Times New Roman"/>
      <w:b/>
      <w:bCs/>
      <w:szCs w:val="24"/>
    </w:rPr>
  </w:style>
  <w:style w:type="character" w:customStyle="1" w:styleId="533">
    <w:name w:val="1.1.1标题 3 Char Char"/>
    <w:qFormat/>
    <w:uiPriority w:val="0"/>
    <w:rPr>
      <w:rFonts w:hint="default" w:ascii="Arial" w:hAnsi="Arial" w:eastAsia="宋体" w:cs="Times New Roman"/>
      <w:b/>
      <w:kern w:val="44"/>
      <w:sz w:val="30"/>
      <w:szCs w:val="20"/>
    </w:rPr>
  </w:style>
  <w:style w:type="character" w:customStyle="1" w:styleId="534">
    <w:name w:val="普通文字 Char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535">
    <w:name w:val="干标题(a) Char Char"/>
    <w:qFormat/>
    <w:uiPriority w:val="0"/>
    <w:rPr>
      <w:rFonts w:ascii="Arial" w:hAnsi="Arial" w:eastAsia="黑体"/>
      <w:kern w:val="2"/>
      <w:sz w:val="21"/>
      <w:szCs w:val="21"/>
      <w:lang w:val="en-US" w:eastAsia="zh-CN" w:bidi="ar-SA"/>
    </w:rPr>
  </w:style>
  <w:style w:type="character" w:customStyle="1" w:styleId="536">
    <w:name w:val="左2 Char"/>
    <w:link w:val="537"/>
    <w:qFormat/>
    <w:locked/>
    <w:uiPriority w:val="0"/>
    <w:rPr>
      <w:rFonts w:ascii="宋体" w:hAnsi="宋体"/>
      <w:kern w:val="2"/>
      <w:sz w:val="28"/>
      <w:szCs w:val="28"/>
    </w:rPr>
  </w:style>
  <w:style w:type="paragraph" w:customStyle="1" w:styleId="537">
    <w:name w:val="左2"/>
    <w:basedOn w:val="1"/>
    <w:next w:val="1"/>
    <w:link w:val="536"/>
    <w:qFormat/>
    <w:uiPriority w:val="0"/>
    <w:pPr>
      <w:spacing w:line="500" w:lineRule="exact"/>
      <w:ind w:firstLine="560" w:firstLineChars="200"/>
    </w:pPr>
    <w:rPr>
      <w:rFonts w:ascii="宋体" w:hAnsi="宋体"/>
      <w:sz w:val="28"/>
      <w:szCs w:val="28"/>
    </w:rPr>
  </w:style>
  <w:style w:type="character" w:customStyle="1" w:styleId="538">
    <w:name w:val="copyright1"/>
    <w:qFormat/>
    <w:uiPriority w:val="0"/>
    <w:rPr>
      <w:rFonts w:hint="default" w:ascii="_x000B__x000C_" w:hAnsi="_x000B__x000C_"/>
      <w:color w:val="000000"/>
    </w:rPr>
  </w:style>
  <w:style w:type="character" w:customStyle="1" w:styleId="539">
    <w:name w:val="正文文本缩进 Char Char Char Char Char Char Cha Char"/>
    <w:qFormat/>
    <w:uiPriority w:val="0"/>
    <w:rPr>
      <w:rFonts w:eastAsia="宋体"/>
      <w:kern w:val="2"/>
      <w:sz w:val="28"/>
      <w:szCs w:val="24"/>
      <w:lang w:val="en-US" w:eastAsia="zh-CN" w:bidi="ar-SA"/>
    </w:rPr>
  </w:style>
  <w:style w:type="character" w:customStyle="1" w:styleId="540">
    <w:name w:val="Font Style316"/>
    <w:qFormat/>
    <w:uiPriority w:val="0"/>
    <w:rPr>
      <w:rFonts w:ascii="宋体" w:eastAsia="宋体" w:cs="宋体"/>
      <w:b/>
      <w:bCs/>
      <w:sz w:val="20"/>
      <w:szCs w:val="20"/>
    </w:rPr>
  </w:style>
  <w:style w:type="character" w:customStyle="1" w:styleId="541">
    <w:name w:val="表号 Char1"/>
    <w:link w:val="542"/>
    <w:qFormat/>
    <w:uiPriority w:val="0"/>
    <w:rPr>
      <w:rFonts w:ascii="Arial Narrow" w:hAnsi="Arial Narrow" w:eastAsia="汉鼎简书宋"/>
      <w:kern w:val="2"/>
      <w:sz w:val="24"/>
      <w:szCs w:val="24"/>
    </w:rPr>
  </w:style>
  <w:style w:type="paragraph" w:customStyle="1" w:styleId="542">
    <w:name w:val="表号"/>
    <w:basedOn w:val="1"/>
    <w:link w:val="541"/>
    <w:qFormat/>
    <w:uiPriority w:val="0"/>
    <w:pPr>
      <w:adjustRightInd w:val="0"/>
      <w:spacing w:line="240" w:lineRule="atLeast"/>
      <w:outlineLvl w:val="4"/>
    </w:pPr>
    <w:rPr>
      <w:rFonts w:ascii="Arial Narrow" w:hAnsi="Arial Narrow" w:eastAsia="汉鼎简书宋"/>
      <w:sz w:val="24"/>
      <w:szCs w:val="24"/>
    </w:rPr>
  </w:style>
  <w:style w:type="character" w:customStyle="1" w:styleId="543">
    <w:name w:val="smessage_content"/>
    <w:qFormat/>
    <w:uiPriority w:val="0"/>
  </w:style>
  <w:style w:type="paragraph" w:customStyle="1" w:styleId="544">
    <w:name w:val=" Char Char1 Char"/>
    <w:basedOn w:val="1"/>
    <w:qFormat/>
    <w:uiPriority w:val="0"/>
    <w:pPr>
      <w:adjustRightInd w:val="0"/>
      <w:spacing w:line="360" w:lineRule="atLeast"/>
      <w:textAlignment w:val="baseline"/>
    </w:pPr>
    <w:rPr>
      <w:rFonts w:ascii="Tahoma" w:hAnsi="Tahoma"/>
      <w:sz w:val="24"/>
      <w:szCs w:val="20"/>
    </w:rPr>
  </w:style>
  <w:style w:type="paragraph" w:customStyle="1" w:styleId="545">
    <w:name w:val="正文首行缩进1"/>
    <w:basedOn w:val="79"/>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after="0"/>
      <w:ind w:left="0" w:firstLine="561"/>
      <w:textAlignment w:val="baseline"/>
    </w:pPr>
    <w:rPr>
      <w:rFonts w:ascii="Times New Roman" w:hAnsi="Times New Roman" w:eastAsia="宋体"/>
      <w:kern w:val="0"/>
      <w:sz w:val="28"/>
    </w:rPr>
  </w:style>
  <w:style w:type="paragraph" w:customStyle="1" w:styleId="546">
    <w:name w:val=" Char Char Char Char Char Char Char Char Char"/>
    <w:basedOn w:val="1"/>
    <w:semiHidden/>
    <w:qFormat/>
    <w:uiPriority w:val="0"/>
    <w:rPr>
      <w:rFonts w:ascii="Times New Roman" w:hAnsi="Times New Roman"/>
      <w:szCs w:val="24"/>
    </w:rPr>
  </w:style>
  <w:style w:type="paragraph" w:customStyle="1" w:styleId="547">
    <w:name w:val=" Char Char Char Char Char Char Char Char Char Char Char1 Char Char Char Char Char Char Char"/>
    <w:basedOn w:val="1"/>
    <w:qFormat/>
    <w:uiPriority w:val="0"/>
    <w:rPr>
      <w:rFonts w:ascii="Times New Roman" w:hAnsi="Times New Roman"/>
      <w:szCs w:val="24"/>
    </w:rPr>
  </w:style>
  <w:style w:type="paragraph" w:customStyle="1" w:styleId="548">
    <w:name w:val="6"/>
    <w:basedOn w:val="1"/>
    <w:next w:val="34"/>
    <w:qFormat/>
    <w:uiPriority w:val="0"/>
    <w:pPr>
      <w:spacing w:line="360" w:lineRule="auto"/>
      <w:ind w:firstLine="480" w:firstLineChars="200"/>
    </w:pPr>
    <w:rPr>
      <w:rFonts w:ascii="Times New Roman" w:hAnsi="Times New Roman"/>
      <w:sz w:val="24"/>
      <w:szCs w:val="24"/>
    </w:rPr>
  </w:style>
  <w:style w:type="paragraph" w:customStyle="1" w:styleId="549">
    <w:name w:val="附件名"/>
    <w:qFormat/>
    <w:uiPriority w:val="0"/>
    <w:pPr>
      <w:jc w:val="center"/>
    </w:pPr>
    <w:rPr>
      <w:rFonts w:ascii="Times New Roman" w:hAnsi="Times New Roman" w:eastAsia="黑体" w:cs="Times New Roman"/>
      <w:sz w:val="36"/>
      <w:lang w:val="en-US" w:eastAsia="zh-CN" w:bidi="ar-SA"/>
    </w:rPr>
  </w:style>
  <w:style w:type="paragraph" w:customStyle="1" w:styleId="550">
    <w:name w:val="font6"/>
    <w:basedOn w:val="1"/>
    <w:qFormat/>
    <w:uiPriority w:val="0"/>
    <w:pPr>
      <w:widowControl/>
      <w:spacing w:before="100" w:beforeLines="0" w:beforeAutospacing="1" w:after="100" w:afterLines="0" w:afterAutospacing="1"/>
      <w:jc w:val="left"/>
    </w:pPr>
    <w:rPr>
      <w:rFonts w:ascii="Times New Roman" w:hAnsi="Times New Roman"/>
      <w:kern w:val="0"/>
      <w:sz w:val="24"/>
      <w:szCs w:val="24"/>
    </w:rPr>
  </w:style>
  <w:style w:type="paragraph" w:customStyle="1" w:styleId="551">
    <w:name w:val="样式 黑体 四号 行距: 固定值 28 磅"/>
    <w:basedOn w:val="1"/>
    <w:qFormat/>
    <w:uiPriority w:val="0"/>
    <w:pPr>
      <w:spacing w:line="560" w:lineRule="exact"/>
    </w:pPr>
    <w:rPr>
      <w:rFonts w:ascii="黑体" w:hAnsi="Times New Roman" w:eastAsia="黑体" w:cs="宋体"/>
      <w:sz w:val="30"/>
      <w:szCs w:val="20"/>
    </w:rPr>
  </w:style>
  <w:style w:type="paragraph" w:customStyle="1" w:styleId="552">
    <w:name w:val="?2"/>
    <w:basedOn w:val="1"/>
    <w:next w:val="1"/>
    <w:qFormat/>
    <w:uiPriority w:val="0"/>
    <w:pPr>
      <w:autoSpaceDE w:val="0"/>
      <w:autoSpaceDN w:val="0"/>
      <w:adjustRightInd w:val="0"/>
      <w:jc w:val="left"/>
    </w:pPr>
    <w:rPr>
      <w:rFonts w:ascii="五" w:hAnsi="Times New Roman" w:eastAsia="五"/>
      <w:kern w:val="0"/>
      <w:sz w:val="20"/>
      <w:szCs w:val="24"/>
    </w:rPr>
  </w:style>
  <w:style w:type="paragraph" w:customStyle="1" w:styleId="553">
    <w:name w:val="征文"/>
    <w:basedOn w:val="1"/>
    <w:qFormat/>
    <w:uiPriority w:val="0"/>
    <w:pPr>
      <w:spacing w:line="400" w:lineRule="exact"/>
      <w:ind w:firstLine="480"/>
    </w:pPr>
    <w:rPr>
      <w:rFonts w:ascii="Times New Roman" w:hAnsi="Times New Roman" w:cs="宋体"/>
      <w:sz w:val="24"/>
      <w:szCs w:val="20"/>
    </w:rPr>
  </w:style>
  <w:style w:type="paragraph" w:customStyle="1" w:styleId="554">
    <w:name w:val="12 Char Char Char Char"/>
    <w:basedOn w:val="1"/>
    <w:qFormat/>
    <w:uiPriority w:val="0"/>
    <w:pPr>
      <w:spacing w:line="360" w:lineRule="auto"/>
      <w:ind w:firstLine="200" w:firstLineChars="200"/>
      <w:jc w:val="left"/>
    </w:pPr>
    <w:rPr>
      <w:rFonts w:ascii="宋体" w:hAnsi="宋体"/>
      <w:position w:val="-6"/>
      <w:sz w:val="28"/>
      <w:szCs w:val="20"/>
      <w:u w:val="single"/>
    </w:rPr>
  </w:style>
  <w:style w:type="paragraph" w:customStyle="1" w:styleId="555">
    <w:name w:val="正文内容"/>
    <w:basedOn w:val="1"/>
    <w:qFormat/>
    <w:uiPriority w:val="0"/>
    <w:pPr>
      <w:widowControl w:val="0"/>
      <w:spacing w:line="360" w:lineRule="auto"/>
      <w:ind w:firstLine="200" w:firstLineChars="200"/>
      <w:jc w:val="both"/>
    </w:pPr>
    <w:rPr>
      <w:rFonts w:ascii="宋体"/>
      <w:sz w:val="24"/>
      <w:szCs w:val="20"/>
    </w:rPr>
  </w:style>
  <w:style w:type="paragraph" w:customStyle="1" w:styleId="556">
    <w:name w:val="表格内容格式"/>
    <w:basedOn w:val="1"/>
    <w:qFormat/>
    <w:uiPriority w:val="0"/>
    <w:pPr>
      <w:adjustRightInd w:val="0"/>
      <w:spacing w:line="240" w:lineRule="atLeast"/>
      <w:textAlignment w:val="baseline"/>
    </w:pPr>
    <w:rPr>
      <w:rFonts w:ascii="宋体" w:hAnsi="宋体"/>
      <w:snapToGrid w:val="0"/>
      <w:color w:val="000000"/>
      <w:kern w:val="0"/>
      <w:szCs w:val="20"/>
    </w:rPr>
  </w:style>
  <w:style w:type="paragraph" w:customStyle="1" w:styleId="557">
    <w:name w:val="Char Char Char Char Char Char Char Char1"/>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558">
    <w:name w:val="样式 仿宋_GB2312 四号 行距: 1.5 倍行距 首行缩进:  2 字符"/>
    <w:basedOn w:val="1"/>
    <w:qFormat/>
    <w:uiPriority w:val="0"/>
    <w:pPr>
      <w:spacing w:line="360" w:lineRule="auto"/>
      <w:ind w:firstLine="560" w:firstLineChars="200"/>
    </w:pPr>
    <w:rPr>
      <w:rFonts w:ascii="仿宋_GB2312" w:hAnsi="Times New Roman" w:eastAsia="仿宋_GB2312" w:cs="宋体"/>
      <w:sz w:val="28"/>
      <w:szCs w:val="20"/>
    </w:rPr>
  </w:style>
  <w:style w:type="paragraph" w:customStyle="1" w:styleId="559">
    <w:name w:val="样式 标题 1Part + 段前: 0.5 行"/>
    <w:basedOn w:val="3"/>
    <w:qFormat/>
    <w:uiPriority w:val="0"/>
    <w:pPr>
      <w:keepNext w:val="0"/>
      <w:keepLines w:val="0"/>
      <w:pageBreakBefore/>
      <w:numPr>
        <w:ilvl w:val="0"/>
        <w:numId w:val="0"/>
      </w:numPr>
      <w:tabs>
        <w:tab w:val="center" w:pos="4323"/>
        <w:tab w:val="left" w:pos="7806"/>
      </w:tabs>
      <w:snapToGrid w:val="0"/>
      <w:spacing w:before="0" w:beforeLines="0" w:after="0" w:afterLines="0" w:line="300" w:lineRule="auto"/>
      <w:ind w:left="3"/>
      <w:jc w:val="center"/>
      <w:outlineLvl w:val="9"/>
    </w:pPr>
    <w:rPr>
      <w:rFonts w:eastAsia="方正小标宋简体"/>
      <w:spacing w:val="20"/>
      <w:kern w:val="2"/>
      <w:sz w:val="36"/>
      <w:szCs w:val="20"/>
      <w:lang w:val="en-US" w:eastAsia="zh-CN"/>
    </w:rPr>
  </w:style>
  <w:style w:type="paragraph" w:customStyle="1" w:styleId="560">
    <w:name w:val="正文样式1"/>
    <w:basedOn w:val="1"/>
    <w:qFormat/>
    <w:uiPriority w:val="0"/>
    <w:pPr>
      <w:adjustRightInd w:val="0"/>
      <w:ind w:firstLine="420" w:firstLineChars="200"/>
      <w:textAlignment w:val="baseline"/>
    </w:pPr>
    <w:rPr>
      <w:rFonts w:ascii="Times New Roman" w:hAnsi="Times New Roman"/>
      <w:snapToGrid w:val="0"/>
      <w:kern w:val="0"/>
      <w:szCs w:val="20"/>
    </w:rPr>
  </w:style>
  <w:style w:type="paragraph" w:customStyle="1" w:styleId="561">
    <w:name w:val="新"/>
    <w:basedOn w:val="7"/>
    <w:qFormat/>
    <w:uiPriority w:val="0"/>
    <w:pPr>
      <w:tabs>
        <w:tab w:val="left" w:pos="3600"/>
      </w:tabs>
      <w:ind w:left="3600" w:hanging="360"/>
    </w:pPr>
    <w:rPr>
      <w:bCs w:val="0"/>
      <w:kern w:val="2"/>
      <w:sz w:val="24"/>
      <w:szCs w:val="20"/>
      <w:lang w:val="en-US" w:eastAsia="zh-CN"/>
    </w:rPr>
  </w:style>
  <w:style w:type="paragraph" w:customStyle="1" w:styleId="562">
    <w:name w:val="默认段落字体 Para Char Char Char Char Char Char Char"/>
    <w:basedOn w:val="1"/>
    <w:qFormat/>
    <w:uiPriority w:val="0"/>
    <w:rPr>
      <w:rFonts w:ascii="Arial" w:hAnsi="Arial" w:cs="Arial"/>
      <w:sz w:val="20"/>
      <w:szCs w:val="20"/>
    </w:rPr>
  </w:style>
  <w:style w:type="paragraph" w:customStyle="1" w:styleId="563">
    <w:name w:val="图题注"/>
    <w:basedOn w:val="20"/>
    <w:qFormat/>
    <w:uiPriority w:val="0"/>
    <w:pPr>
      <w:spacing w:before="0" w:beforeLines="0" w:after="0" w:afterLines="0"/>
      <w:ind w:firstLine="295" w:firstLineChars="147"/>
      <w:jc w:val="both"/>
    </w:pPr>
    <w:rPr>
      <w:rFonts w:ascii="Times New Roman" w:eastAsia="宋体" w:cs="宋体"/>
      <w:kern w:val="2"/>
      <w:sz w:val="21"/>
      <w:szCs w:val="21"/>
      <w:lang w:val="en-US" w:eastAsia="zh-CN"/>
    </w:rPr>
  </w:style>
  <w:style w:type="paragraph" w:customStyle="1" w:styleId="564">
    <w:name w:val="表体"/>
    <w:basedOn w:val="1"/>
    <w:qFormat/>
    <w:uiPriority w:val="0"/>
    <w:pPr>
      <w:adjustRightInd w:val="0"/>
      <w:snapToGrid w:val="0"/>
      <w:spacing w:before="62" w:beforeLines="20" w:after="62" w:afterLines="20"/>
      <w:jc w:val="center"/>
    </w:pPr>
    <w:rPr>
      <w:rFonts w:ascii="Times New Roman" w:hAnsi="Times New Roman"/>
      <w:szCs w:val="24"/>
    </w:rPr>
  </w:style>
  <w:style w:type="paragraph" w:customStyle="1" w:styleId="565">
    <w:name w:val="蒲标题2"/>
    <w:basedOn w:val="4"/>
    <w:qFormat/>
    <w:uiPriority w:val="0"/>
    <w:pPr>
      <w:autoSpaceDE w:val="0"/>
      <w:autoSpaceDN w:val="0"/>
      <w:snapToGrid w:val="0"/>
      <w:spacing w:before="0" w:beforeLines="0" w:after="0" w:afterLines="0" w:line="360" w:lineRule="auto"/>
      <w:textAlignment w:val="auto"/>
      <w:outlineLvl w:val="0"/>
    </w:pPr>
    <w:rPr>
      <w:rFonts w:ascii="Times New Roman" w:hAnsi="Times New Roman"/>
      <w:color w:val="000000"/>
      <w:sz w:val="24"/>
      <w:szCs w:val="24"/>
      <w:lang w:val="en-US" w:eastAsia="zh-CN"/>
    </w:rPr>
  </w:style>
  <w:style w:type="paragraph" w:customStyle="1" w:styleId="566">
    <w:name w:val="设计封面日期中宋2"/>
    <w:basedOn w:val="1"/>
    <w:next w:val="1"/>
    <w:qFormat/>
    <w:uiPriority w:val="0"/>
    <w:pPr>
      <w:tabs>
        <w:tab w:val="left" w:pos="210"/>
      </w:tabs>
      <w:snapToGrid w:val="0"/>
      <w:spacing w:line="360" w:lineRule="auto"/>
      <w:jc w:val="center"/>
    </w:pPr>
    <w:rPr>
      <w:rFonts w:ascii="宋体" w:hAnsi="宋体"/>
      <w:b/>
      <w:bCs/>
      <w:spacing w:val="60"/>
      <w:sz w:val="44"/>
      <w:szCs w:val="28"/>
    </w:rPr>
  </w:style>
  <w:style w:type="paragraph" w:customStyle="1" w:styleId="567">
    <w:name w:val="样式 标题 1标题 1 Char Char Char + (西文) Arial (中文) 黑体 四号 黑色 居中 段..."/>
    <w:basedOn w:val="3"/>
    <w:qFormat/>
    <w:uiPriority w:val="0"/>
    <w:pPr>
      <w:numPr>
        <w:ilvl w:val="0"/>
        <w:numId w:val="0"/>
      </w:numPr>
      <w:spacing w:before="0" w:beforeLines="0" w:after="0" w:afterLines="0" w:line="720" w:lineRule="auto"/>
      <w:jc w:val="center"/>
    </w:pPr>
    <w:rPr>
      <w:rFonts w:ascii="Arial" w:hAnsi="Arial" w:eastAsia="黑体" w:cs="宋体"/>
      <w:color w:val="000000"/>
      <w:sz w:val="30"/>
      <w:szCs w:val="20"/>
      <w:lang w:val="en-US" w:eastAsia="zh-CN"/>
    </w:rPr>
  </w:style>
  <w:style w:type="paragraph" w:customStyle="1" w:styleId="568">
    <w:name w:val="图标"/>
    <w:basedOn w:val="1"/>
    <w:qFormat/>
    <w:uiPriority w:val="0"/>
    <w:pPr>
      <w:spacing w:line="360" w:lineRule="auto"/>
      <w:jc w:val="center"/>
    </w:pPr>
    <w:rPr>
      <w:rFonts w:ascii="楷体_GB2312" w:hAnsi="宋体" w:eastAsia="楷体_GB2312"/>
      <w:b/>
      <w:bCs/>
      <w:sz w:val="28"/>
      <w:szCs w:val="28"/>
    </w:rPr>
  </w:style>
  <w:style w:type="paragraph" w:customStyle="1" w:styleId="569">
    <w:name w:val="_Style 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标题  3"/>
    <w:basedOn w:val="5"/>
    <w:qFormat/>
    <w:uiPriority w:val="0"/>
    <w:pPr>
      <w:keepNext w:val="0"/>
      <w:keepLines w:val="0"/>
      <w:tabs>
        <w:tab w:val="left" w:pos="0"/>
      </w:tabs>
      <w:adjustRightInd w:val="0"/>
      <w:snapToGrid w:val="0"/>
      <w:spacing w:before="0" w:beforeLines="0" w:after="0" w:afterLines="0" w:line="360" w:lineRule="auto"/>
      <w:ind w:firstLine="564" w:firstLineChars="200"/>
      <w:jc w:val="left"/>
    </w:pPr>
    <w:rPr>
      <w:rFonts w:eastAsia="黑体" w:cs="宋体"/>
      <w:sz w:val="28"/>
      <w:szCs w:val="20"/>
      <w:lang w:val="en-US" w:eastAsia="zh-CN"/>
    </w:rPr>
  </w:style>
  <w:style w:type="paragraph" w:customStyle="1" w:styleId="571">
    <w:name w:val="样式 标题 4 + 首行缩进:  0.99 厘米 段前: 0.25 行 段后: 0.25 行"/>
    <w:basedOn w:val="6"/>
    <w:next w:val="1"/>
    <w:qFormat/>
    <w:uiPriority w:val="0"/>
    <w:pPr>
      <w:keepNext/>
      <w:keepLines/>
      <w:widowControl w:val="0"/>
      <w:numPr>
        <w:ilvl w:val="0"/>
        <w:numId w:val="0"/>
      </w:numPr>
      <w:tabs>
        <w:tab w:val="left" w:pos="360"/>
      </w:tabs>
      <w:adjustRightInd w:val="0"/>
      <w:spacing w:before="78" w:beforeLines="25" w:after="78" w:afterLines="25" w:line="360" w:lineRule="auto"/>
    </w:pPr>
    <w:rPr>
      <w:rFonts w:ascii="Arial" w:hAnsi="Arial" w:cs="宋体"/>
      <w:b w:val="0"/>
      <w:bCs/>
      <w:kern w:val="2"/>
    </w:rPr>
  </w:style>
  <w:style w:type="paragraph" w:customStyle="1" w:styleId="572">
    <w:name w:val="样式 标题 3 + 小四 行距: 单倍行距"/>
    <w:basedOn w:val="5"/>
    <w:qFormat/>
    <w:uiPriority w:val="0"/>
    <w:pPr>
      <w:tabs>
        <w:tab w:val="left" w:pos="5460"/>
      </w:tabs>
      <w:spacing w:line="240" w:lineRule="auto"/>
    </w:pPr>
    <w:rPr>
      <w:rFonts w:eastAsia="黑体" w:cs="宋体"/>
      <w:kern w:val="2"/>
      <w:sz w:val="28"/>
      <w:szCs w:val="20"/>
      <w:lang w:val="en-US" w:eastAsia="zh-CN"/>
    </w:rPr>
  </w:style>
  <w:style w:type="paragraph" w:customStyle="1" w:styleId="573">
    <w:name w:val="Style116"/>
    <w:basedOn w:val="1"/>
    <w:qFormat/>
    <w:uiPriority w:val="0"/>
    <w:pPr>
      <w:adjustRightInd w:val="0"/>
      <w:jc w:val="left"/>
    </w:pPr>
    <w:rPr>
      <w:rFonts w:ascii="宋体" w:hAnsi="Times New Roman"/>
      <w:kern w:val="0"/>
      <w:sz w:val="24"/>
      <w:szCs w:val="24"/>
    </w:rPr>
  </w:style>
  <w:style w:type="paragraph" w:customStyle="1" w:styleId="574">
    <w:name w:val="样式 宋体 小四 居中"/>
    <w:basedOn w:val="1"/>
    <w:qFormat/>
    <w:uiPriority w:val="0"/>
    <w:pPr>
      <w:jc w:val="center"/>
    </w:pPr>
    <w:rPr>
      <w:rFonts w:ascii="宋体" w:hAnsi="宋体" w:cs="宋体"/>
      <w:kern w:val="0"/>
      <w:sz w:val="24"/>
      <w:szCs w:val="20"/>
    </w:rPr>
  </w:style>
  <w:style w:type="paragraph" w:customStyle="1" w:styleId="575">
    <w:name w:val="封面正文"/>
    <w:qFormat/>
    <w:uiPriority w:val="0"/>
    <w:pPr>
      <w:jc w:val="both"/>
    </w:pPr>
    <w:rPr>
      <w:rFonts w:ascii="Times New Roman" w:hAnsi="Times New Roman" w:eastAsia="宋体" w:cs="Times New Roman"/>
      <w:lang w:val="en-US" w:eastAsia="zh-CN" w:bidi="ar-SA"/>
    </w:rPr>
  </w:style>
  <w:style w:type="paragraph" w:customStyle="1" w:styleId="576">
    <w:name w:val="段"/>
    <w:basedOn w:val="32"/>
    <w:next w:val="32"/>
    <w:qFormat/>
    <w:uiPriority w:val="0"/>
    <w:rPr>
      <w:rFonts w:ascii="宋体" w:hAnsi="Calibri"/>
      <w:color w:val="auto"/>
    </w:rPr>
  </w:style>
  <w:style w:type="paragraph" w:customStyle="1" w:styleId="577">
    <w:name w:val="样式 四号 首行缩进:  2 字符"/>
    <w:basedOn w:val="1"/>
    <w:qFormat/>
    <w:uiPriority w:val="0"/>
    <w:pPr>
      <w:spacing w:line="480" w:lineRule="atLeast"/>
      <w:ind w:firstLine="200" w:firstLineChars="200"/>
    </w:pPr>
    <w:rPr>
      <w:rFonts w:ascii="Times New Roman" w:hAnsi="Times New Roman"/>
      <w:sz w:val="24"/>
      <w:szCs w:val="24"/>
    </w:rPr>
  </w:style>
  <w:style w:type="paragraph" w:customStyle="1" w:styleId="578">
    <w:name w:val="表居中（中文）"/>
    <w:basedOn w:val="579"/>
    <w:qFormat/>
    <w:uiPriority w:val="0"/>
    <w:pPr>
      <w:ind w:left="0"/>
      <w:jc w:val="center"/>
    </w:pPr>
  </w:style>
  <w:style w:type="paragraph" w:customStyle="1" w:styleId="579">
    <w:name w:val="表格内容（中文）"/>
    <w:qFormat/>
    <w:uiPriority w:val="0"/>
    <w:pPr>
      <w:widowControl w:val="0"/>
      <w:adjustRightInd w:val="0"/>
      <w:spacing w:line="380" w:lineRule="atLeast"/>
      <w:ind w:left="113"/>
      <w:textAlignment w:val="baseline"/>
    </w:pPr>
    <w:rPr>
      <w:rFonts w:ascii="Times New Roman" w:hAnsi="Times New Roman" w:eastAsia="楷体_GB2312" w:cs="Times New Roman"/>
      <w:sz w:val="21"/>
      <w:lang w:val="en-US" w:eastAsia="zh-CN" w:bidi="ar-SA"/>
    </w:rPr>
  </w:style>
  <w:style w:type="paragraph" w:customStyle="1" w:styleId="580">
    <w:name w:val="xl48"/>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581">
    <w:name w:val="正文（唐）"/>
    <w:basedOn w:val="1"/>
    <w:semiHidden/>
    <w:qFormat/>
    <w:uiPriority w:val="0"/>
    <w:pPr>
      <w:autoSpaceDE w:val="0"/>
      <w:autoSpaceDN w:val="0"/>
      <w:adjustRightInd w:val="0"/>
      <w:spacing w:line="460" w:lineRule="exact"/>
      <w:ind w:left="-45" w:firstLine="480" w:firstLineChars="200"/>
    </w:pPr>
    <w:rPr>
      <w:rFonts w:ascii="宋体" w:hAnsi="宋体" w:eastAsia="Times New Roman" w:cs="宋体"/>
      <w:b/>
      <w:sz w:val="24"/>
      <w:szCs w:val="24"/>
    </w:rPr>
  </w:style>
  <w:style w:type="paragraph" w:customStyle="1" w:styleId="582">
    <w:name w:val="Style97"/>
    <w:basedOn w:val="1"/>
    <w:qFormat/>
    <w:uiPriority w:val="0"/>
    <w:pPr>
      <w:adjustRightInd w:val="0"/>
      <w:jc w:val="center"/>
    </w:pPr>
    <w:rPr>
      <w:rFonts w:ascii="宋体" w:hAnsi="Times New Roman"/>
      <w:kern w:val="0"/>
      <w:sz w:val="24"/>
      <w:szCs w:val="24"/>
    </w:rPr>
  </w:style>
  <w:style w:type="paragraph" w:customStyle="1" w:styleId="583">
    <w:name w:val="TEXT"/>
    <w:basedOn w:val="1"/>
    <w:qFormat/>
    <w:uiPriority w:val="0"/>
    <w:pPr>
      <w:spacing w:line="440" w:lineRule="exact"/>
      <w:ind w:firstLine="480" w:firstLineChars="200"/>
    </w:pPr>
    <w:rPr>
      <w:rFonts w:ascii="Times New Roman" w:hAnsi="Times New Roman" w:cs="宋体"/>
      <w:sz w:val="24"/>
      <w:szCs w:val="20"/>
    </w:rPr>
  </w:style>
  <w:style w:type="paragraph" w:customStyle="1" w:styleId="584">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szCs w:val="24"/>
    </w:rPr>
  </w:style>
  <w:style w:type="paragraph" w:customStyle="1" w:styleId="585">
    <w:name w:val="样式 标题 5 + 首行缩进:  0.74 厘米 段前: 0.25 行 段后: 0.25 行"/>
    <w:basedOn w:val="7"/>
    <w:qFormat/>
    <w:uiPriority w:val="0"/>
    <w:pPr>
      <w:adjustRightInd w:val="0"/>
      <w:snapToGrid w:val="0"/>
      <w:spacing w:before="78" w:beforeLines="25" w:after="78" w:afterLines="25" w:line="300" w:lineRule="auto"/>
    </w:pPr>
    <w:rPr>
      <w:rFonts w:cs="宋体"/>
      <w:kern w:val="2"/>
      <w:sz w:val="21"/>
      <w:szCs w:val="20"/>
      <w:lang w:val="en-US" w:eastAsia="zh-CN"/>
    </w:rPr>
  </w:style>
  <w:style w:type="paragraph" w:customStyle="1" w:styleId="586">
    <w:name w:val="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87">
    <w:name w:val="333"/>
    <w:basedOn w:val="1"/>
    <w:qFormat/>
    <w:uiPriority w:val="0"/>
    <w:pPr>
      <w:adjustRightInd w:val="0"/>
      <w:snapToGrid w:val="0"/>
    </w:pPr>
    <w:rPr>
      <w:rFonts w:ascii="宋体" w:hAnsi="宋体"/>
      <w:b/>
      <w:kern w:val="0"/>
      <w:sz w:val="28"/>
      <w:szCs w:val="28"/>
    </w:rPr>
  </w:style>
  <w:style w:type="paragraph" w:customStyle="1" w:styleId="588">
    <w:name w:val="Style108"/>
    <w:basedOn w:val="1"/>
    <w:qFormat/>
    <w:uiPriority w:val="0"/>
    <w:pPr>
      <w:adjustRightInd w:val="0"/>
      <w:jc w:val="left"/>
    </w:pPr>
    <w:rPr>
      <w:rFonts w:ascii="宋体" w:hAnsi="Times New Roman"/>
      <w:kern w:val="0"/>
      <w:sz w:val="24"/>
      <w:szCs w:val="24"/>
    </w:rPr>
  </w:style>
  <w:style w:type="paragraph" w:customStyle="1" w:styleId="589">
    <w:name w:val="正文文字缩进"/>
    <w:basedOn w:val="1"/>
    <w:qFormat/>
    <w:uiPriority w:val="0"/>
    <w:pPr>
      <w:spacing w:line="440" w:lineRule="exact"/>
      <w:ind w:firstLine="425" w:firstLineChars="177"/>
    </w:pPr>
    <w:rPr>
      <w:rFonts w:ascii="Calibri" w:hAnsi="Calibri"/>
      <w:bCs/>
      <w:sz w:val="24"/>
      <w:szCs w:val="22"/>
    </w:rPr>
  </w:style>
  <w:style w:type="paragraph" w:customStyle="1" w:styleId="590">
    <w:name w:val="xl62"/>
    <w:basedOn w:val="1"/>
    <w:qFormat/>
    <w:uiPriority w:val="0"/>
    <w:pPr>
      <w:widowControl/>
      <w:pBdr>
        <w:top w:val="single" w:color="auto" w:sz="8" w:space="0"/>
        <w:left w:val="single" w:color="auto" w:sz="4" w:space="0"/>
      </w:pBdr>
      <w:spacing w:before="100" w:beforeLines="0" w:after="100" w:afterLines="0"/>
      <w:jc w:val="center"/>
      <w:textAlignment w:val="top"/>
    </w:pPr>
    <w:rPr>
      <w:rFonts w:ascii="Times New Roman" w:hAnsi="Times New Roman"/>
      <w:kern w:val="0"/>
      <w:sz w:val="24"/>
      <w:szCs w:val="24"/>
    </w:rPr>
  </w:style>
  <w:style w:type="paragraph" w:customStyle="1" w:styleId="591">
    <w:name w:val="基准标题"/>
    <w:basedOn w:val="31"/>
    <w:next w:val="31"/>
    <w:qFormat/>
    <w:uiPriority w:val="0"/>
    <w:pPr>
      <w:snapToGrid w:val="0"/>
      <w:spacing w:after="0" w:afterLines="0" w:line="320" w:lineRule="exact"/>
      <w:ind w:left="-105" w:leftChars="-50" w:right="-105" w:rightChars="-50"/>
      <w:jc w:val="center"/>
    </w:pPr>
    <w:rPr>
      <w:rFonts w:ascii="宋体" w:hAnsi="宋体"/>
      <w:spacing w:val="-10"/>
      <w:kern w:val="2"/>
      <w:sz w:val="21"/>
      <w:lang w:val="en-US" w:eastAsia="zh-CN"/>
    </w:rPr>
  </w:style>
  <w:style w:type="paragraph" w:customStyle="1" w:styleId="592">
    <w:name w:val=" Char Char Char1 Char"/>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593">
    <w:name w:val="Char12"/>
    <w:basedOn w:val="1"/>
    <w:qFormat/>
    <w:uiPriority w:val="0"/>
    <w:pPr>
      <w:keepLines/>
      <w:pageBreakBefore/>
      <w:tabs>
        <w:tab w:val="left" w:pos="1320"/>
      </w:tabs>
      <w:spacing w:before="240" w:beforeLines="0" w:after="240" w:afterLines="0" w:line="560" w:lineRule="exact"/>
      <w:outlineLvl w:val="0"/>
    </w:pPr>
    <w:rPr>
      <w:rFonts w:ascii="Arial" w:hAnsi="Arial" w:eastAsia="仿宋_GB2312"/>
      <w:bCs/>
      <w:kern w:val="44"/>
      <w:sz w:val="28"/>
      <w:szCs w:val="30"/>
    </w:rPr>
  </w:style>
  <w:style w:type="paragraph" w:customStyle="1" w:styleId="594">
    <w:name w:val="xl41"/>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595">
    <w:name w:val="Char31"/>
    <w:basedOn w:val="1"/>
    <w:qFormat/>
    <w:uiPriority w:val="0"/>
    <w:pPr>
      <w:tabs>
        <w:tab w:val="left" w:pos="420"/>
      </w:tabs>
      <w:ind w:left="420" w:hanging="420"/>
    </w:pPr>
    <w:rPr>
      <w:rFonts w:ascii="Times New Roman" w:hAnsi="宋体"/>
      <w:szCs w:val="24"/>
    </w:rPr>
  </w:style>
  <w:style w:type="paragraph" w:customStyle="1" w:styleId="596">
    <w:name w:val="Char21"/>
    <w:basedOn w:val="1"/>
    <w:qFormat/>
    <w:uiPriority w:val="0"/>
    <w:rPr>
      <w:rFonts w:ascii="宋体" w:hAnsi="宋体"/>
      <w:b/>
      <w:sz w:val="24"/>
      <w:szCs w:val="24"/>
    </w:rPr>
  </w:style>
  <w:style w:type="paragraph" w:customStyle="1" w:styleId="597">
    <w:name w:val="样式 样式 标题 2 + 首行缩进:  2 字符 + 首行缩进:  2 字符"/>
    <w:basedOn w:val="448"/>
    <w:qFormat/>
    <w:uiPriority w:val="0"/>
    <w:pPr>
      <w:tabs>
        <w:tab w:val="clear" w:pos="360"/>
      </w:tabs>
      <w:spacing w:before="0" w:beforeLines="0" w:after="0" w:afterLines="0" w:line="560" w:lineRule="exact"/>
      <w:ind w:left="0" w:firstLine="200"/>
      <w:jc w:val="both"/>
    </w:pPr>
    <w:rPr>
      <w:rFonts w:ascii="楷体_GB2312"/>
      <w:sz w:val="28"/>
    </w:rPr>
  </w:style>
  <w:style w:type="paragraph" w:customStyle="1" w:styleId="598">
    <w:name w:val="标题 1红4号"/>
    <w:basedOn w:val="3"/>
    <w:qFormat/>
    <w:uiPriority w:val="0"/>
    <w:pPr>
      <w:numPr>
        <w:ilvl w:val="0"/>
        <w:numId w:val="0"/>
      </w:numPr>
      <w:shd w:val="clear" w:color="auto" w:fill="FFFFFF"/>
      <w:tabs>
        <w:tab w:val="left" w:pos="210"/>
      </w:tabs>
      <w:kinsoku w:val="0"/>
      <w:overflowPunct w:val="0"/>
      <w:autoSpaceDE w:val="0"/>
      <w:autoSpaceDN w:val="0"/>
      <w:spacing w:before="0" w:beforeLines="0" w:after="0" w:afterLines="0" w:line="240" w:lineRule="auto"/>
      <w:ind w:firstLineChars="200"/>
      <w:jc w:val="center"/>
    </w:pPr>
    <w:rPr>
      <w:rFonts w:ascii="宋体" w:hAnsi="宋体"/>
      <w:bCs w:val="0"/>
      <w:color w:val="FF6600"/>
      <w:sz w:val="28"/>
      <w:szCs w:val="28"/>
      <w:lang w:val="en-US" w:eastAsia="zh-CN"/>
    </w:rPr>
  </w:style>
  <w:style w:type="paragraph" w:customStyle="1" w:styleId="599">
    <w:name w:val="Char1 Char Char Char"/>
    <w:basedOn w:val="1"/>
    <w:qFormat/>
    <w:uiPriority w:val="0"/>
    <w:pPr>
      <w:widowControl/>
      <w:spacing w:after="160" w:afterLines="0" w:line="240" w:lineRule="exact"/>
      <w:jc w:val="left"/>
    </w:pPr>
    <w:rPr>
      <w:rFonts w:ascii="Verdana" w:hAnsi="Verdana" w:cs="Verdana"/>
      <w:kern w:val="0"/>
      <w:sz w:val="20"/>
      <w:szCs w:val="20"/>
      <w:lang w:eastAsia="en-US"/>
    </w:rPr>
  </w:style>
  <w:style w:type="paragraph" w:customStyle="1" w:styleId="600">
    <w:name w:val="设计著录宋2"/>
    <w:basedOn w:val="566"/>
    <w:next w:val="1"/>
    <w:qFormat/>
    <w:uiPriority w:val="0"/>
    <w:pPr>
      <w:adjustRightInd w:val="0"/>
      <w:ind w:firstLine="300" w:firstLineChars="300"/>
      <w:jc w:val="both"/>
    </w:pPr>
    <w:rPr>
      <w:rFonts w:ascii="Times New Roman" w:hAnsi="Times New Roman" w:eastAsia="华文中宋"/>
      <w:kern w:val="4"/>
    </w:rPr>
  </w:style>
  <w:style w:type="paragraph" w:customStyle="1" w:styleId="601">
    <w:name w:val="自定义标题5"/>
    <w:basedOn w:val="602"/>
    <w:next w:val="1"/>
    <w:qFormat/>
    <w:uiPriority w:val="0"/>
    <w:pPr>
      <w:numPr>
        <w:ilvl w:val="4"/>
        <w:numId w:val="0"/>
      </w:numPr>
      <w:tabs>
        <w:tab w:val="left" w:pos="1442"/>
        <w:tab w:val="left" w:pos="1973"/>
      </w:tabs>
      <w:ind w:left="1973" w:hanging="482"/>
    </w:pPr>
  </w:style>
  <w:style w:type="paragraph" w:customStyle="1" w:styleId="602">
    <w:name w:val="自定义标题4"/>
    <w:basedOn w:val="1"/>
    <w:next w:val="1"/>
    <w:qFormat/>
    <w:uiPriority w:val="0"/>
    <w:pPr>
      <w:numPr>
        <w:ilvl w:val="4"/>
        <w:numId w:val="3"/>
      </w:numPr>
      <w:tabs>
        <w:tab w:val="left" w:pos="1442"/>
        <w:tab w:val="clear" w:pos="1973"/>
      </w:tabs>
      <w:adjustRightInd w:val="0"/>
      <w:spacing w:after="180" w:afterLines="0" w:line="320" w:lineRule="exact"/>
      <w:ind w:left="1442"/>
      <w:textAlignment w:val="bottom"/>
    </w:pPr>
    <w:rPr>
      <w:rFonts w:ascii="Arial" w:hAnsi="Arial"/>
      <w:color w:val="0000FF"/>
      <w:kern w:val="0"/>
      <w:sz w:val="24"/>
      <w:szCs w:val="24"/>
    </w:rPr>
  </w:style>
  <w:style w:type="paragraph" w:customStyle="1" w:styleId="603">
    <w:name w:val="Char3"/>
    <w:basedOn w:val="1"/>
    <w:qFormat/>
    <w:uiPriority w:val="0"/>
    <w:pPr>
      <w:tabs>
        <w:tab w:val="left" w:pos="420"/>
      </w:tabs>
      <w:ind w:left="420" w:hanging="420"/>
    </w:pPr>
    <w:rPr>
      <w:rFonts w:ascii="Times New Roman" w:hAnsi="宋体"/>
      <w:szCs w:val="24"/>
    </w:rPr>
  </w:style>
  <w:style w:type="paragraph" w:customStyle="1" w:styleId="604">
    <w:name w:val="表头名称"/>
    <w:basedOn w:val="19"/>
    <w:qFormat/>
    <w:uiPriority w:val="0"/>
    <w:pPr>
      <w:autoSpaceDE w:val="0"/>
      <w:autoSpaceDN w:val="0"/>
      <w:adjustRightInd w:val="0"/>
      <w:spacing w:line="360" w:lineRule="auto"/>
      <w:ind w:firstLine="0"/>
      <w:jc w:val="center"/>
    </w:pPr>
    <w:rPr>
      <w:rFonts w:ascii="黑体" w:hAnsi="宋体" w:eastAsia="黑体"/>
      <w:snapToGrid/>
      <w:sz w:val="24"/>
      <w:lang w:val="en-US" w:eastAsia="zh-CN"/>
    </w:rPr>
  </w:style>
  <w:style w:type="paragraph" w:customStyle="1" w:styleId="605">
    <w:name w:val="表格字"/>
    <w:basedOn w:val="2"/>
    <w:qFormat/>
    <w:uiPriority w:val="0"/>
    <w:pPr>
      <w:adjustRightInd/>
      <w:spacing w:line="380" w:lineRule="exact"/>
      <w:ind w:left="0" w:leftChars="0" w:right="0" w:rightChars="0" w:firstLine="0" w:firstLineChars="0"/>
      <w:jc w:val="center"/>
      <w:textAlignment w:val="auto"/>
    </w:pPr>
    <w:rPr>
      <w:rFonts w:ascii="宋体" w:hAnsi="宋体" w:eastAsia="宋体"/>
      <w:kern w:val="2"/>
      <w:sz w:val="21"/>
      <w:szCs w:val="21"/>
      <w:lang w:val="en-US" w:eastAsia="zh-CN"/>
    </w:rPr>
  </w:style>
  <w:style w:type="paragraph" w:customStyle="1" w:styleId="606">
    <w:name w:val="Char Char Char Char Char2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607">
    <w:name w:val="标准正文"/>
    <w:basedOn w:val="1"/>
    <w:qFormat/>
    <w:uiPriority w:val="0"/>
    <w:pPr>
      <w:widowControl/>
      <w:tabs>
        <w:tab w:val="right" w:pos="8640"/>
      </w:tabs>
      <w:spacing w:after="156" w:afterLines="50" w:line="360" w:lineRule="auto"/>
      <w:ind w:firstLine="531" w:firstLineChars="225"/>
    </w:pPr>
    <w:rPr>
      <w:rFonts w:ascii="Garamond" w:hAnsi="Garamond" w:eastAsia="仿宋_GB2312"/>
      <w:spacing w:val="-2"/>
      <w:kern w:val="44"/>
      <w:szCs w:val="24"/>
    </w:rPr>
  </w:style>
  <w:style w:type="paragraph" w:customStyle="1" w:styleId="608">
    <w:name w:val="表样式"/>
    <w:basedOn w:val="1"/>
    <w:qFormat/>
    <w:uiPriority w:val="0"/>
    <w:pPr>
      <w:spacing w:line="480" w:lineRule="exact"/>
      <w:jc w:val="center"/>
    </w:pPr>
    <w:rPr>
      <w:rFonts w:ascii="宋体" w:hAnsi="宋体"/>
      <w:sz w:val="24"/>
      <w:szCs w:val="24"/>
    </w:rPr>
  </w:style>
  <w:style w:type="paragraph" w:customStyle="1" w:styleId="609">
    <w:name w:val="大标题"/>
    <w:basedOn w:val="1"/>
    <w:qFormat/>
    <w:uiPriority w:val="0"/>
    <w:pPr>
      <w:spacing w:line="500" w:lineRule="exact"/>
      <w:jc w:val="left"/>
    </w:pPr>
    <w:rPr>
      <w:rFonts w:ascii="Times New Roman" w:hAnsi="Times New Roman"/>
      <w:sz w:val="28"/>
      <w:szCs w:val="28"/>
    </w:rPr>
  </w:style>
  <w:style w:type="paragraph" w:customStyle="1" w:styleId="610">
    <w:name w:val="444"/>
    <w:basedOn w:val="1"/>
    <w:qFormat/>
    <w:uiPriority w:val="0"/>
    <w:pPr>
      <w:adjustRightInd w:val="0"/>
      <w:snapToGrid w:val="0"/>
      <w:spacing w:line="400" w:lineRule="exact"/>
    </w:pPr>
    <w:rPr>
      <w:rFonts w:ascii="宋体" w:hAnsi="宋体"/>
      <w:b/>
      <w:kern w:val="0"/>
      <w:sz w:val="24"/>
      <w:szCs w:val="28"/>
    </w:rPr>
  </w:style>
  <w:style w:type="paragraph" w:customStyle="1" w:styleId="611">
    <w:name w:val="xl55"/>
    <w:basedOn w:val="1"/>
    <w:qFormat/>
    <w:uiPriority w:val="0"/>
    <w:pPr>
      <w:widowControl/>
      <w:pBdr>
        <w:bottom w:val="single" w:color="auto" w:sz="4" w:space="0"/>
        <w:right w:val="single" w:color="auto" w:sz="8" w:space="0"/>
      </w:pBdr>
      <w:spacing w:before="100" w:beforeLines="0" w:after="100" w:afterLines="0"/>
      <w:jc w:val="center"/>
      <w:textAlignment w:val="center"/>
    </w:pPr>
    <w:rPr>
      <w:rFonts w:ascii="宋体" w:hAnsi="宋体"/>
      <w:kern w:val="0"/>
      <w:sz w:val="28"/>
      <w:szCs w:val="28"/>
    </w:rPr>
  </w:style>
  <w:style w:type="paragraph" w:customStyle="1" w:styleId="612">
    <w:name w:val="xl31"/>
    <w:basedOn w:val="1"/>
    <w:qFormat/>
    <w:uiPriority w:val="0"/>
    <w:pPr>
      <w:widowControl/>
      <w:adjustRightInd w:val="0"/>
      <w:spacing w:before="100" w:beforeLines="0" w:beforeAutospacing="1" w:after="100" w:afterLines="0" w:afterAutospacing="1" w:line="480" w:lineRule="exact"/>
      <w:jc w:val="center"/>
      <w:textAlignment w:val="baseline"/>
    </w:pPr>
    <w:rPr>
      <w:rFonts w:ascii="Times New Roman" w:hAnsi="Times New Roman"/>
      <w:spacing w:val="-2"/>
      <w:kern w:val="0"/>
      <w:sz w:val="24"/>
      <w:szCs w:val="20"/>
    </w:rPr>
  </w:style>
  <w:style w:type="paragraph" w:customStyle="1" w:styleId="613">
    <w:name w:val="Style43"/>
    <w:basedOn w:val="1"/>
    <w:qFormat/>
    <w:uiPriority w:val="0"/>
    <w:pPr>
      <w:adjustRightInd w:val="0"/>
      <w:jc w:val="left"/>
    </w:pPr>
    <w:rPr>
      <w:rFonts w:ascii="宋体" w:hAnsi="Times New Roman"/>
      <w:kern w:val="0"/>
      <w:sz w:val="24"/>
      <w:szCs w:val="24"/>
    </w:rPr>
  </w:style>
  <w:style w:type="paragraph" w:customStyle="1" w:styleId="614">
    <w:name w:val="3字符"/>
    <w:basedOn w:val="1"/>
    <w:qFormat/>
    <w:uiPriority w:val="0"/>
    <w:pPr>
      <w:spacing w:line="500" w:lineRule="exact"/>
      <w:ind w:left="561" w:firstLine="100" w:firstLineChars="100"/>
    </w:pPr>
    <w:rPr>
      <w:rFonts w:ascii="Times New Roman" w:hAnsi="Times New Roman"/>
      <w:sz w:val="28"/>
      <w:szCs w:val="28"/>
    </w:rPr>
  </w:style>
  <w:style w:type="paragraph" w:customStyle="1" w:styleId="615">
    <w:name w:val="正文首行缩进10"/>
    <w:basedOn w:val="31"/>
    <w:qFormat/>
    <w:uiPriority w:val="0"/>
    <w:pPr>
      <w:adjustRightInd w:val="0"/>
      <w:spacing w:after="0" w:afterLines="0" w:line="312" w:lineRule="auto"/>
      <w:ind w:firstLine="567"/>
    </w:pPr>
    <w:rPr>
      <w:sz w:val="28"/>
      <w:szCs w:val="20"/>
      <w:lang w:val="en-US" w:eastAsia="zh-CN"/>
    </w:rPr>
  </w:style>
  <w:style w:type="paragraph" w:customStyle="1" w:styleId="616">
    <w:name w:val="12 Char Char Char Char Char Char Char"/>
    <w:basedOn w:val="1"/>
    <w:qFormat/>
    <w:uiPriority w:val="0"/>
    <w:pPr>
      <w:spacing w:line="360" w:lineRule="auto"/>
      <w:ind w:firstLine="200" w:firstLineChars="200"/>
      <w:jc w:val="left"/>
    </w:pPr>
    <w:rPr>
      <w:rFonts w:ascii="宋体" w:hAnsi="宋体"/>
      <w:position w:val="-6"/>
      <w:sz w:val="28"/>
      <w:szCs w:val="20"/>
      <w:u w:val="single"/>
    </w:rPr>
  </w:style>
  <w:style w:type="paragraph" w:customStyle="1" w:styleId="617">
    <w:name w:val="去掉蓝色底纹"/>
    <w:basedOn w:val="1"/>
    <w:qFormat/>
    <w:uiPriority w:val="0"/>
    <w:rPr>
      <w:rFonts w:ascii="Times New Roman" w:hAnsi="Times New Roman"/>
      <w:szCs w:val="24"/>
    </w:rPr>
  </w:style>
  <w:style w:type="paragraph" w:customStyle="1" w:styleId="618">
    <w:name w:val="xl50"/>
    <w:basedOn w:val="1"/>
    <w:qFormat/>
    <w:uiPriority w:val="0"/>
    <w:pPr>
      <w:widowControl/>
      <w:pBdr>
        <w:bottom w:val="single" w:color="auto" w:sz="4" w:space="0"/>
      </w:pBdr>
      <w:spacing w:before="100" w:beforeLines="0" w:after="100" w:afterLines="0"/>
      <w:jc w:val="center"/>
      <w:textAlignment w:val="center"/>
    </w:pPr>
    <w:rPr>
      <w:rFonts w:ascii="宋体" w:hAnsi="宋体"/>
      <w:kern w:val="0"/>
      <w:sz w:val="28"/>
      <w:szCs w:val="28"/>
    </w:rPr>
  </w:style>
  <w:style w:type="paragraph" w:customStyle="1" w:styleId="619">
    <w:name w:val="标准段落"/>
    <w:basedOn w:val="1"/>
    <w:next w:val="1"/>
    <w:qFormat/>
    <w:uiPriority w:val="0"/>
    <w:pPr>
      <w:spacing w:before="156" w:beforeLines="50" w:line="360" w:lineRule="auto"/>
      <w:ind w:firstLine="480" w:firstLineChars="200"/>
    </w:pPr>
    <w:rPr>
      <w:rFonts w:ascii="Times New Roman" w:hAnsi="宋体"/>
      <w:sz w:val="24"/>
      <w:szCs w:val="24"/>
    </w:rPr>
  </w:style>
  <w:style w:type="paragraph" w:customStyle="1" w:styleId="620">
    <w:name w:val="Style102"/>
    <w:basedOn w:val="1"/>
    <w:qFormat/>
    <w:uiPriority w:val="0"/>
    <w:pPr>
      <w:adjustRightInd w:val="0"/>
      <w:spacing w:line="466" w:lineRule="exact"/>
      <w:jc w:val="center"/>
    </w:pPr>
    <w:rPr>
      <w:rFonts w:ascii="宋体" w:hAnsi="Times New Roman"/>
      <w:kern w:val="0"/>
      <w:sz w:val="24"/>
      <w:szCs w:val="24"/>
    </w:rPr>
  </w:style>
  <w:style w:type="paragraph" w:customStyle="1" w:styleId="621">
    <w:name w:val="蔡欣宇页脚"/>
    <w:basedOn w:val="54"/>
    <w:qFormat/>
    <w:uiPriority w:val="0"/>
    <w:pPr>
      <w:pBdr>
        <w:top w:val="single" w:color="auto" w:sz="4" w:space="1"/>
      </w:pBdr>
      <w:jc w:val="right"/>
    </w:pPr>
    <w:rPr>
      <w:kern w:val="2"/>
      <w:lang w:val="en-US" w:eastAsia="zh-CN"/>
    </w:rPr>
  </w:style>
  <w:style w:type="paragraph" w:customStyle="1" w:styleId="622">
    <w:name w:val="xl39"/>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0"/>
      <w:szCs w:val="20"/>
    </w:rPr>
  </w:style>
  <w:style w:type="paragraph" w:customStyle="1" w:styleId="623">
    <w:name w:val="表内式样"/>
    <w:qFormat/>
    <w:uiPriority w:val="0"/>
    <w:pPr>
      <w:widowControl w:val="0"/>
      <w:spacing w:line="320" w:lineRule="exact"/>
      <w:jc w:val="center"/>
    </w:pPr>
    <w:rPr>
      <w:rFonts w:ascii="宋体" w:hAnsi="宋体" w:eastAsia="宋体" w:cs="Times New Roman"/>
      <w:color w:val="000000"/>
      <w:sz w:val="21"/>
      <w:szCs w:val="24"/>
      <w:lang w:val="en-US" w:eastAsia="zh-CN" w:bidi="ar-SA"/>
    </w:rPr>
  </w:style>
  <w:style w:type="paragraph" w:customStyle="1" w:styleId="624">
    <w:name w:val="Char 张涛"/>
    <w:basedOn w:val="1"/>
    <w:qFormat/>
    <w:uiPriority w:val="0"/>
    <w:rPr>
      <w:rFonts w:ascii="Times New Roman" w:hAnsi="Times New Roman"/>
      <w:szCs w:val="24"/>
    </w:rPr>
  </w:style>
  <w:style w:type="paragraph" w:customStyle="1" w:styleId="625">
    <w:name w:val="样式 图格式"/>
    <w:basedOn w:val="4"/>
    <w:semiHidden/>
    <w:qFormat/>
    <w:uiPriority w:val="0"/>
    <w:pPr>
      <w:shd w:val="clear" w:color="auto" w:fill="FFFFFF"/>
      <w:kinsoku w:val="0"/>
      <w:overflowPunct w:val="0"/>
      <w:autoSpaceDE w:val="0"/>
      <w:autoSpaceDN w:val="0"/>
      <w:adjustRightInd/>
      <w:snapToGrid w:val="0"/>
      <w:spacing w:before="0" w:beforeLines="0" w:after="0" w:afterLines="0" w:line="300" w:lineRule="atLeast"/>
      <w:jc w:val="left"/>
      <w:textAlignment w:val="auto"/>
      <w:outlineLvl w:val="9"/>
    </w:pPr>
    <w:rPr>
      <w:rFonts w:ascii="Arial" w:hAnsi="Arial" w:cs="宋体"/>
      <w:color w:val="0000FF"/>
      <w:sz w:val="24"/>
      <w:szCs w:val="24"/>
      <w:lang w:val="en-US" w:eastAsia="zh-CN"/>
    </w:rPr>
  </w:style>
  <w:style w:type="paragraph" w:customStyle="1" w:styleId="626">
    <w:name w:val="样式14"/>
    <w:basedOn w:val="1"/>
    <w:qFormat/>
    <w:uiPriority w:val="0"/>
    <w:pPr>
      <w:spacing w:before="240" w:beforeLines="0" w:after="60" w:afterLines="0" w:line="560" w:lineRule="exact"/>
      <w:jc w:val="left"/>
      <w:outlineLvl w:val="3"/>
    </w:pPr>
    <w:rPr>
      <w:rFonts w:ascii="宋体" w:hAnsi="宋体"/>
      <w:sz w:val="28"/>
      <w:szCs w:val="28"/>
    </w:rPr>
  </w:style>
  <w:style w:type="paragraph" w:customStyle="1" w:styleId="627">
    <w:name w:val="表格注"/>
    <w:basedOn w:val="1"/>
    <w:next w:val="1"/>
    <w:qFormat/>
    <w:uiPriority w:val="0"/>
    <w:pPr>
      <w:spacing w:line="240" w:lineRule="exact"/>
      <w:jc w:val="left"/>
    </w:pPr>
    <w:rPr>
      <w:rFonts w:ascii="Times New Roman" w:hAnsi="Times New Roman"/>
      <w:sz w:val="18"/>
      <w:szCs w:val="24"/>
    </w:rPr>
  </w:style>
  <w:style w:type="paragraph" w:customStyle="1" w:styleId="628">
    <w:name w:val="样式 555 + 首行缩进:  2 字符"/>
    <w:basedOn w:val="1"/>
    <w:qFormat/>
    <w:uiPriority w:val="0"/>
    <w:pPr>
      <w:spacing w:line="400" w:lineRule="exact"/>
      <w:ind w:firstLine="200" w:firstLineChars="200"/>
    </w:pPr>
    <w:rPr>
      <w:rFonts w:ascii="Times New Roman" w:hAnsi="宋体" w:cs="宋体"/>
      <w:sz w:val="24"/>
      <w:szCs w:val="20"/>
    </w:rPr>
  </w:style>
  <w:style w:type="paragraph" w:customStyle="1" w:styleId="629">
    <w:name w:val="样式 标题 2 + Times New Roman 左侧:  0 厘米 首行缩进:  0 厘米 行距: 固定值 24 磅"/>
    <w:basedOn w:val="4"/>
    <w:qFormat/>
    <w:uiPriority w:val="0"/>
    <w:pPr>
      <w:numPr>
        <w:ilvl w:val="3"/>
        <w:numId w:val="4"/>
      </w:numPr>
      <w:tabs>
        <w:tab w:val="left" w:pos="567"/>
        <w:tab w:val="clear" w:pos="851"/>
      </w:tabs>
      <w:adjustRightInd/>
      <w:spacing w:line="500" w:lineRule="exact"/>
      <w:ind w:left="567" w:hanging="567"/>
      <w:textAlignment w:val="auto"/>
    </w:pPr>
    <w:rPr>
      <w:rFonts w:ascii="Times New Roman" w:hAnsi="Times New Roman" w:eastAsia="黑体" w:cs="宋体"/>
      <w:szCs w:val="20"/>
      <w:lang w:val="en-US" w:eastAsia="zh-CN"/>
    </w:rPr>
  </w:style>
  <w:style w:type="paragraph" w:customStyle="1" w:styleId="63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rFonts w:ascii="Arial Unicode MS" w:hAnsi="Arial Unicode MS" w:eastAsia="Arial Unicode MS" w:cs="Arial Unicode MS"/>
      <w:kern w:val="0"/>
      <w:sz w:val="20"/>
      <w:szCs w:val="20"/>
    </w:rPr>
  </w:style>
  <w:style w:type="paragraph" w:customStyle="1" w:styleId="631">
    <w:name w:val="样式 表头 + 首行缩进:  0.97 厘米1"/>
    <w:basedOn w:val="2"/>
    <w:qFormat/>
    <w:uiPriority w:val="0"/>
    <w:pPr>
      <w:keepNext/>
      <w:adjustRightInd/>
      <w:spacing w:line="240" w:lineRule="auto"/>
      <w:ind w:left="0" w:leftChars="0" w:right="0" w:rightChars="0" w:firstLine="0" w:firstLineChars="0"/>
      <w:jc w:val="center"/>
      <w:textAlignment w:val="auto"/>
    </w:pPr>
    <w:rPr>
      <w:rFonts w:cs="宋体"/>
      <w:kern w:val="2"/>
      <w:sz w:val="28"/>
      <w:lang w:val="en-US" w:eastAsia="zh-CN"/>
    </w:rPr>
  </w:style>
  <w:style w:type="paragraph" w:customStyle="1" w:styleId="632">
    <w:name w:val="样式 样式 正文 小四 行距: 1.5 倍行距 + 宋体 五号 首行缩进:  2 字符 + 首行缩进:  2 字符"/>
    <w:basedOn w:val="633"/>
    <w:qFormat/>
    <w:uiPriority w:val="0"/>
    <w:pPr>
      <w:ind w:firstLine="0" w:firstLineChars="0"/>
    </w:pPr>
  </w:style>
  <w:style w:type="paragraph" w:customStyle="1" w:styleId="633">
    <w:name w:val="样式 正文 小四 行距: 1.5 倍行距 + 宋体 五号 首行缩进:  2 字符"/>
    <w:basedOn w:val="1"/>
    <w:qFormat/>
    <w:uiPriority w:val="0"/>
    <w:pPr>
      <w:widowControl/>
      <w:ind w:firstLine="200" w:firstLineChars="200"/>
      <w:jc w:val="center"/>
    </w:pPr>
    <w:rPr>
      <w:rFonts w:ascii="宋体" w:hAnsi="宋体" w:cs="宋体"/>
      <w:kern w:val="0"/>
      <w:szCs w:val="20"/>
    </w:rPr>
  </w:style>
  <w:style w:type="paragraph" w:customStyle="1" w:styleId="634">
    <w:name w:val="Char2 Char Char Char1"/>
    <w:basedOn w:val="1"/>
    <w:qFormat/>
    <w:uiPriority w:val="0"/>
    <w:pPr>
      <w:spacing w:after="160" w:afterLines="0" w:line="240" w:lineRule="exact"/>
    </w:pPr>
    <w:rPr>
      <w:rFonts w:ascii="Verdana" w:hAnsi="Verdana" w:eastAsia="黑体"/>
      <w:kern w:val="0"/>
      <w:sz w:val="28"/>
      <w:szCs w:val="20"/>
      <w:lang w:eastAsia="en-US"/>
    </w:rPr>
  </w:style>
  <w:style w:type="paragraph" w:customStyle="1" w:styleId="635">
    <w:name w:val="小节标题"/>
    <w:basedOn w:val="1"/>
    <w:next w:val="1"/>
    <w:qFormat/>
    <w:uiPriority w:val="0"/>
    <w:pPr>
      <w:widowControl/>
      <w:spacing w:before="175" w:beforeLines="0" w:after="102" w:afterLines="0" w:line="351" w:lineRule="atLeast"/>
      <w:textAlignment w:val="baseline"/>
    </w:pPr>
    <w:rPr>
      <w:rFonts w:ascii="Times New Roman" w:hAnsi="Times New Roman" w:eastAsia="黑体"/>
      <w:color w:val="000000"/>
      <w:kern w:val="0"/>
      <w:szCs w:val="20"/>
      <w:u w:val="none" w:color="000000"/>
    </w:rPr>
  </w:style>
  <w:style w:type="paragraph" w:customStyle="1" w:styleId="636">
    <w:name w:val="Char Char Char2 Char"/>
    <w:basedOn w:val="1"/>
    <w:qFormat/>
    <w:uiPriority w:val="0"/>
    <w:pPr>
      <w:spacing w:line="360" w:lineRule="auto"/>
      <w:ind w:firstLine="200" w:firstLineChars="200"/>
    </w:pPr>
    <w:rPr>
      <w:rFonts w:ascii="宋体" w:hAnsi="宋体" w:cs="宋体"/>
      <w:sz w:val="24"/>
      <w:szCs w:val="24"/>
    </w:rPr>
  </w:style>
  <w:style w:type="paragraph" w:customStyle="1" w:styleId="637">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638">
    <w:name w:val="Char Char1 Char"/>
    <w:basedOn w:val="1"/>
    <w:qFormat/>
    <w:uiPriority w:val="0"/>
    <w:rPr>
      <w:rFonts w:ascii="Times New Roman" w:hAnsi="Times New Roman"/>
      <w:szCs w:val="24"/>
    </w:rPr>
  </w:style>
  <w:style w:type="paragraph" w:customStyle="1" w:styleId="639">
    <w:name w:val="Char Char Char Char Char Char1 Char"/>
    <w:basedOn w:val="1"/>
    <w:qFormat/>
    <w:uiPriority w:val="0"/>
    <w:rPr>
      <w:rFonts w:ascii="Times New Roman" w:hAnsi="Times New Roman"/>
      <w:szCs w:val="24"/>
    </w:rPr>
  </w:style>
  <w:style w:type="paragraph" w:customStyle="1" w:styleId="640">
    <w:name w:val="0004正文"/>
    <w:basedOn w:val="1"/>
    <w:qFormat/>
    <w:uiPriority w:val="0"/>
    <w:pPr>
      <w:widowControl/>
      <w:autoSpaceDE w:val="0"/>
      <w:autoSpaceDN w:val="0"/>
      <w:adjustRightInd w:val="0"/>
      <w:spacing w:line="500" w:lineRule="exact"/>
    </w:pPr>
    <w:rPr>
      <w:rFonts w:ascii="宋体" w:hAnsi="宋体"/>
      <w:sz w:val="28"/>
      <w:szCs w:val="28"/>
    </w:rPr>
  </w:style>
  <w:style w:type="paragraph" w:customStyle="1" w:styleId="641">
    <w:name w:val="xl58"/>
    <w:basedOn w:val="1"/>
    <w:qFormat/>
    <w:uiPriority w:val="0"/>
    <w:pPr>
      <w:widowControl/>
      <w:pBdr>
        <w:top w:val="single" w:color="auto" w:sz="8" w:space="0"/>
        <w:bottom w:val="single" w:color="auto" w:sz="4" w:space="0"/>
        <w:right w:val="single" w:color="auto" w:sz="8" w:space="0"/>
      </w:pBdr>
      <w:spacing w:before="100" w:beforeLines="0" w:after="100" w:afterLines="0"/>
      <w:jc w:val="center"/>
      <w:textAlignment w:val="center"/>
    </w:pPr>
    <w:rPr>
      <w:rFonts w:ascii="宋体" w:hAnsi="宋体"/>
      <w:kern w:val="0"/>
      <w:sz w:val="28"/>
      <w:szCs w:val="28"/>
    </w:rPr>
  </w:style>
  <w:style w:type="paragraph" w:customStyle="1" w:styleId="642">
    <w:name w:val="正文文本2"/>
    <w:basedOn w:val="1"/>
    <w:qFormat/>
    <w:uiPriority w:val="0"/>
    <w:pPr>
      <w:spacing w:line="360" w:lineRule="auto"/>
      <w:ind w:firstLine="480" w:firstLineChars="200"/>
    </w:pPr>
    <w:rPr>
      <w:rFonts w:ascii="宋体" w:hAnsi="宋体"/>
      <w:color w:val="000000"/>
      <w:sz w:val="24"/>
      <w:szCs w:val="20"/>
    </w:rPr>
  </w:style>
  <w:style w:type="paragraph" w:customStyle="1" w:styleId="643">
    <w:name w:val="Style25"/>
    <w:basedOn w:val="1"/>
    <w:qFormat/>
    <w:uiPriority w:val="0"/>
    <w:pPr>
      <w:adjustRightInd w:val="0"/>
      <w:jc w:val="center"/>
    </w:pPr>
    <w:rPr>
      <w:rFonts w:ascii="宋体" w:hAnsi="Times New Roman"/>
      <w:kern w:val="0"/>
      <w:sz w:val="24"/>
      <w:szCs w:val="24"/>
    </w:rPr>
  </w:style>
  <w:style w:type="paragraph" w:customStyle="1" w:styleId="644">
    <w:name w:val="表名"/>
    <w:basedOn w:val="1"/>
    <w:qFormat/>
    <w:uiPriority w:val="0"/>
    <w:pPr>
      <w:overflowPunct w:val="0"/>
      <w:topLinePunct/>
      <w:adjustRightInd w:val="0"/>
      <w:snapToGrid w:val="0"/>
      <w:spacing w:before="156" w:beforeLines="50"/>
      <w:ind w:firstLine="413" w:firstLineChars="196"/>
      <w:outlineLvl w:val="4"/>
    </w:pPr>
    <w:rPr>
      <w:rFonts w:ascii="宋体" w:hAnsi="宋体"/>
      <w:b/>
      <w:color w:val="0000FF"/>
      <w:kern w:val="10"/>
      <w:szCs w:val="21"/>
      <w:lang w:val="zh-CN"/>
    </w:rPr>
  </w:style>
  <w:style w:type="paragraph" w:customStyle="1" w:styleId="645">
    <w:name w:val=" Char1 Char Char Char Char Char Char"/>
    <w:basedOn w:val="1"/>
    <w:qFormat/>
    <w:uiPriority w:val="0"/>
    <w:pPr>
      <w:keepNext/>
      <w:keepLines/>
      <w:spacing w:after="160" w:afterLines="0" w:line="240" w:lineRule="exact"/>
      <w:jc w:val="left"/>
    </w:pPr>
    <w:rPr>
      <w:rFonts w:ascii="宋体" w:hAnsi="宋体"/>
      <w:b/>
      <w:kern w:val="0"/>
      <w:sz w:val="44"/>
      <w:szCs w:val="44"/>
      <w:lang w:eastAsia="en-US"/>
    </w:rPr>
  </w:style>
  <w:style w:type="paragraph" w:customStyle="1" w:styleId="646">
    <w:name w:val="font9"/>
    <w:basedOn w:val="1"/>
    <w:qFormat/>
    <w:uiPriority w:val="0"/>
    <w:pPr>
      <w:widowControl/>
      <w:spacing w:before="100" w:beforeLines="0" w:after="100" w:afterLines="0"/>
      <w:jc w:val="left"/>
    </w:pPr>
    <w:rPr>
      <w:rFonts w:ascii="Times New Roman" w:hAnsi="Times New Roman"/>
      <w:kern w:val="0"/>
      <w:sz w:val="28"/>
      <w:szCs w:val="28"/>
    </w:rPr>
  </w:style>
  <w:style w:type="paragraph" w:customStyle="1" w:styleId="647">
    <w:name w:val="font8"/>
    <w:basedOn w:val="1"/>
    <w:qFormat/>
    <w:uiPriority w:val="0"/>
    <w:pPr>
      <w:widowControl/>
      <w:spacing w:before="100" w:beforeLines="0" w:beforeAutospacing="1" w:after="100" w:afterLines="0" w:afterAutospacing="1"/>
      <w:jc w:val="left"/>
    </w:pPr>
    <w:rPr>
      <w:rFonts w:ascii="Times New Roman" w:hAnsi="Times New Roman"/>
      <w:kern w:val="0"/>
      <w:sz w:val="24"/>
      <w:szCs w:val="24"/>
    </w:rPr>
  </w:style>
  <w:style w:type="paragraph" w:customStyle="1" w:styleId="648">
    <w:name w:val="表体宋旭峰"/>
    <w:basedOn w:val="1"/>
    <w:qFormat/>
    <w:uiPriority w:val="0"/>
    <w:pPr>
      <w:overflowPunct w:val="0"/>
      <w:spacing w:line="280" w:lineRule="atLeast"/>
      <w:jc w:val="center"/>
      <w:textAlignment w:val="baseline"/>
    </w:pPr>
    <w:rPr>
      <w:rFonts w:ascii="宋体" w:hAnsi="Courier New"/>
      <w:snapToGrid w:val="0"/>
      <w:kern w:val="24"/>
      <w:sz w:val="18"/>
      <w:szCs w:val="20"/>
    </w:rPr>
  </w:style>
  <w:style w:type="paragraph" w:customStyle="1" w:styleId="649">
    <w:name w:val="0006"/>
    <w:basedOn w:val="640"/>
    <w:qFormat/>
    <w:uiPriority w:val="0"/>
    <w:pPr>
      <w:snapToGrid w:val="0"/>
      <w:spacing w:after="156" w:afterLines="50"/>
    </w:pPr>
    <w:rPr>
      <w:b/>
      <w:bCs/>
      <w:kern w:val="0"/>
      <w:lang w:val="zh-CN"/>
    </w:rPr>
  </w:style>
  <w:style w:type="paragraph" w:customStyle="1" w:styleId="650">
    <w:name w:val="表格方案样式2"/>
    <w:basedOn w:val="1"/>
    <w:qFormat/>
    <w:uiPriority w:val="0"/>
    <w:pPr>
      <w:tabs>
        <w:tab w:val="left" w:pos="567"/>
      </w:tabs>
      <w:jc w:val="center"/>
    </w:pPr>
    <w:rPr>
      <w:rFonts w:ascii="Times New Roman" w:hAnsi="Times New Roman" w:eastAsia="华文中宋"/>
      <w:sz w:val="24"/>
      <w:szCs w:val="20"/>
    </w:rPr>
  </w:style>
  <w:style w:type="paragraph" w:customStyle="1" w:styleId="651">
    <w:name w:val="摘要"/>
    <w:basedOn w:val="1"/>
    <w:qFormat/>
    <w:uiPriority w:val="0"/>
    <w:rPr>
      <w:rFonts w:ascii="Times New Roman" w:hAnsi="宋体"/>
      <w:szCs w:val="21"/>
    </w:rPr>
  </w:style>
  <w:style w:type="paragraph" w:customStyle="1" w:styleId="652">
    <w:name w:val="样式 目录 1 + 首行缩进:  2 字符"/>
    <w:basedOn w:val="45"/>
    <w:qFormat/>
    <w:uiPriority w:val="0"/>
    <w:pPr>
      <w:tabs>
        <w:tab w:val="right" w:leader="dot" w:pos="8777"/>
        <w:tab w:val="clear" w:pos="8948"/>
      </w:tabs>
      <w:spacing w:before="0" w:beforeLines="0" w:after="0" w:afterLines="0" w:line="360" w:lineRule="auto"/>
      <w:jc w:val="both"/>
    </w:pPr>
    <w:rPr>
      <w:rFonts w:ascii="Times New Roman" w:eastAsia="宋体" w:cs="宋体"/>
      <w:caps w:val="0"/>
      <w:sz w:val="28"/>
    </w:rPr>
  </w:style>
  <w:style w:type="paragraph" w:customStyle="1" w:styleId="653">
    <w:name w:val="表号文字"/>
    <w:basedOn w:val="1"/>
    <w:qFormat/>
    <w:uiPriority w:val="0"/>
    <w:pPr>
      <w:adjustRightInd w:val="0"/>
      <w:snapToGrid w:val="0"/>
      <w:spacing w:before="120" w:beforeLines="0" w:line="300" w:lineRule="auto"/>
      <w:jc w:val="left"/>
    </w:pPr>
    <w:rPr>
      <w:rFonts w:ascii="Times New Roman" w:hAnsi="Times New Roman" w:eastAsia="黑体"/>
      <w:szCs w:val="24"/>
    </w:rPr>
  </w:style>
  <w:style w:type="paragraph" w:customStyle="1" w:styleId="654">
    <w:name w:val="样式 居中 左侧:  0.74 厘米 行距: 固定值 12 磅"/>
    <w:basedOn w:val="1"/>
    <w:next w:val="1"/>
    <w:qFormat/>
    <w:uiPriority w:val="0"/>
    <w:pPr>
      <w:adjustRightInd w:val="0"/>
      <w:snapToGrid w:val="0"/>
      <w:spacing w:line="240" w:lineRule="exact"/>
      <w:jc w:val="center"/>
    </w:pPr>
    <w:rPr>
      <w:rFonts w:ascii="Times New Roman" w:hAnsi="Times New Roman" w:cs="宋体"/>
      <w:szCs w:val="20"/>
    </w:rPr>
  </w:style>
  <w:style w:type="paragraph" w:customStyle="1" w:styleId="655">
    <w:name w:val="样式 样式 首行缩进:  2 字符 + 居中"/>
    <w:basedOn w:val="524"/>
    <w:qFormat/>
    <w:uiPriority w:val="0"/>
    <w:pPr>
      <w:spacing w:line="500" w:lineRule="exact"/>
      <w:ind w:firstLine="0" w:firstLineChars="0"/>
      <w:jc w:val="center"/>
    </w:pPr>
    <w:rPr>
      <w:rFonts w:ascii="宋体" w:hAnsi="宋体"/>
      <w:sz w:val="28"/>
    </w:rPr>
  </w:style>
  <w:style w:type="paragraph" w:customStyle="1" w:styleId="656">
    <w:name w:val="xl51"/>
    <w:basedOn w:val="1"/>
    <w:qFormat/>
    <w:uiPriority w:val="0"/>
    <w:pPr>
      <w:widowControl/>
      <w:pBdr>
        <w:bottom w:val="single" w:color="auto" w:sz="4" w:space="0"/>
        <w:right w:val="single" w:color="auto" w:sz="4" w:space="0"/>
      </w:pBdr>
      <w:spacing w:before="100" w:beforeLines="0" w:after="100" w:afterLines="0"/>
      <w:jc w:val="center"/>
      <w:textAlignment w:val="center"/>
    </w:pPr>
    <w:rPr>
      <w:rFonts w:ascii="宋体" w:hAnsi="宋体"/>
      <w:kern w:val="0"/>
      <w:sz w:val="28"/>
      <w:szCs w:val="28"/>
    </w:rPr>
  </w:style>
  <w:style w:type="paragraph" w:customStyle="1" w:styleId="657">
    <w:name w:val="A-z正文"/>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658">
    <w:name w:val="列表标题"/>
    <w:basedOn w:val="1"/>
    <w:next w:val="1"/>
    <w:qFormat/>
    <w:uiPriority w:val="0"/>
    <w:pPr>
      <w:jc w:val="center"/>
    </w:pPr>
    <w:rPr>
      <w:rFonts w:ascii="Times New Roman" w:hAnsi="Times New Roman"/>
      <w:sz w:val="24"/>
      <w:szCs w:val="20"/>
    </w:rPr>
  </w:style>
  <w:style w:type="paragraph" w:customStyle="1" w:styleId="659">
    <w:name w:val="xl34"/>
    <w:basedOn w:val="1"/>
    <w:qFormat/>
    <w:uiPriority w:val="0"/>
    <w:pPr>
      <w:widowControl/>
      <w:pBdr>
        <w:top w:val="single" w:color="auto" w:sz="4" w:space="0"/>
        <w:bottom w:val="single" w:color="auto" w:sz="4" w:space="0"/>
        <w:right w:val="single" w:color="auto" w:sz="4" w:space="0"/>
      </w:pBdr>
      <w:spacing w:before="100" w:beforeLines="0" w:after="100" w:afterLines="0"/>
      <w:jc w:val="center"/>
      <w:textAlignment w:val="center"/>
    </w:pPr>
    <w:rPr>
      <w:rFonts w:ascii="宋体" w:hAnsi="宋体"/>
      <w:kern w:val="0"/>
      <w:sz w:val="24"/>
      <w:szCs w:val="24"/>
    </w:rPr>
  </w:style>
  <w:style w:type="paragraph" w:customStyle="1" w:styleId="660">
    <w:name w:val="样式 3字符 + 首行缩进:  1 字符"/>
    <w:basedOn w:val="614"/>
    <w:qFormat/>
    <w:uiPriority w:val="0"/>
    <w:pPr>
      <w:ind w:firstLine="280"/>
    </w:pPr>
    <w:rPr>
      <w:rFonts w:cs="宋体"/>
      <w:szCs w:val="20"/>
    </w:rPr>
  </w:style>
  <w:style w:type="paragraph" w:customStyle="1" w:styleId="661">
    <w:name w:val="7"/>
    <w:basedOn w:val="1"/>
    <w:next w:val="44"/>
    <w:qFormat/>
    <w:uiPriority w:val="0"/>
    <w:rPr>
      <w:rFonts w:ascii="宋体" w:hAnsi="Courier New"/>
      <w:szCs w:val="20"/>
    </w:rPr>
  </w:style>
  <w:style w:type="paragraph" w:customStyle="1" w:styleId="662">
    <w:name w:val="8级"/>
    <w:basedOn w:val="1"/>
    <w:qFormat/>
    <w:uiPriority w:val="0"/>
    <w:pPr>
      <w:tabs>
        <w:tab w:val="left" w:pos="407"/>
      </w:tabs>
      <w:ind w:left="180"/>
    </w:pPr>
    <w:rPr>
      <w:rFonts w:ascii="Times New Roman" w:hAnsi="Times New Roman"/>
      <w:szCs w:val="20"/>
    </w:rPr>
  </w:style>
  <w:style w:type="paragraph" w:customStyle="1" w:styleId="663">
    <w:name w:val="报告文字"/>
    <w:basedOn w:val="1"/>
    <w:qFormat/>
    <w:uiPriority w:val="0"/>
    <w:pPr>
      <w:adjustRightInd w:val="0"/>
      <w:snapToGrid w:val="0"/>
      <w:spacing w:line="360" w:lineRule="auto"/>
      <w:ind w:firstLine="560" w:firstLineChars="200"/>
      <w:outlineLvl w:val="2"/>
    </w:pPr>
    <w:rPr>
      <w:rFonts w:ascii="仿宋_GB2312" w:eastAsia="仿宋_GB2312"/>
      <w:bCs/>
      <w:snapToGrid w:val="0"/>
      <w:sz w:val="28"/>
    </w:rPr>
  </w:style>
  <w:style w:type="paragraph" w:customStyle="1" w:styleId="664">
    <w:name w:val="目录标题"/>
    <w:basedOn w:val="1"/>
    <w:next w:val="1"/>
    <w:qFormat/>
    <w:uiPriority w:val="0"/>
    <w:pPr>
      <w:widowControl/>
      <w:spacing w:before="566" w:beforeLines="0" w:after="544" w:afterLines="0" w:line="566" w:lineRule="atLeast"/>
      <w:ind w:firstLine="419"/>
      <w:jc w:val="center"/>
      <w:textAlignment w:val="baseline"/>
    </w:pPr>
    <w:rPr>
      <w:rFonts w:ascii="Arial" w:hAnsi="Times New Roman" w:eastAsia="黑体"/>
      <w:color w:val="000000"/>
      <w:spacing w:val="566"/>
      <w:kern w:val="0"/>
      <w:sz w:val="54"/>
      <w:szCs w:val="20"/>
      <w:u w:val="none" w:color="000000"/>
    </w:rPr>
  </w:style>
  <w:style w:type="paragraph" w:customStyle="1" w:styleId="665">
    <w:name w:val="xl72"/>
    <w:basedOn w:val="1"/>
    <w:qFormat/>
    <w:uiPriority w:val="0"/>
    <w:pPr>
      <w:widowControl/>
      <w:pBdr>
        <w:top w:val="single" w:color="auto" w:sz="8" w:space="0"/>
        <w:left w:val="single" w:color="auto" w:sz="4" w:space="0"/>
      </w:pBdr>
      <w:spacing w:before="100" w:beforeLines="0" w:after="100" w:afterLines="0"/>
      <w:jc w:val="center"/>
      <w:textAlignment w:val="center"/>
    </w:pPr>
    <w:rPr>
      <w:rFonts w:ascii="宋体" w:hAnsi="宋体"/>
      <w:kern w:val="0"/>
      <w:sz w:val="24"/>
      <w:szCs w:val="24"/>
    </w:rPr>
  </w:style>
  <w:style w:type="paragraph" w:customStyle="1" w:styleId="666">
    <w:name w:val="样式 居中 首行缩进:  0 厘米"/>
    <w:basedOn w:val="1"/>
    <w:qFormat/>
    <w:uiPriority w:val="0"/>
    <w:pPr>
      <w:adjustRightInd w:val="0"/>
      <w:snapToGrid w:val="0"/>
      <w:spacing w:line="500" w:lineRule="exact"/>
      <w:jc w:val="center"/>
    </w:pPr>
    <w:rPr>
      <w:rFonts w:ascii="宋体" w:hAnsi="宋体" w:cs="宋体"/>
      <w:sz w:val="28"/>
      <w:szCs w:val="20"/>
    </w:rPr>
  </w:style>
  <w:style w:type="paragraph" w:customStyle="1" w:styleId="667">
    <w:name w:val="表头样式"/>
    <w:basedOn w:val="1"/>
    <w:qFormat/>
    <w:uiPriority w:val="0"/>
    <w:pPr>
      <w:spacing w:before="93" w:beforeLines="30" w:after="62" w:afterLines="20"/>
      <w:jc w:val="center"/>
    </w:pPr>
    <w:rPr>
      <w:rFonts w:ascii="Times New Roman" w:hAnsi="Times New Roman" w:eastAsia="黑体"/>
      <w:sz w:val="28"/>
      <w:szCs w:val="20"/>
    </w:rPr>
  </w:style>
  <w:style w:type="paragraph" w:customStyle="1" w:styleId="668">
    <w:name w:val="单位名称"/>
    <w:basedOn w:val="1"/>
    <w:qFormat/>
    <w:uiPriority w:val="0"/>
    <w:pPr>
      <w:tabs>
        <w:tab w:val="left" w:pos="4680"/>
      </w:tabs>
      <w:spacing w:line="300" w:lineRule="auto"/>
      <w:ind w:firstLine="420" w:firstLineChars="200"/>
      <w:jc w:val="center"/>
    </w:pPr>
    <w:rPr>
      <w:rFonts w:ascii="Times New Roman" w:hAnsi="Times New Roman" w:cs="宋体"/>
      <w:b/>
      <w:bCs/>
      <w:szCs w:val="20"/>
    </w:rPr>
  </w:style>
  <w:style w:type="paragraph" w:customStyle="1" w:styleId="669">
    <w:name w:val="图表"/>
    <w:basedOn w:val="1"/>
    <w:qFormat/>
    <w:uiPriority w:val="0"/>
    <w:pPr>
      <w:tabs>
        <w:tab w:val="left" w:pos="4680"/>
      </w:tabs>
      <w:adjustRightInd w:val="0"/>
      <w:snapToGrid w:val="0"/>
      <w:spacing w:line="300" w:lineRule="auto"/>
      <w:jc w:val="center"/>
      <w:textAlignment w:val="center"/>
    </w:pPr>
    <w:rPr>
      <w:rFonts w:ascii="Times New Roman" w:hAnsi="Times New Roman" w:cs="宋体"/>
      <w:b/>
      <w:bCs/>
      <w:szCs w:val="21"/>
    </w:rPr>
  </w:style>
  <w:style w:type="paragraph" w:customStyle="1" w:styleId="670">
    <w:name w:val="文章总标题"/>
    <w:basedOn w:val="1"/>
    <w:next w:val="671"/>
    <w:qFormat/>
    <w:uiPriority w:val="0"/>
    <w:pPr>
      <w:widowControl/>
      <w:spacing w:before="566" w:beforeLines="0" w:after="544" w:afterLines="0" w:line="566" w:lineRule="atLeast"/>
      <w:jc w:val="center"/>
      <w:textAlignment w:val="baseline"/>
    </w:pPr>
    <w:rPr>
      <w:rFonts w:ascii="Arial" w:hAnsi="Times New Roman" w:eastAsia="黑体"/>
      <w:color w:val="000000"/>
      <w:kern w:val="0"/>
      <w:sz w:val="54"/>
      <w:szCs w:val="20"/>
      <w:u w:val="none" w:color="000000"/>
    </w:rPr>
  </w:style>
  <w:style w:type="paragraph" w:customStyle="1" w:styleId="671">
    <w:name w:val="文章附标题"/>
    <w:basedOn w:val="1"/>
    <w:next w:val="637"/>
    <w:qFormat/>
    <w:uiPriority w:val="0"/>
    <w:pPr>
      <w:widowControl/>
      <w:spacing w:before="187" w:beforeLines="0" w:after="175" w:afterLines="0" w:line="374" w:lineRule="atLeast"/>
      <w:jc w:val="center"/>
      <w:textAlignment w:val="baseline"/>
    </w:pPr>
    <w:rPr>
      <w:rFonts w:ascii="Times New Roman" w:hAnsi="Times New Roman"/>
      <w:color w:val="000000"/>
      <w:kern w:val="0"/>
      <w:sz w:val="36"/>
      <w:szCs w:val="20"/>
      <w:u w:val="none" w:color="000000"/>
    </w:rPr>
  </w:style>
  <w:style w:type="paragraph" w:customStyle="1" w:styleId="672">
    <w:name w:val="样式13"/>
    <w:basedOn w:val="76"/>
    <w:qFormat/>
    <w:uiPriority w:val="0"/>
    <w:pPr>
      <w:spacing w:line="560" w:lineRule="exact"/>
      <w:jc w:val="left"/>
      <w:outlineLvl w:val="2"/>
    </w:pPr>
    <w:rPr>
      <w:rFonts w:ascii="宋体" w:hAnsi="宋体"/>
      <w:b w:val="0"/>
      <w:bCs w:val="0"/>
      <w:sz w:val="28"/>
      <w:szCs w:val="28"/>
    </w:rPr>
  </w:style>
  <w:style w:type="paragraph" w:customStyle="1" w:styleId="673">
    <w:name w:val="样式 标题 4 + 黑色 首行缩进:  2 字符 段前: 7.5 磅 行距: 固定值 23 磅1"/>
    <w:basedOn w:val="6"/>
    <w:qFormat/>
    <w:uiPriority w:val="0"/>
    <w:pPr>
      <w:keepNext/>
      <w:keepLines/>
      <w:widowControl w:val="0"/>
      <w:numPr>
        <w:ilvl w:val="0"/>
        <w:numId w:val="0"/>
      </w:numPr>
      <w:tabs>
        <w:tab w:val="left" w:pos="360"/>
      </w:tabs>
      <w:autoSpaceDE w:val="0"/>
      <w:autoSpaceDN w:val="0"/>
      <w:adjustRightInd w:val="0"/>
      <w:snapToGrid/>
      <w:spacing w:before="100" w:beforeLines="0" w:beforeAutospacing="1" w:after="290" w:afterLines="0"/>
      <w:ind w:firstLine="480" w:firstLineChars="200"/>
      <w:jc w:val="both"/>
    </w:pPr>
    <w:rPr>
      <w:rFonts w:ascii="Times New Roman" w:hAnsi="Times New Roman" w:eastAsia="黑体"/>
      <w:bCs/>
      <w:kern w:val="2"/>
    </w:rPr>
  </w:style>
  <w:style w:type="paragraph" w:customStyle="1" w:styleId="674">
    <w:name w:val="xl74"/>
    <w:basedOn w:val="1"/>
    <w:qFormat/>
    <w:uiPriority w:val="0"/>
    <w:pPr>
      <w:widowControl/>
      <w:pBdr>
        <w:top w:val="single" w:color="auto" w:sz="8" w:space="0"/>
        <w:right w:val="single" w:color="auto" w:sz="8" w:space="0"/>
      </w:pBdr>
      <w:spacing w:before="100" w:beforeLines="0" w:after="100" w:afterLines="0"/>
      <w:jc w:val="center"/>
      <w:textAlignment w:val="center"/>
    </w:pPr>
    <w:rPr>
      <w:rFonts w:ascii="Times New Roman" w:hAnsi="Times New Roman"/>
      <w:kern w:val="0"/>
      <w:sz w:val="24"/>
      <w:szCs w:val="24"/>
    </w:rPr>
  </w:style>
  <w:style w:type="paragraph" w:customStyle="1" w:styleId="675">
    <w:name w:val="样式 5号表"/>
    <w:basedOn w:val="1"/>
    <w:qFormat/>
    <w:uiPriority w:val="0"/>
    <w:pPr>
      <w:shd w:val="clear" w:color="auto" w:fill="FFFFFF"/>
      <w:kinsoku w:val="0"/>
      <w:overflowPunct w:val="0"/>
      <w:autoSpaceDE w:val="0"/>
      <w:autoSpaceDN w:val="0"/>
      <w:snapToGrid w:val="0"/>
      <w:spacing w:line="300" w:lineRule="exact"/>
    </w:pPr>
    <w:rPr>
      <w:rFonts w:ascii="宋体" w:hAnsi="宋体" w:cs="宋体"/>
      <w:bCs/>
      <w:szCs w:val="20"/>
    </w:rPr>
  </w:style>
  <w:style w:type="paragraph" w:customStyle="1" w:styleId="676">
    <w:name w:val=" Char3 Char Char Char Char Char Char"/>
    <w:basedOn w:val="1"/>
    <w:qFormat/>
    <w:uiPriority w:val="0"/>
    <w:pPr>
      <w:widowControl/>
      <w:jc w:val="left"/>
    </w:pPr>
    <w:rPr>
      <w:rFonts w:ascii="宋体" w:hAnsi="宋体" w:cs="宋体"/>
      <w:szCs w:val="24"/>
    </w:rPr>
  </w:style>
  <w:style w:type="paragraph" w:customStyle="1" w:styleId="677">
    <w:name w:val="正文4"/>
    <w:basedOn w:val="1"/>
    <w:qFormat/>
    <w:uiPriority w:val="0"/>
    <w:pPr>
      <w:spacing w:line="360" w:lineRule="auto"/>
      <w:ind w:left="178" w:leftChars="85" w:firstLine="485" w:firstLineChars="202"/>
    </w:pPr>
    <w:rPr>
      <w:rFonts w:ascii="Times New Roman" w:hAnsi="Times New Roman" w:eastAsia="仿宋_GB2312"/>
      <w:sz w:val="28"/>
      <w:szCs w:val="20"/>
    </w:rPr>
  </w:style>
  <w:style w:type="paragraph" w:customStyle="1" w:styleId="678">
    <w:name w:val="666666-表中文字"/>
    <w:basedOn w:val="1"/>
    <w:qFormat/>
    <w:uiPriority w:val="0"/>
    <w:pPr>
      <w:jc w:val="center"/>
    </w:pPr>
    <w:rPr>
      <w:rFonts w:ascii="Times New Roman" w:hAnsi="Times New Roman"/>
      <w:szCs w:val="20"/>
    </w:rPr>
  </w:style>
  <w:style w:type="paragraph" w:customStyle="1" w:styleId="679">
    <w:name w:val="缩2"/>
    <w:basedOn w:val="1"/>
    <w:qFormat/>
    <w:uiPriority w:val="0"/>
    <w:pPr>
      <w:spacing w:line="500" w:lineRule="exact"/>
      <w:ind w:firstLine="560" w:firstLineChars="200"/>
    </w:pPr>
    <w:rPr>
      <w:rFonts w:ascii="Times New Roman" w:hAnsi="Times New Roman"/>
      <w:sz w:val="28"/>
      <w:szCs w:val="24"/>
    </w:rPr>
  </w:style>
  <w:style w:type="paragraph" w:customStyle="1" w:styleId="680">
    <w:name w:val="列出段落"/>
    <w:basedOn w:val="1"/>
    <w:qFormat/>
    <w:uiPriority w:val="0"/>
    <w:pPr>
      <w:spacing w:line="360" w:lineRule="auto"/>
      <w:ind w:firstLine="420" w:firstLineChars="200"/>
    </w:pPr>
    <w:rPr>
      <w:rFonts w:ascii="Times New Roman" w:hAnsi="宋体"/>
      <w:sz w:val="24"/>
      <w:szCs w:val="24"/>
    </w:rPr>
  </w:style>
  <w:style w:type="paragraph" w:customStyle="1" w:styleId="681">
    <w:name w:val="表编号"/>
    <w:next w:val="1"/>
    <w:qFormat/>
    <w:uiPriority w:val="0"/>
    <w:pPr>
      <w:widowControl w:val="0"/>
      <w:tabs>
        <w:tab w:val="right" w:pos="7995"/>
      </w:tabs>
      <w:adjustRightInd w:val="0"/>
      <w:spacing w:line="0" w:lineRule="atLeast"/>
      <w:ind w:left="227"/>
      <w:textAlignment w:val="baseline"/>
    </w:pPr>
    <w:rPr>
      <w:rFonts w:ascii="Arial" w:hAnsi="Arial" w:eastAsia="宋体" w:cs="Times New Roman"/>
      <w:sz w:val="24"/>
      <w:lang w:val="en-US" w:eastAsia="zh-CN" w:bidi="ar-SA"/>
    </w:rPr>
  </w:style>
  <w:style w:type="paragraph" w:customStyle="1" w:styleId="682">
    <w:name w:val="样式 标题 1 + 首行缩进:  2 字符"/>
    <w:basedOn w:val="3"/>
    <w:qFormat/>
    <w:uiPriority w:val="0"/>
    <w:pPr>
      <w:numPr>
        <w:ilvl w:val="0"/>
        <w:numId w:val="0"/>
      </w:numPr>
      <w:spacing w:before="120" w:beforeLines="0" w:after="120" w:afterLines="0" w:line="360" w:lineRule="auto"/>
    </w:pPr>
    <w:rPr>
      <w:rFonts w:ascii="宋体" w:hAnsi="宋体" w:cs="宋体"/>
      <w:color w:val="FF0000"/>
      <w:sz w:val="36"/>
      <w:szCs w:val="20"/>
      <w:lang w:val="en-US" w:eastAsia="zh-CN"/>
    </w:rPr>
  </w:style>
  <w:style w:type="paragraph" w:customStyle="1" w:styleId="683">
    <w:name w:val="样式 四号 黑色 首行缩进:  2 字符"/>
    <w:basedOn w:val="1"/>
    <w:qFormat/>
    <w:uiPriority w:val="0"/>
    <w:pPr>
      <w:spacing w:line="480" w:lineRule="atLeast"/>
      <w:ind w:firstLine="200" w:firstLineChars="200"/>
    </w:pPr>
    <w:rPr>
      <w:rFonts w:ascii="Times New Roman" w:hAnsi="Times New Roman"/>
      <w:color w:val="000000"/>
      <w:sz w:val="24"/>
      <w:szCs w:val="24"/>
    </w:rPr>
  </w:style>
  <w:style w:type="paragraph" w:customStyle="1" w:styleId="684">
    <w:name w:val=" Char2"/>
    <w:basedOn w:val="1"/>
    <w:qFormat/>
    <w:uiPriority w:val="0"/>
    <w:rPr>
      <w:rFonts w:ascii="Times New Roman" w:hAnsi="Times New Roman"/>
      <w:szCs w:val="24"/>
    </w:rPr>
  </w:style>
  <w:style w:type="paragraph" w:customStyle="1" w:styleId="685">
    <w:name w:val="xl37"/>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Times New Roman" w:hAnsi="Times New Roman"/>
      <w:kern w:val="0"/>
      <w:sz w:val="28"/>
      <w:szCs w:val="28"/>
    </w:rPr>
  </w:style>
  <w:style w:type="paragraph" w:customStyle="1" w:styleId="686">
    <w:name w:val="Char Char Char Char Char Char Char Char Char1"/>
    <w:basedOn w:val="1"/>
    <w:qFormat/>
    <w:uiPriority w:val="0"/>
    <w:rPr>
      <w:rFonts w:ascii="Times New Roman" w:hAnsi="Times New Roman"/>
      <w:szCs w:val="24"/>
    </w:rPr>
  </w:style>
  <w:style w:type="paragraph" w:customStyle="1" w:styleId="687">
    <w:name w:val="标题 1 + 段前: 0.5 行 段后: 0.5 行1"/>
    <w:basedOn w:val="1"/>
    <w:qFormat/>
    <w:uiPriority w:val="0"/>
    <w:pPr>
      <w:spacing w:before="600" w:after="480" w:line="460" w:lineRule="exact"/>
      <w:ind w:left="-178" w:leftChars="-85" w:right="-88" w:rightChars="-42"/>
      <w:jc w:val="center"/>
      <w:outlineLvl w:val="0"/>
    </w:pPr>
    <w:rPr>
      <w:rFonts w:ascii="宋体" w:hAnsi="宋体"/>
      <w:kern w:val="44"/>
      <w:sz w:val="36"/>
      <w:szCs w:val="36"/>
    </w:rPr>
  </w:style>
  <w:style w:type="paragraph" w:customStyle="1" w:styleId="688">
    <w:name w:val="xl73"/>
    <w:basedOn w:val="1"/>
    <w:qFormat/>
    <w:uiPriority w:val="0"/>
    <w:pPr>
      <w:widowControl/>
      <w:pBdr>
        <w:top w:val="single" w:color="auto" w:sz="8" w:space="0"/>
      </w:pBdr>
      <w:spacing w:before="100" w:beforeLines="0" w:after="100" w:afterLines="0"/>
      <w:jc w:val="center"/>
      <w:textAlignment w:val="center"/>
    </w:pPr>
    <w:rPr>
      <w:rFonts w:ascii="Times New Roman" w:hAnsi="Times New Roman"/>
      <w:kern w:val="0"/>
      <w:sz w:val="24"/>
      <w:szCs w:val="24"/>
    </w:rPr>
  </w:style>
  <w:style w:type="paragraph" w:customStyle="1" w:styleId="689">
    <w:name w:val="_正文格式"/>
    <w:basedOn w:val="1"/>
    <w:qFormat/>
    <w:uiPriority w:val="0"/>
    <w:pPr>
      <w:snapToGrid w:val="0"/>
      <w:spacing w:line="360" w:lineRule="auto"/>
      <w:ind w:firstLine="200" w:firstLineChars="200"/>
      <w:jc w:val="left"/>
    </w:pPr>
    <w:rPr>
      <w:rFonts w:ascii="Times New Roman" w:hAnsi="Times New Roman" w:eastAsia="宋体" w:cs="Times New Roman"/>
      <w:sz w:val="24"/>
      <w:szCs w:val="20"/>
    </w:rPr>
  </w:style>
  <w:style w:type="paragraph" w:customStyle="1" w:styleId="690">
    <w:name w:val="In Table"/>
    <w:basedOn w:val="1"/>
    <w:qFormat/>
    <w:uiPriority w:val="0"/>
    <w:pPr>
      <w:tabs>
        <w:tab w:val="left" w:pos="3960"/>
        <w:tab w:val="left" w:pos="5280"/>
      </w:tabs>
      <w:spacing w:before="96" w:beforeLines="0" w:after="96" w:afterLines="0" w:line="0" w:lineRule="atLeast"/>
      <w:jc w:val="center"/>
    </w:pPr>
    <w:rPr>
      <w:rFonts w:ascii="Tahoma" w:hAnsi="Tahoma" w:eastAsia="华文中宋"/>
      <w:szCs w:val="20"/>
    </w:rPr>
  </w:style>
  <w:style w:type="paragraph" w:customStyle="1" w:styleId="691">
    <w:name w:val="样式 标题 2电脑标志 + 首行缩进:  2 字符"/>
    <w:basedOn w:val="4"/>
    <w:qFormat/>
    <w:uiPriority w:val="0"/>
    <w:pPr>
      <w:keepNext w:val="0"/>
      <w:keepLines w:val="0"/>
      <w:adjustRightInd/>
      <w:spacing w:before="0" w:beforeLines="0" w:after="0" w:afterLines="0" w:line="240" w:lineRule="auto"/>
      <w:textAlignment w:val="auto"/>
    </w:pPr>
    <w:rPr>
      <w:rFonts w:ascii="黑体" w:hAnsi="Arial" w:eastAsia="黑体" w:cs="宋体"/>
      <w:b w:val="0"/>
      <w:bCs w:val="0"/>
      <w:kern w:val="2"/>
      <w:szCs w:val="20"/>
      <w:lang w:val="en-US" w:eastAsia="zh-CN"/>
    </w:rPr>
  </w:style>
  <w:style w:type="paragraph" w:customStyle="1" w:styleId="692">
    <w:name w:val="font13"/>
    <w:basedOn w:val="1"/>
    <w:semiHidden/>
    <w:qFormat/>
    <w:uiPriority w:val="0"/>
    <w:pPr>
      <w:widowControl/>
      <w:spacing w:before="100" w:beforeLines="0" w:beforeAutospacing="1" w:after="100" w:afterLines="0" w:afterAutospacing="1"/>
      <w:jc w:val="left"/>
    </w:pPr>
    <w:rPr>
      <w:rFonts w:ascii="Times New Roman" w:hAnsi="Times New Roman"/>
      <w:kern w:val="0"/>
      <w:sz w:val="24"/>
      <w:szCs w:val="24"/>
    </w:rPr>
  </w:style>
  <w:style w:type="paragraph" w:customStyle="1" w:styleId="693">
    <w:name w:val="样式 样式 小二 加粗 居中 段前: 24 磅 段后: 12 磅 + 小二 加粗 段前: 自动 段后: 自动"/>
    <w:basedOn w:val="694"/>
    <w:qFormat/>
    <w:uiPriority w:val="0"/>
    <w:pPr>
      <w:widowControl w:val="0"/>
      <w:ind w:firstLine="420"/>
    </w:pPr>
    <w:rPr>
      <w:sz w:val="21"/>
    </w:rPr>
  </w:style>
  <w:style w:type="paragraph" w:customStyle="1" w:styleId="694">
    <w:name w:val="样式 小二 加粗 居中 段前: 24 磅 段后: 12 磅"/>
    <w:basedOn w:val="1"/>
    <w:qFormat/>
    <w:uiPriority w:val="0"/>
    <w:pPr>
      <w:widowControl/>
      <w:adjustRightInd w:val="0"/>
      <w:snapToGrid w:val="0"/>
      <w:spacing w:before="100" w:beforeLines="0" w:beforeAutospacing="1" w:after="100" w:afterLines="0" w:afterAutospacing="1" w:line="240" w:lineRule="exact"/>
      <w:ind w:firstLine="480" w:firstLineChars="200"/>
      <w:jc w:val="center"/>
    </w:pPr>
    <w:rPr>
      <w:rFonts w:ascii="Times New Roman" w:hAnsi="Times New Roman" w:cs="宋体"/>
      <w:bCs/>
      <w:sz w:val="24"/>
      <w:szCs w:val="20"/>
    </w:rPr>
  </w:style>
  <w:style w:type="paragraph" w:customStyle="1" w:styleId="695">
    <w:name w:val="font1"/>
    <w:basedOn w:val="1"/>
    <w:qFormat/>
    <w:uiPriority w:val="0"/>
    <w:pPr>
      <w:widowControl/>
      <w:spacing w:before="100" w:beforeLines="0" w:beforeAutospacing="1" w:after="100" w:afterLines="0" w:afterAutospacing="1"/>
      <w:jc w:val="left"/>
    </w:pPr>
    <w:rPr>
      <w:rFonts w:hint="eastAsia" w:ascii="宋体" w:hAnsi="宋体"/>
      <w:kern w:val="0"/>
      <w:sz w:val="24"/>
      <w:szCs w:val="24"/>
    </w:rPr>
  </w:style>
  <w:style w:type="paragraph" w:customStyle="1" w:styleId="696">
    <w:name w:val="样式 标题 3 + 段前: 0.5 行 段后: 0.5 行"/>
    <w:basedOn w:val="5"/>
    <w:qFormat/>
    <w:uiPriority w:val="0"/>
    <w:pPr>
      <w:spacing w:before="0" w:beforeLines="0" w:after="0" w:afterLines="0" w:line="360" w:lineRule="auto"/>
    </w:pPr>
    <w:rPr>
      <w:rFonts w:ascii="宋体" w:hAnsi="宋体" w:cs="宋体"/>
      <w:b w:val="0"/>
      <w:kern w:val="2"/>
      <w:sz w:val="30"/>
      <w:szCs w:val="20"/>
      <w:lang w:val="en-US" w:eastAsia="zh-CN"/>
    </w:rPr>
  </w:style>
  <w:style w:type="paragraph" w:customStyle="1" w:styleId="697">
    <w:name w:val="Char Char Char Char Char Char Char Char Char Char Char Char Char Char Char Char Char Char"/>
    <w:basedOn w:val="1"/>
    <w:qFormat/>
    <w:uiPriority w:val="0"/>
    <w:rPr>
      <w:rFonts w:ascii="Times New Roman" w:hAnsi="Times New Roman"/>
      <w:szCs w:val="24"/>
    </w:rPr>
  </w:style>
  <w:style w:type="paragraph" w:customStyle="1" w:styleId="698">
    <w:name w:val="1表格"/>
    <w:basedOn w:val="1"/>
    <w:qFormat/>
    <w:uiPriority w:val="0"/>
    <w:pPr>
      <w:snapToGrid w:val="0"/>
      <w:spacing w:line="300" w:lineRule="auto"/>
      <w:jc w:val="center"/>
    </w:pPr>
    <w:rPr>
      <w:rFonts w:ascii="Times New Roman" w:hAnsi="Times New Roman"/>
      <w:color w:val="000000"/>
      <w:spacing w:val="4"/>
      <w:kern w:val="0"/>
      <w:szCs w:val="24"/>
    </w:rPr>
  </w:style>
  <w:style w:type="paragraph" w:customStyle="1" w:styleId="699">
    <w:name w:val="正文段落"/>
    <w:qFormat/>
    <w:uiPriority w:val="0"/>
    <w:pPr>
      <w:spacing w:before="156"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700">
    <w:name w:val="1表格头"/>
    <w:basedOn w:val="698"/>
    <w:qFormat/>
    <w:uiPriority w:val="0"/>
    <w:pPr>
      <w:spacing w:line="160" w:lineRule="atLeast"/>
      <w:jc w:val="both"/>
    </w:pPr>
    <w:rPr>
      <w:b/>
      <w:spacing w:val="0"/>
      <w:kern w:val="2"/>
      <w:sz w:val="24"/>
    </w:rPr>
  </w:style>
  <w:style w:type="paragraph" w:customStyle="1" w:styleId="701">
    <w:name w:val="2 Char Char Char"/>
    <w:basedOn w:val="1"/>
    <w:qFormat/>
    <w:uiPriority w:val="0"/>
    <w:rPr>
      <w:rFonts w:ascii="Times New Roman" w:hAnsi="Times New Roman"/>
      <w:szCs w:val="24"/>
    </w:rPr>
  </w:style>
  <w:style w:type="paragraph" w:customStyle="1" w:styleId="702">
    <w:name w:val="xl65"/>
    <w:basedOn w:val="1"/>
    <w:qFormat/>
    <w:uiPriority w:val="0"/>
    <w:pPr>
      <w:widowControl/>
      <w:pBdr>
        <w:left w:val="single" w:color="auto" w:sz="4" w:space="0"/>
      </w:pBdr>
      <w:spacing w:before="100" w:beforeLines="0" w:after="100" w:afterLines="0"/>
      <w:jc w:val="center"/>
      <w:textAlignment w:val="top"/>
    </w:pPr>
    <w:rPr>
      <w:rFonts w:ascii="Times New Roman" w:hAnsi="Times New Roman"/>
      <w:kern w:val="0"/>
      <w:sz w:val="24"/>
      <w:szCs w:val="24"/>
    </w:rPr>
  </w:style>
  <w:style w:type="paragraph" w:customStyle="1" w:styleId="703">
    <w:name w:val="xl32"/>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宋体" w:hAnsi="宋体"/>
      <w:kern w:val="0"/>
      <w:sz w:val="24"/>
      <w:szCs w:val="24"/>
    </w:rPr>
  </w:style>
  <w:style w:type="paragraph" w:customStyle="1" w:styleId="704">
    <w:name w:val="xl77"/>
    <w:basedOn w:val="1"/>
    <w:qFormat/>
    <w:uiPriority w:val="0"/>
    <w:pPr>
      <w:widowControl/>
      <w:pBdr>
        <w:right w:val="single" w:color="auto" w:sz="8" w:space="0"/>
      </w:pBdr>
      <w:spacing w:before="100" w:beforeLines="0" w:after="100" w:afterLines="0"/>
      <w:jc w:val="center"/>
      <w:textAlignment w:val="center"/>
    </w:pPr>
    <w:rPr>
      <w:rFonts w:ascii="Times New Roman" w:hAnsi="Times New Roman"/>
      <w:kern w:val="0"/>
      <w:sz w:val="24"/>
      <w:szCs w:val="24"/>
    </w:rPr>
  </w:style>
  <w:style w:type="paragraph" w:customStyle="1" w:styleId="705">
    <w:name w:val="样式 五号 蓝色 居中 行距: 单倍行距"/>
    <w:basedOn w:val="1"/>
    <w:qFormat/>
    <w:uiPriority w:val="0"/>
    <w:pPr>
      <w:adjustRightInd w:val="0"/>
      <w:jc w:val="center"/>
      <w:textAlignment w:val="baseline"/>
    </w:pPr>
    <w:rPr>
      <w:rFonts w:ascii="Times New Roman" w:hAnsi="Times New Roman"/>
      <w:szCs w:val="21"/>
    </w:rPr>
  </w:style>
  <w:style w:type="paragraph" w:customStyle="1" w:styleId="706">
    <w:name w:val="表格文字居中"/>
    <w:basedOn w:val="1"/>
    <w:next w:val="1"/>
    <w:qFormat/>
    <w:uiPriority w:val="0"/>
    <w:pPr>
      <w:jc w:val="center"/>
    </w:pPr>
    <w:rPr>
      <w:rFonts w:ascii="Arial" w:hAnsi="Arial"/>
      <w:szCs w:val="21"/>
    </w:rPr>
  </w:style>
  <w:style w:type="paragraph" w:customStyle="1" w:styleId="707">
    <w:name w:val="公式"/>
    <w:basedOn w:val="1"/>
    <w:qFormat/>
    <w:uiPriority w:val="0"/>
    <w:pPr>
      <w:widowControl/>
      <w:tabs>
        <w:tab w:val="left" w:pos="6720"/>
      </w:tabs>
      <w:spacing w:line="360" w:lineRule="auto"/>
      <w:ind w:firstLine="720" w:firstLineChars="400"/>
    </w:pPr>
    <w:rPr>
      <w:rFonts w:ascii="Times New Roman" w:hAnsi="宋体"/>
      <w:kern w:val="0"/>
      <w:sz w:val="18"/>
      <w:szCs w:val="20"/>
    </w:rPr>
  </w:style>
  <w:style w:type="paragraph" w:customStyle="1" w:styleId="708">
    <w:name w:val="xl80"/>
    <w:basedOn w:val="1"/>
    <w:qFormat/>
    <w:uiPriority w:val="0"/>
    <w:pPr>
      <w:widowControl/>
      <w:pBdr>
        <w:bottom w:val="single" w:color="auto" w:sz="8" w:space="0"/>
        <w:right w:val="single" w:color="auto" w:sz="8" w:space="0"/>
      </w:pBdr>
      <w:spacing w:before="100" w:beforeLines="0" w:after="100" w:afterLines="0"/>
      <w:jc w:val="center"/>
      <w:textAlignment w:val="center"/>
    </w:pPr>
    <w:rPr>
      <w:rFonts w:ascii="Times New Roman" w:hAnsi="Times New Roman"/>
      <w:kern w:val="0"/>
      <w:sz w:val="24"/>
      <w:szCs w:val="24"/>
    </w:rPr>
  </w:style>
  <w:style w:type="paragraph" w:customStyle="1" w:styleId="709">
    <w:name w:val="Style82"/>
    <w:basedOn w:val="1"/>
    <w:qFormat/>
    <w:uiPriority w:val="0"/>
    <w:pPr>
      <w:adjustRightInd w:val="0"/>
      <w:jc w:val="left"/>
    </w:pPr>
    <w:rPr>
      <w:rFonts w:ascii="宋体" w:hAnsi="Times New Roman"/>
      <w:kern w:val="0"/>
      <w:sz w:val="24"/>
      <w:szCs w:val="24"/>
    </w:rPr>
  </w:style>
  <w:style w:type="paragraph" w:customStyle="1" w:styleId="710">
    <w:name w:val="Char Char Char1 Char Char Char Char"/>
    <w:basedOn w:val="1"/>
    <w:next w:val="1"/>
    <w:qFormat/>
    <w:uiPriority w:val="0"/>
    <w:pPr>
      <w:spacing w:line="360" w:lineRule="auto"/>
      <w:ind w:firstLine="200" w:firstLineChars="200"/>
    </w:pPr>
    <w:rPr>
      <w:rFonts w:ascii="Times New Roman" w:hAnsi="Times New Roman"/>
      <w:szCs w:val="20"/>
    </w:rPr>
  </w:style>
  <w:style w:type="paragraph" w:customStyle="1" w:styleId="711">
    <w:name w:val="样式 标题 2 + 宋体 四号 首行缩进:  0.99 厘米"/>
    <w:basedOn w:val="4"/>
    <w:next w:val="1"/>
    <w:semiHidden/>
    <w:qFormat/>
    <w:uiPriority w:val="0"/>
    <w:pPr>
      <w:tabs>
        <w:tab w:val="left" w:pos="210"/>
      </w:tabs>
      <w:adjustRightInd/>
      <w:spacing w:before="120" w:beforeLines="0" w:after="120" w:afterLines="0" w:line="500" w:lineRule="exact"/>
      <w:ind w:firstLine="561" w:firstLineChars="200"/>
      <w:textAlignment w:val="auto"/>
    </w:pPr>
    <w:rPr>
      <w:bCs w:val="0"/>
      <w:kern w:val="2"/>
      <w:szCs w:val="28"/>
      <w:lang w:val="en-US" w:eastAsia="zh-CN"/>
    </w:rPr>
  </w:style>
  <w:style w:type="paragraph" w:customStyle="1" w:styleId="712">
    <w:name w:val="0001"/>
    <w:basedOn w:val="3"/>
    <w:qFormat/>
    <w:uiPriority w:val="0"/>
    <w:pPr>
      <w:pageBreakBefore/>
      <w:widowControl/>
      <w:numPr>
        <w:ilvl w:val="0"/>
        <w:numId w:val="0"/>
      </w:numPr>
      <w:spacing w:before="624" w:beforeLines="200" w:after="0" w:afterLines="0" w:line="360" w:lineRule="auto"/>
      <w:jc w:val="center"/>
    </w:pPr>
    <w:rPr>
      <w:rFonts w:ascii="宋体"/>
      <w:bCs w:val="0"/>
      <w:kern w:val="0"/>
      <w:sz w:val="36"/>
      <w:szCs w:val="20"/>
      <w:lang w:val="en-US" w:eastAsia="zh-CN"/>
    </w:rPr>
  </w:style>
  <w:style w:type="paragraph" w:customStyle="1" w:styleId="713">
    <w:name w:val="样式 样式 首行缩进:  2 字符 + 左侧:  2 字符"/>
    <w:basedOn w:val="1"/>
    <w:qFormat/>
    <w:uiPriority w:val="0"/>
    <w:pPr>
      <w:adjustRightInd w:val="0"/>
      <w:spacing w:line="360" w:lineRule="auto"/>
      <w:ind w:firstLine="560" w:firstLineChars="200"/>
      <w:textAlignment w:val="baseline"/>
    </w:pPr>
    <w:rPr>
      <w:rFonts w:ascii="Times New Roman" w:hAnsi="Times New Roman"/>
      <w:sz w:val="28"/>
      <w:szCs w:val="20"/>
    </w:rPr>
  </w:style>
  <w:style w:type="paragraph" w:customStyle="1" w:styleId="71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5">
    <w:name w:val="A-题注-表"/>
    <w:basedOn w:val="20"/>
    <w:qFormat/>
    <w:uiPriority w:val="0"/>
  </w:style>
  <w:style w:type="paragraph" w:customStyle="1" w:styleId="716">
    <w:name w:val="表格文字局中"/>
    <w:basedOn w:val="1"/>
    <w:next w:val="1"/>
    <w:qFormat/>
    <w:uiPriority w:val="0"/>
    <w:pPr>
      <w:jc w:val="center"/>
    </w:pPr>
    <w:rPr>
      <w:rFonts w:ascii="Times New Roman" w:hAnsi="Times New Roman"/>
      <w:szCs w:val="24"/>
    </w:rPr>
  </w:style>
  <w:style w:type="paragraph" w:customStyle="1" w:styleId="717">
    <w:name w:val="样式 首行缩进:  0.99 厘米"/>
    <w:basedOn w:val="1"/>
    <w:qFormat/>
    <w:uiPriority w:val="0"/>
    <w:pPr>
      <w:adjustRightInd w:val="0"/>
      <w:spacing w:line="480" w:lineRule="exact"/>
      <w:ind w:firstLine="567"/>
      <w:textAlignment w:val="baseline"/>
    </w:pPr>
    <w:rPr>
      <w:rFonts w:ascii="Times New Roman" w:hAnsi="Times New Roman" w:cs="宋体"/>
      <w:spacing w:val="-2"/>
      <w:kern w:val="0"/>
      <w:sz w:val="28"/>
      <w:szCs w:val="20"/>
    </w:rPr>
  </w:style>
  <w:style w:type="paragraph" w:customStyle="1" w:styleId="718">
    <w:name w:val="样式 表头 + 首行缩进:  2 字符"/>
    <w:basedOn w:val="2"/>
    <w:qFormat/>
    <w:uiPriority w:val="0"/>
    <w:pPr>
      <w:keepNext/>
      <w:adjustRightInd/>
      <w:spacing w:line="240" w:lineRule="auto"/>
      <w:ind w:left="0" w:leftChars="0" w:right="0" w:rightChars="0" w:firstLine="0" w:firstLineChars="0"/>
      <w:jc w:val="center"/>
      <w:textAlignment w:val="auto"/>
    </w:pPr>
    <w:rPr>
      <w:rFonts w:cs="宋体"/>
      <w:kern w:val="2"/>
      <w:sz w:val="28"/>
      <w:lang w:val="en-US" w:eastAsia="zh-CN"/>
    </w:rPr>
  </w:style>
  <w:style w:type="paragraph" w:customStyle="1" w:styleId="719">
    <w:name w:val="xl59"/>
    <w:basedOn w:val="1"/>
    <w:qFormat/>
    <w:uiPriority w:val="0"/>
    <w:pPr>
      <w:widowControl/>
      <w:pBdr>
        <w:bottom w:val="single" w:color="auto" w:sz="8" w:space="0"/>
        <w:right w:val="single" w:color="000000" w:sz="8" w:space="0"/>
      </w:pBdr>
      <w:spacing w:before="100" w:beforeLines="0" w:beforeAutospacing="1" w:after="100" w:afterLines="0" w:afterAutospacing="1"/>
      <w:textAlignment w:val="top"/>
    </w:pPr>
    <w:rPr>
      <w:rFonts w:ascii="Arial Unicode MS" w:hAnsi="Arial Unicode MS" w:eastAsia="Arial Unicode MS" w:cs="Arial Unicode MS"/>
      <w:kern w:val="0"/>
      <w:szCs w:val="21"/>
    </w:rPr>
  </w:style>
  <w:style w:type="paragraph" w:customStyle="1" w:styleId="720">
    <w:name w:val="目录2"/>
    <w:basedOn w:val="66"/>
    <w:qFormat/>
    <w:uiPriority w:val="0"/>
    <w:pPr>
      <w:tabs>
        <w:tab w:val="right" w:leader="middleDot" w:pos="8760"/>
      </w:tabs>
      <w:spacing w:line="520" w:lineRule="exact"/>
    </w:pPr>
    <w:rPr>
      <w:rFonts w:ascii="Times New Roman" w:hAnsi="Times New Roman" w:cs="宋体"/>
    </w:rPr>
  </w:style>
  <w:style w:type="paragraph" w:customStyle="1" w:styleId="721">
    <w:name w:val="样式 标题 2h22Header 2nd PageA.B.C.h2 main h标题2 + 仿宋_GB2312 行距..."/>
    <w:basedOn w:val="4"/>
    <w:qFormat/>
    <w:uiPriority w:val="0"/>
    <w:pPr>
      <w:widowControl/>
      <w:adjustRightInd/>
      <w:spacing w:line="360" w:lineRule="auto"/>
      <w:ind w:firstLine="455" w:firstLineChars="162"/>
      <w:jc w:val="left"/>
      <w:textAlignment w:val="auto"/>
    </w:pPr>
    <w:rPr>
      <w:rFonts w:ascii="仿宋_GB2312" w:hAnsi="ˎ̥" w:eastAsia="仿宋_GB2312" w:cs="宋体"/>
      <w:b w:val="0"/>
      <w:szCs w:val="20"/>
      <w:lang w:val="en-US" w:eastAsia="zh-CN"/>
    </w:rPr>
  </w:style>
  <w:style w:type="paragraph" w:customStyle="1" w:styleId="722">
    <w:name w:val="表内5中"/>
    <w:basedOn w:val="1"/>
    <w:qFormat/>
    <w:uiPriority w:val="0"/>
    <w:pPr>
      <w:jc w:val="center"/>
    </w:pPr>
    <w:rPr>
      <w:rFonts w:ascii="宋体"/>
      <w:szCs w:val="21"/>
    </w:rPr>
  </w:style>
  <w:style w:type="paragraph" w:customStyle="1" w:styleId="723">
    <w:name w:val="样式 样式 标题 2h22Header 2nd PageA.B.C.h2 main h标题2 + 仿宋_GB2312 行距......1"/>
    <w:basedOn w:val="721"/>
    <w:qFormat/>
    <w:uiPriority w:val="0"/>
    <w:pPr>
      <w:ind w:firstLine="454"/>
    </w:pPr>
    <w:rPr>
      <w:b/>
      <w:bCs w:val="0"/>
    </w:rPr>
  </w:style>
  <w:style w:type="paragraph" w:customStyle="1" w:styleId="724">
    <w:name w:val="Char1 Char Char Char1"/>
    <w:basedOn w:val="1"/>
    <w:qFormat/>
    <w:uiPriority w:val="0"/>
    <w:rPr>
      <w:rFonts w:ascii="Times New Roman" w:hAnsi="Times New Roman"/>
      <w:szCs w:val="24"/>
    </w:rPr>
  </w:style>
  <w:style w:type="paragraph" w:customStyle="1" w:styleId="725">
    <w:name w:val="表格文字缩进"/>
    <w:basedOn w:val="1"/>
    <w:next w:val="1"/>
    <w:qFormat/>
    <w:uiPriority w:val="0"/>
    <w:pPr>
      <w:ind w:firstLine="420" w:firstLineChars="200"/>
      <w:jc w:val="center"/>
    </w:pPr>
    <w:rPr>
      <w:rFonts w:ascii="Times New Roman" w:hAnsi="Times New Roman" w:eastAsia="宋体"/>
      <w:sz w:val="21"/>
    </w:rPr>
  </w:style>
  <w:style w:type="paragraph" w:customStyle="1" w:styleId="726">
    <w:name w:val="Char Char Знак Знак1"/>
    <w:basedOn w:val="1"/>
    <w:qFormat/>
    <w:uiPriority w:val="0"/>
    <w:pPr>
      <w:widowControl/>
      <w:spacing w:after="160" w:afterLines="0" w:line="240" w:lineRule="exact"/>
      <w:jc w:val="left"/>
    </w:pPr>
    <w:rPr>
      <w:rFonts w:ascii="Times New Roman" w:hAnsi="Times New Roman"/>
      <w:b/>
      <w:kern w:val="0"/>
      <w:sz w:val="28"/>
      <w:szCs w:val="24"/>
      <w:lang w:eastAsia="en-US"/>
    </w:rPr>
  </w:style>
  <w:style w:type="paragraph" w:customStyle="1" w:styleId="727">
    <w:name w:val="样式 表头 + 首行缩进:  0.97 厘米"/>
    <w:basedOn w:val="2"/>
    <w:qFormat/>
    <w:uiPriority w:val="0"/>
    <w:pPr>
      <w:keepNext/>
      <w:adjustRightInd/>
      <w:spacing w:line="240" w:lineRule="auto"/>
      <w:ind w:left="0" w:leftChars="0" w:right="0" w:rightChars="0" w:firstLine="0" w:firstLineChars="0"/>
      <w:jc w:val="center"/>
      <w:textAlignment w:val="auto"/>
    </w:pPr>
    <w:rPr>
      <w:rFonts w:cs="宋体"/>
      <w:kern w:val="2"/>
      <w:sz w:val="28"/>
      <w:lang w:val="en-US" w:eastAsia="zh-CN"/>
    </w:rPr>
  </w:style>
  <w:style w:type="paragraph" w:customStyle="1" w:styleId="728">
    <w:name w:val="样式8"/>
    <w:basedOn w:val="1"/>
    <w:qFormat/>
    <w:uiPriority w:val="0"/>
    <w:pPr>
      <w:ind w:firstLine="499"/>
    </w:pPr>
    <w:rPr>
      <w:rFonts w:ascii="宋体" w:hAnsi="Times New Roman"/>
      <w:color w:val="000000"/>
      <w:sz w:val="28"/>
      <w:szCs w:val="20"/>
    </w:rPr>
  </w:style>
  <w:style w:type="paragraph" w:customStyle="1" w:styleId="729">
    <w:name w:val="表格体"/>
    <w:basedOn w:val="1"/>
    <w:qFormat/>
    <w:uiPriority w:val="0"/>
    <w:pPr>
      <w:adjustRightInd w:val="0"/>
      <w:snapToGrid w:val="0"/>
      <w:jc w:val="center"/>
    </w:pPr>
    <w:rPr>
      <w:rFonts w:ascii="Times New Roman" w:hAnsi="Times New Roman"/>
      <w:bCs/>
      <w:szCs w:val="24"/>
    </w:rPr>
  </w:style>
  <w:style w:type="paragraph" w:customStyle="1" w:styleId="730">
    <w:name w:val="样式 样式 样式 小二 加粗 居中 段前: 24 磅 段后: 12 磅 + 小二 加粗 段前: 自动 段后: 自动 + 小二 ..."/>
    <w:basedOn w:val="693"/>
    <w:qFormat/>
    <w:uiPriority w:val="0"/>
    <w:pPr>
      <w:keepNext/>
      <w:keepLines/>
      <w:spacing w:before="624" w:beforeLines="200" w:after="312" w:afterLines="100"/>
      <w:outlineLvl w:val="1"/>
    </w:pPr>
  </w:style>
  <w:style w:type="paragraph" w:customStyle="1" w:styleId="731">
    <w:name w:val="样式 正文缩进 + 宋体 段后: 6 磅 行距: 单倍行距"/>
    <w:basedOn w:val="19"/>
    <w:qFormat/>
    <w:uiPriority w:val="0"/>
    <w:pPr>
      <w:adjustRightInd/>
      <w:spacing w:after="120" w:afterLines="0" w:line="300" w:lineRule="auto"/>
      <w:ind w:firstLine="200" w:firstLineChars="200"/>
      <w:textAlignment w:val="auto"/>
    </w:pPr>
    <w:rPr>
      <w:rFonts w:ascii="宋体" w:hAnsi="宋体" w:cs="宋体"/>
      <w:color w:val="000000"/>
      <w:kern w:val="2"/>
      <w:sz w:val="24"/>
    </w:rPr>
  </w:style>
  <w:style w:type="paragraph" w:customStyle="1" w:styleId="732">
    <w:name w:val="日期11"/>
    <w:basedOn w:val="1"/>
    <w:next w:val="1"/>
    <w:qFormat/>
    <w:uiPriority w:val="0"/>
    <w:pPr>
      <w:adjustRightInd w:val="0"/>
      <w:jc w:val="left"/>
      <w:textAlignment w:val="baseline"/>
    </w:pPr>
    <w:rPr>
      <w:rFonts w:ascii="Times New Roman" w:hAnsi="Times New Roman"/>
      <w:sz w:val="28"/>
      <w:szCs w:val="20"/>
    </w:rPr>
  </w:style>
  <w:style w:type="paragraph" w:customStyle="1" w:styleId="733">
    <w:name w:val="样式 样式3 + 首行缩进:  0.96 字符"/>
    <w:basedOn w:val="152"/>
    <w:qFormat/>
    <w:uiPriority w:val="0"/>
    <w:pPr>
      <w:shd w:val="clear" w:color="auto" w:fill="auto"/>
      <w:spacing w:before="156" w:beforeLines="50" w:line="360" w:lineRule="auto"/>
      <w:ind w:right="-126" w:rightChars="-42"/>
    </w:pPr>
    <w:rPr>
      <w:rFonts w:cs="宋体"/>
      <w:b/>
      <w:bCs/>
      <w:color w:val="000000"/>
      <w:sz w:val="88"/>
      <w:szCs w:val="84"/>
    </w:rPr>
  </w:style>
  <w:style w:type="paragraph" w:customStyle="1" w:styleId="734">
    <w:name w:val="Char1 Char1"/>
    <w:basedOn w:val="1"/>
    <w:qFormat/>
    <w:uiPriority w:val="0"/>
    <w:pPr>
      <w:widowControl/>
      <w:adjustRightInd w:val="0"/>
      <w:spacing w:after="160" w:afterLines="0" w:line="240" w:lineRule="exact"/>
      <w:jc w:val="left"/>
      <w:textAlignment w:val="baseline"/>
    </w:pPr>
    <w:rPr>
      <w:rFonts w:ascii="Arial" w:hAnsi="Arial" w:eastAsia="Times New Roman" w:cs="Verdana"/>
      <w:b/>
      <w:kern w:val="0"/>
      <w:sz w:val="24"/>
      <w:szCs w:val="24"/>
      <w:lang w:eastAsia="en-US"/>
    </w:rPr>
  </w:style>
  <w:style w:type="paragraph" w:customStyle="1" w:styleId="735">
    <w:name w:val=" Char Char Char1 Char Char Char Char"/>
    <w:basedOn w:val="1"/>
    <w:next w:val="1"/>
    <w:qFormat/>
    <w:uiPriority w:val="0"/>
    <w:pPr>
      <w:spacing w:line="360" w:lineRule="auto"/>
      <w:ind w:firstLine="200" w:firstLineChars="200"/>
    </w:pPr>
    <w:rPr>
      <w:rFonts w:ascii="Times New Roman" w:hAnsi="Times New Roman"/>
      <w:szCs w:val="20"/>
    </w:rPr>
  </w:style>
  <w:style w:type="paragraph" w:customStyle="1" w:styleId="736">
    <w:name w:val="普通文本"/>
    <w:basedOn w:val="1"/>
    <w:qFormat/>
    <w:uiPriority w:val="0"/>
    <w:pPr>
      <w:overflowPunct w:val="0"/>
      <w:autoSpaceDE w:val="0"/>
      <w:autoSpaceDN w:val="0"/>
      <w:adjustRightInd w:val="0"/>
      <w:spacing w:line="360" w:lineRule="auto"/>
      <w:ind w:firstLine="480" w:firstLineChars="200"/>
    </w:pPr>
    <w:rPr>
      <w:rFonts w:ascii="宋体" w:hAnsi="宋体"/>
      <w:kern w:val="0"/>
      <w:sz w:val="24"/>
      <w:szCs w:val="24"/>
      <w:lang w:val="zh-CN"/>
    </w:rPr>
  </w:style>
  <w:style w:type="paragraph" w:customStyle="1" w:styleId="737">
    <w:name w:val="样式 正文文本缩进"/>
    <w:basedOn w:val="1"/>
    <w:qFormat/>
    <w:uiPriority w:val="0"/>
    <w:pPr>
      <w:spacing w:line="360" w:lineRule="auto"/>
      <w:ind w:firstLine="480" w:firstLineChars="200"/>
    </w:pPr>
    <w:rPr>
      <w:rFonts w:ascii="Times New Roman" w:hAnsi="宋体" w:cs="宋体"/>
      <w:sz w:val="24"/>
      <w:szCs w:val="24"/>
    </w:rPr>
  </w:style>
  <w:style w:type="paragraph" w:customStyle="1" w:styleId="738">
    <w:name w:val="表格文字左"/>
    <w:basedOn w:val="1"/>
    <w:next w:val="1"/>
    <w:qFormat/>
    <w:uiPriority w:val="0"/>
    <w:pPr>
      <w:jc w:val="left"/>
    </w:pPr>
    <w:rPr>
      <w:rFonts w:ascii="Arial" w:hAnsi="Arial"/>
      <w:szCs w:val="21"/>
    </w:rPr>
  </w:style>
  <w:style w:type="paragraph" w:customStyle="1" w:styleId="739">
    <w:name w:val="正文图五"/>
    <w:basedOn w:val="1"/>
    <w:qFormat/>
    <w:uiPriority w:val="0"/>
    <w:pPr>
      <w:widowControl/>
      <w:adjustRightInd w:val="0"/>
      <w:snapToGrid w:val="0"/>
      <w:jc w:val="center"/>
    </w:pPr>
    <w:rPr>
      <w:rFonts w:ascii="Arial" w:hAnsi="Arial" w:eastAsia="仿宋_GB2312" w:cs="宋体"/>
      <w:snapToGrid w:val="0"/>
      <w:kern w:val="0"/>
      <w:szCs w:val="21"/>
    </w:rPr>
  </w:style>
  <w:style w:type="paragraph" w:customStyle="1" w:styleId="740">
    <w:name w:val="基准页脚样式"/>
    <w:basedOn w:val="31"/>
    <w:qFormat/>
    <w:uiPriority w:val="0"/>
    <w:pPr>
      <w:widowControl/>
      <w:spacing w:after="0" w:afterLines="0" w:line="320" w:lineRule="exact"/>
      <w:jc w:val="center"/>
    </w:pPr>
    <w:rPr>
      <w:rFonts w:ascii="宋体" w:hAnsi="Arial"/>
      <w:spacing w:val="-20"/>
      <w:sz w:val="21"/>
      <w:szCs w:val="20"/>
      <w:lang w:val="en-US" w:eastAsia="zh-CN"/>
    </w:rPr>
  </w:style>
  <w:style w:type="paragraph" w:customStyle="1" w:styleId="741">
    <w:name w:val="xl82"/>
    <w:basedOn w:val="1"/>
    <w:qFormat/>
    <w:uiPriority w:val="0"/>
    <w:pPr>
      <w:widowControl/>
      <w:pBdr>
        <w:left w:val="single" w:color="auto" w:sz="4" w:space="0"/>
        <w:right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742">
    <w:name w:val="1-正文"/>
    <w:basedOn w:val="1"/>
    <w:qFormat/>
    <w:uiPriority w:val="0"/>
    <w:pPr>
      <w:spacing w:line="360" w:lineRule="auto"/>
      <w:ind w:firstLine="200" w:firstLineChars="200"/>
    </w:pPr>
    <w:rPr>
      <w:rFonts w:ascii="宋体" w:hAnsi="宋体"/>
      <w:kern w:val="0"/>
      <w:sz w:val="24"/>
      <w:szCs w:val="24"/>
    </w:rPr>
  </w:style>
  <w:style w:type="paragraph" w:customStyle="1" w:styleId="743">
    <w:name w:val="Char Char Char Char Char Char Char Char Char Char Char Char Char Char Char Char Char Char2"/>
    <w:basedOn w:val="1"/>
    <w:qFormat/>
    <w:uiPriority w:val="0"/>
    <w:rPr>
      <w:rFonts w:ascii="Times New Roman" w:hAnsi="Times New Roman"/>
      <w:szCs w:val="24"/>
    </w:rPr>
  </w:style>
  <w:style w:type="paragraph" w:customStyle="1" w:styleId="744">
    <w:name w:val="font10"/>
    <w:basedOn w:val="1"/>
    <w:qFormat/>
    <w:uiPriority w:val="0"/>
    <w:pPr>
      <w:widowControl/>
      <w:spacing w:before="100" w:beforeLines="0" w:beforeAutospacing="1" w:after="100" w:afterLines="0" w:afterAutospacing="1"/>
      <w:jc w:val="left"/>
    </w:pPr>
    <w:rPr>
      <w:rFonts w:ascii="Times New Roman" w:hAnsi="Times New Roman"/>
      <w:kern w:val="0"/>
      <w:sz w:val="11"/>
      <w:szCs w:val="11"/>
    </w:rPr>
  </w:style>
  <w:style w:type="paragraph" w:customStyle="1" w:styleId="745">
    <w:name w:val="样式 样式 首行缩进:  2 字符 + 小四 居中"/>
    <w:basedOn w:val="1"/>
    <w:qFormat/>
    <w:uiPriority w:val="0"/>
    <w:pPr>
      <w:adjustRightInd w:val="0"/>
      <w:spacing w:line="360" w:lineRule="atLeast"/>
      <w:jc w:val="center"/>
      <w:textAlignment w:val="baseline"/>
    </w:pPr>
    <w:rPr>
      <w:rFonts w:ascii="Times New Roman" w:hAnsi="Times New Roman"/>
      <w:sz w:val="28"/>
      <w:szCs w:val="20"/>
    </w:rPr>
  </w:style>
  <w:style w:type="paragraph" w:customStyle="1" w:styleId="746">
    <w:name w:val="表中"/>
    <w:qFormat/>
    <w:uiPriority w:val="0"/>
    <w:pPr>
      <w:spacing w:line="240" w:lineRule="exact"/>
      <w:jc w:val="center"/>
    </w:pPr>
    <w:rPr>
      <w:rFonts w:ascii="宋体" w:hAnsi="宋体" w:eastAsia="宋体" w:cs="Times New Roman"/>
      <w:color w:val="000000"/>
      <w:sz w:val="18"/>
      <w:lang w:val="en-US" w:eastAsia="zh-CN" w:bidi="ar-SA"/>
    </w:rPr>
  </w:style>
  <w:style w:type="paragraph" w:customStyle="1" w:styleId="747">
    <w:name w:val="样式 行距: 1.5 倍行距 首行缩进:  1.71 字符"/>
    <w:basedOn w:val="1"/>
    <w:qFormat/>
    <w:uiPriority w:val="0"/>
    <w:pPr>
      <w:spacing w:line="360" w:lineRule="auto"/>
      <w:ind w:firstLine="359" w:firstLineChars="171"/>
    </w:pPr>
    <w:rPr>
      <w:rFonts w:ascii="Times New Roman" w:hAnsi="Times New Roman"/>
      <w:sz w:val="24"/>
      <w:szCs w:val="20"/>
    </w:rPr>
  </w:style>
  <w:style w:type="paragraph" w:customStyle="1" w:styleId="748">
    <w:name w:val="列出段落11"/>
    <w:basedOn w:val="1"/>
    <w:qFormat/>
    <w:uiPriority w:val="0"/>
    <w:pPr>
      <w:ind w:firstLine="420" w:firstLineChars="200"/>
    </w:pPr>
    <w:rPr>
      <w:rFonts w:ascii="Times New Roman" w:hAnsi="Times New Roman"/>
      <w:szCs w:val="20"/>
    </w:rPr>
  </w:style>
  <w:style w:type="paragraph" w:customStyle="1" w:styleId="749">
    <w:name w:val="样式 标题 3"/>
    <w:basedOn w:val="5"/>
    <w:qFormat/>
    <w:uiPriority w:val="0"/>
    <w:pPr>
      <w:numPr>
        <w:ilvl w:val="1"/>
        <w:numId w:val="4"/>
      </w:numPr>
      <w:tabs>
        <w:tab w:val="left" w:pos="709"/>
        <w:tab w:val="clear" w:pos="567"/>
      </w:tabs>
      <w:spacing w:line="480" w:lineRule="exact"/>
      <w:ind w:left="709" w:hanging="709"/>
    </w:pPr>
    <w:rPr>
      <w:rFonts w:cs="宋体"/>
      <w:kern w:val="2"/>
      <w:sz w:val="28"/>
      <w:szCs w:val="20"/>
      <w:lang w:val="en-US" w:eastAsia="zh-CN"/>
    </w:rPr>
  </w:style>
  <w:style w:type="paragraph" w:customStyle="1" w:styleId="750">
    <w:name w:val="xl30"/>
    <w:basedOn w:val="1"/>
    <w:qFormat/>
    <w:uiPriority w:val="0"/>
    <w:pPr>
      <w:widowControl/>
      <w:spacing w:before="100" w:beforeLines="0" w:beforeAutospacing="1" w:after="100" w:afterLines="0" w:afterAutospacing="1"/>
      <w:jc w:val="left"/>
    </w:pPr>
    <w:rPr>
      <w:rFonts w:ascii="Times New Roman" w:hAnsi="Times New Roman"/>
      <w:kern w:val="0"/>
      <w:sz w:val="24"/>
      <w:szCs w:val="24"/>
    </w:rPr>
  </w:style>
  <w:style w:type="paragraph" w:customStyle="1" w:styleId="751">
    <w:name w:val="样式 左侧:  0 厘米 首行缩进:  0.85 厘米"/>
    <w:basedOn w:val="1"/>
    <w:qFormat/>
    <w:uiPriority w:val="0"/>
    <w:pPr>
      <w:ind w:firstLine="480" w:firstLineChars="200"/>
    </w:pPr>
    <w:rPr>
      <w:rFonts w:ascii="Times New Roman" w:hAnsi="Times New Roman" w:eastAsia="仿宋_GB2312"/>
      <w:sz w:val="24"/>
      <w:szCs w:val="20"/>
    </w:rPr>
  </w:style>
  <w:style w:type="paragraph" w:customStyle="1" w:styleId="752">
    <w:name w:val="line20"/>
    <w:basedOn w:val="1"/>
    <w:qFormat/>
    <w:uiPriority w:val="0"/>
    <w:pPr>
      <w:widowControl/>
      <w:spacing w:before="100" w:beforeLines="0" w:beforeAutospacing="1" w:after="100" w:afterLines="0" w:afterAutospacing="1" w:line="315" w:lineRule="atLeast"/>
      <w:ind w:firstLineChars="200"/>
      <w:jc w:val="left"/>
    </w:pPr>
    <w:rPr>
      <w:rFonts w:ascii="仿宋_GB2312" w:hAnsi="宋体" w:eastAsia="仿宋_GB2312" w:cs="宋体"/>
      <w:kern w:val="0"/>
      <w:sz w:val="24"/>
      <w:szCs w:val="24"/>
    </w:rPr>
  </w:style>
  <w:style w:type="paragraph" w:customStyle="1" w:styleId="753">
    <w:name w:val=" Char Char Char Char Char2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754">
    <w:name w:val="基准页眉样式"/>
    <w:basedOn w:val="31"/>
    <w:qFormat/>
    <w:uiPriority w:val="0"/>
    <w:pPr>
      <w:snapToGrid w:val="0"/>
      <w:spacing w:after="0" w:afterLines="0"/>
      <w:jc w:val="center"/>
    </w:pPr>
    <w:rPr>
      <w:rFonts w:ascii="宋体" w:hAnsi="宋体"/>
      <w:color w:val="000000"/>
      <w:kern w:val="2"/>
      <w:sz w:val="21"/>
      <w:lang w:val="en-US" w:eastAsia="zh-CN"/>
    </w:rPr>
  </w:style>
  <w:style w:type="paragraph" w:customStyle="1" w:styleId="755">
    <w:name w:val="xl45"/>
    <w:basedOn w:val="1"/>
    <w:qFormat/>
    <w:uiPriority w:val="0"/>
    <w:pPr>
      <w:widowControl/>
      <w:pBdr>
        <w:top w:val="single" w:color="auto" w:sz="4" w:space="0"/>
        <w:bottom w:val="single" w:color="auto" w:sz="4" w:space="0"/>
        <w:right w:val="single" w:color="auto" w:sz="4" w:space="0"/>
      </w:pBdr>
      <w:spacing w:before="100" w:beforeLines="0" w:after="100" w:afterLines="0"/>
      <w:jc w:val="center"/>
      <w:textAlignment w:val="center"/>
    </w:pPr>
    <w:rPr>
      <w:rFonts w:ascii="宋体" w:hAnsi="宋体"/>
      <w:kern w:val="0"/>
      <w:sz w:val="24"/>
      <w:szCs w:val="24"/>
    </w:rPr>
  </w:style>
  <w:style w:type="paragraph" w:customStyle="1" w:styleId="756">
    <w:name w:val="a3"/>
    <w:basedOn w:val="1"/>
    <w:qFormat/>
    <w:uiPriority w:val="0"/>
    <w:pPr>
      <w:widowControl/>
      <w:spacing w:before="100" w:beforeLines="0" w:beforeAutospacing="1" w:after="100" w:afterLines="0" w:afterAutospacing="1"/>
      <w:jc w:val="left"/>
    </w:pPr>
    <w:rPr>
      <w:rFonts w:ascii="宋体" w:hAnsi="宋体"/>
      <w:color w:val="000000"/>
      <w:kern w:val="0"/>
      <w:sz w:val="24"/>
      <w:szCs w:val="24"/>
    </w:rPr>
  </w:style>
  <w:style w:type="paragraph" w:customStyle="1" w:styleId="757">
    <w:name w:val="xl22"/>
    <w:basedOn w:val="1"/>
    <w:qFormat/>
    <w:uiPriority w:val="0"/>
    <w:pPr>
      <w:widowControl/>
      <w:pBdr>
        <w:bottom w:val="single" w:color="auto" w:sz="4" w:space="0"/>
        <w:right w:val="single" w:color="auto" w:sz="4" w:space="0"/>
      </w:pBdr>
      <w:spacing w:before="100" w:beforeLines="0" w:after="100" w:afterLines="0"/>
      <w:jc w:val="center"/>
    </w:pPr>
    <w:rPr>
      <w:rFonts w:ascii="仿宋_GB2312" w:hAnsi="宋体" w:eastAsia="仿宋_GB2312"/>
      <w:kern w:val="0"/>
      <w:szCs w:val="20"/>
    </w:rPr>
  </w:style>
  <w:style w:type="paragraph" w:customStyle="1" w:styleId="758">
    <w:name w:val="报告表正文"/>
    <w:basedOn w:val="1"/>
    <w:qFormat/>
    <w:uiPriority w:val="0"/>
    <w:pPr>
      <w:adjustRightInd w:val="0"/>
      <w:spacing w:line="300" w:lineRule="auto"/>
      <w:ind w:left="113" w:right="113"/>
      <w:textAlignment w:val="baseline"/>
    </w:pPr>
    <w:rPr>
      <w:rFonts w:ascii="Times New Roman" w:hAnsi="Times New Roman"/>
      <w:kern w:val="0"/>
      <w:sz w:val="24"/>
      <w:szCs w:val="20"/>
    </w:rPr>
  </w:style>
  <w:style w:type="paragraph" w:customStyle="1" w:styleId="759">
    <w:name w:val="Char Char Char Char Char Char1 Char1"/>
    <w:basedOn w:val="1"/>
    <w:qFormat/>
    <w:uiPriority w:val="0"/>
    <w:rPr>
      <w:rFonts w:ascii="Times New Roman" w:hAnsi="Times New Roman"/>
      <w:szCs w:val="24"/>
    </w:rPr>
  </w:style>
  <w:style w:type="paragraph" w:customStyle="1" w:styleId="760">
    <w:name w:val="Style13"/>
    <w:basedOn w:val="1"/>
    <w:qFormat/>
    <w:uiPriority w:val="0"/>
    <w:pPr>
      <w:adjustRightInd w:val="0"/>
      <w:jc w:val="left"/>
    </w:pPr>
    <w:rPr>
      <w:rFonts w:ascii="宋体" w:hAnsi="Times New Roman"/>
      <w:kern w:val="0"/>
      <w:sz w:val="24"/>
      <w:szCs w:val="24"/>
    </w:rPr>
  </w:style>
  <w:style w:type="paragraph" w:customStyle="1" w:styleId="761">
    <w:name w:val="a"/>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762">
    <w:name w:val="样式 行距: 1.5 倍行距"/>
    <w:basedOn w:val="1"/>
    <w:qFormat/>
    <w:uiPriority w:val="0"/>
    <w:pPr>
      <w:spacing w:line="360" w:lineRule="auto"/>
      <w:ind w:firstLine="420" w:firstLineChars="200"/>
    </w:pPr>
    <w:rPr>
      <w:rFonts w:ascii="Times New Roman" w:hAnsi="Times New Roman" w:cs="宋体"/>
      <w:sz w:val="24"/>
      <w:szCs w:val="20"/>
    </w:rPr>
  </w:style>
  <w:style w:type="paragraph" w:customStyle="1" w:styleId="763">
    <w:name w:val="无间隔"/>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paragraph" w:customStyle="1" w:styleId="764">
    <w:name w:val="样式 样式 样式 标题 1 + 居中 左侧:  0 厘米 首行缩进:  0 厘米 段前: 0.5 行 段后: 0.5 行 行距:..."/>
    <w:basedOn w:val="1"/>
    <w:qFormat/>
    <w:uiPriority w:val="0"/>
    <w:pPr>
      <w:keepNext/>
      <w:keepLines/>
      <w:tabs>
        <w:tab w:val="left" w:pos="360"/>
      </w:tabs>
      <w:adjustRightInd w:val="0"/>
      <w:spacing w:before="156" w:beforeLines="50" w:after="156" w:afterLines="50" w:line="500" w:lineRule="exact"/>
      <w:ind w:left="360" w:hanging="360"/>
      <w:jc w:val="center"/>
      <w:textAlignment w:val="baseline"/>
      <w:outlineLvl w:val="0"/>
    </w:pPr>
    <w:rPr>
      <w:rFonts w:ascii="Times New Roman" w:hAnsi="Times New Roman" w:cs="宋体"/>
      <w:b/>
      <w:kern w:val="44"/>
      <w:sz w:val="32"/>
      <w:szCs w:val="20"/>
    </w:rPr>
  </w:style>
  <w:style w:type="paragraph" w:customStyle="1" w:styleId="765">
    <w:name w:val="样式 表格内容 + 首行缩进:  2 字符1"/>
    <w:basedOn w:val="766"/>
    <w:qFormat/>
    <w:uiPriority w:val="0"/>
    <w:pPr>
      <w:widowControl w:val="0"/>
      <w:adjustRightInd w:val="0"/>
      <w:spacing w:line="240" w:lineRule="exact"/>
    </w:pPr>
    <w:rPr>
      <w:rFonts w:cs="宋体"/>
      <w:szCs w:val="20"/>
    </w:rPr>
  </w:style>
  <w:style w:type="paragraph" w:customStyle="1" w:styleId="766">
    <w:name w:val="表格内容"/>
    <w:basedOn w:val="1"/>
    <w:next w:val="1"/>
    <w:qFormat/>
    <w:uiPriority w:val="0"/>
    <w:pPr>
      <w:widowControl/>
      <w:jc w:val="center"/>
    </w:pPr>
    <w:rPr>
      <w:rFonts w:ascii="Times New Roman" w:hAnsi="Times New Roman"/>
      <w:kern w:val="0"/>
      <w:szCs w:val="15"/>
    </w:rPr>
  </w:style>
  <w:style w:type="paragraph" w:customStyle="1" w:styleId="767">
    <w:name w:val="5文章(治)"/>
    <w:basedOn w:val="1"/>
    <w:qFormat/>
    <w:uiPriority w:val="0"/>
    <w:pPr>
      <w:spacing w:line="360" w:lineRule="auto"/>
      <w:ind w:firstLine="560" w:firstLineChars="200"/>
      <w:jc w:val="left"/>
    </w:pPr>
    <w:rPr>
      <w:rFonts w:ascii="Times New Roman" w:hAnsi="Times New Roman" w:eastAsia="楷体_GB2312"/>
      <w:sz w:val="28"/>
      <w:szCs w:val="20"/>
    </w:rPr>
  </w:style>
  <w:style w:type="paragraph" w:customStyle="1" w:styleId="768">
    <w:name w:val="正文表格"/>
    <w:basedOn w:val="1"/>
    <w:qFormat/>
    <w:uiPriority w:val="0"/>
    <w:pPr>
      <w:keepNext/>
      <w:keepLines/>
      <w:spacing w:before="80" w:beforeLines="0"/>
      <w:jc w:val="center"/>
      <w:textAlignment w:val="bottom"/>
    </w:pPr>
    <w:rPr>
      <w:rFonts w:ascii="Times New Roman" w:hAnsi="Times New Roman"/>
      <w:szCs w:val="24"/>
    </w:rPr>
  </w:style>
  <w:style w:type="paragraph" w:customStyle="1" w:styleId="769">
    <w:name w:val="表、图名宋旭峰"/>
    <w:basedOn w:val="1"/>
    <w:qFormat/>
    <w:uiPriority w:val="0"/>
    <w:pPr>
      <w:spacing w:before="156" w:beforeLines="50" w:line="360" w:lineRule="auto"/>
      <w:jc w:val="center"/>
    </w:pPr>
    <w:rPr>
      <w:rFonts w:ascii="黑体" w:hAnsi="宋体" w:eastAsia="黑体"/>
      <w:kern w:val="0"/>
      <w:szCs w:val="20"/>
    </w:rPr>
  </w:style>
  <w:style w:type="paragraph" w:customStyle="1" w:styleId="770">
    <w:name w:val="xl57"/>
    <w:basedOn w:val="1"/>
    <w:qFormat/>
    <w:uiPriority w:val="0"/>
    <w:pPr>
      <w:widowControl/>
      <w:pBdr>
        <w:top w:val="single" w:color="auto" w:sz="8" w:space="0"/>
        <w:bottom w:val="single" w:color="auto" w:sz="4" w:space="0"/>
      </w:pBdr>
      <w:spacing w:before="100" w:beforeLines="0" w:after="100" w:afterLines="0"/>
      <w:jc w:val="center"/>
      <w:textAlignment w:val="center"/>
    </w:pPr>
    <w:rPr>
      <w:rFonts w:ascii="宋体" w:hAnsi="宋体"/>
      <w:kern w:val="0"/>
      <w:sz w:val="28"/>
      <w:szCs w:val="28"/>
    </w:rPr>
  </w:style>
  <w:style w:type="paragraph" w:customStyle="1" w:styleId="771">
    <w:name w:val="样式 0005左缩2 + 首行缩进:  2 字符 段后: 0.3 行"/>
    <w:basedOn w:val="772"/>
    <w:qFormat/>
    <w:uiPriority w:val="0"/>
    <w:pPr>
      <w:spacing w:after="93" w:afterLines="30"/>
      <w:ind w:firstLine="560"/>
    </w:pPr>
    <w:rPr>
      <w:rFonts w:cs="宋体"/>
      <w:szCs w:val="20"/>
    </w:rPr>
  </w:style>
  <w:style w:type="paragraph" w:customStyle="1" w:styleId="772">
    <w:name w:val="0005左缩2"/>
    <w:basedOn w:val="1"/>
    <w:qFormat/>
    <w:uiPriority w:val="0"/>
    <w:pPr>
      <w:widowControl/>
      <w:autoSpaceDE w:val="0"/>
      <w:autoSpaceDN w:val="0"/>
      <w:adjustRightInd w:val="0"/>
      <w:spacing w:after="93" w:afterLines="30" w:line="500" w:lineRule="exact"/>
      <w:ind w:firstLine="200" w:firstLineChars="200"/>
    </w:pPr>
    <w:rPr>
      <w:rFonts w:ascii="宋体" w:hAnsi="宋体"/>
      <w:sz w:val="28"/>
      <w:szCs w:val="28"/>
    </w:rPr>
  </w:style>
  <w:style w:type="paragraph" w:customStyle="1" w:styleId="773">
    <w:name w:val="正文王"/>
    <w:basedOn w:val="44"/>
    <w:qFormat/>
    <w:uiPriority w:val="0"/>
    <w:pPr>
      <w:spacing w:line="440" w:lineRule="exact"/>
    </w:pPr>
    <w:rPr>
      <w:rFonts w:ascii="Arial" w:hAnsi="Arial"/>
      <w:sz w:val="24"/>
      <w:szCs w:val="24"/>
      <w:lang w:val="en-US" w:eastAsia="zh-CN"/>
    </w:rPr>
  </w:style>
  <w:style w:type="paragraph" w:customStyle="1" w:styleId="774">
    <w:name w:val="xl56"/>
    <w:basedOn w:val="1"/>
    <w:qFormat/>
    <w:uiPriority w:val="0"/>
    <w:pPr>
      <w:widowControl/>
      <w:pBdr>
        <w:top w:val="single" w:color="auto" w:sz="8" w:space="0"/>
        <w:left w:val="single" w:color="auto" w:sz="4" w:space="0"/>
        <w:bottom w:val="single" w:color="auto" w:sz="4" w:space="0"/>
      </w:pBdr>
      <w:spacing w:before="100" w:beforeLines="0" w:after="100" w:afterLines="0"/>
      <w:jc w:val="center"/>
      <w:textAlignment w:val="center"/>
    </w:pPr>
    <w:rPr>
      <w:rFonts w:ascii="宋体" w:hAnsi="宋体"/>
      <w:kern w:val="0"/>
      <w:sz w:val="28"/>
      <w:szCs w:val="28"/>
    </w:rPr>
  </w:style>
  <w:style w:type="paragraph" w:customStyle="1" w:styleId="775">
    <w:name w:val="样式 表头 + 首行缩进:  0.99 厘米"/>
    <w:basedOn w:val="2"/>
    <w:qFormat/>
    <w:uiPriority w:val="0"/>
    <w:pPr>
      <w:keepNext/>
      <w:adjustRightInd/>
      <w:spacing w:line="240" w:lineRule="auto"/>
      <w:ind w:left="0" w:leftChars="0" w:right="0" w:rightChars="0" w:firstLine="0" w:firstLineChars="0"/>
      <w:jc w:val="center"/>
      <w:textAlignment w:val="auto"/>
    </w:pPr>
    <w:rPr>
      <w:rFonts w:cs="宋体"/>
      <w:kern w:val="2"/>
      <w:sz w:val="28"/>
      <w:lang w:val="en-US" w:eastAsia="zh-CN"/>
    </w:rPr>
  </w:style>
  <w:style w:type="paragraph" w:customStyle="1" w:styleId="776">
    <w:name w:val="Normal"/>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777">
    <w:name w:val="简单回函地址"/>
    <w:basedOn w:val="1"/>
    <w:qFormat/>
    <w:uiPriority w:val="0"/>
    <w:pPr>
      <w:adjustRightInd w:val="0"/>
      <w:spacing w:line="312" w:lineRule="atLeast"/>
      <w:textAlignment w:val="baseline"/>
    </w:pPr>
    <w:rPr>
      <w:rFonts w:ascii="Times New Roman" w:hAnsi="Times New Roman" w:eastAsia="宋体" w:cs="Times New Roman"/>
      <w:kern w:val="0"/>
      <w:szCs w:val="20"/>
    </w:rPr>
  </w:style>
  <w:style w:type="paragraph" w:customStyle="1" w:styleId="778">
    <w:name w:val="Body Text 22"/>
    <w:basedOn w:val="1"/>
    <w:qFormat/>
    <w:uiPriority w:val="0"/>
    <w:pPr>
      <w:adjustRightInd w:val="0"/>
      <w:spacing w:line="440" w:lineRule="atLeast"/>
      <w:ind w:firstLine="480"/>
      <w:textAlignment w:val="baseline"/>
    </w:pPr>
    <w:rPr>
      <w:rFonts w:ascii="Times New Roman" w:hAnsi="Times New Roman" w:eastAsia="仿宋_GB2312"/>
      <w:sz w:val="24"/>
      <w:szCs w:val="20"/>
    </w:rPr>
  </w:style>
  <w:style w:type="paragraph" w:customStyle="1" w:styleId="779">
    <w:name w:val="标题辞"/>
    <w:basedOn w:val="1"/>
    <w:qFormat/>
    <w:uiPriority w:val="0"/>
    <w:pPr>
      <w:ind w:firstLine="561" w:firstLineChars="200"/>
    </w:pPr>
    <w:rPr>
      <w:rFonts w:ascii="楷体_GB2312" w:hAnsi="Times New Roman" w:eastAsia="楷体_GB2312" w:cs="Courier New"/>
      <w:b/>
      <w:bCs/>
      <w:kern w:val="10"/>
      <w:sz w:val="28"/>
      <w:szCs w:val="28"/>
    </w:rPr>
  </w:style>
  <w:style w:type="paragraph" w:customStyle="1" w:styleId="780">
    <w:name w:val="报告"/>
    <w:basedOn w:val="1"/>
    <w:qFormat/>
    <w:uiPriority w:val="0"/>
    <w:pPr>
      <w:autoSpaceDE w:val="0"/>
      <w:autoSpaceDN w:val="0"/>
      <w:adjustRightInd w:val="0"/>
      <w:spacing w:line="360" w:lineRule="auto"/>
      <w:ind w:firstLine="505"/>
      <w:jc w:val="left"/>
      <w:textAlignment w:val="baseline"/>
    </w:pPr>
    <w:rPr>
      <w:rFonts w:ascii="Times New Roman" w:hAnsi="Times New Roman"/>
      <w:kern w:val="0"/>
      <w:sz w:val="24"/>
      <w:szCs w:val="20"/>
    </w:rPr>
  </w:style>
  <w:style w:type="paragraph" w:customStyle="1" w:styleId="781">
    <w:name w:val="三级条标题"/>
    <w:basedOn w:val="1"/>
    <w:next w:val="1"/>
    <w:qFormat/>
    <w:uiPriority w:val="0"/>
    <w:pPr>
      <w:widowControl/>
      <w:tabs>
        <w:tab w:val="left" w:pos="360"/>
      </w:tabs>
      <w:outlineLvl w:val="4"/>
    </w:pPr>
    <w:rPr>
      <w:rFonts w:ascii="黑体" w:hAnsi="Times New Roman" w:eastAsia="黑体"/>
      <w:kern w:val="0"/>
      <w:szCs w:val="20"/>
    </w:rPr>
  </w:style>
  <w:style w:type="paragraph" w:customStyle="1" w:styleId="782">
    <w:name w:val="表格内容（新）"/>
    <w:basedOn w:val="1"/>
    <w:qFormat/>
    <w:uiPriority w:val="0"/>
    <w:pPr>
      <w:jc w:val="center"/>
    </w:pPr>
    <w:rPr>
      <w:rFonts w:ascii="Times New Roman" w:hAnsi="Times New Roman" w:cs="宋体"/>
      <w:color w:val="339966"/>
      <w:sz w:val="18"/>
      <w:szCs w:val="18"/>
    </w:rPr>
  </w:style>
  <w:style w:type="paragraph" w:customStyle="1" w:styleId="783">
    <w:name w:val="TOC 标题"/>
    <w:basedOn w:val="3"/>
    <w:next w:val="1"/>
    <w:qFormat/>
    <w:uiPriority w:val="0"/>
    <w:pPr>
      <w:widowControl/>
      <w:numPr>
        <w:ilvl w:val="0"/>
        <w:numId w:val="0"/>
      </w:numPr>
      <w:spacing w:before="480" w:beforeLines="0" w:after="0" w:afterLines="0" w:line="276" w:lineRule="auto"/>
      <w:jc w:val="left"/>
      <w:outlineLvl w:val="9"/>
    </w:pPr>
    <w:rPr>
      <w:rFonts w:ascii="Cambria" w:hAnsi="Cambria"/>
      <w:color w:val="365F91"/>
      <w:kern w:val="0"/>
      <w:sz w:val="28"/>
      <w:szCs w:val="28"/>
      <w:lang w:val="en-US" w:eastAsia="zh-CN"/>
    </w:rPr>
  </w:style>
  <w:style w:type="paragraph" w:customStyle="1" w:styleId="784">
    <w:name w:val="目录3"/>
    <w:basedOn w:val="43"/>
    <w:qFormat/>
    <w:uiPriority w:val="0"/>
    <w:pPr>
      <w:tabs>
        <w:tab w:val="right" w:leader="middleDot" w:pos="8760"/>
      </w:tabs>
    </w:pPr>
    <w:rPr>
      <w:rFonts w:ascii="Times New Roman" w:hAnsi="Times New Roman" w:cs="宋体"/>
    </w:rPr>
  </w:style>
  <w:style w:type="paragraph" w:customStyle="1" w:styleId="785">
    <w:name w:val="表小5"/>
    <w:basedOn w:val="1"/>
    <w:qFormat/>
    <w:uiPriority w:val="0"/>
    <w:pPr>
      <w:tabs>
        <w:tab w:val="left" w:pos="0"/>
        <w:tab w:val="left" w:pos="2619"/>
      </w:tabs>
      <w:snapToGrid w:val="0"/>
      <w:jc w:val="center"/>
    </w:pPr>
    <w:rPr>
      <w:rFonts w:ascii="Times New Roman" w:hAnsi="宋体"/>
      <w:spacing w:val="6"/>
      <w:szCs w:val="20"/>
    </w:rPr>
  </w:style>
  <w:style w:type="paragraph" w:customStyle="1" w:styleId="786">
    <w:name w:val="页眉无"/>
    <w:basedOn w:val="56"/>
    <w:qFormat/>
    <w:uiPriority w:val="0"/>
    <w:pPr>
      <w:pBdr>
        <w:bottom w:val="none" w:color="auto" w:sz="0" w:space="0"/>
      </w:pBdr>
      <w:ind w:firstLine="480"/>
    </w:pPr>
    <w:rPr>
      <w:b/>
      <w:i/>
      <w:kern w:val="2"/>
      <w:lang w:val="en-US" w:eastAsia="zh-CN"/>
    </w:rPr>
  </w:style>
  <w:style w:type="paragraph" w:customStyle="1" w:styleId="787">
    <w:name w:val="表内容"/>
    <w:basedOn w:val="1"/>
    <w:next w:val="1"/>
    <w:qFormat/>
    <w:uiPriority w:val="0"/>
    <w:pPr>
      <w:spacing w:line="320" w:lineRule="exact"/>
      <w:jc w:val="center"/>
    </w:pPr>
    <w:rPr>
      <w:rFonts w:ascii="Times New Roman" w:hAnsi="Times New Roman"/>
      <w:szCs w:val="20"/>
    </w:rPr>
  </w:style>
  <w:style w:type="paragraph" w:customStyle="1" w:styleId="788">
    <w:name w:val="扉页文字"/>
    <w:next w:val="1"/>
    <w:qFormat/>
    <w:uiPriority w:val="0"/>
    <w:pPr>
      <w:widowControl w:val="0"/>
      <w:spacing w:line="760" w:lineRule="exact"/>
      <w:ind w:firstLine="400" w:firstLineChars="400"/>
    </w:pPr>
    <w:rPr>
      <w:rFonts w:ascii="宋体" w:hAnsi="Times New Roman" w:eastAsia="宋体" w:cs="Times New Roman"/>
      <w:kern w:val="2"/>
      <w:sz w:val="28"/>
      <w:szCs w:val="32"/>
      <w:lang w:val="en-US" w:eastAsia="zh-CN" w:bidi="ar-SA"/>
    </w:rPr>
  </w:style>
  <w:style w:type="paragraph" w:customStyle="1" w:styleId="789">
    <w:name w:val="_Style 3"/>
    <w:basedOn w:val="1"/>
    <w:qFormat/>
    <w:uiPriority w:val="0"/>
    <w:rPr>
      <w:rFonts w:ascii="Times New Roman" w:hAnsi="Times New Roman"/>
      <w:szCs w:val="20"/>
    </w:rPr>
  </w:style>
  <w:style w:type="paragraph" w:customStyle="1" w:styleId="790">
    <w:name w:val="6表(图)头(治)"/>
    <w:next w:val="1"/>
    <w:qFormat/>
    <w:uiPriority w:val="0"/>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791">
    <w:name w:val=" Char Char 字元 字元"/>
    <w:basedOn w:val="1"/>
    <w:qFormat/>
    <w:uiPriority w:val="0"/>
    <w:pPr>
      <w:widowControl/>
      <w:spacing w:after="160" w:afterLines="0" w:line="240" w:lineRule="exact"/>
      <w:jc w:val="left"/>
    </w:pPr>
    <w:rPr>
      <w:rFonts w:ascii="Verdana" w:hAnsi="Verdana" w:eastAsia="宋体" w:cs="Times New Roman"/>
      <w:kern w:val="0"/>
      <w:sz w:val="20"/>
      <w:szCs w:val="20"/>
      <w:lang w:eastAsia="en-US"/>
    </w:rPr>
  </w:style>
  <w:style w:type="paragraph" w:customStyle="1" w:styleId="792">
    <w:name w:val="样式 (中文) 宋体"/>
    <w:basedOn w:val="1"/>
    <w:qFormat/>
    <w:uiPriority w:val="0"/>
    <w:pPr>
      <w:spacing w:before="60" w:after="60"/>
      <w:ind w:firstLine="200" w:firstLineChars="200"/>
    </w:pPr>
    <w:rPr>
      <w:rFonts w:eastAsia="宋体" w:cs="宋体"/>
      <w:szCs w:val="20"/>
    </w:rPr>
  </w:style>
  <w:style w:type="paragraph" w:customStyle="1" w:styleId="793">
    <w:name w:val=" Char Char Char Char Char Char Char"/>
    <w:basedOn w:val="1"/>
    <w:qFormat/>
    <w:uiPriority w:val="0"/>
    <w:rPr>
      <w:rFonts w:ascii="Times New Roman" w:hAnsi="Times New Roman" w:eastAsia="宋体" w:cs="Times New Roman"/>
      <w:szCs w:val="20"/>
    </w:rPr>
  </w:style>
  <w:style w:type="paragraph" w:customStyle="1" w:styleId="794">
    <w:name w:val="样式 样式 表格 + 居中 + 首行缩进:  2 字符"/>
    <w:basedOn w:val="795"/>
    <w:qFormat/>
    <w:uiPriority w:val="0"/>
    <w:pPr>
      <w:ind w:firstLineChars="0"/>
    </w:pPr>
    <w:rPr>
      <w:rFonts w:cs="宋体"/>
      <w:szCs w:val="20"/>
    </w:rPr>
  </w:style>
  <w:style w:type="paragraph" w:customStyle="1" w:styleId="795">
    <w:name w:val="样式 表格 + 居中"/>
    <w:basedOn w:val="1"/>
    <w:qFormat/>
    <w:uiPriority w:val="0"/>
    <w:pPr>
      <w:kinsoku w:val="0"/>
      <w:overflowPunct w:val="0"/>
      <w:adjustRightInd w:val="0"/>
      <w:snapToGrid w:val="0"/>
      <w:ind w:firstLineChars="200"/>
      <w:jc w:val="center"/>
    </w:pPr>
    <w:rPr>
      <w:rFonts w:ascii="Times New Roman" w:hAnsi="Times New Roman"/>
      <w:kern w:val="0"/>
      <w:sz w:val="24"/>
      <w:szCs w:val="28"/>
    </w:rPr>
  </w:style>
  <w:style w:type="paragraph" w:customStyle="1" w:styleId="796">
    <w:name w:val="副标题3"/>
    <w:basedOn w:val="1"/>
    <w:qFormat/>
    <w:uiPriority w:val="0"/>
    <w:pPr>
      <w:keepLines/>
      <w:tabs>
        <w:tab w:val="left" w:pos="672"/>
        <w:tab w:val="left" w:pos="720"/>
      </w:tabs>
      <w:adjustRightInd w:val="0"/>
      <w:snapToGrid w:val="0"/>
      <w:spacing w:line="400" w:lineRule="atLeast"/>
      <w:ind w:left="672" w:hanging="348"/>
      <w:outlineLvl w:val="3"/>
    </w:pPr>
    <w:rPr>
      <w:rFonts w:ascii="宋体" w:hAnsi="Times New Roman"/>
      <w:snapToGrid w:val="0"/>
      <w:kern w:val="0"/>
      <w:sz w:val="24"/>
      <w:szCs w:val="24"/>
    </w:rPr>
  </w:style>
  <w:style w:type="paragraph" w:customStyle="1" w:styleId="797">
    <w:name w:val="样式 标题 4 + 首行缩进:  28 磅"/>
    <w:basedOn w:val="6"/>
    <w:qFormat/>
    <w:uiPriority w:val="0"/>
    <w:pPr>
      <w:widowControl w:val="0"/>
      <w:numPr>
        <w:ilvl w:val="0"/>
        <w:numId w:val="0"/>
      </w:numPr>
      <w:tabs>
        <w:tab w:val="left" w:pos="360"/>
      </w:tabs>
      <w:snapToGrid/>
      <w:spacing w:before="0" w:beforeLines="0" w:after="0" w:afterLines="0" w:line="240" w:lineRule="auto"/>
      <w:jc w:val="both"/>
    </w:pPr>
    <w:rPr>
      <w:rFonts w:ascii="仿宋_GB2312" w:hAnsi="Arial" w:eastAsia="仿宋_GB2312" w:cs="宋体"/>
      <w:kern w:val="2"/>
      <w:sz w:val="28"/>
    </w:rPr>
  </w:style>
  <w:style w:type="paragraph" w:customStyle="1" w:styleId="798">
    <w:name w:val="xl35"/>
    <w:basedOn w:val="1"/>
    <w:qFormat/>
    <w:uiPriority w:val="0"/>
    <w:pPr>
      <w:widowControl/>
      <w:pBdr>
        <w:top w:val="single" w:color="auto" w:sz="4" w:space="0"/>
        <w:bottom w:val="single" w:color="auto" w:sz="4" w:space="0"/>
      </w:pBdr>
      <w:spacing w:before="100" w:beforeLines="0" w:after="100" w:afterLines="0"/>
      <w:jc w:val="center"/>
      <w:textAlignment w:val="center"/>
    </w:pPr>
    <w:rPr>
      <w:rFonts w:ascii="宋体" w:hAnsi="宋体"/>
      <w:kern w:val="0"/>
      <w:sz w:val="24"/>
      <w:szCs w:val="24"/>
    </w:rPr>
  </w:style>
  <w:style w:type="paragraph" w:customStyle="1" w:styleId="799">
    <w:name w:val="正文小四缩"/>
    <w:basedOn w:val="1"/>
    <w:qFormat/>
    <w:uiPriority w:val="0"/>
    <w:pPr>
      <w:widowControl/>
      <w:adjustRightInd w:val="0"/>
      <w:spacing w:before="120" w:beforeLines="0" w:line="420" w:lineRule="atLeast"/>
      <w:ind w:firstLine="510"/>
      <w:jc w:val="left"/>
    </w:pPr>
    <w:rPr>
      <w:rFonts w:ascii="宋体" w:hAnsi="Times New Roman"/>
      <w:bCs/>
      <w:kern w:val="0"/>
      <w:sz w:val="24"/>
      <w:szCs w:val="20"/>
      <w:lang w:eastAsia="en-US" w:bidi="en-US"/>
    </w:rPr>
  </w:style>
  <w:style w:type="paragraph" w:customStyle="1" w:styleId="800">
    <w:name w:val="标题1q"/>
    <w:basedOn w:val="1"/>
    <w:next w:val="1"/>
    <w:qFormat/>
    <w:uiPriority w:val="0"/>
    <w:pPr>
      <w:spacing w:line="360" w:lineRule="auto"/>
      <w:ind w:left="431" w:firstLine="200" w:firstLineChars="200"/>
      <w:jc w:val="center"/>
    </w:pPr>
    <w:rPr>
      <w:rFonts w:ascii="Times New Roman" w:hAnsi="Times New Roman"/>
      <w:szCs w:val="20"/>
    </w:rPr>
  </w:style>
  <w:style w:type="paragraph" w:customStyle="1" w:styleId="801">
    <w:name w:val="样式 样式 表格内容 + 首行缩进:  2 字符 + 首行缩进:  2 字符"/>
    <w:basedOn w:val="802"/>
    <w:next w:val="1"/>
    <w:qFormat/>
    <w:uiPriority w:val="0"/>
    <w:pPr>
      <w:snapToGrid/>
      <w:jc w:val="center"/>
    </w:pPr>
    <w:rPr>
      <w:b w:val="0"/>
    </w:rPr>
  </w:style>
  <w:style w:type="paragraph" w:customStyle="1" w:styleId="802">
    <w:name w:val="样式 样式 表格内容 + 首行缩进:  2 字符 + 左 首行缩进:  2 字符"/>
    <w:basedOn w:val="803"/>
    <w:qFormat/>
    <w:uiPriority w:val="0"/>
    <w:pPr>
      <w:jc w:val="both"/>
    </w:pPr>
  </w:style>
  <w:style w:type="paragraph" w:customStyle="1" w:styleId="803">
    <w:name w:val="样式 表格标题 + 两端对齐"/>
    <w:basedOn w:val="1"/>
    <w:qFormat/>
    <w:uiPriority w:val="0"/>
    <w:pPr>
      <w:adjustRightInd w:val="0"/>
      <w:snapToGrid w:val="0"/>
      <w:spacing w:line="300" w:lineRule="auto"/>
      <w:jc w:val="center"/>
    </w:pPr>
    <w:rPr>
      <w:rFonts w:ascii="Times New Roman" w:hAnsi="Times New Roman" w:cs="宋体"/>
      <w:b/>
      <w:color w:val="000000"/>
      <w:kern w:val="0"/>
      <w:szCs w:val="20"/>
    </w:rPr>
  </w:style>
  <w:style w:type="paragraph" w:customStyle="1" w:styleId="80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kern w:val="0"/>
      <w:sz w:val="24"/>
      <w:szCs w:val="24"/>
    </w:rPr>
  </w:style>
  <w:style w:type="paragraph" w:customStyle="1" w:styleId="805">
    <w:name w:val="正文A"/>
    <w:basedOn w:val="450"/>
    <w:qFormat/>
    <w:uiPriority w:val="0"/>
    <w:pPr>
      <w:widowControl/>
      <w:overflowPunct w:val="0"/>
      <w:autoSpaceDE w:val="0"/>
      <w:autoSpaceDN w:val="0"/>
      <w:adjustRightInd w:val="0"/>
      <w:spacing w:line="500" w:lineRule="exact"/>
      <w:ind w:firstLine="480"/>
      <w:jc w:val="left"/>
      <w:textAlignment w:val="baseline"/>
    </w:pPr>
    <w:rPr>
      <w:color w:val="FF0000"/>
    </w:rPr>
  </w:style>
  <w:style w:type="paragraph" w:customStyle="1" w:styleId="806">
    <w:name w:val="_Style 10"/>
    <w:basedOn w:val="1"/>
    <w:next w:val="31"/>
    <w:qFormat/>
    <w:uiPriority w:val="0"/>
    <w:pPr>
      <w:spacing w:line="360" w:lineRule="auto"/>
    </w:pPr>
    <w:rPr>
      <w:rFonts w:ascii="Times New Roman" w:hAnsi="Times New Roman"/>
      <w:sz w:val="24"/>
      <w:szCs w:val="20"/>
    </w:rPr>
  </w:style>
  <w:style w:type="paragraph" w:customStyle="1" w:styleId="807">
    <w:name w:val="af0"/>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808">
    <w:name w:val="样式 (符号) 宋体 小三 加粗"/>
    <w:basedOn w:val="1"/>
    <w:qFormat/>
    <w:uiPriority w:val="0"/>
    <w:pPr>
      <w:tabs>
        <w:tab w:val="left" w:pos="720"/>
      </w:tabs>
      <w:ind w:left="720" w:hanging="720"/>
      <w:outlineLvl w:val="3"/>
    </w:pPr>
    <w:rPr>
      <w:rFonts w:ascii="Times New Roman" w:hAnsi="宋体"/>
      <w:b/>
      <w:sz w:val="30"/>
      <w:szCs w:val="30"/>
    </w:rPr>
  </w:style>
  <w:style w:type="paragraph" w:customStyle="1" w:styleId="809">
    <w:name w:val="表"/>
    <w:basedOn w:val="1"/>
    <w:qFormat/>
    <w:uiPriority w:val="0"/>
    <w:pPr>
      <w:snapToGrid w:val="0"/>
      <w:jc w:val="center"/>
    </w:pPr>
    <w:rPr>
      <w:rFonts w:ascii="Times New Roman" w:hAnsi="Times New Roman"/>
      <w:spacing w:val="2"/>
      <w:szCs w:val="20"/>
    </w:rPr>
  </w:style>
  <w:style w:type="paragraph" w:customStyle="1" w:styleId="810">
    <w:name w:val="Char Char Char Char Char Char Char Char Char Char Char Char Char Char Char Char Char Char1"/>
    <w:basedOn w:val="1"/>
    <w:qFormat/>
    <w:uiPriority w:val="0"/>
    <w:rPr>
      <w:rFonts w:ascii="Times New Roman" w:hAnsi="Times New Roman"/>
      <w:szCs w:val="24"/>
    </w:rPr>
  </w:style>
  <w:style w:type="paragraph" w:customStyle="1" w:styleId="811">
    <w:name w:val="表格后"/>
    <w:basedOn w:val="1"/>
    <w:next w:val="1"/>
    <w:qFormat/>
    <w:uiPriority w:val="0"/>
    <w:pPr>
      <w:spacing w:before="156" w:beforeLines="50" w:line="360" w:lineRule="auto"/>
      <w:ind w:firstLine="200" w:firstLineChars="200"/>
    </w:pPr>
    <w:rPr>
      <w:rFonts w:ascii="Times New Roman" w:hAnsi="Times New Roman"/>
      <w:sz w:val="24"/>
      <w:szCs w:val="24"/>
    </w:rPr>
  </w:style>
  <w:style w:type="paragraph" w:customStyle="1" w:styleId="812">
    <w:name w:val="样式1 + 四号 居中"/>
    <w:basedOn w:val="1"/>
    <w:qFormat/>
    <w:uiPriority w:val="0"/>
    <w:pPr>
      <w:spacing w:line="336" w:lineRule="auto"/>
      <w:jc w:val="center"/>
    </w:pPr>
    <w:rPr>
      <w:rFonts w:ascii="Times New Roman" w:hAnsi="Times New Roman"/>
      <w:sz w:val="28"/>
      <w:szCs w:val="20"/>
    </w:rPr>
  </w:style>
  <w:style w:type="paragraph" w:customStyle="1" w:styleId="813">
    <w:name w:val="兴化美联正文样式"/>
    <w:basedOn w:val="1"/>
    <w:qFormat/>
    <w:uiPriority w:val="0"/>
    <w:pPr>
      <w:widowControl/>
      <w:spacing w:line="360" w:lineRule="auto"/>
      <w:ind w:firstLine="480" w:firstLineChars="200"/>
      <w:jc w:val="left"/>
    </w:pPr>
    <w:rPr>
      <w:rFonts w:ascii="宋体" w:hAnsi="宋体" w:cs="宋体"/>
      <w:color w:val="000000"/>
      <w:kern w:val="0"/>
      <w:sz w:val="24"/>
      <w:szCs w:val="24"/>
    </w:rPr>
  </w:style>
  <w:style w:type="paragraph" w:customStyle="1" w:styleId="814">
    <w:name w:val="Style50"/>
    <w:basedOn w:val="1"/>
    <w:qFormat/>
    <w:uiPriority w:val="0"/>
    <w:pPr>
      <w:adjustRightInd w:val="0"/>
      <w:jc w:val="left"/>
    </w:pPr>
    <w:rPr>
      <w:rFonts w:ascii="宋体" w:hAnsi="Times New Roman"/>
      <w:kern w:val="0"/>
      <w:sz w:val="24"/>
      <w:szCs w:val="24"/>
    </w:rPr>
  </w:style>
  <w:style w:type="paragraph" w:customStyle="1" w:styleId="815">
    <w:name w:val="样式 样式 首行缩进:  2 字符 + 居中1"/>
    <w:basedOn w:val="524"/>
    <w:qFormat/>
    <w:uiPriority w:val="0"/>
    <w:pPr>
      <w:spacing w:line="500" w:lineRule="exact"/>
      <w:ind w:firstLine="0" w:firstLineChars="0"/>
      <w:jc w:val="center"/>
    </w:pPr>
    <w:rPr>
      <w:rFonts w:ascii="宋体" w:hAnsi="宋体"/>
      <w:sz w:val="28"/>
      <w:szCs w:val="28"/>
    </w:rPr>
  </w:style>
  <w:style w:type="paragraph" w:customStyle="1" w:styleId="816">
    <w:name w:val="表格 标题"/>
    <w:basedOn w:val="153"/>
    <w:qFormat/>
    <w:uiPriority w:val="0"/>
    <w:pPr>
      <w:ind w:firstLine="0" w:firstLineChars="0"/>
      <w:jc w:val="center"/>
    </w:pPr>
    <w:rPr>
      <w:sz w:val="24"/>
    </w:rPr>
  </w:style>
  <w:style w:type="paragraph" w:customStyle="1" w:styleId="817">
    <w:name w:val="蒲表头"/>
    <w:basedOn w:val="1"/>
    <w:qFormat/>
    <w:uiPriority w:val="0"/>
    <w:pPr>
      <w:adjustRightInd w:val="0"/>
      <w:snapToGrid w:val="0"/>
      <w:jc w:val="center"/>
    </w:pPr>
    <w:rPr>
      <w:rFonts w:ascii="Times New Roman" w:hAnsi="Times New Roman"/>
      <w:color w:val="0000FF"/>
      <w:szCs w:val="21"/>
    </w:rPr>
  </w:style>
  <w:style w:type="paragraph" w:customStyle="1" w:styleId="818">
    <w:name w:val="样式 样式 宋体 小四 行距: 多倍行距 1.4 字行 + 首行缩进:  2 字符"/>
    <w:basedOn w:val="1"/>
    <w:qFormat/>
    <w:uiPriority w:val="0"/>
    <w:pPr>
      <w:spacing w:line="360" w:lineRule="auto"/>
      <w:ind w:firstLine="200" w:firstLineChars="200"/>
    </w:pPr>
    <w:rPr>
      <w:rFonts w:ascii="宋体" w:hAnsi="宋体"/>
      <w:kern w:val="28"/>
      <w:sz w:val="28"/>
      <w:szCs w:val="20"/>
    </w:rPr>
  </w:style>
  <w:style w:type="paragraph" w:customStyle="1" w:styleId="819">
    <w:name w:val="xl23"/>
    <w:basedOn w:val="1"/>
    <w:qFormat/>
    <w:uiPriority w:val="0"/>
    <w:pPr>
      <w:widowControl/>
      <w:spacing w:before="100" w:beforeLines="0" w:after="100" w:afterLines="0" w:line="460" w:lineRule="exact"/>
      <w:ind w:left="400" w:leftChars="400" w:firstLine="200" w:firstLineChars="200"/>
      <w:jc w:val="center"/>
    </w:pPr>
    <w:rPr>
      <w:rFonts w:ascii="宋体" w:hAnsi="宋体"/>
      <w:spacing w:val="6"/>
      <w:kern w:val="0"/>
      <w:sz w:val="24"/>
      <w:szCs w:val="24"/>
    </w:rPr>
  </w:style>
  <w:style w:type="paragraph" w:customStyle="1" w:styleId="820">
    <w:name w:val="图表脚注说明"/>
    <w:basedOn w:val="1"/>
    <w:qFormat/>
    <w:uiPriority w:val="0"/>
    <w:pPr>
      <w:numPr>
        <w:ilvl w:val="0"/>
        <w:numId w:val="2"/>
      </w:numPr>
    </w:pPr>
    <w:rPr>
      <w:rFonts w:ascii="宋体" w:hAnsi="Times New Roman"/>
      <w:sz w:val="18"/>
      <w:szCs w:val="18"/>
    </w:rPr>
  </w:style>
  <w:style w:type="paragraph" w:customStyle="1" w:styleId="821">
    <w:name w:val="Date"/>
    <w:basedOn w:val="1"/>
    <w:next w:val="1"/>
    <w:qFormat/>
    <w:uiPriority w:val="0"/>
    <w:pPr>
      <w:adjustRightInd w:val="0"/>
      <w:jc w:val="left"/>
      <w:textAlignment w:val="baseline"/>
    </w:pPr>
    <w:rPr>
      <w:rFonts w:ascii="Times New Roman" w:hAnsi="Times New Roman"/>
      <w:sz w:val="28"/>
      <w:szCs w:val="20"/>
    </w:rPr>
  </w:style>
  <w:style w:type="paragraph" w:customStyle="1" w:styleId="822">
    <w:name w:val="zhengwen"/>
    <w:basedOn w:val="1"/>
    <w:qFormat/>
    <w:uiPriority w:val="0"/>
    <w:pPr>
      <w:spacing w:line="360" w:lineRule="auto"/>
      <w:ind w:firstLine="200" w:firstLineChars="200"/>
    </w:pPr>
    <w:rPr>
      <w:rFonts w:ascii="Arial" w:hAnsi="Arial" w:cs="Arial"/>
      <w:sz w:val="24"/>
      <w:szCs w:val="24"/>
    </w:rPr>
  </w:style>
  <w:style w:type="paragraph" w:customStyle="1" w:styleId="823">
    <w:name w:val=" Char Char Char Char Char Char Char Char Char Char"/>
    <w:basedOn w:val="1"/>
    <w:qFormat/>
    <w:uiPriority w:val="0"/>
    <w:pPr>
      <w:widowControl/>
      <w:spacing w:after="160" w:afterLines="0" w:line="240" w:lineRule="exact"/>
      <w:jc w:val="left"/>
    </w:pPr>
    <w:rPr>
      <w:rFonts w:ascii="Verdana" w:hAnsi="Verdana" w:cs="Verdana"/>
      <w:kern w:val="0"/>
      <w:sz w:val="20"/>
      <w:szCs w:val="20"/>
      <w:lang w:eastAsia="en-US"/>
    </w:rPr>
  </w:style>
  <w:style w:type="paragraph" w:customStyle="1" w:styleId="824">
    <w:name w:val="正文01"/>
    <w:basedOn w:val="34"/>
    <w:qFormat/>
    <w:uiPriority w:val="0"/>
    <w:pPr>
      <w:spacing w:line="400" w:lineRule="exact"/>
      <w:ind w:firstLine="200" w:firstLineChars="200"/>
    </w:pPr>
    <w:rPr>
      <w:rFonts w:ascii="Arial" w:hAnsi="Arial" w:cs="Arial"/>
      <w:kern w:val="2"/>
      <w:lang w:val="en-US" w:eastAsia="zh-CN"/>
    </w:rPr>
  </w:style>
  <w:style w:type="paragraph" w:customStyle="1" w:styleId="825">
    <w:name w:val="Style61"/>
    <w:basedOn w:val="1"/>
    <w:qFormat/>
    <w:uiPriority w:val="0"/>
    <w:pPr>
      <w:adjustRightInd w:val="0"/>
      <w:jc w:val="left"/>
    </w:pPr>
    <w:rPr>
      <w:rFonts w:ascii="宋体" w:hAnsi="Times New Roman"/>
      <w:kern w:val="0"/>
      <w:sz w:val="24"/>
      <w:szCs w:val="24"/>
    </w:rPr>
  </w:style>
  <w:style w:type="paragraph" w:customStyle="1" w:styleId="826">
    <w:name w:val="xl29"/>
    <w:basedOn w:val="1"/>
    <w:qFormat/>
    <w:uiPriority w:val="0"/>
    <w:pPr>
      <w:widowControl/>
      <w:spacing w:before="100" w:beforeLines="0" w:after="100" w:afterLines="0"/>
      <w:jc w:val="center"/>
    </w:pPr>
    <w:rPr>
      <w:rFonts w:ascii="Times New Roman" w:hAnsi="Times New Roman"/>
      <w:kern w:val="0"/>
      <w:sz w:val="24"/>
      <w:szCs w:val="24"/>
    </w:rPr>
  </w:style>
  <w:style w:type="paragraph" w:customStyle="1" w:styleId="827">
    <w:name w:val="设计封面矿名魏体1"/>
    <w:basedOn w:val="1"/>
    <w:qFormat/>
    <w:uiPriority w:val="0"/>
    <w:pPr>
      <w:tabs>
        <w:tab w:val="left" w:pos="210"/>
      </w:tabs>
      <w:autoSpaceDE w:val="0"/>
      <w:autoSpaceDN w:val="0"/>
      <w:spacing w:line="500" w:lineRule="exact"/>
      <w:jc w:val="center"/>
    </w:pPr>
    <w:rPr>
      <w:rFonts w:ascii="Times New Roman" w:hAnsi="Times New Roman" w:eastAsia="华文新魏"/>
      <w:bCs/>
      <w:sz w:val="52"/>
      <w:szCs w:val="28"/>
    </w:rPr>
  </w:style>
  <w:style w:type="paragraph" w:customStyle="1" w:styleId="828">
    <w:name w:val=" Char Char Char Char Char Char Char Char Char Char Char Char Char Char Char Char Char Char"/>
    <w:basedOn w:val="1"/>
    <w:qFormat/>
    <w:uiPriority w:val="0"/>
    <w:rPr>
      <w:rFonts w:ascii="Times New Roman" w:hAnsi="Times New Roman"/>
      <w:szCs w:val="24"/>
    </w:rPr>
  </w:style>
  <w:style w:type="paragraph" w:customStyle="1" w:styleId="829">
    <w:name w:val="样式 标题 1 + 首行缩进:  2.7 厘米"/>
    <w:basedOn w:val="3"/>
    <w:qFormat/>
    <w:uiPriority w:val="0"/>
    <w:pPr>
      <w:numPr>
        <w:ilvl w:val="0"/>
        <w:numId w:val="0"/>
      </w:numPr>
      <w:tabs>
        <w:tab w:val="left" w:pos="210"/>
      </w:tabs>
      <w:spacing w:before="0" w:beforeLines="0" w:after="0" w:afterLines="0" w:line="600" w:lineRule="exact"/>
      <w:ind w:firstLineChars="200"/>
      <w:jc w:val="center"/>
    </w:pPr>
    <w:rPr>
      <w:rFonts w:ascii="宋体" w:hAnsi="宋体" w:cs="宋体"/>
      <w:bCs w:val="0"/>
      <w:color w:val="FF0000"/>
      <w:sz w:val="30"/>
      <w:szCs w:val="20"/>
      <w:lang w:val="en-US" w:eastAsia="zh-CN"/>
    </w:rPr>
  </w:style>
  <w:style w:type="paragraph" w:customStyle="1" w:styleId="830">
    <w:name w:val="B表内字"/>
    <w:basedOn w:val="1"/>
    <w:qFormat/>
    <w:uiPriority w:val="0"/>
    <w:pPr>
      <w:widowControl/>
      <w:jc w:val="center"/>
    </w:pPr>
    <w:rPr>
      <w:rFonts w:cs="宋体"/>
      <w:kern w:val="0"/>
    </w:rPr>
  </w:style>
  <w:style w:type="paragraph" w:customStyle="1" w:styleId="831">
    <w:name w:val="Char3 Char Char Char Char Char Char"/>
    <w:basedOn w:val="1"/>
    <w:qFormat/>
    <w:uiPriority w:val="0"/>
    <w:pPr>
      <w:widowControl/>
      <w:jc w:val="left"/>
    </w:pPr>
    <w:rPr>
      <w:rFonts w:ascii="宋体" w:hAnsi="宋体" w:cs="宋体"/>
      <w:szCs w:val="24"/>
    </w:rPr>
  </w:style>
  <w:style w:type="paragraph" w:customStyle="1" w:styleId="832">
    <w:name w:val="text3"/>
    <w:basedOn w:val="1"/>
    <w:qFormat/>
    <w:uiPriority w:val="0"/>
    <w:pPr>
      <w:widowControl/>
      <w:adjustRightInd w:val="0"/>
      <w:spacing w:before="100" w:beforeLines="0" w:beforeAutospacing="1" w:after="100" w:afterLines="0" w:afterAutospacing="1" w:line="300" w:lineRule="atLeast"/>
      <w:jc w:val="left"/>
      <w:textAlignment w:val="baseline"/>
    </w:pPr>
    <w:rPr>
      <w:rFonts w:ascii="宋体" w:hAnsi="宋体"/>
      <w:color w:val="000000"/>
      <w:kern w:val="0"/>
      <w:sz w:val="24"/>
      <w:szCs w:val="20"/>
    </w:rPr>
  </w:style>
  <w:style w:type="paragraph" w:customStyle="1" w:styleId="833">
    <w:name w:val="表格文字小四号"/>
    <w:qFormat/>
    <w:uiPriority w:val="0"/>
    <w:pPr>
      <w:widowControl w:val="0"/>
      <w:spacing w:line="480" w:lineRule="exact"/>
      <w:jc w:val="center"/>
    </w:pPr>
    <w:rPr>
      <w:rFonts w:ascii="宋体" w:hAnsi="Times New Roman" w:eastAsia="宋体" w:cs="Times New Roman"/>
      <w:sz w:val="28"/>
      <w:szCs w:val="24"/>
      <w:lang w:val="en-US" w:eastAsia="zh-CN" w:bidi="ar-SA"/>
    </w:rPr>
  </w:style>
  <w:style w:type="paragraph" w:customStyle="1" w:styleId="834">
    <w:name w:val="样式 正文00 + 首行缩进:  2 字符"/>
    <w:basedOn w:val="1"/>
    <w:qFormat/>
    <w:uiPriority w:val="0"/>
    <w:pPr>
      <w:ind w:firstLineChars="200"/>
      <w:jc w:val="left"/>
    </w:pPr>
    <w:rPr>
      <w:rFonts w:ascii="宋体" w:hAnsi="宋体" w:cs="宋体"/>
      <w:szCs w:val="20"/>
    </w:rPr>
  </w:style>
  <w:style w:type="paragraph" w:customStyle="1" w:styleId="835">
    <w:name w:val="Char2 Char Char Char"/>
    <w:basedOn w:val="1"/>
    <w:qFormat/>
    <w:uiPriority w:val="0"/>
    <w:pPr>
      <w:spacing w:after="160" w:afterLines="0" w:line="240" w:lineRule="exact"/>
    </w:pPr>
    <w:rPr>
      <w:rFonts w:ascii="Verdana" w:hAnsi="Verdana" w:eastAsia="黑体"/>
      <w:kern w:val="0"/>
      <w:sz w:val="28"/>
      <w:szCs w:val="20"/>
      <w:lang w:eastAsia="en-US"/>
    </w:rPr>
  </w:style>
  <w:style w:type="paragraph" w:customStyle="1" w:styleId="836">
    <w:name w:val="正文排版"/>
    <w:basedOn w:val="1"/>
    <w:qFormat/>
    <w:uiPriority w:val="0"/>
    <w:pPr>
      <w:spacing w:line="500" w:lineRule="exact"/>
      <w:ind w:firstLine="560" w:firstLineChars="200"/>
    </w:pPr>
    <w:rPr>
      <w:rFonts w:ascii="宋体" w:hAnsi="宋体"/>
      <w:color w:val="000000"/>
      <w:sz w:val="28"/>
      <w:szCs w:val="28"/>
    </w:rPr>
  </w:style>
  <w:style w:type="paragraph" w:customStyle="1" w:styleId="837">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838">
    <w:name w:val="样式 样式 首行缩进:  0.77 厘米 行距: 固定值 20 磅 + 居中 首行缩进:  0 厘米 行距: 单倍行距"/>
    <w:basedOn w:val="281"/>
    <w:qFormat/>
    <w:uiPriority w:val="0"/>
    <w:pPr>
      <w:spacing w:line="400" w:lineRule="exact"/>
      <w:ind w:firstLine="0"/>
      <w:jc w:val="center"/>
    </w:pPr>
    <w:rPr>
      <w:rFonts w:cs="宋体"/>
    </w:rPr>
  </w:style>
  <w:style w:type="paragraph" w:customStyle="1" w:styleId="839">
    <w:name w:val="五级条标题"/>
    <w:basedOn w:val="840"/>
    <w:next w:val="1"/>
    <w:qFormat/>
    <w:uiPriority w:val="0"/>
    <w:pPr>
      <w:tabs>
        <w:tab w:val="left" w:pos="360"/>
      </w:tabs>
      <w:outlineLvl w:val="6"/>
    </w:pPr>
  </w:style>
  <w:style w:type="paragraph" w:customStyle="1" w:styleId="840">
    <w:name w:val="四级条标题"/>
    <w:basedOn w:val="781"/>
    <w:next w:val="1"/>
    <w:qFormat/>
    <w:uiPriority w:val="0"/>
    <w:pPr>
      <w:outlineLvl w:val="5"/>
    </w:pPr>
  </w:style>
  <w:style w:type="paragraph" w:customStyle="1" w:styleId="841">
    <w:name w:val="样式 标题 4 + (西文) Times New Roman (中文) 宋体 四号 行距: 固定值 24 磅"/>
    <w:basedOn w:val="6"/>
    <w:qFormat/>
    <w:uiPriority w:val="0"/>
    <w:pPr>
      <w:keepNext/>
      <w:keepLines/>
      <w:widowControl w:val="0"/>
      <w:numPr>
        <w:ilvl w:val="0"/>
        <w:numId w:val="4"/>
      </w:numPr>
      <w:tabs>
        <w:tab w:val="left" w:pos="851"/>
        <w:tab w:val="left" w:pos="1290"/>
        <w:tab w:val="clear" w:pos="425"/>
      </w:tabs>
      <w:snapToGrid/>
      <w:spacing w:before="280" w:beforeLines="0" w:after="290" w:afterLines="0" w:line="500" w:lineRule="exact"/>
      <w:ind w:left="851" w:hanging="851"/>
      <w:jc w:val="both"/>
    </w:pPr>
    <w:rPr>
      <w:rFonts w:ascii="Times New Roman" w:hAnsi="Times New Roman" w:cs="宋体"/>
      <w:bCs/>
      <w:kern w:val="2"/>
      <w:sz w:val="28"/>
    </w:rPr>
  </w:style>
  <w:style w:type="paragraph" w:customStyle="1" w:styleId="842">
    <w:name w:val="自定义标题1"/>
    <w:next w:val="843"/>
    <w:qFormat/>
    <w:uiPriority w:val="0"/>
    <w:pPr>
      <w:widowControl w:val="0"/>
      <w:numPr>
        <w:ilvl w:val="0"/>
        <w:numId w:val="3"/>
      </w:numPr>
      <w:adjustRightInd w:val="0"/>
      <w:spacing w:before="312" w:beforeLines="100" w:after="120" w:line="320" w:lineRule="exact"/>
      <w:jc w:val="both"/>
      <w:textAlignment w:val="baseline"/>
    </w:pPr>
    <w:rPr>
      <w:rFonts w:ascii="Arial" w:hAnsi="Arial" w:eastAsia="宋体" w:cs="Times New Roman"/>
      <w:b/>
      <w:color w:val="0000FF"/>
      <w:sz w:val="28"/>
      <w:szCs w:val="28"/>
      <w:lang w:val="en-US" w:eastAsia="zh-CN" w:bidi="ar-SA"/>
    </w:rPr>
  </w:style>
  <w:style w:type="paragraph" w:customStyle="1" w:styleId="843">
    <w:name w:val="自定义标题2"/>
    <w:basedOn w:val="842"/>
    <w:next w:val="844"/>
    <w:qFormat/>
    <w:uiPriority w:val="0"/>
    <w:pPr>
      <w:numPr>
        <w:ilvl w:val="1"/>
        <w:numId w:val="3"/>
      </w:numPr>
    </w:pPr>
    <w:rPr>
      <w:b w:val="0"/>
      <w:sz w:val="24"/>
      <w:szCs w:val="24"/>
    </w:rPr>
  </w:style>
  <w:style w:type="paragraph" w:customStyle="1" w:styleId="844">
    <w:name w:val="自定义标题3"/>
    <w:basedOn w:val="843"/>
    <w:next w:val="1"/>
    <w:qFormat/>
    <w:uiPriority w:val="0"/>
    <w:pPr>
      <w:numPr>
        <w:ilvl w:val="3"/>
        <w:numId w:val="3"/>
      </w:numPr>
      <w:tabs>
        <w:tab w:val="left" w:pos="1249"/>
        <w:tab w:val="clear" w:pos="1442"/>
        <w:tab w:val="clear" w:pos="1009"/>
      </w:tabs>
      <w:ind w:left="1249" w:hanging="1009"/>
    </w:pPr>
  </w:style>
  <w:style w:type="paragraph" w:customStyle="1" w:styleId="845">
    <w:name w:val="报告书"/>
    <w:basedOn w:val="1"/>
    <w:qFormat/>
    <w:uiPriority w:val="0"/>
    <w:pPr>
      <w:autoSpaceDE w:val="0"/>
      <w:autoSpaceDN w:val="0"/>
      <w:adjustRightInd w:val="0"/>
      <w:spacing w:line="360" w:lineRule="auto"/>
      <w:ind w:firstLine="505"/>
      <w:jc w:val="left"/>
      <w:textAlignment w:val="bottom"/>
    </w:pPr>
    <w:rPr>
      <w:rFonts w:ascii="Times New Roman" w:hAnsi="Times New Roman"/>
      <w:kern w:val="0"/>
      <w:sz w:val="24"/>
      <w:szCs w:val="20"/>
    </w:rPr>
  </w:style>
  <w:style w:type="paragraph" w:customStyle="1" w:styleId="846">
    <w:name w:val="Char11"/>
    <w:basedOn w:val="1"/>
    <w:qFormat/>
    <w:uiPriority w:val="0"/>
    <w:rPr>
      <w:rFonts w:ascii="Times New Roman" w:hAnsi="Times New Roman"/>
      <w:szCs w:val="24"/>
    </w:rPr>
  </w:style>
  <w:style w:type="paragraph" w:customStyle="1" w:styleId="847">
    <w:name w:val="样式 小二 加粗 居中 段前: 24 磅 段后: 12 磅2"/>
    <w:basedOn w:val="1"/>
    <w:qFormat/>
    <w:uiPriority w:val="0"/>
    <w:pPr>
      <w:adjustRightInd w:val="0"/>
      <w:snapToGrid w:val="0"/>
      <w:spacing w:before="480" w:beforeLines="0" w:after="240" w:afterLines="0" w:line="300" w:lineRule="auto"/>
      <w:ind w:firstLine="420" w:firstLineChars="200"/>
      <w:jc w:val="center"/>
    </w:pPr>
    <w:rPr>
      <w:rFonts w:ascii="Times New Roman" w:hAnsi="Times New Roman" w:cs="宋体"/>
      <w:bCs/>
      <w:szCs w:val="20"/>
    </w:rPr>
  </w:style>
  <w:style w:type="paragraph" w:customStyle="1" w:styleId="848">
    <w:name w:val="表内字体"/>
    <w:qFormat/>
    <w:uiPriority w:val="0"/>
    <w:pPr>
      <w:suppressAutoHyphens/>
      <w:spacing w:line="320" w:lineRule="exact"/>
      <w:jc w:val="center"/>
    </w:pPr>
    <w:rPr>
      <w:rFonts w:ascii="Times New Roman" w:hAnsi="Times New Roman" w:eastAsia="宋体" w:cs="Times New Roman"/>
      <w:kern w:val="0"/>
      <w:sz w:val="21"/>
      <w:szCs w:val="20"/>
      <w:lang w:val="en-US" w:eastAsia="zh-CN" w:bidi="ar-SA"/>
    </w:rPr>
  </w:style>
  <w:style w:type="paragraph" w:customStyle="1" w:styleId="849">
    <w:name w:val="Char Char Char Char Char2 Char Char Char Char2"/>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850">
    <w:name w:val="表头A"/>
    <w:basedOn w:val="1"/>
    <w:qFormat/>
    <w:uiPriority w:val="0"/>
    <w:pPr>
      <w:spacing w:line="400" w:lineRule="exact"/>
      <w:ind w:firstLine="0" w:firstLineChars="0"/>
      <w:jc w:val="center"/>
    </w:pPr>
    <w:rPr>
      <w:rFonts w:ascii="华文仿宋" w:hAnsi="华文仿宋" w:eastAsia="华文仿宋"/>
      <w:b/>
      <w:kern w:val="2"/>
      <w:szCs w:val="24"/>
    </w:rPr>
  </w:style>
  <w:style w:type="paragraph" w:customStyle="1" w:styleId="851">
    <w:name w:val="Char Char Char Char Char Char Char Char Char2"/>
    <w:basedOn w:val="1"/>
    <w:qFormat/>
    <w:uiPriority w:val="0"/>
    <w:rPr>
      <w:rFonts w:ascii="Times New Roman" w:hAnsi="Times New Roman"/>
      <w:szCs w:val="24"/>
    </w:rPr>
  </w:style>
  <w:style w:type="paragraph" w:customStyle="1" w:styleId="852">
    <w:name w:val="Char Char Char Char Char Char Char Char"/>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853">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854">
    <w:name w:val="样式 (符号) 宋体"/>
    <w:basedOn w:val="1"/>
    <w:qFormat/>
    <w:uiPriority w:val="0"/>
    <w:pPr>
      <w:spacing w:line="360" w:lineRule="auto"/>
      <w:ind w:firstLine="200" w:firstLineChars="200"/>
    </w:pPr>
    <w:rPr>
      <w:rFonts w:ascii="Times New Roman" w:hAnsi="宋体" w:cs="宋体"/>
      <w:sz w:val="24"/>
      <w:szCs w:val="20"/>
    </w:rPr>
  </w:style>
  <w:style w:type="paragraph" w:customStyle="1" w:styleId="855">
    <w:name w:val="报告表格"/>
    <w:basedOn w:val="1"/>
    <w:next w:val="845"/>
    <w:qFormat/>
    <w:uiPriority w:val="0"/>
    <w:pPr>
      <w:autoSpaceDE w:val="0"/>
      <w:autoSpaceDN w:val="0"/>
      <w:adjustRightInd w:val="0"/>
      <w:spacing w:line="318" w:lineRule="atLeast"/>
      <w:jc w:val="center"/>
      <w:textAlignment w:val="bottom"/>
    </w:pPr>
    <w:rPr>
      <w:rFonts w:ascii="Times New Roman" w:hAnsi="Times New Roman"/>
      <w:kern w:val="0"/>
      <w:sz w:val="24"/>
      <w:szCs w:val="20"/>
    </w:rPr>
  </w:style>
  <w:style w:type="paragraph" w:customStyle="1" w:styleId="856">
    <w:name w:val="样式 样式5 + 首行缩进:  2 字符"/>
    <w:basedOn w:val="1"/>
    <w:qFormat/>
    <w:uiPriority w:val="0"/>
    <w:pPr>
      <w:keepNext/>
      <w:keepLines/>
      <w:widowControl w:val="0"/>
      <w:ind w:firstLine="560" w:firstLineChars="200"/>
      <w:jc w:val="both"/>
      <w:outlineLvl w:val="2"/>
    </w:pPr>
    <w:rPr>
      <w:rFonts w:eastAsia="Times New Roman" w:cs="宋体"/>
      <w:sz w:val="28"/>
      <w:szCs w:val="20"/>
    </w:rPr>
  </w:style>
  <w:style w:type="paragraph" w:customStyle="1" w:styleId="857">
    <w:name w:val="Char Char Char Char Char1 Char"/>
    <w:basedOn w:val="1"/>
    <w:semiHidden/>
    <w:qFormat/>
    <w:uiPriority w:val="0"/>
    <w:pPr>
      <w:adjustRightInd w:val="0"/>
      <w:spacing w:line="360" w:lineRule="auto"/>
    </w:pPr>
    <w:rPr>
      <w:rFonts w:ascii="Times New Roman" w:hAnsi="Times New Roman" w:eastAsia="黑体"/>
      <w:spacing w:val="20"/>
      <w:sz w:val="32"/>
      <w:szCs w:val="32"/>
    </w:rPr>
  </w:style>
  <w:style w:type="paragraph" w:customStyle="1" w:styleId="858">
    <w:name w:val="Char Char Char Char Char1"/>
    <w:basedOn w:val="1"/>
    <w:qFormat/>
    <w:uiPriority w:val="0"/>
    <w:rPr>
      <w:rFonts w:ascii="Times New Roman" w:hAnsi="Times New Roman"/>
      <w:szCs w:val="24"/>
    </w:rPr>
  </w:style>
  <w:style w:type="paragraph" w:customStyle="1" w:styleId="859">
    <w:name w:val="List Paragraph"/>
    <w:basedOn w:val="1"/>
    <w:qFormat/>
    <w:uiPriority w:val="0"/>
    <w:pPr>
      <w:ind w:firstLine="420" w:firstLineChars="200"/>
    </w:pPr>
    <w:rPr>
      <w:rFonts w:ascii="Times New Roman" w:hAnsi="Times New Roman"/>
      <w:szCs w:val="20"/>
    </w:rPr>
  </w:style>
  <w:style w:type="paragraph" w:customStyle="1" w:styleId="860">
    <w:name w:val="样式 首行缩进:  1.01 厘米"/>
    <w:basedOn w:val="1"/>
    <w:qFormat/>
    <w:uiPriority w:val="0"/>
    <w:pPr>
      <w:spacing w:line="500" w:lineRule="exact"/>
      <w:ind w:firstLine="570"/>
    </w:pPr>
    <w:rPr>
      <w:rFonts w:ascii="Times New Roman" w:hAnsi="Times New Roman" w:cs="宋体"/>
      <w:kern w:val="28"/>
      <w:sz w:val="28"/>
      <w:szCs w:val="20"/>
    </w:rPr>
  </w:style>
  <w:style w:type="paragraph" w:customStyle="1" w:styleId="861">
    <w:name w:val="样式 标题 4 + 首行缩进:  2 字符"/>
    <w:basedOn w:val="6"/>
    <w:qFormat/>
    <w:uiPriority w:val="0"/>
    <w:pPr>
      <w:widowControl w:val="0"/>
      <w:numPr>
        <w:ilvl w:val="0"/>
        <w:numId w:val="0"/>
      </w:numPr>
      <w:tabs>
        <w:tab w:val="left" w:pos="360"/>
      </w:tabs>
      <w:snapToGrid/>
      <w:spacing w:before="0" w:beforeLines="0" w:after="0" w:afterLines="0" w:line="240" w:lineRule="auto"/>
      <w:jc w:val="both"/>
    </w:pPr>
    <w:rPr>
      <w:rFonts w:ascii="仿宋_GB2312" w:hAnsi="Arial" w:eastAsia="仿宋_GB2312" w:cs="宋体"/>
      <w:kern w:val="2"/>
      <w:sz w:val="28"/>
    </w:rPr>
  </w:style>
  <w:style w:type="paragraph" w:customStyle="1" w:styleId="862">
    <w:name w:val="样式 标题 3 + (中文) 楷体_GB2312 小四 非加粗 段前: 3.1 磅 段后: 0 磅 行距: 单倍行距"/>
    <w:basedOn w:val="4"/>
    <w:qFormat/>
    <w:uiPriority w:val="0"/>
    <w:pPr>
      <w:adjustRightInd/>
      <w:spacing w:before="62" w:beforeLines="0" w:after="0" w:afterLines="0" w:line="240" w:lineRule="auto"/>
      <w:textAlignment w:val="auto"/>
    </w:pPr>
    <w:rPr>
      <w:rFonts w:ascii="Arial" w:hAnsi="Arial" w:eastAsia="楷体_GB2312" w:cs="宋体"/>
      <w:b w:val="0"/>
      <w:bCs w:val="0"/>
      <w:sz w:val="24"/>
      <w:szCs w:val="20"/>
      <w:lang w:val="en-US" w:eastAsia="zh-CN"/>
    </w:rPr>
  </w:style>
  <w:style w:type="paragraph" w:customStyle="1" w:styleId="863">
    <w:name w:val="c"/>
    <w:qFormat/>
    <w:uiPriority w:val="0"/>
    <w:pPr>
      <w:widowControl w:val="0"/>
      <w:autoSpaceDE w:val="0"/>
      <w:autoSpaceDN w:val="0"/>
      <w:adjustRightInd w:val="0"/>
      <w:jc w:val="both"/>
    </w:pPr>
    <w:rPr>
      <w:rFonts w:ascii="Arial" w:hAnsi="Arial" w:eastAsia="宋体" w:cs="Times New Roman"/>
      <w:sz w:val="24"/>
      <w:szCs w:val="24"/>
      <w:lang w:val="en-US" w:eastAsia="zh-CN" w:bidi="ar-SA"/>
    </w:rPr>
  </w:style>
  <w:style w:type="paragraph" w:customStyle="1" w:styleId="864">
    <w:name w:val="4标题(治)"/>
    <w:basedOn w:val="1"/>
    <w:next w:val="1"/>
    <w:qFormat/>
    <w:uiPriority w:val="0"/>
    <w:pPr>
      <w:adjustRightInd w:val="0"/>
      <w:snapToGrid w:val="0"/>
      <w:spacing w:beforeLines="20" w:afterLines="20" w:line="360" w:lineRule="auto"/>
      <w:textAlignment w:val="baseline"/>
      <w:outlineLvl w:val="3"/>
    </w:pPr>
    <w:rPr>
      <w:rFonts w:ascii="Times New Roman" w:hAnsi="Times New Roman" w:eastAsia="黑体" w:cs="Times New Roman"/>
      <w:kern w:val="0"/>
      <w:sz w:val="24"/>
      <w:szCs w:val="20"/>
    </w:rPr>
  </w:style>
  <w:style w:type="paragraph" w:customStyle="1" w:styleId="865">
    <w:name w:val="图注"/>
    <w:basedOn w:val="31"/>
    <w:next w:val="44"/>
    <w:qFormat/>
    <w:uiPriority w:val="0"/>
    <w:pPr>
      <w:spacing w:after="0" w:afterLines="0" w:line="360" w:lineRule="auto"/>
      <w:ind w:firstLine="480" w:firstLineChars="200"/>
    </w:pPr>
    <w:rPr>
      <w:rFonts w:ascii="宋体" w:hAnsi="宋体"/>
      <w:kern w:val="2"/>
      <w:sz w:val="24"/>
      <w:szCs w:val="28"/>
      <w:lang w:val="en-US" w:eastAsia="zh-CN"/>
    </w:rPr>
  </w:style>
  <w:style w:type="paragraph" w:customStyle="1" w:styleId="866">
    <w:name w:val="xl61"/>
    <w:basedOn w:val="1"/>
    <w:qFormat/>
    <w:uiPriority w:val="0"/>
    <w:pPr>
      <w:widowControl/>
      <w:pBdr>
        <w:left w:val="single" w:color="auto" w:sz="8" w:space="0"/>
        <w:bottom w:val="single" w:color="auto" w:sz="8" w:space="0"/>
        <w:right w:val="single" w:color="auto" w:sz="4" w:space="0"/>
      </w:pBdr>
      <w:spacing w:before="100" w:beforeLines="0" w:after="100" w:afterLines="0"/>
      <w:jc w:val="center"/>
      <w:textAlignment w:val="top"/>
    </w:pPr>
    <w:rPr>
      <w:rFonts w:ascii="Times New Roman" w:hAnsi="Times New Roman"/>
      <w:kern w:val="0"/>
      <w:sz w:val="24"/>
      <w:szCs w:val="24"/>
    </w:rPr>
  </w:style>
  <w:style w:type="paragraph" w:customStyle="1" w:styleId="867">
    <w:name w:val="Char1 Char"/>
    <w:basedOn w:val="1"/>
    <w:qFormat/>
    <w:uiPriority w:val="0"/>
    <w:pPr>
      <w:widowControl/>
      <w:adjustRightInd w:val="0"/>
      <w:spacing w:after="160" w:afterLines="0" w:line="240" w:lineRule="exact"/>
      <w:jc w:val="left"/>
      <w:textAlignment w:val="baseline"/>
    </w:pPr>
    <w:rPr>
      <w:rFonts w:ascii="Arial" w:hAnsi="Arial" w:eastAsia="Times New Roman" w:cs="Verdana"/>
      <w:b/>
      <w:kern w:val="0"/>
      <w:sz w:val="24"/>
      <w:szCs w:val="24"/>
      <w:lang w:eastAsia="en-US"/>
    </w:rPr>
  </w:style>
  <w:style w:type="paragraph" w:customStyle="1" w:styleId="868">
    <w:name w:val="表格标题"/>
    <w:basedOn w:val="780"/>
    <w:next w:val="31"/>
    <w:qFormat/>
    <w:uiPriority w:val="0"/>
    <w:pPr>
      <w:jc w:val="center"/>
      <w:textAlignment w:val="baseline"/>
    </w:pPr>
    <w:rPr>
      <w:b/>
      <w:kern w:val="0"/>
      <w:szCs w:val="20"/>
    </w:rPr>
  </w:style>
  <w:style w:type="paragraph" w:customStyle="1" w:styleId="869">
    <w:name w:val="样式 标题 1 + 小四"/>
    <w:basedOn w:val="3"/>
    <w:qFormat/>
    <w:uiPriority w:val="0"/>
    <w:pPr>
      <w:numPr>
        <w:ilvl w:val="0"/>
        <w:numId w:val="0"/>
      </w:numPr>
      <w:tabs>
        <w:tab w:val="left" w:pos="840"/>
      </w:tabs>
      <w:spacing w:before="120" w:beforeLines="0" w:after="240" w:afterLines="0" w:line="0" w:lineRule="atLeast"/>
      <w:ind w:left="840" w:hanging="360"/>
      <w:jc w:val="center"/>
    </w:pPr>
    <w:rPr>
      <w:sz w:val="30"/>
      <w:szCs w:val="20"/>
      <w:lang w:val="en-US" w:eastAsia="zh-CN"/>
    </w:rPr>
  </w:style>
  <w:style w:type="paragraph" w:customStyle="1" w:styleId="870">
    <w:name w:val="word"/>
    <w:basedOn w:val="1"/>
    <w:qFormat/>
    <w:uiPriority w:val="0"/>
    <w:pPr>
      <w:spacing w:line="360" w:lineRule="auto"/>
      <w:ind w:firstLine="480" w:firstLineChars="200"/>
    </w:pPr>
    <w:rPr>
      <w:rFonts w:ascii="宋体" w:hAnsi="宋体"/>
      <w:kern w:val="0"/>
      <w:sz w:val="24"/>
      <w:szCs w:val="24"/>
    </w:rPr>
  </w:style>
  <w:style w:type="paragraph" w:customStyle="1" w:styleId="871">
    <w:name w:val="xl60"/>
    <w:basedOn w:val="1"/>
    <w:qFormat/>
    <w:uiPriority w:val="0"/>
    <w:pPr>
      <w:widowControl/>
      <w:pBdr>
        <w:left w:val="single" w:color="auto" w:sz="8" w:space="0"/>
        <w:right w:val="single" w:color="auto" w:sz="4" w:space="0"/>
      </w:pBdr>
      <w:spacing w:before="100" w:beforeLines="0" w:after="100" w:afterLines="0"/>
      <w:jc w:val="center"/>
      <w:textAlignment w:val="top"/>
    </w:pPr>
    <w:rPr>
      <w:rFonts w:ascii="Times New Roman" w:hAnsi="Times New Roman"/>
      <w:kern w:val="0"/>
      <w:sz w:val="24"/>
      <w:szCs w:val="24"/>
    </w:rPr>
  </w:style>
  <w:style w:type="paragraph" w:customStyle="1" w:styleId="872">
    <w:name w:val="正文文本 31"/>
    <w:basedOn w:val="1"/>
    <w:qFormat/>
    <w:uiPriority w:val="0"/>
    <w:pPr>
      <w:adjustRightInd w:val="0"/>
      <w:spacing w:line="360" w:lineRule="atLeast"/>
      <w:jc w:val="center"/>
      <w:textAlignment w:val="baseline"/>
    </w:pPr>
    <w:rPr>
      <w:rFonts w:ascii="仿宋体" w:hAnsi="宋体" w:eastAsia="仿宋体"/>
      <w:kern w:val="0"/>
      <w:sz w:val="24"/>
      <w:szCs w:val="20"/>
    </w:rPr>
  </w:style>
  <w:style w:type="paragraph" w:customStyle="1" w:styleId="873">
    <w:name w:val="xl36"/>
    <w:basedOn w:val="1"/>
    <w:qFormat/>
    <w:uiPriority w:val="0"/>
    <w:pPr>
      <w:widowControl/>
      <w:pBdr>
        <w:top w:val="single" w:color="auto" w:sz="4" w:space="0"/>
        <w:bottom w:val="single" w:color="auto" w:sz="4" w:space="0"/>
        <w:right w:val="single" w:color="auto" w:sz="4" w:space="0"/>
      </w:pBdr>
      <w:spacing w:before="100" w:beforeLines="0" w:after="100" w:afterLines="0"/>
      <w:jc w:val="center"/>
      <w:textAlignment w:val="center"/>
    </w:pPr>
    <w:rPr>
      <w:rFonts w:ascii="宋体" w:hAnsi="宋体"/>
      <w:kern w:val="0"/>
      <w:sz w:val="24"/>
      <w:szCs w:val="24"/>
    </w:rPr>
  </w:style>
  <w:style w:type="paragraph" w:customStyle="1" w:styleId="874">
    <w:name w:val="Char Char"/>
    <w:basedOn w:val="1"/>
    <w:qFormat/>
    <w:uiPriority w:val="0"/>
    <w:rPr>
      <w:rFonts w:ascii="Tahoma" w:hAnsi="Tahoma"/>
      <w:sz w:val="24"/>
      <w:szCs w:val="20"/>
    </w:rPr>
  </w:style>
  <w:style w:type="paragraph" w:customStyle="1" w:styleId="875">
    <w:name w:val="1 Char Char Char Char Char Char Char"/>
    <w:basedOn w:val="1"/>
    <w:qFormat/>
    <w:uiPriority w:val="0"/>
    <w:rPr>
      <w:rFonts w:ascii="Times New Roman" w:hAnsi="Times New Roman"/>
      <w:szCs w:val="24"/>
    </w:rPr>
  </w:style>
  <w:style w:type="paragraph" w:customStyle="1" w:styleId="876">
    <w:name w:val="Char Char Char Char Char Char Char Char Char"/>
    <w:basedOn w:val="1"/>
    <w:qFormat/>
    <w:uiPriority w:val="0"/>
    <w:rPr>
      <w:rFonts w:ascii="Times New Roman" w:hAnsi="Times New Roman"/>
      <w:szCs w:val="24"/>
    </w:rPr>
  </w:style>
  <w:style w:type="paragraph" w:customStyle="1" w:styleId="877">
    <w:name w:val="样式 表格内容 + 加粗 首行缩进:  2 字符"/>
    <w:basedOn w:val="766"/>
    <w:next w:val="1"/>
    <w:qFormat/>
    <w:uiPriority w:val="0"/>
    <w:pPr>
      <w:widowControl w:val="0"/>
      <w:adjustRightInd w:val="0"/>
      <w:spacing w:line="240" w:lineRule="exact"/>
    </w:pPr>
    <w:rPr>
      <w:rFonts w:cs="宋体"/>
      <w:b/>
      <w:bCs/>
      <w:szCs w:val="20"/>
    </w:rPr>
  </w:style>
  <w:style w:type="paragraph" w:customStyle="1" w:styleId="878">
    <w:name w:val="样式 标题 21.1标题 2 + 首行缩进:  2 字符"/>
    <w:basedOn w:val="4"/>
    <w:qFormat/>
    <w:uiPriority w:val="0"/>
    <w:pPr>
      <w:snapToGrid w:val="0"/>
      <w:spacing w:before="0" w:beforeLines="0" w:after="0" w:afterLines="0" w:line="500" w:lineRule="exact"/>
      <w:ind w:firstLine="602" w:firstLineChars="200"/>
      <w:jc w:val="left"/>
      <w:textAlignment w:val="auto"/>
    </w:pPr>
    <w:rPr>
      <w:rFonts w:cs="宋体"/>
      <w:kern w:val="44"/>
      <w:sz w:val="30"/>
      <w:szCs w:val="30"/>
      <w:lang w:val="en-US" w:eastAsia="zh-CN"/>
    </w:rPr>
  </w:style>
  <w:style w:type="paragraph" w:customStyle="1" w:styleId="879">
    <w:name w:val="hit_top"/>
    <w:basedOn w:val="1"/>
    <w:qFormat/>
    <w:uiPriority w:val="0"/>
    <w:pPr>
      <w:widowControl/>
      <w:spacing w:after="150" w:afterLines="0" w:line="270" w:lineRule="atLeast"/>
      <w:ind w:right="225"/>
      <w:jc w:val="left"/>
    </w:pPr>
    <w:rPr>
      <w:rFonts w:ascii="宋体" w:hAnsi="宋体" w:eastAsia="宋体" w:cs="宋体"/>
      <w:kern w:val="0"/>
      <w:sz w:val="24"/>
      <w:szCs w:val="24"/>
    </w:rPr>
  </w:style>
  <w:style w:type="paragraph" w:customStyle="1" w:styleId="880">
    <w:name w:val="xl81"/>
    <w:basedOn w:val="1"/>
    <w:qFormat/>
    <w:uiPriority w:val="0"/>
    <w:pPr>
      <w:widowControl/>
      <w:pBdr>
        <w:top w:val="single" w:color="auto" w:sz="8" w:space="0"/>
        <w:left w:val="single" w:color="auto" w:sz="4" w:space="0"/>
        <w:right w:val="single" w:color="auto" w:sz="4" w:space="0"/>
      </w:pBdr>
      <w:spacing w:before="100" w:beforeLines="0" w:after="100" w:afterLines="0"/>
      <w:jc w:val="center"/>
      <w:textAlignment w:val="center"/>
    </w:pPr>
    <w:rPr>
      <w:rFonts w:ascii="宋体" w:hAnsi="宋体"/>
      <w:kern w:val="0"/>
      <w:sz w:val="24"/>
      <w:szCs w:val="24"/>
    </w:rPr>
  </w:style>
  <w:style w:type="paragraph" w:customStyle="1" w:styleId="881">
    <w:name w:val="font7"/>
    <w:basedOn w:val="1"/>
    <w:qFormat/>
    <w:uiPriority w:val="0"/>
    <w:pPr>
      <w:widowControl/>
      <w:spacing w:before="100" w:beforeLines="0" w:beforeAutospacing="1" w:after="100" w:afterLines="0" w:afterAutospacing="1"/>
      <w:jc w:val="left"/>
    </w:pPr>
    <w:rPr>
      <w:rFonts w:ascii="Times New Roman" w:hAnsi="Times New Roman"/>
      <w:kern w:val="0"/>
      <w:sz w:val="24"/>
      <w:szCs w:val="24"/>
    </w:rPr>
  </w:style>
  <w:style w:type="paragraph" w:customStyle="1" w:styleId="882">
    <w:name w:val="样式 正文 + 宋体 五号 首行缩进:  2 字符"/>
    <w:basedOn w:val="1"/>
    <w:qFormat/>
    <w:uiPriority w:val="0"/>
    <w:pPr>
      <w:ind w:firstLineChars="200"/>
      <w:jc w:val="center"/>
    </w:pPr>
    <w:rPr>
      <w:rFonts w:ascii="宋体" w:hAnsi="宋体" w:cs="宋体"/>
      <w:kern w:val="0"/>
      <w:sz w:val="18"/>
      <w:szCs w:val="20"/>
    </w:rPr>
  </w:style>
  <w:style w:type="paragraph" w:customStyle="1" w:styleId="883">
    <w:name w:val="报告书表格"/>
    <w:basedOn w:val="1"/>
    <w:qFormat/>
    <w:uiPriority w:val="0"/>
    <w:pPr>
      <w:adjustRightInd w:val="0"/>
      <w:spacing w:before="60" w:beforeLines="0" w:after="60" w:afterLines="0" w:line="240" w:lineRule="atLeast"/>
      <w:jc w:val="center"/>
      <w:textAlignment w:val="baseline"/>
    </w:pPr>
    <w:rPr>
      <w:rFonts w:ascii="Times New Roman" w:hAnsi="Times New Roman"/>
      <w:kern w:val="0"/>
      <w:szCs w:val="20"/>
    </w:rPr>
  </w:style>
  <w:style w:type="paragraph" w:customStyle="1" w:styleId="884">
    <w:name w:val="0003"/>
    <w:basedOn w:val="5"/>
    <w:qFormat/>
    <w:uiPriority w:val="0"/>
    <w:pPr>
      <w:keepNext w:val="0"/>
      <w:keepLines w:val="0"/>
      <w:spacing w:before="312" w:beforeLines="100" w:after="0" w:afterLines="0" w:line="360" w:lineRule="auto"/>
      <w:jc w:val="left"/>
    </w:pPr>
    <w:rPr>
      <w:rFonts w:ascii="宋体"/>
      <w:sz w:val="28"/>
      <w:lang w:val="en-US" w:eastAsia="zh-CN"/>
    </w:rPr>
  </w:style>
  <w:style w:type="paragraph" w:customStyle="1" w:styleId="885">
    <w:name w:val="样式 标题 1 + 段前: 0.5 行"/>
    <w:basedOn w:val="3"/>
    <w:qFormat/>
    <w:uiPriority w:val="0"/>
    <w:pPr>
      <w:numPr>
        <w:ilvl w:val="0"/>
        <w:numId w:val="0"/>
      </w:numPr>
      <w:spacing w:before="156" w:beforeLines="50" w:after="0" w:afterLines="0" w:line="440" w:lineRule="exact"/>
    </w:pPr>
    <w:rPr>
      <w:rFonts w:cs="宋体"/>
      <w:b w:val="0"/>
      <w:bCs w:val="0"/>
      <w:sz w:val="24"/>
      <w:szCs w:val="20"/>
      <w:lang w:val="zh-CN" w:eastAsia="zh-CN"/>
    </w:rPr>
  </w:style>
  <w:style w:type="paragraph" w:customStyle="1" w:styleId="886">
    <w:name w:val="Char Char Char1 Char Char Char Char1"/>
    <w:basedOn w:val="1"/>
    <w:next w:val="1"/>
    <w:qFormat/>
    <w:uiPriority w:val="0"/>
    <w:pPr>
      <w:spacing w:line="360" w:lineRule="auto"/>
      <w:ind w:firstLine="200" w:firstLineChars="200"/>
    </w:pPr>
    <w:rPr>
      <w:rFonts w:ascii="Times New Roman" w:hAnsi="Times New Roman"/>
      <w:szCs w:val="20"/>
    </w:rPr>
  </w:style>
  <w:style w:type="paragraph" w:customStyle="1" w:styleId="887">
    <w:name w:val="表格文字1"/>
    <w:basedOn w:val="1"/>
    <w:next w:val="1"/>
    <w:qFormat/>
    <w:uiPriority w:val="0"/>
    <w:pPr>
      <w:ind w:firstLineChars="200"/>
    </w:pPr>
    <w:rPr>
      <w:rFonts w:ascii="仿宋_GB2312" w:hAnsi="Times New Roman" w:eastAsia="仿宋_GB2312"/>
      <w:sz w:val="24"/>
      <w:szCs w:val="24"/>
    </w:rPr>
  </w:style>
  <w:style w:type="paragraph" w:customStyle="1" w:styleId="888">
    <w:name w:val="表、图名"/>
    <w:basedOn w:val="1"/>
    <w:qFormat/>
    <w:uiPriority w:val="0"/>
    <w:pPr>
      <w:tabs>
        <w:tab w:val="left" w:pos="3600"/>
      </w:tabs>
      <w:adjustRightInd w:val="0"/>
      <w:snapToGrid w:val="0"/>
      <w:jc w:val="center"/>
    </w:pPr>
    <w:rPr>
      <w:rFonts w:ascii="黑体" w:hAnsi="宋体" w:eastAsia="黑体"/>
      <w:kern w:val="0"/>
      <w:szCs w:val="21"/>
    </w:rPr>
  </w:style>
  <w:style w:type="paragraph" w:customStyle="1" w:styleId="889">
    <w:name w:val="图题表题"/>
    <w:basedOn w:val="1"/>
    <w:qFormat/>
    <w:uiPriority w:val="0"/>
    <w:pPr>
      <w:spacing w:before="156" w:beforeLines="50" w:after="156" w:afterLines="50"/>
      <w:jc w:val="center"/>
    </w:pPr>
    <w:rPr>
      <w:rFonts w:ascii="Times New Roman" w:hAnsi="Times New Roman"/>
      <w:b/>
      <w:bCs/>
      <w:sz w:val="24"/>
      <w:szCs w:val="24"/>
    </w:rPr>
  </w:style>
  <w:style w:type="paragraph" w:customStyle="1" w:styleId="890">
    <w:name w:val="样式6"/>
    <w:basedOn w:val="1"/>
    <w:qFormat/>
    <w:uiPriority w:val="0"/>
    <w:pPr>
      <w:tabs>
        <w:tab w:val="center" w:pos="4153"/>
        <w:tab w:val="right" w:pos="8306"/>
      </w:tabs>
      <w:snapToGrid w:val="0"/>
      <w:jc w:val="center"/>
    </w:pPr>
    <w:rPr>
      <w:rFonts w:ascii="Times New Roman" w:hAnsi="Times New Roman"/>
      <w:sz w:val="18"/>
      <w:szCs w:val="24"/>
    </w:rPr>
  </w:style>
  <w:style w:type="paragraph" w:customStyle="1" w:styleId="891">
    <w:name w:val="5号字表"/>
    <w:basedOn w:val="1"/>
    <w:qFormat/>
    <w:uiPriority w:val="0"/>
    <w:pPr>
      <w:tabs>
        <w:tab w:val="left" w:pos="210"/>
      </w:tabs>
      <w:spacing w:line="500" w:lineRule="exact"/>
      <w:ind w:firstLineChars="200"/>
      <w:jc w:val="left"/>
    </w:pPr>
    <w:rPr>
      <w:rFonts w:ascii="宋体" w:hAnsi="宋体" w:cs="宋体"/>
      <w:bCs/>
      <w:sz w:val="28"/>
      <w:szCs w:val="20"/>
    </w:rPr>
  </w:style>
  <w:style w:type="paragraph" w:customStyle="1" w:styleId="892">
    <w:name w:val="文本"/>
    <w:basedOn w:val="1"/>
    <w:qFormat/>
    <w:uiPriority w:val="0"/>
    <w:pPr>
      <w:adjustRightInd w:val="0"/>
      <w:snapToGrid w:val="0"/>
      <w:spacing w:line="520" w:lineRule="exact"/>
      <w:ind w:firstLine="480" w:firstLineChars="200"/>
      <w:jc w:val="left"/>
    </w:pPr>
    <w:rPr>
      <w:sz w:val="24"/>
      <w:szCs w:val="28"/>
    </w:rPr>
  </w:style>
  <w:style w:type="paragraph" w:customStyle="1" w:styleId="893">
    <w:name w:val="Char51"/>
    <w:basedOn w:val="1"/>
    <w:qFormat/>
    <w:uiPriority w:val="0"/>
    <w:pPr>
      <w:widowControl/>
      <w:spacing w:after="160" w:afterLines="0" w:line="240" w:lineRule="exact"/>
      <w:ind w:firstLine="480" w:firstLineChars="200"/>
      <w:jc w:val="left"/>
    </w:pPr>
    <w:rPr>
      <w:rFonts w:ascii="Verdana" w:hAnsi="Verdana" w:eastAsia="黑体"/>
      <w:kern w:val="0"/>
      <w:sz w:val="28"/>
      <w:szCs w:val="20"/>
      <w:lang w:eastAsia="en-US"/>
    </w:rPr>
  </w:style>
  <w:style w:type="paragraph" w:customStyle="1" w:styleId="894">
    <w:name w:val="表正文"/>
    <w:basedOn w:val="1"/>
    <w:next w:val="73"/>
    <w:qFormat/>
    <w:uiPriority w:val="0"/>
    <w:pPr>
      <w:widowControl/>
      <w:spacing w:before="100" w:beforeLines="0" w:beforeAutospacing="1" w:after="100" w:afterLines="0" w:afterAutospacing="1" w:line="320" w:lineRule="atLeast"/>
      <w:jc w:val="left"/>
    </w:pPr>
    <w:rPr>
      <w:rFonts w:hint="eastAsia" w:ascii="宋体" w:hAnsi="宋体"/>
      <w:color w:val="000000"/>
      <w:kern w:val="0"/>
      <w:sz w:val="18"/>
      <w:szCs w:val="18"/>
    </w:rPr>
  </w:style>
  <w:style w:type="paragraph" w:customStyle="1" w:styleId="895">
    <w:name w:val="默认段落字体 Para Char"/>
    <w:basedOn w:val="1"/>
    <w:next w:val="1"/>
    <w:qFormat/>
    <w:uiPriority w:val="0"/>
    <w:pPr>
      <w:spacing w:line="360" w:lineRule="auto"/>
      <w:ind w:firstLine="200" w:firstLineChars="200"/>
    </w:pPr>
    <w:rPr>
      <w:rFonts w:ascii="宋体" w:hAnsi="宋体" w:cs="宋体"/>
      <w:sz w:val="24"/>
      <w:szCs w:val="24"/>
    </w:rPr>
  </w:style>
  <w:style w:type="paragraph" w:customStyle="1" w:styleId="896">
    <w:name w:val="7表格(治)"/>
    <w:qFormat/>
    <w:uiPriority w:val="0"/>
    <w:pPr>
      <w:jc w:val="center"/>
    </w:pPr>
    <w:rPr>
      <w:rFonts w:ascii="宋体" w:hAnsi="宋体" w:eastAsia="宋体" w:cs="Times New Roman"/>
      <w:color w:val="0000FF"/>
      <w:sz w:val="21"/>
      <w:lang w:val="en-US" w:eastAsia="zh-CN" w:bidi="ar-SA"/>
    </w:rPr>
  </w:style>
  <w:style w:type="paragraph" w:customStyle="1" w:styleId="897">
    <w:name w:val="设计封面"/>
    <w:basedOn w:val="4"/>
    <w:qFormat/>
    <w:uiPriority w:val="0"/>
    <w:pPr>
      <w:tabs>
        <w:tab w:val="left" w:pos="210"/>
      </w:tabs>
      <w:adjustRightInd/>
      <w:spacing w:before="0" w:beforeLines="0" w:after="0" w:afterLines="0" w:line="500" w:lineRule="exact"/>
      <w:ind w:firstLineChars="200"/>
      <w:jc w:val="center"/>
      <w:textAlignment w:val="auto"/>
      <w:outlineLvl w:val="9"/>
    </w:pPr>
    <w:rPr>
      <w:rFonts w:ascii="Arial" w:hAnsi="Arial" w:eastAsia="华文中宋"/>
      <w:bCs w:val="0"/>
      <w:kern w:val="2"/>
      <w:sz w:val="72"/>
      <w:szCs w:val="28"/>
      <w:lang w:val="en-US" w:eastAsia="zh-CN"/>
    </w:rPr>
  </w:style>
  <w:style w:type="paragraph" w:customStyle="1" w:styleId="898">
    <w:name w:val=" Char2 Char Char Char Char Char Char Char Char Char Char Char Char Char Char Char"/>
    <w:basedOn w:val="1"/>
    <w:qFormat/>
    <w:uiPriority w:val="0"/>
    <w:rPr>
      <w:rFonts w:ascii="Times New Roman" w:hAnsi="Times New Roman"/>
      <w:szCs w:val="24"/>
    </w:rPr>
  </w:style>
  <w:style w:type="paragraph" w:customStyle="1" w:styleId="899">
    <w:name w:val="4"/>
    <w:basedOn w:val="1"/>
    <w:next w:val="44"/>
    <w:qFormat/>
    <w:uiPriority w:val="0"/>
    <w:rPr>
      <w:rFonts w:ascii="宋体" w:hAnsi="Courier New"/>
      <w:szCs w:val="20"/>
    </w:rPr>
  </w:style>
  <w:style w:type="paragraph" w:customStyle="1" w:styleId="900">
    <w:name w:val="标题4"/>
    <w:basedOn w:val="1"/>
    <w:qFormat/>
    <w:uiPriority w:val="0"/>
    <w:pPr>
      <w:tabs>
        <w:tab w:val="left" w:pos="1960"/>
      </w:tabs>
      <w:spacing w:line="360" w:lineRule="auto"/>
      <w:outlineLvl w:val="0"/>
    </w:pPr>
    <w:rPr>
      <w:rFonts w:ascii="Times New Roman" w:hAnsi="Times New Roman"/>
      <w:sz w:val="28"/>
      <w:szCs w:val="20"/>
    </w:rPr>
  </w:style>
  <w:style w:type="paragraph" w:customStyle="1" w:styleId="901">
    <w:name w:val=" 标题 2 蓝四号"/>
    <w:basedOn w:val="4"/>
    <w:next w:val="1"/>
    <w:semiHidden/>
    <w:qFormat/>
    <w:uiPriority w:val="0"/>
    <w:pPr>
      <w:shd w:val="clear" w:color="auto" w:fill="FFFFFF"/>
      <w:tabs>
        <w:tab w:val="left" w:pos="210"/>
      </w:tabs>
      <w:kinsoku w:val="0"/>
      <w:overflowPunct w:val="0"/>
      <w:autoSpaceDE w:val="0"/>
      <w:autoSpaceDN w:val="0"/>
      <w:adjustRightInd/>
      <w:spacing w:before="120" w:beforeLines="0" w:after="120" w:afterLines="0" w:line="300" w:lineRule="exact"/>
      <w:textAlignment w:val="auto"/>
    </w:pPr>
    <w:rPr>
      <w:bCs w:val="0"/>
      <w:color w:val="0000FF"/>
      <w:kern w:val="2"/>
      <w:sz w:val="24"/>
      <w:szCs w:val="24"/>
      <w:lang w:val="en-US" w:eastAsia="zh-CN"/>
    </w:rPr>
  </w:style>
  <w:style w:type="paragraph" w:customStyle="1" w:styleId="902">
    <w:name w:val="xl68"/>
    <w:basedOn w:val="1"/>
    <w:qFormat/>
    <w:uiPriority w:val="0"/>
    <w:pPr>
      <w:widowControl/>
      <w:pBdr>
        <w:left w:val="single" w:color="auto" w:sz="4" w:space="0"/>
        <w:bottom w:val="single" w:color="auto" w:sz="8" w:space="0"/>
      </w:pBdr>
      <w:spacing w:before="100" w:beforeLines="0" w:after="100" w:afterLines="0"/>
      <w:jc w:val="center"/>
      <w:textAlignment w:val="top"/>
    </w:pPr>
    <w:rPr>
      <w:rFonts w:ascii="Times New Roman" w:hAnsi="Times New Roman"/>
      <w:kern w:val="0"/>
      <w:sz w:val="24"/>
      <w:szCs w:val="24"/>
    </w:rPr>
  </w:style>
  <w:style w:type="paragraph" w:customStyle="1" w:styleId="903">
    <w:name w:val="xl69"/>
    <w:basedOn w:val="1"/>
    <w:qFormat/>
    <w:uiPriority w:val="0"/>
    <w:pPr>
      <w:widowControl/>
      <w:pBdr>
        <w:bottom w:val="single" w:color="auto" w:sz="8" w:space="0"/>
      </w:pBdr>
      <w:spacing w:before="100" w:beforeLines="0" w:after="100" w:afterLines="0"/>
      <w:jc w:val="center"/>
      <w:textAlignment w:val="top"/>
    </w:pPr>
    <w:rPr>
      <w:rFonts w:ascii="Times New Roman" w:hAnsi="Times New Roman"/>
      <w:kern w:val="0"/>
      <w:sz w:val="24"/>
      <w:szCs w:val="24"/>
    </w:rPr>
  </w:style>
  <w:style w:type="paragraph" w:customStyle="1" w:styleId="904">
    <w:name w:val="默认段落字体 Para Char Char Char Char"/>
    <w:basedOn w:val="1"/>
    <w:qFormat/>
    <w:uiPriority w:val="0"/>
    <w:rPr>
      <w:rFonts w:ascii="Times New Roman" w:hAnsi="Times New Roman"/>
      <w:szCs w:val="24"/>
    </w:rPr>
  </w:style>
  <w:style w:type="paragraph" w:customStyle="1" w:styleId="905">
    <w:name w:val="样式 目录 1 级别1"/>
    <w:basedOn w:val="1"/>
    <w:next w:val="1"/>
    <w:qFormat/>
    <w:uiPriority w:val="0"/>
    <w:pPr>
      <w:shd w:val="clear" w:color="auto" w:fill="FFFFFF"/>
      <w:tabs>
        <w:tab w:val="left" w:pos="210"/>
      </w:tabs>
      <w:kinsoku w:val="0"/>
      <w:overflowPunct w:val="0"/>
      <w:autoSpaceDE w:val="0"/>
      <w:autoSpaceDN w:val="0"/>
      <w:adjustRightInd w:val="0"/>
      <w:snapToGrid w:val="0"/>
      <w:spacing w:line="400" w:lineRule="exact"/>
      <w:ind w:firstLine="200" w:firstLineChars="200"/>
      <w:jc w:val="left"/>
    </w:pPr>
    <w:rPr>
      <w:rFonts w:ascii="宋体" w:hAnsi="宋体" w:cs="宋体"/>
      <w:b/>
      <w:bCs/>
      <w:sz w:val="24"/>
      <w:szCs w:val="28"/>
    </w:rPr>
  </w:style>
  <w:style w:type="paragraph" w:customStyle="1" w:styleId="906">
    <w:name w:val="小标题"/>
    <w:basedOn w:val="1"/>
    <w:qFormat/>
    <w:uiPriority w:val="0"/>
    <w:pPr>
      <w:spacing w:line="500" w:lineRule="exact"/>
      <w:ind w:firstLine="567"/>
    </w:pPr>
    <w:rPr>
      <w:rFonts w:ascii="Times New Roman" w:hAnsi="Times New Roman"/>
      <w:sz w:val="28"/>
      <w:szCs w:val="28"/>
    </w:rPr>
  </w:style>
  <w:style w:type="paragraph" w:customStyle="1" w:styleId="907">
    <w:name w:val="xl43"/>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908">
    <w:name w:val="参考文献"/>
    <w:basedOn w:val="1"/>
    <w:next w:val="1"/>
    <w:qFormat/>
    <w:uiPriority w:val="0"/>
    <w:pPr>
      <w:widowControl/>
      <w:tabs>
        <w:tab w:val="left" w:pos="525"/>
      </w:tabs>
      <w:spacing w:line="360" w:lineRule="auto"/>
      <w:ind w:left="450" w:hanging="450" w:hangingChars="250"/>
    </w:pPr>
    <w:rPr>
      <w:rFonts w:ascii="Times New Roman" w:hAnsi="宋体"/>
      <w:kern w:val="0"/>
      <w:sz w:val="18"/>
      <w:szCs w:val="24"/>
    </w:rPr>
  </w:style>
  <w:style w:type="paragraph" w:customStyle="1" w:styleId="909">
    <w:name w:val="Body Text 21"/>
    <w:basedOn w:val="1"/>
    <w:qFormat/>
    <w:uiPriority w:val="0"/>
    <w:pPr>
      <w:autoSpaceDE w:val="0"/>
      <w:autoSpaceDN w:val="0"/>
      <w:adjustRightInd w:val="0"/>
      <w:spacing w:line="500" w:lineRule="atLeast"/>
      <w:ind w:firstLine="480"/>
      <w:jc w:val="left"/>
      <w:textAlignment w:val="bottom"/>
    </w:pPr>
    <w:rPr>
      <w:rFonts w:ascii="Times New Roman" w:hAnsi="Times New Roman"/>
      <w:sz w:val="28"/>
      <w:szCs w:val="20"/>
    </w:rPr>
  </w:style>
  <w:style w:type="paragraph" w:customStyle="1" w:styleId="910">
    <w:name w:val="xl49"/>
    <w:basedOn w:val="1"/>
    <w:qFormat/>
    <w:uiPriority w:val="0"/>
    <w:pPr>
      <w:widowControl/>
      <w:pBdr>
        <w:left w:val="single" w:color="auto" w:sz="4" w:space="0"/>
        <w:bottom w:val="single" w:color="auto" w:sz="4" w:space="0"/>
      </w:pBdr>
      <w:spacing w:before="100" w:beforeLines="0" w:after="100" w:afterLines="0"/>
      <w:jc w:val="center"/>
      <w:textAlignment w:val="center"/>
    </w:pPr>
    <w:rPr>
      <w:rFonts w:ascii="宋体" w:hAnsi="宋体"/>
      <w:kern w:val="0"/>
      <w:sz w:val="28"/>
      <w:szCs w:val="28"/>
    </w:rPr>
  </w:style>
  <w:style w:type="paragraph" w:customStyle="1" w:styleId="911">
    <w:name w:val="5"/>
    <w:basedOn w:val="1"/>
    <w:next w:val="19"/>
    <w:qFormat/>
    <w:uiPriority w:val="0"/>
    <w:pPr>
      <w:ind w:firstLine="420" w:firstLineChars="200"/>
    </w:pPr>
    <w:rPr>
      <w:rFonts w:ascii="Times New Roman" w:hAnsi="Times New Roman"/>
      <w:spacing w:val="-4"/>
      <w:kern w:val="0"/>
      <w:sz w:val="24"/>
      <w:szCs w:val="24"/>
    </w:rPr>
  </w:style>
  <w:style w:type="paragraph" w:customStyle="1" w:styleId="912">
    <w:name w:val="正文首行缩进6"/>
    <w:basedOn w:val="31"/>
    <w:qFormat/>
    <w:uiPriority w:val="0"/>
    <w:pPr>
      <w:adjustRightInd w:val="0"/>
      <w:spacing w:after="0" w:afterLines="0" w:line="312" w:lineRule="auto"/>
      <w:ind w:firstLine="567"/>
    </w:pPr>
    <w:rPr>
      <w:sz w:val="28"/>
      <w:szCs w:val="20"/>
      <w:lang w:val="en-US" w:eastAsia="zh-CN"/>
    </w:rPr>
  </w:style>
  <w:style w:type="paragraph" w:customStyle="1" w:styleId="913">
    <w:name w:val="样式 标题 1 + 宋体 四号 居中"/>
    <w:basedOn w:val="3"/>
    <w:qFormat/>
    <w:uiPriority w:val="0"/>
    <w:pPr>
      <w:numPr>
        <w:ilvl w:val="0"/>
        <w:numId w:val="0"/>
      </w:numPr>
      <w:spacing w:before="0" w:beforeLines="0" w:after="0" w:afterLines="0" w:line="600" w:lineRule="exact"/>
      <w:jc w:val="center"/>
    </w:pPr>
    <w:rPr>
      <w:bCs w:val="0"/>
      <w:color w:val="FF0000"/>
      <w:sz w:val="32"/>
      <w:szCs w:val="28"/>
      <w:lang w:val="en-US" w:eastAsia="zh-CN"/>
    </w:rPr>
  </w:style>
  <w:style w:type="paragraph" w:customStyle="1" w:styleId="914">
    <w:name w:val="正文一"/>
    <w:basedOn w:val="1"/>
    <w:qFormat/>
    <w:uiPriority w:val="0"/>
    <w:pPr>
      <w:spacing w:line="300" w:lineRule="auto"/>
      <w:ind w:firstLine="200" w:firstLineChars="200"/>
    </w:pPr>
    <w:rPr>
      <w:rFonts w:ascii="仿宋_GB2312" w:hAnsi="宋体"/>
      <w:sz w:val="28"/>
      <w:szCs w:val="20"/>
    </w:rPr>
  </w:style>
  <w:style w:type="paragraph" w:customStyle="1" w:styleId="915">
    <w:name w:val="设计封面编号宋2"/>
    <w:basedOn w:val="827"/>
    <w:next w:val="897"/>
    <w:qFormat/>
    <w:uiPriority w:val="0"/>
    <w:rPr>
      <w:rFonts w:eastAsia="宋体"/>
      <w:sz w:val="44"/>
    </w:rPr>
  </w:style>
  <w:style w:type="paragraph" w:customStyle="1" w:styleId="916">
    <w:name w:val="figure"/>
    <w:basedOn w:val="1"/>
    <w:qFormat/>
    <w:uiPriority w:val="0"/>
    <w:pPr>
      <w:keepNext/>
      <w:widowControl/>
      <w:spacing w:before="120" w:beforeLines="0" w:after="120" w:afterLines="0"/>
    </w:pPr>
    <w:rPr>
      <w:rFonts w:ascii="Times New Roman" w:hAnsi="Times New Roman"/>
      <w:kern w:val="0"/>
      <w:sz w:val="24"/>
      <w:szCs w:val="20"/>
    </w:rPr>
  </w:style>
  <w:style w:type="paragraph" w:customStyle="1" w:styleId="917">
    <w:name w:val="项目"/>
    <w:basedOn w:val="1"/>
    <w:qFormat/>
    <w:uiPriority w:val="0"/>
    <w:pPr>
      <w:tabs>
        <w:tab w:val="left" w:pos="840"/>
      </w:tabs>
      <w:ind w:left="840" w:hanging="360"/>
    </w:pPr>
    <w:rPr>
      <w:rFonts w:ascii="Times New Roman" w:hAnsi="Times New Roman"/>
      <w:sz w:val="24"/>
      <w:szCs w:val="24"/>
    </w:rPr>
  </w:style>
  <w:style w:type="paragraph" w:customStyle="1" w:styleId="918">
    <w:name w:val="样式 0004正文 + 首行缩进:  2 字符"/>
    <w:basedOn w:val="640"/>
    <w:qFormat/>
    <w:uiPriority w:val="0"/>
    <w:pPr>
      <w:spacing w:after="62" w:afterLines="20"/>
      <w:ind w:firstLine="560"/>
    </w:pPr>
    <w:rPr>
      <w:rFonts w:cs="宋体"/>
      <w:szCs w:val="20"/>
    </w:rPr>
  </w:style>
  <w:style w:type="paragraph" w:customStyle="1" w:styleId="919">
    <w:name w:val="xl24"/>
    <w:basedOn w:val="1"/>
    <w:qFormat/>
    <w:uiPriority w:val="0"/>
    <w:pPr>
      <w:widowControl/>
      <w:spacing w:before="100" w:beforeLines="0" w:beforeAutospacing="1" w:after="100" w:afterLines="0" w:afterAutospacing="1"/>
      <w:jc w:val="center"/>
    </w:pPr>
    <w:rPr>
      <w:rFonts w:ascii="Arial Unicode MS" w:hAnsi="Arial Unicode MS" w:eastAsia="Arial Unicode MS" w:cs="Arial Unicode MS"/>
      <w:kern w:val="0"/>
      <w:sz w:val="12"/>
      <w:szCs w:val="12"/>
    </w:rPr>
  </w:style>
  <w:style w:type="paragraph" w:customStyle="1" w:styleId="920">
    <w:name w:val="公式样式1"/>
    <w:basedOn w:val="1"/>
    <w:qFormat/>
    <w:uiPriority w:val="0"/>
    <w:pPr>
      <w:spacing w:line="220" w:lineRule="exact"/>
      <w:ind w:right="-51"/>
      <w:jc w:val="center"/>
    </w:pPr>
    <w:rPr>
      <w:rFonts w:ascii="宋体" w:hAnsi="宋体" w:eastAsia="宋体" w:cs="Times New Roman"/>
      <w:sz w:val="18"/>
      <w:szCs w:val="24"/>
    </w:rPr>
  </w:style>
  <w:style w:type="paragraph" w:customStyle="1" w:styleId="921">
    <w:name w:val="xl40"/>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922">
    <w:name w:val="xl54"/>
    <w:basedOn w:val="1"/>
    <w:qFormat/>
    <w:uiPriority w:val="0"/>
    <w:pPr>
      <w:widowControl/>
      <w:pBdr>
        <w:bottom w:val="single" w:color="auto" w:sz="4" w:space="0"/>
        <w:right w:val="single" w:color="auto" w:sz="4" w:space="0"/>
      </w:pBdr>
      <w:spacing w:before="100" w:beforeLines="0" w:after="100" w:afterLines="0"/>
      <w:jc w:val="center"/>
      <w:textAlignment w:val="center"/>
    </w:pPr>
    <w:rPr>
      <w:rFonts w:ascii="宋体" w:hAnsi="宋体"/>
      <w:kern w:val="0"/>
      <w:sz w:val="28"/>
      <w:szCs w:val="28"/>
    </w:rPr>
  </w:style>
  <w:style w:type="paragraph" w:customStyle="1" w:styleId="923">
    <w:name w:val="reader-word-layer"/>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924">
    <w:name w:val="目录4"/>
    <w:basedOn w:val="1"/>
    <w:next w:val="1"/>
    <w:qFormat/>
    <w:uiPriority w:val="0"/>
    <w:pPr>
      <w:widowControl/>
      <w:tabs>
        <w:tab w:val="left" w:leader="dot" w:pos="8503"/>
      </w:tabs>
      <w:spacing w:line="317" w:lineRule="atLeast"/>
      <w:ind w:firstLine="629"/>
      <w:textAlignment w:val="baseline"/>
    </w:pPr>
    <w:rPr>
      <w:rFonts w:ascii="Times New Roman" w:hAnsi="Times New Roman"/>
      <w:color w:val="000000"/>
      <w:kern w:val="0"/>
      <w:szCs w:val="20"/>
      <w:u w:val="none" w:color="000000"/>
    </w:rPr>
  </w:style>
  <w:style w:type="paragraph" w:customStyle="1" w:styleId="925">
    <w:name w:val="表内"/>
    <w:basedOn w:val="1"/>
    <w:qFormat/>
    <w:uiPriority w:val="0"/>
    <w:pPr>
      <w:widowControl w:val="0"/>
      <w:jc w:val="center"/>
    </w:pPr>
    <w:rPr>
      <w:szCs w:val="20"/>
    </w:rPr>
  </w:style>
  <w:style w:type="paragraph" w:customStyle="1" w:styleId="926">
    <w:name w:val="样式 样式 黑色 首行缩进:  2 字符 行距: 固定值 25 磅 + Times New Roman 首行缩进:  2 字符"/>
    <w:basedOn w:val="1"/>
    <w:qFormat/>
    <w:uiPriority w:val="0"/>
    <w:pPr>
      <w:spacing w:line="580" w:lineRule="exact"/>
      <w:ind w:firstLine="200" w:firstLineChars="200"/>
    </w:pPr>
    <w:rPr>
      <w:rFonts w:ascii="Times New Roman" w:hAnsi="Times New Roman" w:eastAsia="仿宋_GB2312" w:cs="宋体"/>
      <w:b/>
      <w:bCs/>
      <w:color w:val="000000"/>
      <w:sz w:val="28"/>
      <w:szCs w:val="20"/>
    </w:rPr>
  </w:style>
  <w:style w:type="paragraph" w:customStyle="1" w:styleId="927">
    <w:name w:val="表格文字样式14"/>
    <w:basedOn w:val="868"/>
    <w:qFormat/>
    <w:uiPriority w:val="0"/>
    <w:pPr>
      <w:overflowPunct w:val="0"/>
      <w:adjustRightInd w:val="0"/>
      <w:snapToGrid w:val="0"/>
      <w:spacing w:line="360" w:lineRule="exact"/>
      <w:ind w:firstLine="0" w:firstLineChars="0"/>
      <w:jc w:val="center"/>
    </w:pPr>
    <w:rPr>
      <w:rFonts w:ascii="宋体" w:hAnsi="宋体" w:eastAsia="黑体"/>
      <w:bCs/>
      <w:snapToGrid w:val="0"/>
      <w:kern w:val="0"/>
      <w:sz w:val="21"/>
      <w:szCs w:val="21"/>
    </w:rPr>
  </w:style>
  <w:style w:type="paragraph" w:customStyle="1" w:styleId="928">
    <w:name w:val="font12"/>
    <w:basedOn w:val="1"/>
    <w:semiHidden/>
    <w:qFormat/>
    <w:uiPriority w:val="0"/>
    <w:pPr>
      <w:widowControl/>
      <w:spacing w:before="100" w:beforeLines="0" w:beforeAutospacing="1" w:after="100" w:afterLines="0" w:afterAutospacing="1"/>
      <w:jc w:val="left"/>
    </w:pPr>
    <w:rPr>
      <w:rFonts w:ascii="Times New Roman" w:hAnsi="Times New Roman"/>
      <w:color w:val="000000"/>
      <w:kern w:val="0"/>
      <w:sz w:val="24"/>
      <w:szCs w:val="24"/>
    </w:rPr>
  </w:style>
  <w:style w:type="paragraph" w:customStyle="1" w:styleId="929">
    <w:name w:val=" Char1"/>
    <w:basedOn w:val="1"/>
    <w:qFormat/>
    <w:uiPriority w:val="0"/>
    <w:rPr>
      <w:rFonts w:ascii="Times New Roman" w:hAnsi="Times New Roman"/>
      <w:szCs w:val="24"/>
    </w:rPr>
  </w:style>
  <w:style w:type="paragraph" w:customStyle="1" w:styleId="930">
    <w:name w:val="A-表格文字"/>
    <w:basedOn w:val="1"/>
    <w:next w:val="657"/>
    <w:qFormat/>
    <w:uiPriority w:val="0"/>
    <w:pPr>
      <w:autoSpaceDE w:val="0"/>
      <w:autoSpaceDN w:val="0"/>
      <w:adjustRightInd w:val="0"/>
      <w:jc w:val="center"/>
      <w:textAlignment w:val="center"/>
    </w:pPr>
    <w:rPr>
      <w:rFonts w:ascii="Times New Roman" w:hAnsi="Times New Roman" w:eastAsia="宋体" w:cs="Times New Roman"/>
      <w:kern w:val="0"/>
      <w:szCs w:val="21"/>
    </w:rPr>
  </w:style>
  <w:style w:type="paragraph" w:customStyle="1" w:styleId="931">
    <w:name w:val="节标题"/>
    <w:basedOn w:val="1"/>
    <w:next w:val="635"/>
    <w:qFormat/>
    <w:uiPriority w:val="0"/>
    <w:pPr>
      <w:widowControl/>
      <w:spacing w:line="289" w:lineRule="atLeast"/>
      <w:jc w:val="center"/>
      <w:textAlignment w:val="baseline"/>
    </w:pPr>
    <w:rPr>
      <w:rFonts w:ascii="Times New Roman" w:hAnsi="Times New Roman"/>
      <w:color w:val="000000"/>
      <w:kern w:val="0"/>
      <w:sz w:val="28"/>
      <w:szCs w:val="20"/>
      <w:u w:val="none" w:color="000000"/>
    </w:rPr>
  </w:style>
  <w:style w:type="paragraph" w:customStyle="1" w:styleId="932">
    <w:name w:val="目录1"/>
    <w:basedOn w:val="45"/>
    <w:next w:val="1"/>
    <w:qFormat/>
    <w:uiPriority w:val="0"/>
    <w:pPr>
      <w:tabs>
        <w:tab w:val="right" w:leader="middleDot" w:pos="8760"/>
        <w:tab w:val="clear" w:pos="8948"/>
      </w:tabs>
      <w:spacing w:before="93" w:beforeLines="30" w:after="0" w:afterLines="0" w:line="520" w:lineRule="exact"/>
      <w:jc w:val="both"/>
    </w:pPr>
    <w:rPr>
      <w:rFonts w:ascii="Times New Roman" w:hAnsi="Times New Roman" w:eastAsia="宋体" w:cs="宋体"/>
      <w:caps w:val="0"/>
      <w:sz w:val="28"/>
    </w:rPr>
  </w:style>
  <w:style w:type="paragraph" w:customStyle="1" w:styleId="933">
    <w:name w:val="正文水资源论证1"/>
    <w:basedOn w:val="1"/>
    <w:qFormat/>
    <w:uiPriority w:val="0"/>
    <w:pPr>
      <w:spacing w:line="520" w:lineRule="exact"/>
      <w:ind w:firstLine="560" w:firstLineChars="200"/>
    </w:pPr>
    <w:rPr>
      <w:rFonts w:ascii="宋体" w:hAnsi="宋体"/>
      <w:sz w:val="28"/>
      <w:szCs w:val="24"/>
    </w:rPr>
  </w:style>
  <w:style w:type="paragraph" w:customStyle="1" w:styleId="934">
    <w:name w:val="BG1"/>
    <w:basedOn w:val="1"/>
    <w:qFormat/>
    <w:uiPriority w:val="0"/>
    <w:pPr>
      <w:spacing w:line="300" w:lineRule="exact"/>
      <w:jc w:val="center"/>
    </w:pPr>
    <w:rPr>
      <w:rFonts w:ascii="宋体" w:hAnsi="宋体"/>
      <w:color w:val="000000"/>
      <w:szCs w:val="24"/>
    </w:rPr>
  </w:style>
  <w:style w:type="paragraph" w:customStyle="1" w:styleId="935">
    <w:name w:val="表内字"/>
    <w:qFormat/>
    <w:uiPriority w:val="0"/>
    <w:pPr>
      <w:spacing w:before="80" w:after="80"/>
      <w:jc w:val="both"/>
    </w:pPr>
    <w:rPr>
      <w:rFonts w:ascii="Times New Roman" w:hAnsi="Times New Roman" w:eastAsia="宋体" w:cs="Times New Roman"/>
      <w:kern w:val="2"/>
      <w:sz w:val="21"/>
      <w:lang w:val="en-US" w:eastAsia="zh-CN" w:bidi="ar-SA"/>
    </w:rPr>
  </w:style>
  <w:style w:type="paragraph" w:customStyle="1" w:styleId="936">
    <w:name w:val="Char Char Char Char Char2 Char Char Char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937">
    <w:name w:val="1-表头"/>
    <w:basedOn w:val="1"/>
    <w:qFormat/>
    <w:uiPriority w:val="0"/>
    <w:pPr>
      <w:spacing w:line="320" w:lineRule="exact"/>
      <w:jc w:val="center"/>
    </w:pPr>
    <w:rPr>
      <w:rFonts w:ascii="Times New Roman" w:hAnsi="Times New Roman" w:eastAsia="宋体" w:cs="Times New Roman"/>
      <w:szCs w:val="20"/>
    </w:rPr>
  </w:style>
  <w:style w:type="paragraph" w:customStyle="1" w:styleId="938">
    <w:name w:val="Style81"/>
    <w:basedOn w:val="1"/>
    <w:qFormat/>
    <w:uiPriority w:val="0"/>
    <w:pPr>
      <w:adjustRightInd w:val="0"/>
      <w:spacing w:line="466" w:lineRule="exact"/>
      <w:ind w:firstLine="610"/>
      <w:jc w:val="left"/>
    </w:pPr>
    <w:rPr>
      <w:rFonts w:ascii="宋体" w:hAnsi="Times New Roman"/>
      <w:kern w:val="0"/>
      <w:sz w:val="24"/>
      <w:szCs w:val="24"/>
    </w:rPr>
  </w:style>
  <w:style w:type="paragraph" w:customStyle="1" w:styleId="939">
    <w:name w:val="Char Char Char Char Char Char Char1"/>
    <w:basedOn w:val="1"/>
    <w:qFormat/>
    <w:uiPriority w:val="0"/>
    <w:rPr>
      <w:rFonts w:ascii="Times New Roman" w:hAnsi="Times New Roman"/>
      <w:szCs w:val="24"/>
    </w:rPr>
  </w:style>
  <w:style w:type="paragraph" w:customStyle="1" w:styleId="940">
    <w:name w:val="Style51"/>
    <w:basedOn w:val="1"/>
    <w:qFormat/>
    <w:uiPriority w:val="0"/>
    <w:pPr>
      <w:adjustRightInd w:val="0"/>
      <w:jc w:val="left"/>
    </w:pPr>
    <w:rPr>
      <w:rFonts w:ascii="宋体" w:hAnsi="Times New Roman"/>
      <w:kern w:val="0"/>
      <w:sz w:val="24"/>
      <w:szCs w:val="24"/>
    </w:rPr>
  </w:style>
  <w:style w:type="paragraph" w:customStyle="1" w:styleId="941">
    <w:name w:val="图文框"/>
    <w:basedOn w:val="1"/>
    <w:qFormat/>
    <w:uiPriority w:val="0"/>
    <w:pPr>
      <w:adjustRightInd w:val="0"/>
      <w:snapToGrid w:val="0"/>
      <w:ind w:left="-111" w:leftChars="-53" w:right="-48" w:rightChars="-48"/>
      <w:jc w:val="center"/>
    </w:pPr>
    <w:rPr>
      <w:rFonts w:ascii="Times New Roman" w:hAnsi="Times New Roman"/>
      <w:snapToGrid w:val="0"/>
      <w:kern w:val="0"/>
      <w:szCs w:val="20"/>
    </w:rPr>
  </w:style>
  <w:style w:type="paragraph" w:customStyle="1" w:styleId="942">
    <w:name w:val="xl79"/>
    <w:basedOn w:val="1"/>
    <w:qFormat/>
    <w:uiPriority w:val="0"/>
    <w:pPr>
      <w:widowControl/>
      <w:pBdr>
        <w:bottom w:val="single" w:color="auto" w:sz="8" w:space="0"/>
      </w:pBdr>
      <w:spacing w:before="100" w:beforeLines="0" w:after="100" w:afterLines="0"/>
      <w:jc w:val="center"/>
      <w:textAlignment w:val="center"/>
    </w:pPr>
    <w:rPr>
      <w:rFonts w:ascii="Times New Roman" w:hAnsi="Times New Roman"/>
      <w:kern w:val="0"/>
      <w:sz w:val="24"/>
      <w:szCs w:val="24"/>
    </w:rPr>
  </w:style>
  <w:style w:type="paragraph" w:customStyle="1" w:styleId="943">
    <w:name w:val="B图表标题"/>
    <w:basedOn w:val="147"/>
    <w:next w:val="50"/>
    <w:qFormat/>
    <w:uiPriority w:val="0"/>
    <w:pPr>
      <w:spacing w:before="120" w:line="240" w:lineRule="auto"/>
    </w:pPr>
    <w:rPr>
      <w:rFonts w:eastAsia="宋体"/>
      <w:sz w:val="24"/>
    </w:rPr>
  </w:style>
  <w:style w:type="paragraph" w:customStyle="1" w:styleId="944">
    <w:name w:val="Char Char Char Char Char Char Char Char Char Char1"/>
    <w:basedOn w:val="1"/>
    <w:qFormat/>
    <w:uiPriority w:val="0"/>
    <w:pPr>
      <w:spacing w:line="240" w:lineRule="exact"/>
      <w:ind w:firstLine="200" w:firstLineChars="200"/>
    </w:pPr>
    <w:rPr>
      <w:rFonts w:ascii="宋体" w:hAnsi="宋体" w:cs="宋体"/>
      <w:sz w:val="24"/>
      <w:szCs w:val="24"/>
    </w:rPr>
  </w:style>
  <w:style w:type="paragraph" w:customStyle="1" w:styleId="945">
    <w:name w:val=" Char Char Char Char Char Char1 Char"/>
    <w:basedOn w:val="1"/>
    <w:qFormat/>
    <w:uiPriority w:val="0"/>
    <w:rPr>
      <w:rFonts w:ascii="Times New Roman" w:hAnsi="Times New Roman"/>
      <w:szCs w:val="24"/>
    </w:rPr>
  </w:style>
  <w:style w:type="paragraph" w:customStyle="1" w:styleId="946">
    <w:name w:val="表格 内容"/>
    <w:basedOn w:val="816"/>
    <w:qFormat/>
    <w:uiPriority w:val="0"/>
    <w:rPr>
      <w:sz w:val="21"/>
    </w:rPr>
  </w:style>
  <w:style w:type="paragraph" w:customStyle="1" w:styleId="947">
    <w:name w:val="【表头】"/>
    <w:basedOn w:val="1"/>
    <w:qFormat/>
    <w:uiPriority w:val="0"/>
    <w:pPr>
      <w:snapToGrid w:val="0"/>
      <w:spacing w:before="60" w:after="60" w:line="420" w:lineRule="exact"/>
      <w:jc w:val="center"/>
    </w:pPr>
    <w:rPr>
      <w:rFonts w:ascii="Times New Roman" w:hAnsi="Times New Roman" w:eastAsia="黑体" w:cs="Times New Roman"/>
      <w:sz w:val="24"/>
      <w:szCs w:val="20"/>
    </w:rPr>
  </w:style>
  <w:style w:type="paragraph" w:customStyle="1" w:styleId="948">
    <w:name w:val="Style141"/>
    <w:basedOn w:val="1"/>
    <w:qFormat/>
    <w:uiPriority w:val="0"/>
    <w:pPr>
      <w:adjustRightInd w:val="0"/>
      <w:jc w:val="left"/>
    </w:pPr>
    <w:rPr>
      <w:rFonts w:ascii="宋体" w:hAnsi="Times New Roman"/>
      <w:kern w:val="0"/>
      <w:sz w:val="24"/>
      <w:szCs w:val="24"/>
    </w:rPr>
  </w:style>
  <w:style w:type="paragraph" w:customStyle="1" w:styleId="949">
    <w:name w:val="二级标题 Char Char Char"/>
    <w:basedOn w:val="1"/>
    <w:next w:val="1"/>
    <w:qFormat/>
    <w:uiPriority w:val="0"/>
    <w:pPr>
      <w:spacing w:line="529" w:lineRule="exact"/>
      <w:ind w:firstLine="200" w:firstLineChars="200"/>
    </w:pPr>
    <w:rPr>
      <w:rFonts w:ascii="宋体" w:hAnsi="宋体" w:cs="宋体"/>
      <w:sz w:val="24"/>
      <w:szCs w:val="24"/>
    </w:rPr>
  </w:style>
  <w:style w:type="paragraph" w:customStyle="1" w:styleId="950">
    <w:name w:val="Char Char Char Char"/>
    <w:basedOn w:val="1"/>
    <w:qFormat/>
    <w:uiPriority w:val="0"/>
    <w:rPr>
      <w:rFonts w:ascii="Tahoma" w:hAnsi="Tahoma"/>
      <w:sz w:val="24"/>
      <w:szCs w:val="20"/>
    </w:rPr>
  </w:style>
  <w:style w:type="paragraph" w:customStyle="1" w:styleId="951">
    <w:name w:val="B3"/>
    <w:basedOn w:val="1"/>
    <w:next w:val="1"/>
    <w:qFormat/>
    <w:uiPriority w:val="0"/>
    <w:pPr>
      <w:widowControl/>
      <w:spacing w:before="80" w:after="80" w:line="360" w:lineRule="auto"/>
      <w:jc w:val="left"/>
      <w:outlineLvl w:val="2"/>
    </w:pPr>
    <w:rPr>
      <w:rFonts w:cs="宋体"/>
      <w:b/>
      <w:kern w:val="0"/>
      <w:sz w:val="28"/>
    </w:rPr>
  </w:style>
  <w:style w:type="paragraph" w:customStyle="1" w:styleId="952">
    <w:name w:val="font11"/>
    <w:basedOn w:val="1"/>
    <w:qFormat/>
    <w:uiPriority w:val="0"/>
    <w:pPr>
      <w:widowControl/>
      <w:spacing w:before="100" w:beforeLines="0" w:beforeAutospacing="1" w:after="100" w:afterLines="0" w:afterAutospacing="1"/>
      <w:jc w:val="left"/>
    </w:pPr>
    <w:rPr>
      <w:rFonts w:ascii="Symbol" w:hAnsi="Symbol"/>
      <w:kern w:val="0"/>
      <w:sz w:val="18"/>
      <w:szCs w:val="18"/>
    </w:rPr>
  </w:style>
  <w:style w:type="paragraph" w:customStyle="1" w:styleId="953">
    <w:name w:val="xl53"/>
    <w:basedOn w:val="1"/>
    <w:qFormat/>
    <w:uiPriority w:val="0"/>
    <w:pPr>
      <w:widowControl/>
      <w:pBdr>
        <w:bottom w:val="single" w:color="auto" w:sz="4" w:space="0"/>
      </w:pBdr>
      <w:spacing w:before="100" w:beforeLines="0" w:after="100" w:afterLines="0"/>
      <w:jc w:val="center"/>
      <w:textAlignment w:val="center"/>
    </w:pPr>
    <w:rPr>
      <w:rFonts w:ascii="宋体" w:hAnsi="宋体"/>
      <w:kern w:val="0"/>
      <w:sz w:val="28"/>
      <w:szCs w:val="28"/>
    </w:rPr>
  </w:style>
  <w:style w:type="paragraph" w:customStyle="1" w:styleId="954">
    <w:name w:val="目录"/>
    <w:basedOn w:val="76"/>
    <w:qFormat/>
    <w:uiPriority w:val="0"/>
    <w:pPr>
      <w:spacing w:before="100" w:beforeLines="0" w:after="100" w:afterLines="0" w:line="480" w:lineRule="auto"/>
    </w:pPr>
    <w:rPr>
      <w:rFonts w:eastAsia="黑体" w:cs="宋体"/>
      <w:sz w:val="30"/>
      <w:szCs w:val="20"/>
    </w:rPr>
  </w:style>
  <w:style w:type="paragraph" w:customStyle="1" w:styleId="955">
    <w:name w:val="表格文字中对齐"/>
    <w:basedOn w:val="725"/>
    <w:qFormat/>
    <w:uiPriority w:val="0"/>
    <w:pPr>
      <w:ind w:firstLine="0" w:firstLineChars="0"/>
    </w:pPr>
    <w:rPr>
      <w:rFonts w:ascii="Arial Narrow" w:hAnsi="Arial Narrow" w:eastAsia="仿宋_GB2312"/>
      <w:szCs w:val="21"/>
    </w:rPr>
  </w:style>
  <w:style w:type="paragraph" w:customStyle="1" w:styleId="956">
    <w:name w:val="xl25"/>
    <w:basedOn w:val="1"/>
    <w:qFormat/>
    <w:uiPriority w:val="0"/>
    <w:pPr>
      <w:widowControl/>
      <w:spacing w:before="100" w:beforeLines="0" w:beforeAutospacing="1" w:after="100" w:afterLines="0" w:afterAutospacing="1"/>
      <w:jc w:val="left"/>
    </w:pPr>
    <w:rPr>
      <w:rFonts w:ascii="Arial Unicode MS" w:hAnsi="Arial Unicode MS" w:eastAsia="Arial Unicode MS" w:cs="Arial Unicode MS"/>
      <w:kern w:val="0"/>
      <w:sz w:val="12"/>
      <w:szCs w:val="12"/>
    </w:rPr>
  </w:style>
  <w:style w:type="paragraph" w:customStyle="1" w:styleId="957">
    <w:name w:val="xl63"/>
    <w:basedOn w:val="1"/>
    <w:qFormat/>
    <w:uiPriority w:val="0"/>
    <w:pPr>
      <w:widowControl/>
      <w:spacing w:before="100" w:beforeLines="0" w:after="100" w:afterLines="0"/>
      <w:jc w:val="center"/>
      <w:textAlignment w:val="center"/>
    </w:pPr>
    <w:rPr>
      <w:rFonts w:hint="eastAsia" w:ascii="黑体" w:hAnsi="宋体" w:eastAsia="黑体"/>
      <w:kern w:val="0"/>
      <w:sz w:val="24"/>
      <w:szCs w:val="20"/>
    </w:rPr>
  </w:style>
  <w:style w:type="paragraph" w:customStyle="1" w:styleId="958">
    <w:name w:val="正文首行缩进5"/>
    <w:basedOn w:val="31"/>
    <w:qFormat/>
    <w:uiPriority w:val="0"/>
    <w:pPr>
      <w:adjustRightInd w:val="0"/>
      <w:spacing w:after="0" w:afterLines="0" w:line="312" w:lineRule="auto"/>
      <w:ind w:firstLine="567"/>
    </w:pPr>
    <w:rPr>
      <w:sz w:val="28"/>
      <w:szCs w:val="20"/>
      <w:lang w:val="en-US" w:eastAsia="zh-CN"/>
    </w:rPr>
  </w:style>
  <w:style w:type="paragraph" w:customStyle="1" w:styleId="959">
    <w:name w:val="Char2 Char Char Char Char Char Char Char Char Char Char Char Char Char Char Char"/>
    <w:basedOn w:val="1"/>
    <w:qFormat/>
    <w:uiPriority w:val="0"/>
    <w:rPr>
      <w:rFonts w:ascii="Times New Roman" w:hAnsi="Times New Roman"/>
      <w:szCs w:val="24"/>
    </w:rPr>
  </w:style>
  <w:style w:type="paragraph" w:customStyle="1" w:styleId="960">
    <w:name w:val="Style104"/>
    <w:basedOn w:val="1"/>
    <w:qFormat/>
    <w:uiPriority w:val="0"/>
    <w:pPr>
      <w:adjustRightInd w:val="0"/>
      <w:jc w:val="center"/>
    </w:pPr>
    <w:rPr>
      <w:rFonts w:ascii="宋体" w:hAnsi="Times New Roman"/>
      <w:kern w:val="0"/>
      <w:sz w:val="24"/>
      <w:szCs w:val="24"/>
    </w:rPr>
  </w:style>
  <w:style w:type="paragraph" w:customStyle="1" w:styleId="961">
    <w:name w:val="编号1"/>
    <w:basedOn w:val="19"/>
    <w:qFormat/>
    <w:uiPriority w:val="0"/>
    <w:pPr>
      <w:tabs>
        <w:tab w:val="left" w:pos="840"/>
      </w:tabs>
      <w:spacing w:line="312" w:lineRule="atLeast"/>
      <w:ind w:firstLine="0"/>
    </w:pPr>
    <w:rPr>
      <w:rFonts w:ascii="Calibri" w:hAnsi="Calibri"/>
      <w:snapToGrid/>
      <w:kern w:val="2"/>
      <w:szCs w:val="24"/>
      <w:lang w:val="en-US" w:eastAsia="zh-CN"/>
    </w:rPr>
  </w:style>
  <w:style w:type="paragraph" w:customStyle="1" w:styleId="962">
    <w:name w:val="p0"/>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963">
    <w:name w:val="90v"/>
    <w:basedOn w:val="1"/>
    <w:qFormat/>
    <w:uiPriority w:val="0"/>
    <w:pPr>
      <w:widowControl/>
      <w:spacing w:before="100" w:beforeLines="0" w:beforeAutospacing="1" w:after="100" w:afterLines="0" w:afterAutospacing="1"/>
      <w:jc w:val="left"/>
    </w:pPr>
    <w:rPr>
      <w:rFonts w:ascii="宋体" w:hAnsi="宋体"/>
      <w:kern w:val="0"/>
      <w:sz w:val="24"/>
      <w:szCs w:val="24"/>
    </w:rPr>
  </w:style>
  <w:style w:type="paragraph" w:customStyle="1" w:styleId="964">
    <w:name w:val="居中 段前: 24 磅 段后: 12 磅3"/>
    <w:basedOn w:val="1"/>
    <w:next w:val="1"/>
    <w:qFormat/>
    <w:uiPriority w:val="0"/>
    <w:pPr>
      <w:adjustRightInd w:val="0"/>
      <w:snapToGrid w:val="0"/>
      <w:spacing w:before="480" w:beforeLines="0" w:after="240" w:afterLines="0" w:line="300" w:lineRule="auto"/>
      <w:ind w:firstLine="420" w:firstLineChars="200"/>
      <w:jc w:val="center"/>
    </w:pPr>
    <w:rPr>
      <w:rFonts w:ascii="Times New Roman" w:hAnsi="Times New Roman" w:cs="宋体"/>
      <w:bCs/>
      <w:szCs w:val="20"/>
    </w:rPr>
  </w:style>
  <w:style w:type="paragraph" w:customStyle="1" w:styleId="965">
    <w:name w:val="xl67"/>
    <w:basedOn w:val="1"/>
    <w:qFormat/>
    <w:uiPriority w:val="0"/>
    <w:pPr>
      <w:widowControl/>
      <w:pBdr>
        <w:right w:val="single" w:color="auto" w:sz="4" w:space="0"/>
      </w:pBdr>
      <w:spacing w:before="100" w:beforeLines="0" w:after="100" w:afterLines="0"/>
      <w:jc w:val="center"/>
      <w:textAlignment w:val="top"/>
    </w:pPr>
    <w:rPr>
      <w:rFonts w:ascii="Times New Roman" w:hAnsi="Times New Roman"/>
      <w:kern w:val="0"/>
      <w:sz w:val="24"/>
      <w:szCs w:val="24"/>
    </w:rPr>
  </w:style>
  <w:style w:type="paragraph" w:customStyle="1" w:styleId="966">
    <w:name w:val="xl44"/>
    <w:basedOn w:val="1"/>
    <w:qFormat/>
    <w:uiPriority w:val="0"/>
    <w:pPr>
      <w:widowControl/>
      <w:pBdr>
        <w:top w:val="single" w:color="auto" w:sz="4" w:space="0"/>
        <w:bottom w:val="single" w:color="auto" w:sz="4" w:space="0"/>
      </w:pBdr>
      <w:spacing w:before="100" w:beforeLines="0" w:after="100" w:afterLines="0"/>
      <w:jc w:val="center"/>
      <w:textAlignment w:val="center"/>
    </w:pPr>
    <w:rPr>
      <w:rFonts w:ascii="宋体" w:hAnsi="宋体"/>
      <w:kern w:val="0"/>
      <w:sz w:val="24"/>
      <w:szCs w:val="24"/>
    </w:rPr>
  </w:style>
  <w:style w:type="paragraph" w:customStyle="1" w:styleId="967">
    <w:name w:val="正文11"/>
    <w:basedOn w:val="1"/>
    <w:qFormat/>
    <w:uiPriority w:val="0"/>
    <w:pPr>
      <w:adjustRightInd w:val="0"/>
      <w:snapToGrid w:val="0"/>
      <w:spacing w:line="312" w:lineRule="auto"/>
      <w:ind w:firstLine="567"/>
      <w:textAlignment w:val="baseline"/>
    </w:pPr>
    <w:rPr>
      <w:rFonts w:ascii="Arial" w:hAnsi="Arial"/>
      <w:spacing w:val="6"/>
      <w:kern w:val="0"/>
      <w:sz w:val="28"/>
      <w:szCs w:val="20"/>
    </w:rPr>
  </w:style>
  <w:style w:type="paragraph" w:customStyle="1" w:styleId="968">
    <w:name w:val="华雯"/>
    <w:basedOn w:val="1"/>
    <w:qFormat/>
    <w:uiPriority w:val="0"/>
    <w:rPr>
      <w:rFonts w:ascii="Times New Roman" w:hAnsi="Times New Roman"/>
      <w:szCs w:val="24"/>
    </w:rPr>
  </w:style>
  <w:style w:type="paragraph" w:customStyle="1" w:styleId="969">
    <w:name w:val="4表中文字"/>
    <w:basedOn w:val="1"/>
    <w:qFormat/>
    <w:uiPriority w:val="0"/>
    <w:pPr>
      <w:tabs>
        <w:tab w:val="left" w:pos="6195"/>
      </w:tabs>
      <w:autoSpaceDE w:val="0"/>
      <w:autoSpaceDN w:val="0"/>
      <w:adjustRightInd w:val="0"/>
      <w:ind w:firstLineChars="200"/>
      <w:jc w:val="center"/>
    </w:pPr>
    <w:rPr>
      <w:rFonts w:ascii="仿宋_GB2312" w:hAnsi="Times New Roman" w:eastAsia="仿宋_GB2312"/>
      <w:kern w:val="0"/>
      <w:sz w:val="24"/>
      <w:szCs w:val="24"/>
    </w:rPr>
  </w:style>
  <w:style w:type="paragraph" w:customStyle="1" w:styleId="970">
    <w:name w:val="xl83"/>
    <w:basedOn w:val="1"/>
    <w:qFormat/>
    <w:uiPriority w:val="0"/>
    <w:pPr>
      <w:widowControl/>
      <w:pBdr>
        <w:left w:val="single" w:color="auto" w:sz="4" w:space="0"/>
        <w:bottom w:val="single" w:color="auto" w:sz="8" w:space="0"/>
        <w:right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971">
    <w:name w:val="二级无标题条"/>
    <w:basedOn w:val="1"/>
    <w:qFormat/>
    <w:uiPriority w:val="0"/>
    <w:rPr>
      <w:rFonts w:ascii="Times New Roman" w:hAnsi="Times New Roman"/>
      <w:kern w:val="24"/>
      <w:sz w:val="24"/>
      <w:szCs w:val="24"/>
    </w:rPr>
  </w:style>
  <w:style w:type="paragraph" w:customStyle="1" w:styleId="972">
    <w:name w:val="样式 样式 标题 2 + 首行缩进:  2 字符 + 段前: 0 磅 段后: 0 磅"/>
    <w:basedOn w:val="448"/>
    <w:qFormat/>
    <w:uiPriority w:val="0"/>
    <w:pPr>
      <w:tabs>
        <w:tab w:val="clear" w:pos="360"/>
      </w:tabs>
      <w:spacing w:before="0" w:beforeLines="0" w:after="0" w:afterLines="0"/>
      <w:ind w:left="0" w:firstLine="562"/>
    </w:pPr>
    <w:rPr>
      <w:sz w:val="28"/>
    </w:rPr>
  </w:style>
  <w:style w:type="paragraph" w:customStyle="1" w:styleId="973">
    <w:name w:val="正文图小四"/>
    <w:basedOn w:val="1"/>
    <w:qFormat/>
    <w:uiPriority w:val="0"/>
    <w:pPr>
      <w:widowControl/>
      <w:adjustRightInd w:val="0"/>
      <w:snapToGrid w:val="0"/>
      <w:jc w:val="center"/>
      <w:textAlignment w:val="baseline"/>
    </w:pPr>
    <w:rPr>
      <w:rFonts w:ascii="宋体" w:hAnsi="宋体" w:cs="宋体"/>
      <w:kern w:val="0"/>
      <w:sz w:val="24"/>
      <w:szCs w:val="24"/>
    </w:rPr>
  </w:style>
  <w:style w:type="paragraph" w:customStyle="1" w:styleId="974">
    <w:name w:val="Char Char Char Char Char Char Char Char Char Char Char1 Char Char Char Char Char Char Char1"/>
    <w:basedOn w:val="1"/>
    <w:qFormat/>
    <w:uiPriority w:val="0"/>
    <w:rPr>
      <w:rFonts w:ascii="Times New Roman" w:hAnsi="Times New Roman"/>
      <w:szCs w:val="24"/>
    </w:rPr>
  </w:style>
  <w:style w:type="paragraph" w:customStyle="1" w:styleId="975">
    <w:name w:val="Char 周立波"/>
    <w:basedOn w:val="1"/>
    <w:qFormat/>
    <w:uiPriority w:val="0"/>
    <w:rPr>
      <w:rFonts w:ascii="Times New Roman" w:hAnsi="Times New Roman"/>
      <w:szCs w:val="24"/>
    </w:rPr>
  </w:style>
  <w:style w:type="paragraph" w:customStyle="1" w:styleId="976">
    <w:name w:val="样式 表格内容 + 首行缩进:  2 字符"/>
    <w:basedOn w:val="766"/>
    <w:qFormat/>
    <w:uiPriority w:val="0"/>
    <w:pPr>
      <w:widowControl w:val="0"/>
      <w:adjustRightInd w:val="0"/>
      <w:spacing w:line="180" w:lineRule="auto"/>
      <w:ind w:firstLine="200" w:firstLineChars="200"/>
    </w:pPr>
    <w:rPr>
      <w:rFonts w:cs="宋体"/>
      <w:szCs w:val="20"/>
    </w:rPr>
  </w:style>
  <w:style w:type="paragraph" w:customStyle="1" w:styleId="977">
    <w:name w:val="列出段落1"/>
    <w:basedOn w:val="1"/>
    <w:qFormat/>
    <w:uiPriority w:val="0"/>
    <w:pPr>
      <w:ind w:firstLine="420" w:firstLineChars="200"/>
    </w:pPr>
    <w:rPr>
      <w:rFonts w:ascii="Times New Roman" w:hAnsi="Times New Roman"/>
      <w:szCs w:val="20"/>
    </w:rPr>
  </w:style>
  <w:style w:type="paragraph" w:customStyle="1" w:styleId="978">
    <w:name w:val="样式6 正文"/>
    <w:qFormat/>
    <w:uiPriority w:val="0"/>
    <w:pPr>
      <w:widowControl w:val="0"/>
      <w:spacing w:before="156" w:beforeLines="50" w:line="500" w:lineRule="exact"/>
      <w:ind w:firstLine="560" w:firstLineChars="200"/>
      <w:jc w:val="both"/>
    </w:pPr>
    <w:rPr>
      <w:rFonts w:ascii="仿宋_GB2312" w:hAnsi="Times New Roman" w:eastAsia="仿宋_GB2312" w:cs="Times New Roman"/>
      <w:sz w:val="28"/>
      <w:szCs w:val="28"/>
      <w:lang w:val="en-US" w:eastAsia="zh-CN" w:bidi="ar-SA"/>
    </w:rPr>
  </w:style>
  <w:style w:type="paragraph" w:customStyle="1" w:styleId="979">
    <w:name w:val="大爷"/>
    <w:basedOn w:val="1"/>
    <w:qFormat/>
    <w:uiPriority w:val="0"/>
    <w:pPr>
      <w:tabs>
        <w:tab w:val="center" w:pos="4153"/>
        <w:tab w:val="right" w:pos="8306"/>
      </w:tabs>
      <w:snapToGrid w:val="0"/>
    </w:pPr>
    <w:rPr>
      <w:rFonts w:ascii="Times New Roman" w:hAnsi="宋体"/>
      <w:sz w:val="18"/>
      <w:szCs w:val="24"/>
    </w:rPr>
  </w:style>
  <w:style w:type="paragraph" w:customStyle="1" w:styleId="980">
    <w:name w:val="表格文字2"/>
    <w:basedOn w:val="1"/>
    <w:qFormat/>
    <w:uiPriority w:val="0"/>
    <w:pPr>
      <w:adjustRightInd w:val="0"/>
      <w:snapToGrid w:val="0"/>
      <w:spacing w:before="20" w:beforeLines="0"/>
      <w:jc w:val="center"/>
      <w:textAlignment w:val="baseline"/>
    </w:pPr>
    <w:rPr>
      <w:rFonts w:ascii="Arial" w:hAnsi="Arial"/>
      <w:sz w:val="24"/>
      <w:szCs w:val="20"/>
    </w:rPr>
  </w:style>
  <w:style w:type="paragraph" w:customStyle="1" w:styleId="981">
    <w:name w:val="Style60"/>
    <w:basedOn w:val="1"/>
    <w:qFormat/>
    <w:uiPriority w:val="0"/>
    <w:pPr>
      <w:adjustRightInd w:val="0"/>
      <w:spacing w:line="467" w:lineRule="exact"/>
      <w:ind w:firstLine="475"/>
    </w:pPr>
    <w:rPr>
      <w:rFonts w:ascii="宋体" w:hAnsi="Times New Roman"/>
      <w:kern w:val="0"/>
      <w:sz w:val="24"/>
      <w:szCs w:val="24"/>
    </w:rPr>
  </w:style>
  <w:style w:type="paragraph" w:customStyle="1" w:styleId="982">
    <w:name w:val="样式 首行缩进:  2 字符 段前: 0.25 行"/>
    <w:basedOn w:val="32"/>
    <w:next w:val="32"/>
    <w:qFormat/>
    <w:uiPriority w:val="0"/>
    <w:rPr>
      <w:rFonts w:ascii="宋体" w:hAnsi="Calibri"/>
      <w:color w:val="auto"/>
    </w:rPr>
  </w:style>
  <w:style w:type="paragraph" w:customStyle="1" w:styleId="983">
    <w:name w:val="11111样式 无间隔 + 居中 行距: 多倍行距 1.2 字行"/>
    <w:basedOn w:val="1"/>
    <w:qFormat/>
    <w:uiPriority w:val="0"/>
    <w:pPr>
      <w:adjustRightInd w:val="0"/>
      <w:jc w:val="center"/>
      <w:textAlignment w:val="baseline"/>
    </w:pPr>
    <w:rPr>
      <w:rFonts w:ascii="Times New Roman" w:hAnsi="Times New Roman" w:cs="宋体"/>
      <w:sz w:val="24"/>
      <w:szCs w:val="20"/>
    </w:rPr>
  </w:style>
  <w:style w:type="paragraph" w:customStyle="1" w:styleId="984">
    <w:name w:val="xl38"/>
    <w:basedOn w:val="1"/>
    <w:qFormat/>
    <w:uiPriority w:val="0"/>
    <w:pPr>
      <w:widowControl/>
      <w:pBdr>
        <w:top w:val="single" w:color="auto" w:sz="4" w:space="0"/>
        <w:bottom w:val="single" w:color="auto" w:sz="4" w:space="0"/>
      </w:pBdr>
      <w:spacing w:before="100" w:beforeLines="0" w:after="100" w:afterLines="0"/>
      <w:jc w:val="center"/>
      <w:textAlignment w:val="center"/>
    </w:pPr>
    <w:rPr>
      <w:rFonts w:ascii="Times New Roman" w:hAnsi="Times New Roman"/>
      <w:kern w:val="0"/>
      <w:sz w:val="28"/>
      <w:szCs w:val="28"/>
    </w:rPr>
  </w:style>
  <w:style w:type="paragraph" w:customStyle="1" w:styleId="985">
    <w:name w:val="三级标题"/>
    <w:basedOn w:val="76"/>
    <w:next w:val="44"/>
    <w:qFormat/>
    <w:uiPriority w:val="0"/>
    <w:pPr>
      <w:adjustRightInd w:val="0"/>
      <w:spacing w:before="0" w:beforeLines="0" w:after="0" w:afterLines="0" w:line="560" w:lineRule="exact"/>
      <w:jc w:val="left"/>
      <w:textAlignment w:val="baseline"/>
      <w:outlineLvl w:val="2"/>
    </w:pPr>
    <w:rPr>
      <w:rFonts w:ascii="Times New Roman" w:hAnsi="Times New Roman"/>
      <w:b w:val="0"/>
      <w:sz w:val="28"/>
      <w:szCs w:val="28"/>
    </w:rPr>
  </w:style>
  <w:style w:type="paragraph" w:customStyle="1" w:styleId="986">
    <w:name w:val="表格文字5号"/>
    <w:basedOn w:val="1"/>
    <w:qFormat/>
    <w:uiPriority w:val="0"/>
    <w:pPr>
      <w:spacing w:line="280" w:lineRule="exact"/>
      <w:ind w:firstLineChars="200"/>
      <w:jc w:val="center"/>
    </w:pPr>
    <w:rPr>
      <w:rFonts w:ascii="仿宋_GB2312" w:hAnsi="Times New Roman" w:eastAsia="仿宋_GB2312"/>
      <w:szCs w:val="24"/>
    </w:rPr>
  </w:style>
  <w:style w:type="paragraph" w:customStyle="1" w:styleId="987">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988">
    <w:name w:val="标题 2 蓝四号"/>
    <w:basedOn w:val="4"/>
    <w:next w:val="1"/>
    <w:semiHidden/>
    <w:qFormat/>
    <w:uiPriority w:val="0"/>
    <w:pPr>
      <w:shd w:val="clear" w:color="auto" w:fill="FFFFFF"/>
      <w:tabs>
        <w:tab w:val="left" w:pos="210"/>
      </w:tabs>
      <w:kinsoku w:val="0"/>
      <w:overflowPunct w:val="0"/>
      <w:autoSpaceDE w:val="0"/>
      <w:autoSpaceDN w:val="0"/>
      <w:adjustRightInd/>
      <w:spacing w:before="120" w:beforeLines="0" w:after="120" w:afterLines="0" w:line="300" w:lineRule="exact"/>
      <w:textAlignment w:val="auto"/>
    </w:pPr>
    <w:rPr>
      <w:bCs w:val="0"/>
      <w:color w:val="0000FF"/>
      <w:kern w:val="2"/>
      <w:sz w:val="24"/>
      <w:szCs w:val="24"/>
      <w:lang w:val="en-US" w:eastAsia="zh-CN"/>
    </w:rPr>
  </w:style>
  <w:style w:type="paragraph" w:customStyle="1" w:styleId="989">
    <w:name w:val="Char Char Char Char Char Char Char Char Char Char Char1 Char Char Char Char Char Char Char"/>
    <w:basedOn w:val="1"/>
    <w:qFormat/>
    <w:uiPriority w:val="0"/>
    <w:rPr>
      <w:rFonts w:ascii="Times New Roman" w:hAnsi="Times New Roman"/>
      <w:szCs w:val="24"/>
    </w:rPr>
  </w:style>
  <w:style w:type="paragraph" w:customStyle="1" w:styleId="990">
    <w:name w:val="Char5"/>
    <w:basedOn w:val="1"/>
    <w:qFormat/>
    <w:uiPriority w:val="0"/>
    <w:pPr>
      <w:widowControl/>
      <w:spacing w:after="160" w:afterLines="0" w:line="240" w:lineRule="exact"/>
      <w:ind w:firstLine="480" w:firstLineChars="200"/>
      <w:jc w:val="left"/>
    </w:pPr>
    <w:rPr>
      <w:rFonts w:ascii="Verdana" w:hAnsi="Verdana" w:eastAsia="黑体"/>
      <w:kern w:val="0"/>
      <w:sz w:val="28"/>
      <w:szCs w:val="20"/>
      <w:lang w:eastAsia="en-US"/>
    </w:rPr>
  </w:style>
  <w:style w:type="paragraph" w:customStyle="1" w:styleId="991">
    <w:name w:val="Char3 Char Char Char Char Char Char1"/>
    <w:basedOn w:val="1"/>
    <w:qFormat/>
    <w:uiPriority w:val="0"/>
    <w:pPr>
      <w:widowControl/>
      <w:jc w:val="left"/>
    </w:pPr>
    <w:rPr>
      <w:rFonts w:ascii="宋体" w:hAnsi="宋体" w:cs="宋体"/>
      <w:szCs w:val="24"/>
    </w:rPr>
  </w:style>
  <w:style w:type="paragraph" w:customStyle="1" w:styleId="992">
    <w:name w:val="666666-正文"/>
    <w:basedOn w:val="1"/>
    <w:qFormat/>
    <w:uiPriority w:val="0"/>
    <w:pPr>
      <w:spacing w:line="440" w:lineRule="exact"/>
      <w:ind w:firstLine="200" w:firstLineChars="200"/>
    </w:pPr>
    <w:rPr>
      <w:rFonts w:ascii="Times New Roman" w:hAnsi="Times New Roman"/>
      <w:sz w:val="24"/>
      <w:szCs w:val="20"/>
      <w:lang w:val="zh-CN"/>
    </w:rPr>
  </w:style>
  <w:style w:type="paragraph" w:customStyle="1" w:styleId="99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94">
    <w:name w:val="样式 样式 表格 + 居中 + 两端对齐 首行缩进:  2 字符"/>
    <w:basedOn w:val="795"/>
    <w:qFormat/>
    <w:uiPriority w:val="0"/>
    <w:pPr>
      <w:ind w:firstLineChars="0"/>
      <w:jc w:val="both"/>
    </w:pPr>
    <w:rPr>
      <w:rFonts w:cs="宋体"/>
      <w:szCs w:val="20"/>
    </w:rPr>
  </w:style>
  <w:style w:type="paragraph" w:customStyle="1" w:styleId="995">
    <w:name w:val="Char Char Char Char Char Char Char"/>
    <w:basedOn w:val="1"/>
    <w:qFormat/>
    <w:uiPriority w:val="0"/>
    <w:rPr>
      <w:rFonts w:ascii="Times New Roman" w:hAnsi="Times New Roman"/>
      <w:szCs w:val="20"/>
    </w:rPr>
  </w:style>
  <w:style w:type="paragraph" w:customStyle="1" w:styleId="996">
    <w:name w:val="gb1"/>
    <w:basedOn w:val="1"/>
    <w:qFormat/>
    <w:uiPriority w:val="0"/>
    <w:pPr>
      <w:widowControl/>
      <w:tabs>
        <w:tab w:val="left" w:pos="227"/>
      </w:tabs>
      <w:overflowPunct w:val="0"/>
      <w:autoSpaceDE w:val="0"/>
      <w:autoSpaceDN w:val="0"/>
      <w:adjustRightInd w:val="0"/>
      <w:spacing w:before="120" w:beforeLines="0" w:after="120" w:afterLines="0"/>
      <w:textAlignment w:val="baseline"/>
    </w:pPr>
    <w:rPr>
      <w:rFonts w:ascii="Arial" w:hAnsi="Arial" w:eastAsia="仿宋体"/>
      <w:kern w:val="0"/>
      <w:szCs w:val="20"/>
    </w:rPr>
  </w:style>
  <w:style w:type="paragraph" w:customStyle="1" w:styleId="997">
    <w:name w:val="日期1"/>
    <w:basedOn w:val="1"/>
    <w:next w:val="1"/>
    <w:qFormat/>
    <w:uiPriority w:val="0"/>
    <w:pPr>
      <w:adjustRightInd w:val="0"/>
      <w:jc w:val="left"/>
      <w:textAlignment w:val="baseline"/>
    </w:pPr>
    <w:rPr>
      <w:rFonts w:ascii="Times New Roman" w:hAnsi="Times New Roman"/>
      <w:sz w:val="28"/>
      <w:szCs w:val="20"/>
    </w:rPr>
  </w:style>
  <w:style w:type="paragraph" w:customStyle="1" w:styleId="998">
    <w:name w:val="B正文"/>
    <w:basedOn w:val="1"/>
    <w:qFormat/>
    <w:uiPriority w:val="0"/>
    <w:pPr>
      <w:widowControl/>
      <w:spacing w:line="360" w:lineRule="auto"/>
      <w:ind w:firstLine="200" w:firstLineChars="200"/>
      <w:jc w:val="left"/>
    </w:pPr>
    <w:rPr>
      <w:rFonts w:cs="宋体"/>
      <w:kern w:val="0"/>
      <w:sz w:val="24"/>
    </w:rPr>
  </w:style>
  <w:style w:type="paragraph" w:customStyle="1" w:styleId="999">
    <w:name w:val="样式 标题 3标题3小标题1.1.1标题 3 + 段后: 4 磅"/>
    <w:basedOn w:val="5"/>
    <w:qFormat/>
    <w:uiPriority w:val="0"/>
    <w:pPr>
      <w:widowControl/>
      <w:numPr>
        <w:ilvl w:val="0"/>
        <w:numId w:val="0"/>
      </w:numPr>
      <w:spacing w:before="0" w:beforeLines="0" w:after="80" w:afterLines="0" w:line="360" w:lineRule="auto"/>
      <w:jc w:val="left"/>
    </w:pPr>
    <w:rPr>
      <w:rFonts w:eastAsia="黑体" w:cs="宋体"/>
      <w:b w:val="0"/>
      <w:bCs w:val="0"/>
      <w:spacing w:val="-5"/>
      <w:kern w:val="28"/>
      <w:sz w:val="24"/>
      <w:szCs w:val="20"/>
      <w:lang w:val="en-US" w:eastAsia="zh-CN"/>
    </w:rPr>
  </w:style>
  <w:style w:type="paragraph" w:customStyle="1" w:styleId="1000">
    <w:name w:val="样式"/>
    <w:basedOn w:val="1"/>
    <w:next w:val="44"/>
    <w:qFormat/>
    <w:uiPriority w:val="0"/>
    <w:rPr>
      <w:rFonts w:ascii="宋体" w:hAnsi="Courier New"/>
      <w:szCs w:val="21"/>
    </w:rPr>
  </w:style>
  <w:style w:type="paragraph" w:customStyle="1" w:styleId="1001">
    <w:name w:val="样式 首行缩进:  0.85 厘米"/>
    <w:basedOn w:val="1"/>
    <w:qFormat/>
    <w:uiPriority w:val="0"/>
    <w:pPr>
      <w:autoSpaceDE w:val="0"/>
      <w:adjustRightInd w:val="0"/>
      <w:snapToGrid w:val="0"/>
      <w:ind w:firstLine="482" w:firstLineChars="200"/>
    </w:pPr>
    <w:rPr>
      <w:rFonts w:ascii="Times New Roman" w:hAnsi="Times New Roman"/>
      <w:sz w:val="28"/>
      <w:szCs w:val="20"/>
    </w:rPr>
  </w:style>
  <w:style w:type="paragraph" w:customStyle="1" w:styleId="1002">
    <w:name w:val="表格内字体"/>
    <w:basedOn w:val="450"/>
    <w:next w:val="450"/>
    <w:qFormat/>
    <w:uiPriority w:val="0"/>
    <w:pPr>
      <w:spacing w:line="240" w:lineRule="exact"/>
      <w:ind w:left="-277" w:leftChars="-132" w:firstLine="277" w:firstLineChars="132"/>
      <w:jc w:val="center"/>
    </w:pPr>
    <w:rPr>
      <w:rFonts w:ascii="Times New Roman" w:hAnsi="Times New Roman"/>
      <w:sz w:val="20"/>
    </w:rPr>
  </w:style>
  <w:style w:type="paragraph" w:customStyle="1" w:styleId="1003">
    <w:name w:val="xl71"/>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宋体" w:hAnsi="宋体"/>
      <w:kern w:val="0"/>
      <w:sz w:val="24"/>
      <w:szCs w:val="24"/>
    </w:rPr>
  </w:style>
  <w:style w:type="paragraph" w:customStyle="1" w:styleId="1004">
    <w:name w:val="寄件人地址"/>
    <w:qFormat/>
    <w:uiPriority w:val="0"/>
    <w:pPr>
      <w:widowControl w:val="0"/>
      <w:adjustRightInd w:val="0"/>
      <w:ind w:left="567"/>
      <w:jc w:val="center"/>
      <w:textAlignment w:val="baseline"/>
    </w:pPr>
    <w:rPr>
      <w:rFonts w:ascii="宋体" w:hAnsi="Times New Roman" w:eastAsia="隶书_GB2312" w:cs="Times New Roman"/>
      <w:b/>
      <w:color w:val="008000"/>
      <w:sz w:val="32"/>
      <w:lang w:val="en-US" w:eastAsia="zh-CN" w:bidi="ar-SA"/>
    </w:rPr>
  </w:style>
  <w:style w:type="paragraph" w:customStyle="1" w:styleId="1005">
    <w:name w:val="正式文字"/>
    <w:basedOn w:val="1"/>
    <w:qFormat/>
    <w:uiPriority w:val="0"/>
    <w:pPr>
      <w:spacing w:line="460" w:lineRule="exact"/>
      <w:ind w:firstLine="200" w:firstLineChars="200"/>
    </w:pPr>
    <w:rPr>
      <w:rFonts w:ascii="宋体" w:hAnsi="宋体" w:cs="宋体"/>
      <w:sz w:val="26"/>
    </w:rPr>
  </w:style>
  <w:style w:type="paragraph" w:customStyle="1" w:styleId="1006">
    <w:name w:val="xl70"/>
    <w:basedOn w:val="1"/>
    <w:qFormat/>
    <w:uiPriority w:val="0"/>
    <w:pPr>
      <w:widowControl/>
      <w:pBdr>
        <w:bottom w:val="single" w:color="auto" w:sz="8" w:space="0"/>
        <w:right w:val="single" w:color="auto" w:sz="4" w:space="0"/>
      </w:pBdr>
      <w:spacing w:before="100" w:beforeLines="0" w:after="100" w:afterLines="0"/>
      <w:jc w:val="center"/>
      <w:textAlignment w:val="top"/>
    </w:pPr>
    <w:rPr>
      <w:rFonts w:ascii="Times New Roman" w:hAnsi="Times New Roman"/>
      <w:kern w:val="0"/>
      <w:sz w:val="24"/>
      <w:szCs w:val="24"/>
    </w:rPr>
  </w:style>
  <w:style w:type="paragraph" w:customStyle="1" w:styleId="1007">
    <w:name w:val="表头 + 居中"/>
    <w:basedOn w:val="1"/>
    <w:next w:val="1"/>
    <w:qFormat/>
    <w:uiPriority w:val="0"/>
    <w:pPr>
      <w:keepNext/>
      <w:keepLines/>
      <w:spacing w:before="156" w:beforeLines="50" w:after="156" w:afterLines="50"/>
      <w:jc w:val="center"/>
    </w:pPr>
    <w:rPr>
      <w:rFonts w:ascii="Arial" w:hAnsi="Arial" w:eastAsia="黑体"/>
      <w:szCs w:val="21"/>
    </w:rPr>
  </w:style>
  <w:style w:type="paragraph" w:customStyle="1" w:styleId="1008">
    <w:name w:val="WPS Plain"/>
    <w:qFormat/>
    <w:uiPriority w:val="0"/>
    <w:rPr>
      <w:rFonts w:ascii="Times New Roman" w:hAnsi="Times New Roman" w:eastAsia="宋体" w:cs="Times New Roman"/>
      <w:lang w:val="en-US" w:eastAsia="zh-CN" w:bidi="ar-SA"/>
    </w:rPr>
  </w:style>
  <w:style w:type="paragraph" w:customStyle="1" w:styleId="1009">
    <w:name w:val="font5"/>
    <w:basedOn w:val="1"/>
    <w:qFormat/>
    <w:uiPriority w:val="0"/>
    <w:pPr>
      <w:widowControl/>
      <w:spacing w:before="100" w:beforeLines="0" w:beforeAutospacing="1" w:after="100" w:afterLines="0" w:afterAutospacing="1"/>
      <w:jc w:val="left"/>
    </w:pPr>
    <w:rPr>
      <w:rFonts w:hint="eastAsia" w:ascii="宋体" w:hAnsi="宋体"/>
      <w:kern w:val="0"/>
      <w:sz w:val="18"/>
      <w:szCs w:val="18"/>
    </w:rPr>
  </w:style>
  <w:style w:type="paragraph" w:customStyle="1" w:styleId="1010">
    <w:name w:val="alt+2 节"/>
    <w:basedOn w:val="4"/>
    <w:next w:val="1"/>
    <w:qFormat/>
    <w:uiPriority w:val="0"/>
    <w:pPr>
      <w:adjustRightInd/>
      <w:spacing w:before="0" w:beforeLines="0" w:after="156" w:afterLines="50" w:line="500" w:lineRule="exact"/>
      <w:jc w:val="left"/>
      <w:textAlignment w:val="auto"/>
    </w:pPr>
    <w:rPr>
      <w:rFonts w:ascii="Arial" w:hAnsi="Arial"/>
      <w:bCs w:val="0"/>
      <w:szCs w:val="20"/>
      <w:lang w:val="en-US" w:eastAsia="zh-CN"/>
    </w:rPr>
  </w:style>
  <w:style w:type="paragraph" w:customStyle="1" w:styleId="1011">
    <w:name w:val="Body Text 3"/>
    <w:basedOn w:val="1"/>
    <w:qFormat/>
    <w:uiPriority w:val="0"/>
    <w:pPr>
      <w:adjustRightInd w:val="0"/>
      <w:spacing w:line="360" w:lineRule="atLeast"/>
      <w:jc w:val="center"/>
      <w:textAlignment w:val="baseline"/>
    </w:pPr>
    <w:rPr>
      <w:rFonts w:ascii="仿宋体" w:hAnsi="宋体" w:eastAsia="仿宋体"/>
      <w:kern w:val="0"/>
      <w:sz w:val="24"/>
      <w:szCs w:val="20"/>
    </w:rPr>
  </w:style>
  <w:style w:type="paragraph" w:customStyle="1" w:styleId="1012">
    <w:name w:val="表头"/>
    <w:basedOn w:val="78"/>
    <w:next w:val="1"/>
    <w:qFormat/>
    <w:uiPriority w:val="0"/>
    <w:pPr>
      <w:spacing w:line="360" w:lineRule="auto"/>
      <w:jc w:val="center"/>
    </w:pPr>
    <w:rPr>
      <w:rFonts w:ascii="Calibri" w:hAnsi="Calibri" w:eastAsia="黑体" w:cs="Times New Roman"/>
      <w:kern w:val="44"/>
      <w:sz w:val="21"/>
      <w:szCs w:val="44"/>
      <w:lang w:val="en-US" w:eastAsia="zh-CN" w:bidi="ar-SA"/>
    </w:rPr>
  </w:style>
  <w:style w:type="paragraph" w:customStyle="1" w:styleId="1013">
    <w:name w:val="12 Char"/>
    <w:basedOn w:val="1"/>
    <w:qFormat/>
    <w:uiPriority w:val="0"/>
    <w:pPr>
      <w:spacing w:line="360" w:lineRule="auto"/>
      <w:ind w:firstLine="200" w:firstLineChars="200"/>
      <w:jc w:val="left"/>
    </w:pPr>
    <w:rPr>
      <w:rFonts w:ascii="宋体" w:hAnsi="宋体"/>
      <w:position w:val="-6"/>
      <w:sz w:val="28"/>
      <w:szCs w:val="20"/>
      <w:u w:val="single"/>
    </w:rPr>
  </w:style>
  <w:style w:type="paragraph" w:customStyle="1" w:styleId="1014">
    <w:name w:val="Char Char Char Char Char Char Char Char Char Char2"/>
    <w:basedOn w:val="1"/>
    <w:qFormat/>
    <w:uiPriority w:val="0"/>
    <w:pPr>
      <w:widowControl/>
      <w:spacing w:after="160" w:afterLines="0" w:line="240" w:lineRule="exact"/>
      <w:jc w:val="left"/>
    </w:pPr>
    <w:rPr>
      <w:rFonts w:ascii="Verdana" w:hAnsi="Verdana" w:cs="Verdana"/>
      <w:kern w:val="0"/>
      <w:sz w:val="20"/>
      <w:szCs w:val="20"/>
      <w:lang w:eastAsia="en-US"/>
    </w:rPr>
  </w:style>
  <w:style w:type="paragraph" w:customStyle="1" w:styleId="1015">
    <w:name w:val="Char 周立波1"/>
    <w:basedOn w:val="1"/>
    <w:qFormat/>
    <w:uiPriority w:val="0"/>
    <w:rPr>
      <w:rFonts w:ascii="Times New Roman" w:hAnsi="Times New Roman"/>
      <w:szCs w:val="24"/>
    </w:rPr>
  </w:style>
  <w:style w:type="paragraph" w:customStyle="1" w:styleId="1016">
    <w:name w:val="xl84"/>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宋体" w:hAnsi="宋体"/>
      <w:kern w:val="0"/>
      <w:sz w:val="24"/>
      <w:szCs w:val="24"/>
    </w:rPr>
  </w:style>
  <w:style w:type="paragraph" w:customStyle="1" w:styleId="1017">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color w:val="000000"/>
      <w:sz w:val="28"/>
      <w:szCs w:val="20"/>
    </w:rPr>
  </w:style>
  <w:style w:type="paragraph" w:customStyle="1" w:styleId="1018">
    <w:name w:val="0002"/>
    <w:basedOn w:val="4"/>
    <w:qFormat/>
    <w:uiPriority w:val="0"/>
    <w:pPr>
      <w:keepNext w:val="0"/>
      <w:keepLines w:val="0"/>
      <w:adjustRightInd/>
      <w:spacing w:before="312" w:beforeLines="100" w:after="0" w:afterLines="0" w:line="360" w:lineRule="auto"/>
      <w:jc w:val="left"/>
      <w:textAlignment w:val="auto"/>
    </w:pPr>
    <w:rPr>
      <w:rFonts w:hAnsi="Arial"/>
      <w:sz w:val="32"/>
      <w:lang w:val="en-US" w:eastAsia="zh-CN"/>
    </w:rPr>
  </w:style>
  <w:style w:type="paragraph" w:customStyle="1" w:styleId="1019">
    <w:name w:val="Char Char Знак Знак"/>
    <w:basedOn w:val="1"/>
    <w:qFormat/>
    <w:uiPriority w:val="0"/>
    <w:pPr>
      <w:widowControl/>
      <w:spacing w:after="160" w:afterLines="0" w:line="240" w:lineRule="exact"/>
      <w:jc w:val="left"/>
    </w:pPr>
    <w:rPr>
      <w:rFonts w:ascii="Times New Roman" w:hAnsi="Times New Roman"/>
      <w:b/>
      <w:kern w:val="0"/>
      <w:sz w:val="28"/>
      <w:szCs w:val="24"/>
      <w:lang w:eastAsia="en-US"/>
    </w:rPr>
  </w:style>
  <w:style w:type="paragraph" w:customStyle="1" w:styleId="1020">
    <w:name w:val="居中正文"/>
    <w:basedOn w:val="78"/>
    <w:qFormat/>
    <w:uiPriority w:val="0"/>
  </w:style>
  <w:style w:type="paragraph" w:customStyle="1" w:styleId="1021">
    <w:name w:val="图标题注"/>
    <w:basedOn w:val="20"/>
    <w:qFormat/>
    <w:uiPriority w:val="0"/>
    <w:pPr>
      <w:keepNext/>
      <w:widowControl/>
      <w:spacing w:before="120" w:beforeLines="0" w:after="120" w:afterLines="0" w:line="400" w:lineRule="exact"/>
      <w:ind w:firstLine="295" w:firstLineChars="147"/>
      <w:jc w:val="both"/>
    </w:pPr>
    <w:rPr>
      <w:rFonts w:ascii="Times New Roman" w:hAnsi="Times New Roman" w:cs="宋体"/>
      <w:b w:val="0"/>
      <w:kern w:val="2"/>
      <w:sz w:val="28"/>
      <w:szCs w:val="21"/>
      <w:lang w:val="en-US" w:eastAsia="zh-CN"/>
    </w:rPr>
  </w:style>
  <w:style w:type="paragraph" w:customStyle="1" w:styleId="1022">
    <w:name w:val=" Char Char Char Char Char Char Char Char Char Char Char Char Char Char Char Char"/>
    <w:basedOn w:val="1"/>
    <w:qFormat/>
    <w:uiPriority w:val="0"/>
    <w:pPr>
      <w:widowControl/>
      <w:spacing w:after="160" w:afterLines="0" w:line="240" w:lineRule="exact"/>
      <w:ind w:firstLineChars="200"/>
      <w:jc w:val="left"/>
    </w:pPr>
    <w:rPr>
      <w:rFonts w:ascii="Verdana" w:hAnsi="Verdana" w:eastAsia="仿宋_GB2312"/>
      <w:kern w:val="0"/>
      <w:sz w:val="20"/>
      <w:szCs w:val="20"/>
      <w:lang w:eastAsia="en-US"/>
    </w:rPr>
  </w:style>
  <w:style w:type="paragraph" w:customStyle="1" w:styleId="1023">
    <w:name w:val="样式 表格文字 + (符号) 宋体 五号 首行缩进:  0.74 厘米"/>
    <w:basedOn w:val="375"/>
    <w:qFormat/>
    <w:uiPriority w:val="0"/>
    <w:pPr>
      <w:snapToGrid/>
      <w:spacing w:line="340" w:lineRule="exact"/>
      <w:jc w:val="center"/>
    </w:pPr>
    <w:rPr>
      <w:rFonts w:ascii="仿宋_GB2312" w:eastAsia="仿宋_GB2312" w:cs="宋体"/>
    </w:rPr>
  </w:style>
  <w:style w:type="paragraph" w:customStyle="1" w:styleId="1024">
    <w:name w:val="666666-表头儿"/>
    <w:basedOn w:val="1"/>
    <w:qFormat/>
    <w:uiPriority w:val="0"/>
    <w:pPr>
      <w:spacing w:line="440" w:lineRule="exact"/>
      <w:jc w:val="center"/>
    </w:pPr>
    <w:rPr>
      <w:rFonts w:ascii="Times New Roman" w:hAnsi="Times New Roman" w:eastAsia="黑体"/>
      <w:szCs w:val="20"/>
    </w:rPr>
  </w:style>
  <w:style w:type="paragraph" w:customStyle="1" w:styleId="1025">
    <w:name w:val="样式 首行缩进:  1 厘米 段后: 0 磅"/>
    <w:basedOn w:val="1"/>
    <w:qFormat/>
    <w:uiPriority w:val="0"/>
    <w:pPr>
      <w:spacing w:before="60" w:beforeLines="0" w:after="60" w:afterLines="0" w:line="520" w:lineRule="exact"/>
      <w:ind w:firstLine="567"/>
    </w:pPr>
    <w:rPr>
      <w:rFonts w:ascii="Arial" w:hAnsi="Arial" w:eastAsia="仿宋_GB2312"/>
      <w:kern w:val="0"/>
      <w:sz w:val="28"/>
      <w:szCs w:val="20"/>
      <w:lang w:val="en-GB"/>
    </w:rPr>
  </w:style>
  <w:style w:type="paragraph" w:customStyle="1" w:styleId="1026">
    <w:name w:val="xl46"/>
    <w:basedOn w:val="1"/>
    <w:qFormat/>
    <w:uiPriority w:val="0"/>
    <w:pPr>
      <w:widowControl/>
      <w:pBdr>
        <w:top w:val="single" w:color="auto" w:sz="4" w:space="0"/>
        <w:bottom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1027">
    <w:name w:val="蒲标题1"/>
    <w:basedOn w:val="3"/>
    <w:qFormat/>
    <w:uiPriority w:val="0"/>
    <w:pPr>
      <w:numPr>
        <w:ilvl w:val="0"/>
        <w:numId w:val="0"/>
      </w:numPr>
      <w:spacing w:before="100" w:beforeLines="0" w:after="100" w:afterLines="0" w:line="360" w:lineRule="auto"/>
    </w:pPr>
    <w:rPr>
      <w:kern w:val="2"/>
      <w:sz w:val="32"/>
      <w:szCs w:val="32"/>
      <w:lang w:val="en-US" w:eastAsia="zh-CN"/>
    </w:rPr>
  </w:style>
  <w:style w:type="paragraph" w:customStyle="1" w:styleId="1028">
    <w:name w:val="表格正文"/>
    <w:qFormat/>
    <w:uiPriority w:val="0"/>
    <w:pPr>
      <w:widowControl w:val="0"/>
      <w:adjustRightInd w:val="0"/>
      <w:snapToGrid w:val="0"/>
      <w:jc w:val="both"/>
    </w:pPr>
    <w:rPr>
      <w:rFonts w:ascii="Times New Roman" w:hAnsi="Times New Roman" w:eastAsia="宋体" w:cs="Times New Roman"/>
      <w:kern w:val="2"/>
      <w:sz w:val="21"/>
      <w:szCs w:val="28"/>
      <w:lang w:val="en-US" w:eastAsia="zh-CN" w:bidi="ar-SA"/>
    </w:rPr>
  </w:style>
  <w:style w:type="paragraph" w:customStyle="1" w:styleId="1029">
    <w:name w:val="样式 样式 标题 2 + 宋体 小二 首行缩进:  2 字符 + 段前: 0.5 行 段后: 0.5 行"/>
    <w:basedOn w:val="1"/>
    <w:qFormat/>
    <w:uiPriority w:val="0"/>
    <w:pPr>
      <w:keepNext/>
      <w:keepLines/>
      <w:spacing w:before="156" w:beforeLines="50"/>
      <w:outlineLvl w:val="1"/>
    </w:pPr>
    <w:rPr>
      <w:rFonts w:ascii="宋体" w:hAnsi="宋体" w:cs="宋体"/>
      <w:b/>
      <w:bCs/>
      <w:sz w:val="32"/>
      <w:szCs w:val="20"/>
    </w:rPr>
  </w:style>
  <w:style w:type="paragraph" w:customStyle="1" w:styleId="1030">
    <w:name w:val="1文章"/>
    <w:basedOn w:val="1"/>
    <w:qFormat/>
    <w:uiPriority w:val="0"/>
    <w:pPr>
      <w:snapToGrid w:val="0"/>
      <w:spacing w:line="360" w:lineRule="auto"/>
      <w:ind w:firstLine="573"/>
    </w:pPr>
    <w:rPr>
      <w:rFonts w:ascii="Times New Roman" w:hAnsi="Times New Roman" w:eastAsia="仿宋_GB2312"/>
      <w:sz w:val="28"/>
      <w:szCs w:val="20"/>
    </w:rPr>
  </w:style>
  <w:style w:type="paragraph" w:customStyle="1" w:styleId="1031">
    <w:name w:val="标题符"/>
    <w:basedOn w:val="1"/>
    <w:qFormat/>
    <w:uiPriority w:val="0"/>
    <w:pPr>
      <w:tabs>
        <w:tab w:val="left" w:pos="360"/>
      </w:tabs>
      <w:overflowPunct w:val="0"/>
      <w:snapToGrid w:val="0"/>
      <w:spacing w:line="480" w:lineRule="exact"/>
      <w:ind w:firstLine="560" w:firstLineChars="200"/>
    </w:pPr>
    <w:rPr>
      <w:rFonts w:ascii="Arial" w:hAnsi="Arial" w:eastAsia="仿宋_GB2312"/>
      <w:sz w:val="28"/>
      <w:szCs w:val="20"/>
    </w:rPr>
  </w:style>
  <w:style w:type="paragraph" w:customStyle="1" w:styleId="1032">
    <w:name w:val="0905正文样式"/>
    <w:basedOn w:val="1"/>
    <w:qFormat/>
    <w:uiPriority w:val="0"/>
    <w:pPr>
      <w:adjustRightInd w:val="0"/>
      <w:snapToGrid w:val="0"/>
      <w:spacing w:line="336" w:lineRule="auto"/>
      <w:ind w:firstLine="200" w:firstLineChars="200"/>
    </w:pPr>
    <w:rPr>
      <w:rFonts w:ascii="Times New Roman" w:hAnsi="Times New Roman"/>
      <w:sz w:val="28"/>
      <w:szCs w:val="28"/>
    </w:rPr>
  </w:style>
  <w:style w:type="paragraph" w:customStyle="1" w:styleId="1033">
    <w:name w:val="_Style 4"/>
    <w:basedOn w:val="1"/>
    <w:qFormat/>
    <w:uiPriority w:val="0"/>
    <w:pPr>
      <w:widowControl/>
      <w:spacing w:after="160" w:afterLines="0" w:line="240" w:lineRule="exact"/>
      <w:jc w:val="left"/>
    </w:pPr>
    <w:rPr>
      <w:rFonts w:ascii="Times New Roman" w:hAnsi="Times New Roman"/>
      <w:szCs w:val="24"/>
    </w:rPr>
  </w:style>
  <w:style w:type="paragraph" w:customStyle="1" w:styleId="1034">
    <w:name w:val="TabC"/>
    <w:basedOn w:val="1"/>
    <w:qFormat/>
    <w:uiPriority w:val="0"/>
    <w:pPr>
      <w:keepLines/>
      <w:widowControl/>
      <w:spacing w:before="120" w:beforeLines="0" w:after="120" w:afterLines="0"/>
      <w:jc w:val="center"/>
    </w:pPr>
    <w:rPr>
      <w:rFonts w:ascii="Arial" w:hAnsi="Arial" w:eastAsia="宋体" w:cs="Times New Roman"/>
      <w:kern w:val="0"/>
      <w:sz w:val="24"/>
      <w:szCs w:val="20"/>
      <w:lang w:val="fr-FR" w:eastAsia="fr-FR"/>
    </w:rPr>
  </w:style>
  <w:style w:type="paragraph" w:customStyle="1" w:styleId="1035">
    <w:name w:val="font0"/>
    <w:basedOn w:val="1"/>
    <w:qFormat/>
    <w:uiPriority w:val="0"/>
    <w:pPr>
      <w:widowControl/>
      <w:spacing w:before="100" w:beforeLines="0" w:beforeAutospacing="1" w:after="100" w:afterLines="0" w:afterAutospacing="1"/>
      <w:jc w:val="left"/>
    </w:pPr>
    <w:rPr>
      <w:rFonts w:hint="eastAsia" w:ascii="宋体" w:hAnsi="宋体"/>
      <w:kern w:val="0"/>
      <w:sz w:val="24"/>
      <w:szCs w:val="24"/>
    </w:rPr>
  </w:style>
  <w:style w:type="paragraph" w:customStyle="1" w:styleId="1036">
    <w:name w:val="Char 姬"/>
    <w:basedOn w:val="1"/>
    <w:qFormat/>
    <w:uiPriority w:val="0"/>
    <w:rPr>
      <w:rFonts w:ascii="Times New Roman" w:hAnsi="Times New Roman"/>
      <w:szCs w:val="24"/>
    </w:rPr>
  </w:style>
  <w:style w:type="paragraph" w:customStyle="1" w:styleId="1037">
    <w:name w:val="初设正文"/>
    <w:basedOn w:val="1"/>
    <w:qFormat/>
    <w:uiPriority w:val="0"/>
    <w:pPr>
      <w:spacing w:after="120" w:afterLines="0" w:line="440" w:lineRule="exact"/>
      <w:ind w:left="425" w:firstLine="425"/>
    </w:pPr>
    <w:rPr>
      <w:rFonts w:ascii="Arial" w:hAnsi="Arial"/>
      <w:kern w:val="0"/>
      <w:sz w:val="24"/>
      <w:szCs w:val="20"/>
    </w:rPr>
  </w:style>
  <w:style w:type="paragraph" w:customStyle="1" w:styleId="1038">
    <w:name w:val="xl78"/>
    <w:basedOn w:val="1"/>
    <w:qFormat/>
    <w:uiPriority w:val="0"/>
    <w:pPr>
      <w:widowControl/>
      <w:pBdr>
        <w:left w:val="single" w:color="auto" w:sz="4" w:space="0"/>
        <w:bottom w:val="single" w:color="auto" w:sz="8" w:space="0"/>
      </w:pBdr>
      <w:spacing w:before="100" w:beforeLines="0" w:after="100" w:afterLines="0"/>
      <w:jc w:val="center"/>
      <w:textAlignment w:val="center"/>
    </w:pPr>
    <w:rPr>
      <w:rFonts w:ascii="Times New Roman" w:hAnsi="Times New Roman"/>
      <w:kern w:val="0"/>
      <w:sz w:val="24"/>
      <w:szCs w:val="24"/>
    </w:rPr>
  </w:style>
  <w:style w:type="paragraph" w:customStyle="1" w:styleId="1039">
    <w:name w:val="样式 宋体 四号 行距: 1.5 倍行距"/>
    <w:basedOn w:val="1"/>
    <w:qFormat/>
    <w:uiPriority w:val="0"/>
    <w:pPr>
      <w:tabs>
        <w:tab w:val="left" w:pos="840"/>
      </w:tabs>
      <w:snapToGrid w:val="0"/>
      <w:spacing w:line="360" w:lineRule="auto"/>
      <w:ind w:right="-170" w:firstLine="480" w:firstLineChars="200"/>
    </w:pPr>
    <w:rPr>
      <w:rFonts w:ascii="宋体" w:hAnsi="宋体"/>
      <w:sz w:val="24"/>
      <w:szCs w:val="24"/>
    </w:rPr>
  </w:style>
  <w:style w:type="paragraph" w:customStyle="1" w:styleId="1040">
    <w:name w:val="Style34"/>
    <w:basedOn w:val="1"/>
    <w:qFormat/>
    <w:uiPriority w:val="0"/>
    <w:pPr>
      <w:adjustRightInd w:val="0"/>
      <w:jc w:val="left"/>
    </w:pPr>
    <w:rPr>
      <w:rFonts w:ascii="宋体" w:hAnsi="Times New Roman"/>
      <w:kern w:val="0"/>
      <w:sz w:val="24"/>
      <w:szCs w:val="24"/>
    </w:rPr>
  </w:style>
  <w:style w:type="paragraph" w:customStyle="1" w:styleId="1041">
    <w:name w:val="xl33"/>
    <w:basedOn w:val="1"/>
    <w:qFormat/>
    <w:uiPriority w:val="0"/>
    <w:pPr>
      <w:widowControl/>
      <w:pBdr>
        <w:top w:val="single" w:color="auto" w:sz="4" w:space="0"/>
        <w:bottom w:val="single" w:color="auto" w:sz="4" w:space="0"/>
      </w:pBdr>
      <w:spacing w:before="100" w:beforeLines="0" w:after="100" w:afterLines="0"/>
      <w:jc w:val="center"/>
      <w:textAlignment w:val="center"/>
    </w:pPr>
    <w:rPr>
      <w:rFonts w:ascii="宋体" w:hAnsi="宋体"/>
      <w:kern w:val="0"/>
      <w:sz w:val="24"/>
      <w:szCs w:val="24"/>
    </w:rPr>
  </w:style>
  <w:style w:type="paragraph" w:customStyle="1" w:styleId="1042">
    <w:name w:val="CM16"/>
    <w:basedOn w:val="32"/>
    <w:next w:val="32"/>
    <w:qFormat/>
    <w:uiPriority w:val="0"/>
    <w:pPr>
      <w:spacing w:after="240" w:afterLines="0"/>
    </w:pPr>
    <w:rPr>
      <w:rFonts w:ascii="..ì." w:hAnsi="Calibri" w:eastAsia="..ì."/>
      <w:color w:val="auto"/>
    </w:rPr>
  </w:style>
  <w:style w:type="paragraph" w:customStyle="1" w:styleId="1043">
    <w:name w:val="样式 加粗 左侧:  0.32 厘米"/>
    <w:basedOn w:val="1"/>
    <w:qFormat/>
    <w:uiPriority w:val="0"/>
    <w:pPr>
      <w:spacing w:line="500" w:lineRule="exact"/>
      <w:ind w:left="180"/>
    </w:pPr>
    <w:rPr>
      <w:rFonts w:ascii="Times New Roman" w:hAnsi="Times New Roman" w:cs="宋体"/>
      <w:b/>
      <w:bCs/>
      <w:sz w:val="28"/>
      <w:szCs w:val="20"/>
    </w:rPr>
  </w:style>
  <w:style w:type="paragraph" w:customStyle="1" w:styleId="1044">
    <w:name w:val="111"/>
    <w:basedOn w:val="6"/>
    <w:next w:val="1"/>
    <w:qFormat/>
    <w:uiPriority w:val="0"/>
    <w:pPr>
      <w:keepNext/>
      <w:keepLines/>
      <w:widowControl w:val="0"/>
      <w:numPr>
        <w:ilvl w:val="0"/>
        <w:numId w:val="0"/>
      </w:numPr>
      <w:tabs>
        <w:tab w:val="left" w:pos="2880"/>
      </w:tabs>
      <w:snapToGrid/>
      <w:spacing w:before="280" w:beforeLines="0" w:after="290" w:afterLines="0" w:line="376" w:lineRule="auto"/>
      <w:ind w:left="2880" w:hanging="360"/>
      <w:jc w:val="both"/>
    </w:pPr>
    <w:rPr>
      <w:rFonts w:ascii="Arial" w:hAnsi="Arial" w:eastAsia="黑体"/>
      <w:b w:val="0"/>
      <w:kern w:val="2"/>
      <w:sz w:val="28"/>
    </w:rPr>
  </w:style>
  <w:style w:type="paragraph" w:customStyle="1" w:styleId="1045">
    <w:name w:val="表头+单位"/>
    <w:basedOn w:val="2"/>
    <w:qFormat/>
    <w:uiPriority w:val="0"/>
    <w:pPr>
      <w:keepNext/>
      <w:adjustRightInd/>
      <w:spacing w:line="240" w:lineRule="auto"/>
      <w:ind w:left="0" w:leftChars="0" w:right="0" w:rightChars="0" w:firstLine="0" w:firstLineChars="0"/>
      <w:jc w:val="right"/>
      <w:textAlignment w:val="auto"/>
    </w:pPr>
    <w:rPr>
      <w:kern w:val="2"/>
      <w:sz w:val="28"/>
      <w:szCs w:val="24"/>
      <w:lang w:val="en-US" w:eastAsia="zh-CN"/>
    </w:rPr>
  </w:style>
  <w:style w:type="paragraph" w:customStyle="1" w:styleId="1046">
    <w:name w:val="标题5"/>
    <w:basedOn w:val="1"/>
    <w:qFormat/>
    <w:uiPriority w:val="0"/>
    <w:pPr>
      <w:spacing w:line="300" w:lineRule="auto"/>
      <w:ind w:firstLine="480" w:firstLineChars="200"/>
    </w:pPr>
    <w:rPr>
      <w:rFonts w:ascii="黑体" w:hAnsi="宋体" w:eastAsia="黑体"/>
      <w:sz w:val="24"/>
      <w:szCs w:val="20"/>
    </w:rPr>
  </w:style>
  <w:style w:type="paragraph" w:customStyle="1" w:styleId="1047">
    <w:name w:val="a9"/>
    <w:basedOn w:val="1"/>
    <w:qFormat/>
    <w:uiPriority w:val="0"/>
    <w:pPr>
      <w:widowControl/>
      <w:adjustRightInd w:val="0"/>
      <w:spacing w:before="100" w:beforeLines="0" w:beforeAutospacing="1" w:after="100" w:afterLines="0" w:afterAutospacing="1" w:line="360" w:lineRule="atLeast"/>
      <w:jc w:val="left"/>
      <w:textAlignment w:val="baseline"/>
    </w:pPr>
    <w:rPr>
      <w:rFonts w:ascii="宋体" w:hAnsi="宋体"/>
      <w:color w:val="000000"/>
      <w:kern w:val="0"/>
      <w:sz w:val="24"/>
      <w:szCs w:val="20"/>
    </w:rPr>
  </w:style>
  <w:style w:type="paragraph" w:customStyle="1" w:styleId="1048">
    <w:name w:val="样式 表格内容 + 行距: 固定值 24 磅"/>
    <w:basedOn w:val="766"/>
    <w:next w:val="1"/>
    <w:qFormat/>
    <w:uiPriority w:val="0"/>
    <w:pPr>
      <w:widowControl w:val="0"/>
      <w:adjustRightInd w:val="0"/>
      <w:spacing w:line="240" w:lineRule="exact"/>
    </w:pPr>
    <w:rPr>
      <w:rFonts w:cs="宋体"/>
      <w:szCs w:val="20"/>
    </w:rPr>
  </w:style>
  <w:style w:type="paragraph" w:customStyle="1" w:styleId="1049">
    <w:name w:val="段落"/>
    <w:basedOn w:val="1"/>
    <w:qFormat/>
    <w:uiPriority w:val="99"/>
    <w:pPr>
      <w:tabs>
        <w:tab w:val="left" w:pos="1021"/>
      </w:tabs>
      <w:spacing w:line="360" w:lineRule="auto"/>
      <w:ind w:firstLine="480" w:firstLineChars="200"/>
    </w:pPr>
    <w:rPr>
      <w:rFonts w:cs="宋体"/>
      <w:color w:val="000000"/>
      <w:kern w:val="24"/>
      <w:sz w:val="24"/>
    </w:rPr>
  </w:style>
  <w:style w:type="paragraph" w:customStyle="1" w:styleId="1050">
    <w:name w:val="xl52"/>
    <w:basedOn w:val="1"/>
    <w:qFormat/>
    <w:uiPriority w:val="0"/>
    <w:pPr>
      <w:widowControl/>
      <w:pBdr>
        <w:left w:val="single" w:color="auto" w:sz="4" w:space="0"/>
        <w:bottom w:val="single" w:color="auto" w:sz="4" w:space="0"/>
      </w:pBdr>
      <w:spacing w:before="100" w:beforeLines="0" w:after="100" w:afterLines="0"/>
      <w:jc w:val="center"/>
      <w:textAlignment w:val="center"/>
    </w:pPr>
    <w:rPr>
      <w:rFonts w:ascii="Times New Roman" w:hAnsi="Times New Roman"/>
      <w:kern w:val="0"/>
      <w:sz w:val="28"/>
      <w:szCs w:val="28"/>
    </w:rPr>
  </w:style>
  <w:style w:type="paragraph" w:customStyle="1" w:styleId="1051">
    <w:name w:val="xl66"/>
    <w:basedOn w:val="1"/>
    <w:qFormat/>
    <w:uiPriority w:val="0"/>
    <w:pPr>
      <w:widowControl/>
      <w:spacing w:before="100" w:beforeLines="0" w:after="100" w:afterLines="0"/>
      <w:jc w:val="center"/>
      <w:textAlignment w:val="top"/>
    </w:pPr>
    <w:rPr>
      <w:rFonts w:ascii="Times New Roman" w:hAnsi="Times New Roman"/>
      <w:kern w:val="0"/>
      <w:sz w:val="24"/>
      <w:szCs w:val="24"/>
    </w:rPr>
  </w:style>
  <w:style w:type="paragraph" w:customStyle="1" w:styleId="1052">
    <w:name w:val="表格单位"/>
    <w:basedOn w:val="1"/>
    <w:qFormat/>
    <w:uiPriority w:val="0"/>
    <w:pPr>
      <w:spacing w:line="320" w:lineRule="exact"/>
      <w:ind w:firstLineChars="200"/>
      <w:jc w:val="right"/>
    </w:pPr>
    <w:rPr>
      <w:rFonts w:ascii="仿宋_GB2312" w:hAnsi="Times New Roman" w:eastAsia="仿宋_GB2312"/>
      <w:sz w:val="24"/>
      <w:szCs w:val="24"/>
    </w:rPr>
  </w:style>
  <w:style w:type="paragraph" w:customStyle="1" w:styleId="1053">
    <w:name w:val="副标题4"/>
    <w:basedOn w:val="796"/>
    <w:qFormat/>
    <w:uiPriority w:val="0"/>
    <w:pPr>
      <w:tabs>
        <w:tab w:val="left" w:pos="1275"/>
        <w:tab w:val="left" w:pos="1575"/>
        <w:tab w:val="left" w:pos="2100"/>
        <w:tab w:val="clear" w:pos="672"/>
        <w:tab w:val="clear" w:pos="720"/>
      </w:tabs>
      <w:ind w:left="1275" w:hanging="705"/>
      <w:outlineLvl w:val="4"/>
    </w:pPr>
  </w:style>
  <w:style w:type="paragraph" w:customStyle="1" w:styleId="1054">
    <w:name w:val=" 标题 1红4号"/>
    <w:basedOn w:val="3"/>
    <w:qFormat/>
    <w:uiPriority w:val="0"/>
    <w:pPr>
      <w:numPr>
        <w:ilvl w:val="0"/>
        <w:numId w:val="0"/>
      </w:numPr>
      <w:shd w:val="clear" w:color="auto" w:fill="FFFFFF"/>
      <w:tabs>
        <w:tab w:val="left" w:pos="210"/>
      </w:tabs>
      <w:kinsoku w:val="0"/>
      <w:overflowPunct w:val="0"/>
      <w:autoSpaceDE w:val="0"/>
      <w:autoSpaceDN w:val="0"/>
      <w:spacing w:before="0" w:beforeLines="0" w:after="0" w:afterLines="0" w:line="240" w:lineRule="auto"/>
      <w:ind w:firstLineChars="200"/>
      <w:jc w:val="center"/>
    </w:pPr>
    <w:rPr>
      <w:rFonts w:ascii="宋体" w:hAnsi="宋体"/>
      <w:bCs w:val="0"/>
      <w:color w:val="FF6600"/>
      <w:sz w:val="28"/>
      <w:szCs w:val="28"/>
      <w:lang w:val="en-US" w:eastAsia="zh-CN"/>
    </w:rPr>
  </w:style>
  <w:style w:type="paragraph" w:customStyle="1" w:styleId="1055">
    <w:name w:val="Char2 Char Char Char Char Char Char Char Char Char Char Char Char Char Char Char1"/>
    <w:basedOn w:val="1"/>
    <w:qFormat/>
    <w:uiPriority w:val="0"/>
    <w:rPr>
      <w:rFonts w:ascii="Times New Roman" w:hAnsi="Times New Roman"/>
      <w:szCs w:val="24"/>
    </w:rPr>
  </w:style>
  <w:style w:type="paragraph" w:customStyle="1" w:styleId="1056">
    <w:name w:val="xl47"/>
    <w:basedOn w:val="1"/>
    <w:qFormat/>
    <w:uiPriority w:val="0"/>
    <w:pPr>
      <w:widowControl/>
      <w:pBdr>
        <w:top w:val="single" w:color="auto" w:sz="4" w:space="0"/>
        <w:bottom w:val="single" w:color="auto" w:sz="4" w:space="0"/>
        <w:right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1057">
    <w:name w:val="样式 正文文本缩进 + 首行缩进:  1 字符 行距: 固定值 26 磅"/>
    <w:basedOn w:val="1"/>
    <w:qFormat/>
    <w:uiPriority w:val="0"/>
    <w:pPr>
      <w:spacing w:before="50" w:beforeLines="0" w:line="360" w:lineRule="auto"/>
      <w:ind w:firstLine="561"/>
      <w:jc w:val="left"/>
    </w:pPr>
    <w:rPr>
      <w:rFonts w:ascii="Times New Roman" w:hAnsi="Times New Roman"/>
      <w:sz w:val="24"/>
      <w:szCs w:val="20"/>
    </w:rPr>
  </w:style>
  <w:style w:type="paragraph" w:customStyle="1" w:styleId="1058">
    <w:name w:val="Char1"/>
    <w:basedOn w:val="1"/>
    <w:qFormat/>
    <w:uiPriority w:val="0"/>
    <w:pPr>
      <w:keepNext/>
      <w:keepLines/>
      <w:spacing w:after="160" w:afterLines="0" w:line="240" w:lineRule="exact"/>
      <w:jc w:val="left"/>
    </w:pPr>
    <w:rPr>
      <w:rFonts w:ascii="宋体" w:hAnsi="宋体"/>
      <w:b/>
      <w:kern w:val="0"/>
      <w:sz w:val="44"/>
      <w:szCs w:val="44"/>
      <w:lang w:eastAsia="en-US"/>
    </w:rPr>
  </w:style>
  <w:style w:type="paragraph" w:customStyle="1" w:styleId="1059">
    <w:name w:val="xl75"/>
    <w:basedOn w:val="1"/>
    <w:qFormat/>
    <w:uiPriority w:val="0"/>
    <w:pPr>
      <w:widowControl/>
      <w:pBdr>
        <w:left w:val="single" w:color="auto" w:sz="4" w:space="0"/>
      </w:pBdr>
      <w:spacing w:before="100" w:beforeLines="0" w:after="100" w:afterLines="0"/>
      <w:jc w:val="center"/>
      <w:textAlignment w:val="center"/>
    </w:pPr>
    <w:rPr>
      <w:rFonts w:ascii="Times New Roman" w:hAnsi="Times New Roman"/>
      <w:kern w:val="0"/>
      <w:sz w:val="24"/>
      <w:szCs w:val="24"/>
    </w:rPr>
  </w:style>
  <w:style w:type="paragraph" w:customStyle="1" w:styleId="1060">
    <w:name w:val="正文1 Char Char Char"/>
    <w:basedOn w:val="1"/>
    <w:qFormat/>
    <w:uiPriority w:val="0"/>
    <w:pPr>
      <w:spacing w:line="560" w:lineRule="exact"/>
      <w:ind w:firstLine="200" w:firstLineChars="200"/>
    </w:pPr>
    <w:rPr>
      <w:rFonts w:ascii="宋体" w:hAnsi="宋体" w:cs="宋体"/>
      <w:sz w:val="24"/>
      <w:szCs w:val="24"/>
    </w:rPr>
  </w:style>
  <w:style w:type="paragraph" w:customStyle="1" w:styleId="1061">
    <w:name w:val="xl26"/>
    <w:basedOn w:val="1"/>
    <w:qFormat/>
    <w:uiPriority w:val="0"/>
    <w:pPr>
      <w:widowControl/>
      <w:spacing w:before="100" w:beforeLines="0" w:after="100" w:afterLines="0"/>
      <w:jc w:val="center"/>
    </w:pPr>
    <w:rPr>
      <w:rFonts w:ascii="Times New Roman" w:hAnsi="Times New Roman"/>
      <w:kern w:val="0"/>
      <w:szCs w:val="20"/>
    </w:rPr>
  </w:style>
  <w:style w:type="paragraph" w:customStyle="1" w:styleId="1062">
    <w:name w:val="四级标题1.1.1.1"/>
    <w:basedOn w:val="1"/>
    <w:next w:val="1"/>
    <w:qFormat/>
    <w:uiPriority w:val="0"/>
    <w:pPr>
      <w:keepNext/>
      <w:keepLines/>
      <w:widowControl/>
      <w:adjustRightInd w:val="0"/>
      <w:spacing w:before="40" w:beforeLines="0" w:after="40" w:afterLines="0" w:line="360" w:lineRule="auto"/>
      <w:textAlignment w:val="baseline"/>
      <w:outlineLvl w:val="3"/>
    </w:pPr>
    <w:rPr>
      <w:rFonts w:ascii="宋体" w:hAnsi="宋体" w:cs="宋体"/>
      <w:b/>
      <w:color w:val="000000"/>
      <w:sz w:val="24"/>
      <w:szCs w:val="28"/>
    </w:rPr>
  </w:style>
  <w:style w:type="paragraph" w:customStyle="1" w:styleId="1063">
    <w:name w:val="一级条标题"/>
    <w:basedOn w:val="3"/>
    <w:next w:val="1"/>
    <w:qFormat/>
    <w:uiPriority w:val="0"/>
    <w:pPr>
      <w:keepNext w:val="0"/>
      <w:keepLines w:val="0"/>
      <w:widowControl/>
      <w:numPr>
        <w:ilvl w:val="0"/>
        <w:numId w:val="0"/>
      </w:numPr>
      <w:tabs>
        <w:tab w:val="left" w:pos="360"/>
      </w:tabs>
      <w:spacing w:before="0" w:beforeLines="0" w:after="0" w:afterLines="0" w:line="240" w:lineRule="auto"/>
      <w:outlineLvl w:val="2"/>
    </w:pPr>
    <w:rPr>
      <w:rFonts w:ascii="黑体" w:eastAsia="黑体"/>
      <w:b w:val="0"/>
      <w:bCs w:val="0"/>
      <w:kern w:val="0"/>
      <w:sz w:val="21"/>
      <w:szCs w:val="20"/>
      <w:lang w:val="en-US" w:eastAsia="zh-CN"/>
    </w:rPr>
  </w:style>
  <w:style w:type="paragraph" w:customStyle="1" w:styleId="1064">
    <w:name w:val="正文0000000000"/>
    <w:basedOn w:val="1"/>
    <w:next w:val="1"/>
    <w:qFormat/>
    <w:uiPriority w:val="0"/>
    <w:pPr>
      <w:overflowPunct w:val="0"/>
      <w:autoSpaceDE w:val="0"/>
      <w:autoSpaceDN w:val="0"/>
      <w:spacing w:line="360" w:lineRule="auto"/>
      <w:ind w:firstLine="480" w:firstLineChars="200"/>
      <w:textAlignment w:val="baseline"/>
    </w:pPr>
    <w:rPr>
      <w:rFonts w:ascii="宋体" w:hAnsi="宋体"/>
      <w:color w:val="000000"/>
      <w:kern w:val="0"/>
      <w:sz w:val="24"/>
      <w:szCs w:val="24"/>
    </w:rPr>
  </w:style>
  <w:style w:type="paragraph" w:customStyle="1" w:styleId="1065">
    <w:name w:val="表格文字：灌溉制度"/>
    <w:basedOn w:val="375"/>
    <w:qFormat/>
    <w:uiPriority w:val="0"/>
    <w:pPr>
      <w:widowControl w:val="0"/>
      <w:snapToGrid/>
      <w:spacing w:line="240" w:lineRule="exact"/>
      <w:jc w:val="center"/>
    </w:pPr>
    <w:rPr>
      <w:rFonts w:ascii="仿宋_GB2312" w:eastAsia="仿宋_GB2312"/>
      <w:kern w:val="2"/>
      <w:sz w:val="24"/>
      <w:szCs w:val="24"/>
    </w:rPr>
  </w:style>
  <w:style w:type="paragraph" w:customStyle="1" w:styleId="1066">
    <w:name w:val="wg"/>
    <w:basedOn w:val="1"/>
    <w:qFormat/>
    <w:uiPriority w:val="0"/>
    <w:rPr>
      <w:rFonts w:ascii="Times New Roman" w:hAnsi="Times New Roman"/>
      <w:sz w:val="28"/>
      <w:szCs w:val="20"/>
    </w:rPr>
  </w:style>
  <w:style w:type="paragraph" w:customStyle="1" w:styleId="1067">
    <w:name w:val="小四表文左齐"/>
    <w:basedOn w:val="1"/>
    <w:qFormat/>
    <w:uiPriority w:val="0"/>
    <w:pPr>
      <w:jc w:val="center"/>
    </w:pPr>
    <w:rPr>
      <w:rFonts w:ascii="宋体" w:hAnsi="宋体"/>
      <w:szCs w:val="24"/>
    </w:rPr>
  </w:style>
  <w:style w:type="paragraph" w:customStyle="1" w:styleId="1068">
    <w:name w:val="C2"/>
    <w:basedOn w:val="1"/>
    <w:qFormat/>
    <w:uiPriority w:val="0"/>
    <w:rPr>
      <w:rFonts w:ascii="Times New Roman" w:hAnsi="Times New Roman"/>
      <w:kern w:val="0"/>
      <w:sz w:val="28"/>
      <w:szCs w:val="20"/>
    </w:rPr>
  </w:style>
  <w:style w:type="paragraph" w:customStyle="1" w:styleId="1069">
    <w:name w:val="二级条标题"/>
    <w:basedOn w:val="1063"/>
    <w:next w:val="1"/>
    <w:qFormat/>
    <w:uiPriority w:val="0"/>
    <w:pPr>
      <w:outlineLvl w:val="3"/>
    </w:pPr>
  </w:style>
  <w:style w:type="paragraph" w:customStyle="1" w:styleId="1070">
    <w:name w:val="pt9"/>
    <w:basedOn w:val="1"/>
    <w:qFormat/>
    <w:uiPriority w:val="0"/>
    <w:pPr>
      <w:widowControl/>
      <w:spacing w:before="100" w:beforeLines="0" w:beforeAutospacing="1" w:after="100" w:afterLines="0" w:afterAutospacing="1"/>
      <w:jc w:val="left"/>
    </w:pPr>
    <w:rPr>
      <w:rFonts w:ascii="Calibri" w:hAnsi="Calibri"/>
      <w:color w:val="000000"/>
      <w:kern w:val="0"/>
      <w:sz w:val="18"/>
      <w:szCs w:val="18"/>
    </w:rPr>
  </w:style>
  <w:style w:type="paragraph" w:customStyle="1" w:styleId="1071">
    <w:name w:val="项目符号1"/>
    <w:basedOn w:val="1"/>
    <w:qFormat/>
    <w:uiPriority w:val="0"/>
    <w:pPr>
      <w:snapToGrid w:val="0"/>
      <w:spacing w:before="120" w:beforeLines="0" w:after="120" w:afterLines="0" w:line="312" w:lineRule="auto"/>
    </w:pPr>
    <w:rPr>
      <w:rFonts w:ascii="Arial" w:hAnsi="Arial" w:eastAsia="楷体_GB2312"/>
      <w:b/>
      <w:sz w:val="28"/>
      <w:szCs w:val="20"/>
    </w:rPr>
  </w:style>
  <w:style w:type="paragraph" w:customStyle="1" w:styleId="1072">
    <w:name w:val=" Char1 Char Char Char"/>
    <w:basedOn w:val="1"/>
    <w:qFormat/>
    <w:uiPriority w:val="0"/>
    <w:pPr>
      <w:spacing w:line="360" w:lineRule="auto"/>
      <w:ind w:firstLine="200" w:firstLineChars="200"/>
    </w:pPr>
    <w:rPr>
      <w:rFonts w:ascii="宋体" w:hAnsi="宋体" w:cs="宋体"/>
      <w:sz w:val="24"/>
      <w:szCs w:val="24"/>
    </w:rPr>
  </w:style>
  <w:style w:type="paragraph" w:customStyle="1" w:styleId="1073">
    <w:name w:val="表格小"/>
    <w:basedOn w:val="1"/>
    <w:qFormat/>
    <w:uiPriority w:val="0"/>
    <w:pPr>
      <w:jc w:val="center"/>
    </w:pPr>
    <w:rPr>
      <w:rFonts w:ascii="Times New Roman" w:hAnsi="Times New Roman"/>
      <w:sz w:val="18"/>
      <w:szCs w:val="24"/>
    </w:rPr>
  </w:style>
  <w:style w:type="paragraph" w:customStyle="1" w:styleId="1074">
    <w:name w:val="xl64"/>
    <w:basedOn w:val="1"/>
    <w:qFormat/>
    <w:uiPriority w:val="0"/>
    <w:pPr>
      <w:widowControl/>
      <w:pBdr>
        <w:top w:val="single" w:color="auto" w:sz="8" w:space="0"/>
        <w:right w:val="single" w:color="auto" w:sz="4" w:space="0"/>
      </w:pBdr>
      <w:spacing w:before="100" w:beforeLines="0" w:after="100" w:afterLines="0"/>
      <w:jc w:val="center"/>
      <w:textAlignment w:val="top"/>
    </w:pPr>
    <w:rPr>
      <w:rFonts w:ascii="Times New Roman" w:hAnsi="Times New Roman"/>
      <w:kern w:val="0"/>
      <w:sz w:val="24"/>
      <w:szCs w:val="24"/>
    </w:rPr>
  </w:style>
  <w:style w:type="paragraph" w:customStyle="1" w:styleId="1075">
    <w:name w:val="1正文"/>
    <w:basedOn w:val="1"/>
    <w:qFormat/>
    <w:uiPriority w:val="0"/>
    <w:pPr>
      <w:spacing w:line="360" w:lineRule="auto"/>
      <w:ind w:firstLine="480" w:firstLineChars="200"/>
    </w:pPr>
    <w:rPr>
      <w:color w:val="000000"/>
      <w:sz w:val="24"/>
    </w:rPr>
  </w:style>
  <w:style w:type="paragraph" w:customStyle="1" w:styleId="1076">
    <w:name w:val="Z"/>
    <w:basedOn w:val="1"/>
    <w:qFormat/>
    <w:uiPriority w:val="0"/>
    <w:pPr>
      <w:spacing w:line="460" w:lineRule="exact"/>
      <w:ind w:firstLine="200" w:firstLineChars="200"/>
    </w:pPr>
    <w:rPr>
      <w:rFonts w:ascii="宋体" w:hAnsi="宋体"/>
      <w:sz w:val="25"/>
      <w:szCs w:val="24"/>
    </w:rPr>
  </w:style>
  <w:style w:type="paragraph" w:customStyle="1" w:styleId="1077">
    <w:name w:val="Char Char 字元 字元"/>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1078">
    <w:name w:val="正文文本 311"/>
    <w:basedOn w:val="1"/>
    <w:qFormat/>
    <w:uiPriority w:val="0"/>
    <w:pPr>
      <w:adjustRightInd w:val="0"/>
      <w:spacing w:line="360" w:lineRule="atLeast"/>
      <w:jc w:val="center"/>
      <w:textAlignment w:val="baseline"/>
    </w:pPr>
    <w:rPr>
      <w:rFonts w:ascii="仿宋体" w:hAnsi="宋体" w:eastAsia="仿宋体"/>
      <w:kern w:val="0"/>
      <w:sz w:val="24"/>
      <w:szCs w:val="20"/>
    </w:rPr>
  </w:style>
  <w:style w:type="paragraph" w:customStyle="1" w:styleId="1079">
    <w:name w:val="Tabelle"/>
    <w:basedOn w:val="1"/>
    <w:qFormat/>
    <w:uiPriority w:val="0"/>
    <w:pPr>
      <w:widowControl/>
      <w:autoSpaceDE w:val="0"/>
      <w:autoSpaceDN w:val="0"/>
      <w:adjustRightInd w:val="0"/>
      <w:spacing w:before="80" w:after="80"/>
      <w:jc w:val="center"/>
    </w:pPr>
    <w:rPr>
      <w:rFonts w:ascii="Arial" w:hAnsi="Arial" w:eastAsia="宋体"/>
      <w:kern w:val="0"/>
      <w:sz w:val="20"/>
      <w:szCs w:val="20"/>
      <w:lang w:val="en-GB"/>
    </w:rPr>
  </w:style>
  <w:style w:type="paragraph" w:customStyle="1" w:styleId="1080">
    <w:name w:val="xl76"/>
    <w:basedOn w:val="1"/>
    <w:qFormat/>
    <w:uiPriority w:val="0"/>
    <w:pPr>
      <w:widowControl/>
      <w:spacing w:before="100" w:beforeLines="0" w:after="100" w:afterLines="0"/>
      <w:jc w:val="center"/>
      <w:textAlignment w:val="center"/>
    </w:pPr>
    <w:rPr>
      <w:rFonts w:ascii="Times New Roman" w:hAnsi="Times New Roman"/>
      <w:kern w:val="0"/>
      <w:sz w:val="24"/>
      <w:szCs w:val="24"/>
    </w:rPr>
  </w:style>
  <w:style w:type="paragraph" w:customStyle="1" w:styleId="1081">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1082">
    <w:name w:val="正文 4"/>
    <w:basedOn w:val="1"/>
    <w:qFormat/>
    <w:uiPriority w:val="0"/>
    <w:pPr>
      <w:adjustRightInd w:val="0"/>
      <w:spacing w:after="180" w:afterLines="0" w:line="320" w:lineRule="exact"/>
      <w:ind w:left="1491"/>
      <w:textAlignment w:val="baseline"/>
    </w:pPr>
    <w:rPr>
      <w:rFonts w:ascii="Arial" w:hAnsi="Arial"/>
      <w:kern w:val="0"/>
      <w:sz w:val="24"/>
      <w:szCs w:val="20"/>
    </w:rPr>
  </w:style>
  <w:style w:type="paragraph" w:customStyle="1" w:styleId="1083">
    <w:name w:val="样式 标题 2电脑标志 + 首行缩进:  2 字符1"/>
    <w:basedOn w:val="4"/>
    <w:qFormat/>
    <w:uiPriority w:val="0"/>
    <w:pPr>
      <w:keepNext w:val="0"/>
      <w:keepLines w:val="0"/>
      <w:adjustRightInd/>
      <w:spacing w:before="0" w:beforeLines="0" w:after="0" w:afterLines="0" w:line="240" w:lineRule="auto"/>
      <w:textAlignment w:val="auto"/>
    </w:pPr>
    <w:rPr>
      <w:rFonts w:ascii="黑体" w:hAnsi="Arial" w:eastAsia="黑体" w:cs="宋体"/>
      <w:b w:val="0"/>
      <w:bCs w:val="0"/>
      <w:kern w:val="2"/>
      <w:szCs w:val="20"/>
      <w:lang w:val="en-US" w:eastAsia="zh-CN"/>
    </w:rPr>
  </w:style>
  <w:style w:type="paragraph" w:customStyle="1" w:styleId="1084">
    <w:name w:val="正文(齐头)"/>
    <w:basedOn w:val="1"/>
    <w:qFormat/>
    <w:uiPriority w:val="0"/>
    <w:pPr>
      <w:adjustRightInd w:val="0"/>
      <w:spacing w:after="180" w:afterLines="0" w:line="320" w:lineRule="exact"/>
      <w:ind w:left="1009" w:hanging="1009"/>
      <w:textAlignment w:val="bottom"/>
    </w:pPr>
    <w:rPr>
      <w:rFonts w:ascii="Arial" w:hAnsi="Arial"/>
      <w:kern w:val="0"/>
      <w:sz w:val="24"/>
      <w:szCs w:val="20"/>
    </w:rPr>
  </w:style>
  <w:style w:type="paragraph" w:customStyle="1" w:styleId="1085">
    <w:name w:val="样式 小二 加粗 居中 段前: 24 磅 段后: 12 磅1"/>
    <w:basedOn w:val="1"/>
    <w:next w:val="1"/>
    <w:qFormat/>
    <w:uiPriority w:val="0"/>
    <w:pPr>
      <w:adjustRightInd w:val="0"/>
      <w:snapToGrid w:val="0"/>
      <w:spacing w:before="100" w:beforeLines="0" w:beforeAutospacing="1" w:after="100" w:afterLines="0" w:afterAutospacing="1" w:line="240" w:lineRule="exact"/>
      <w:ind w:firstLine="420" w:firstLineChars="200"/>
      <w:jc w:val="center"/>
    </w:pPr>
    <w:rPr>
      <w:rFonts w:ascii="Times New Roman" w:hAnsi="Times New Roman" w:cs="宋体"/>
      <w:bCs/>
      <w:szCs w:val="20"/>
    </w:rPr>
  </w:style>
  <w:style w:type="paragraph" w:customStyle="1" w:styleId="1086">
    <w:name w:val="文字"/>
    <w:basedOn w:val="1"/>
    <w:qFormat/>
    <w:uiPriority w:val="0"/>
    <w:pPr>
      <w:widowControl/>
      <w:spacing w:after="120" w:afterLines="0" w:line="360" w:lineRule="auto"/>
      <w:ind w:firstLine="420"/>
    </w:pPr>
    <w:rPr>
      <w:rFonts w:ascii="Times New Roman" w:hAnsi="Times New Roman"/>
      <w:kern w:val="0"/>
      <w:sz w:val="24"/>
      <w:szCs w:val="20"/>
    </w:rPr>
  </w:style>
  <w:style w:type="paragraph" w:customStyle="1" w:styleId="1087">
    <w:name w:val="样式 小四 行距: 1.5 倍行距"/>
    <w:basedOn w:val="1"/>
    <w:qFormat/>
    <w:uiPriority w:val="0"/>
    <w:pPr>
      <w:spacing w:line="360" w:lineRule="auto"/>
      <w:ind w:firstLine="700" w:firstLineChars="250"/>
    </w:pPr>
    <w:rPr>
      <w:rFonts w:ascii="Adobe 仿宋 Std R" w:hAnsi="Adobe 仿宋 Std R" w:eastAsia="Adobe 仿宋 Std R" w:cs="Courier New"/>
      <w:sz w:val="28"/>
      <w:szCs w:val="21"/>
    </w:rPr>
  </w:style>
  <w:style w:type="paragraph" w:customStyle="1" w:styleId="1088">
    <w:name w:val="0007小四 居中"/>
    <w:basedOn w:val="640"/>
    <w:qFormat/>
    <w:uiPriority w:val="0"/>
    <w:pPr>
      <w:jc w:val="center"/>
    </w:pPr>
    <w:rPr>
      <w:sz w:val="24"/>
      <w:szCs w:val="24"/>
    </w:rPr>
  </w:style>
  <w:style w:type="paragraph" w:customStyle="1" w:styleId="1089">
    <w:name w:val="表格文字小5号"/>
    <w:qFormat/>
    <w:uiPriority w:val="0"/>
    <w:pPr>
      <w:widowControl w:val="0"/>
      <w:spacing w:line="240" w:lineRule="exact"/>
      <w:jc w:val="center"/>
    </w:pPr>
    <w:rPr>
      <w:rFonts w:ascii="宋体" w:hAnsi="宋体" w:eastAsia="宋体" w:cs="Times New Roman"/>
      <w:kern w:val="2"/>
      <w:sz w:val="18"/>
      <w:szCs w:val="18"/>
      <w:lang w:val="en-US" w:eastAsia="zh-CN" w:bidi="ar-SA"/>
    </w:rPr>
  </w:style>
  <w:style w:type="paragraph" w:customStyle="1" w:styleId="1090">
    <w:name w:val="xl42"/>
    <w:basedOn w:val="1"/>
    <w:qFormat/>
    <w:uiPriority w:val="0"/>
    <w:pPr>
      <w:widowControl/>
      <w:pBdr>
        <w:top w:val="single" w:color="auto" w:sz="4" w:space="0"/>
        <w:left w:val="single" w:color="auto" w:sz="4" w:space="0"/>
        <w:bottom w:val="single" w:color="auto" w:sz="4" w:space="0"/>
      </w:pBdr>
      <w:spacing w:before="100" w:beforeLines="0" w:after="100" w:afterLines="0"/>
      <w:jc w:val="center"/>
      <w:textAlignment w:val="center"/>
    </w:pPr>
    <w:rPr>
      <w:rFonts w:ascii="Times New Roman" w:hAnsi="Times New Roman"/>
      <w:kern w:val="0"/>
      <w:sz w:val="28"/>
      <w:szCs w:val="28"/>
    </w:rPr>
  </w:style>
  <w:style w:type="paragraph" w:customStyle="1" w:styleId="1091">
    <w:name w:val="a-表名"/>
    <w:qFormat/>
    <w:uiPriority w:val="0"/>
    <w:pPr>
      <w:adjustRightInd w:val="0"/>
      <w:snapToGrid w:val="0"/>
      <w:spacing w:line="360" w:lineRule="auto"/>
      <w:jc w:val="center"/>
    </w:pPr>
    <w:rPr>
      <w:rFonts w:ascii="Times New Roman" w:hAnsi="Times New Roman" w:eastAsia="仿宋_GB2312" w:cs="Times New Roman"/>
      <w:b/>
      <w:color w:val="000000"/>
      <w:sz w:val="24"/>
      <w:szCs w:val="21"/>
      <w:lang w:val="en-US" w:eastAsia="zh-CN" w:bidi="ar-SA"/>
    </w:rPr>
  </w:style>
  <w:style w:type="paragraph" w:customStyle="1" w:styleId="1092">
    <w:name w:val="环评正文"/>
    <w:basedOn w:val="1"/>
    <w:qFormat/>
    <w:uiPriority w:val="0"/>
    <w:pPr>
      <w:spacing w:line="360" w:lineRule="auto"/>
      <w:ind w:firstLine="200" w:firstLineChars="200"/>
    </w:pPr>
    <w:rPr>
      <w:sz w:val="24"/>
    </w:rPr>
  </w:style>
  <w:style w:type="table" w:customStyle="1" w:styleId="1093">
    <w:name w:val="报告表格样式"/>
    <w:basedOn w:val="80"/>
    <w:qFormat/>
    <w:uiPriority w:val="99"/>
    <w:pPr>
      <w:spacing w:after="0" w:line="240" w:lineRule="auto"/>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paragraph" w:customStyle="1" w:styleId="1094">
    <w:name w:val="正文邓"/>
    <w:basedOn w:val="1"/>
    <w:qFormat/>
    <w:uiPriority w:val="0"/>
    <w:pPr>
      <w:adjustRightInd w:val="0"/>
      <w:snapToGrid w:val="0"/>
      <w:spacing w:line="360" w:lineRule="auto"/>
      <w:ind w:firstLine="480" w:firstLineChars="200"/>
      <w:jc w:val="left"/>
    </w:pPr>
    <w:rPr>
      <w:bCs/>
      <w:color w:val="000000"/>
      <w:kern w:val="0"/>
      <w:sz w:val="24"/>
      <w:szCs w:val="26"/>
    </w:rPr>
  </w:style>
  <w:style w:type="table" w:customStyle="1" w:styleId="1095">
    <w:name w:val="标准表格"/>
    <w:basedOn w:val="80"/>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firstLine="0" w:firstLineChars="0"/>
        <w:jc w:val="center"/>
      </w:pPr>
      <w:rPr>
        <w:rFonts w:eastAsia="宋体"/>
        <w:sz w:val="18"/>
      </w:rPr>
      <w:tblPr/>
      <w:trPr>
        <w:tblHeader/>
      </w:trPr>
    </w:tblStylePr>
    <w:tblStylePr w:type="firstCol">
      <w:pPr>
        <w:jc w:val="center"/>
      </w:pPr>
    </w:tblStylePr>
  </w:style>
  <w:style w:type="paragraph" w:customStyle="1" w:styleId="1096">
    <w:name w:val="表中文字"/>
    <w:basedOn w:val="1"/>
    <w:qFormat/>
    <w:uiPriority w:val="0"/>
    <w:pPr>
      <w:jc w:val="center"/>
      <w:textAlignment w:val="center"/>
    </w:pPr>
    <w:rPr>
      <w:rFonts w:ascii="宋体" w:cs="宋体"/>
      <w:szCs w:val="21"/>
    </w:rPr>
  </w:style>
  <w:style w:type="paragraph" w:customStyle="1" w:styleId="1097">
    <w:name w:val="表格文字样式"/>
    <w:basedOn w:val="1"/>
    <w:qFormat/>
    <w:uiPriority w:val="0"/>
    <w:pPr>
      <w:widowControl/>
      <w:autoSpaceDE w:val="0"/>
      <w:autoSpaceDN w:val="0"/>
      <w:adjustRightInd w:val="0"/>
      <w:spacing w:line="240" w:lineRule="exact"/>
      <w:jc w:val="left"/>
    </w:pPr>
    <w:rPr>
      <w:rFonts w:ascii="仿宋_GB2312" w:hAnsi="宋体" w:eastAsia="仿宋_GB2312" w:cs="仿宋_GB2312"/>
      <w:kern w:val="0"/>
      <w:szCs w:val="21"/>
    </w:rPr>
  </w:style>
  <w:style w:type="paragraph" w:customStyle="1" w:styleId="1098">
    <w:name w:val="农贸市场正文"/>
    <w:basedOn w:val="1"/>
    <w:qFormat/>
    <w:uiPriority w:val="0"/>
    <w:pPr>
      <w:ind w:firstLine="200" w:firstLineChars="200"/>
    </w:pPr>
    <w:rPr>
      <w:snapToGrid w:val="0"/>
      <w:color w:val="000000"/>
      <w:kern w:val="0"/>
      <w:szCs w:val="24"/>
    </w:rPr>
  </w:style>
  <w:style w:type="paragraph" w:customStyle="1" w:styleId="1099">
    <w:name w:val="表格题目1"/>
    <w:basedOn w:val="1"/>
    <w:qFormat/>
    <w:uiPriority w:val="0"/>
    <w:pPr>
      <w:ind w:firstLine="525" w:firstLineChars="250"/>
      <w:jc w:val="left"/>
    </w:pPr>
    <w:rPr>
      <w:rFonts w:eastAsia="黑体"/>
      <w:color w:val="000000"/>
    </w:rPr>
  </w:style>
  <w:style w:type="paragraph" w:customStyle="1" w:styleId="1100">
    <w:name w:val="表格内容1"/>
    <w:basedOn w:val="1"/>
    <w:qFormat/>
    <w:uiPriority w:val="0"/>
    <w:pPr>
      <w:widowControl/>
      <w:spacing w:line="300" w:lineRule="exact"/>
      <w:jc w:val="center"/>
    </w:pPr>
    <w:rPr>
      <w:kern w:val="0"/>
      <w:szCs w:val="21"/>
      <w:lang w:eastAsia="en-US" w:bidi="en-US"/>
    </w:rPr>
  </w:style>
  <w:style w:type="paragraph" w:customStyle="1" w:styleId="1101">
    <w:name w:val="A表内容"/>
    <w:basedOn w:val="450"/>
    <w:qFormat/>
    <w:uiPriority w:val="0"/>
    <w:pPr>
      <w:spacing w:line="340" w:lineRule="exact"/>
      <w:ind w:firstLine="0" w:firstLineChars="0"/>
      <w:jc w:val="center"/>
    </w:pPr>
    <w:rPr>
      <w:rFonts w:ascii="Times New Roman"/>
      <w:sz w:val="21"/>
      <w:szCs w:val="21"/>
    </w:rPr>
  </w:style>
  <w:style w:type="paragraph" w:customStyle="1" w:styleId="1102">
    <w:name w:val="正文-ls"/>
    <w:basedOn w:val="1"/>
    <w:qFormat/>
    <w:uiPriority w:val="0"/>
    <w:pPr>
      <w:spacing w:line="360" w:lineRule="auto"/>
      <w:ind w:firstLine="200" w:firstLineChars="200"/>
    </w:pPr>
    <w:rPr>
      <w:rFonts w:hAnsi="宋体" w:cs="宋体"/>
      <w:sz w:val="24"/>
      <w:szCs w:val="24"/>
    </w:rPr>
  </w:style>
  <w:style w:type="table" w:customStyle="1" w:styleId="1103">
    <w:name w:val="网格型2"/>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4">
    <w:name w:val="表头标题格式"/>
    <w:basedOn w:val="1"/>
    <w:qFormat/>
    <w:uiPriority w:val="0"/>
    <w:pPr>
      <w:tabs>
        <w:tab w:val="left" w:pos="360"/>
        <w:tab w:val="left" w:pos="1620"/>
      </w:tabs>
      <w:ind w:firstLine="0" w:firstLineChars="0"/>
      <w:jc w:val="center"/>
    </w:pPr>
    <w:rPr>
      <w:rFonts w:ascii="黑体" w:hAnsi="黑体" w:eastAsia="黑体"/>
      <w:b/>
      <w:bCs/>
      <w:sz w:val="21"/>
      <w:szCs w:val="24"/>
    </w:rPr>
  </w:style>
  <w:style w:type="paragraph" w:customStyle="1" w:styleId="1105">
    <w:name w:val="a-文本缩2"/>
    <w:qFormat/>
    <w:uiPriority w:val="0"/>
    <w:pPr>
      <w:adjustRightInd w:val="0"/>
      <w:snapToGrid w:val="0"/>
      <w:spacing w:line="360" w:lineRule="auto"/>
      <w:ind w:firstLine="200" w:firstLineChars="200"/>
      <w:jc w:val="both"/>
    </w:pPr>
    <w:rPr>
      <w:rFonts w:ascii="Times New Roman" w:hAnsi="Times New Roman" w:eastAsia="宋体" w:cs="Times New Roman"/>
      <w:color w:val="000000"/>
      <w:kern w:val="2"/>
      <w:sz w:val="24"/>
      <w:lang w:val="en-US" w:eastAsia="zh-CN"/>
    </w:rPr>
  </w:style>
  <w:style w:type="paragraph" w:customStyle="1" w:styleId="1106">
    <w:name w:val="覃最新"/>
    <w:basedOn w:val="1"/>
    <w:qFormat/>
    <w:uiPriority w:val="0"/>
    <w:pPr>
      <w:widowControl/>
      <w:snapToGrid w:val="0"/>
      <w:spacing w:line="500" w:lineRule="exact"/>
    </w:pPr>
    <w:rPr>
      <w:rFonts w:ascii="华文中宋" w:hAnsi="华文中宋" w:eastAsia="华文中宋"/>
      <w:kern w:val="28"/>
      <w:sz w:val="24"/>
    </w:rPr>
  </w:style>
  <w:style w:type="character" w:customStyle="1" w:styleId="1107">
    <w:name w:val="【图片】 Char"/>
    <w:link w:val="1108"/>
    <w:qFormat/>
    <w:uiPriority w:val="0"/>
    <w:rPr>
      <w:rFonts w:ascii="宋体" w:hAnsi="宋体"/>
      <w:kern w:val="2"/>
      <w:sz w:val="24"/>
      <w:szCs w:val="22"/>
      <w:lang w:val="en-US" w:eastAsia="zh-CN" w:bidi="ar-SA"/>
    </w:rPr>
  </w:style>
  <w:style w:type="paragraph" w:customStyle="1" w:styleId="1108">
    <w:name w:val="【图片】"/>
    <w:next w:val="78"/>
    <w:link w:val="1107"/>
    <w:qFormat/>
    <w:uiPriority w:val="0"/>
    <w:pPr>
      <w:jc w:val="center"/>
    </w:pPr>
    <w:rPr>
      <w:rFonts w:ascii="宋体" w:hAnsi="宋体" w:eastAsia="宋体" w:cs="Times New Roman"/>
      <w:kern w:val="2"/>
      <w:sz w:val="24"/>
      <w:szCs w:val="22"/>
      <w:lang w:val="en-US" w:eastAsia="zh-CN" w:bidi="ar-SA"/>
    </w:rPr>
  </w:style>
  <w:style w:type="paragraph" w:customStyle="1" w:styleId="1109">
    <w:name w:val="表格标题标题"/>
    <w:basedOn w:val="1"/>
    <w:qFormat/>
    <w:uiPriority w:val="0"/>
    <w:pPr>
      <w:adjustRightInd w:val="0"/>
      <w:snapToGrid w:val="0"/>
      <w:spacing w:line="240" w:lineRule="auto"/>
      <w:ind w:firstLine="0" w:firstLineChars="0"/>
      <w:jc w:val="center"/>
    </w:pPr>
    <w:rPr>
      <w:rFonts w:eastAsia="黑体"/>
      <w:kern w:val="18"/>
    </w:rPr>
  </w:style>
  <w:style w:type="paragraph" w:customStyle="1" w:styleId="1110">
    <w:name w:val="cxm表格"/>
    <w:basedOn w:val="1"/>
    <w:next w:val="1"/>
    <w:qFormat/>
    <w:uiPriority w:val="0"/>
    <w:pPr>
      <w:adjustRightInd w:val="0"/>
      <w:snapToGrid w:val="0"/>
      <w:spacing w:line="240" w:lineRule="auto"/>
      <w:ind w:firstLine="0" w:firstLineChars="0"/>
      <w:jc w:val="center"/>
    </w:pPr>
    <w:rPr>
      <w:sz w:val="21"/>
      <w:szCs w:val="21"/>
    </w:rPr>
  </w:style>
  <w:style w:type="paragraph" w:customStyle="1" w:styleId="1111">
    <w:name w:val="4444表格"/>
    <w:basedOn w:val="1"/>
    <w:next w:val="1"/>
    <w:qFormat/>
    <w:uiPriority w:val="0"/>
    <w:pPr>
      <w:spacing w:line="240" w:lineRule="auto"/>
      <w:ind w:firstLine="0" w:firstLineChars="0"/>
      <w:jc w:val="center"/>
    </w:pPr>
    <w:rPr>
      <w:rFonts w:eastAsia="宋体" w:cs="Times New Roman"/>
      <w:sz w:val="21"/>
      <w:szCs w:val="21"/>
    </w:rPr>
  </w:style>
  <w:style w:type="character" w:customStyle="1" w:styleId="1112">
    <w:name w:val="题注 字符3"/>
    <w:qFormat/>
    <w:uiPriority w:val="0"/>
    <w:rPr>
      <w:rFonts w:ascii="黑体" w:hAnsi="黑体" w:eastAsia="宋体"/>
      <w:b/>
      <w:kern w:val="0"/>
      <w:sz w:val="21"/>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emf"/><Relationship Id="rId97" Type="http://schemas.openxmlformats.org/officeDocument/2006/relationships/oleObject" Target="embeddings/oleObject28.bin"/><Relationship Id="rId96" Type="http://schemas.openxmlformats.org/officeDocument/2006/relationships/oleObject" Target="embeddings/oleObject27.bin"/><Relationship Id="rId95" Type="http://schemas.openxmlformats.org/officeDocument/2006/relationships/image" Target="media/image53.emf"/><Relationship Id="rId94" Type="http://schemas.openxmlformats.org/officeDocument/2006/relationships/oleObject" Target="embeddings/oleObject26.bin"/><Relationship Id="rId93" Type="http://schemas.openxmlformats.org/officeDocument/2006/relationships/image" Target="media/image52.emf"/><Relationship Id="rId92" Type="http://schemas.openxmlformats.org/officeDocument/2006/relationships/oleObject" Target="embeddings/oleObject25.bin"/><Relationship Id="rId91" Type="http://schemas.openxmlformats.org/officeDocument/2006/relationships/image" Target="media/image51.png"/><Relationship Id="rId90" Type="http://schemas.openxmlformats.org/officeDocument/2006/relationships/image" Target="media/image50.png"/><Relationship Id="rId9" Type="http://schemas.openxmlformats.org/officeDocument/2006/relationships/header" Target="header2.xml"/><Relationship Id="rId89" Type="http://schemas.openxmlformats.org/officeDocument/2006/relationships/image" Target="media/image49.png"/><Relationship Id="rId88" Type="http://schemas.openxmlformats.org/officeDocument/2006/relationships/image" Target="media/image48.png"/><Relationship Id="rId87" Type="http://schemas.openxmlformats.org/officeDocument/2006/relationships/image" Target="media/image47.wmf"/><Relationship Id="rId86" Type="http://schemas.openxmlformats.org/officeDocument/2006/relationships/oleObject" Target="embeddings/oleObject24.bin"/><Relationship Id="rId85" Type="http://schemas.openxmlformats.org/officeDocument/2006/relationships/image" Target="media/image46.png"/><Relationship Id="rId84" Type="http://schemas.openxmlformats.org/officeDocument/2006/relationships/image" Target="media/image45.wmf"/><Relationship Id="rId83" Type="http://schemas.openxmlformats.org/officeDocument/2006/relationships/oleObject" Target="embeddings/oleObject23.bin"/><Relationship Id="rId82" Type="http://schemas.openxmlformats.org/officeDocument/2006/relationships/chart" Target="charts/chart3.xml"/><Relationship Id="rId81" Type="http://schemas.openxmlformats.org/officeDocument/2006/relationships/chart" Target="charts/chart2.xml"/><Relationship Id="rId80" Type="http://schemas.openxmlformats.org/officeDocument/2006/relationships/chart" Target="charts/chart1.xml"/><Relationship Id="rId8" Type="http://schemas.openxmlformats.org/officeDocument/2006/relationships/footer" Target="footer3.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wmf"/><Relationship Id="rId76" Type="http://schemas.openxmlformats.org/officeDocument/2006/relationships/oleObject" Target="embeddings/oleObject22.bin"/><Relationship Id="rId75" Type="http://schemas.openxmlformats.org/officeDocument/2006/relationships/image" Target="media/image41.wmf"/><Relationship Id="rId74" Type="http://schemas.openxmlformats.org/officeDocument/2006/relationships/oleObject" Target="embeddings/oleObject21.bin"/><Relationship Id="rId73" Type="http://schemas.openxmlformats.org/officeDocument/2006/relationships/image" Target="media/image40.png"/><Relationship Id="rId72" Type="http://schemas.openxmlformats.org/officeDocument/2006/relationships/image" Target="media/image39.wmf"/><Relationship Id="rId71" Type="http://schemas.openxmlformats.org/officeDocument/2006/relationships/oleObject" Target="embeddings/oleObject20.bin"/><Relationship Id="rId70" Type="http://schemas.openxmlformats.org/officeDocument/2006/relationships/image" Target="media/image38.wmf"/><Relationship Id="rId7" Type="http://schemas.openxmlformats.org/officeDocument/2006/relationships/footer" Target="footer2.xml"/><Relationship Id="rId69" Type="http://schemas.openxmlformats.org/officeDocument/2006/relationships/oleObject" Target="embeddings/oleObject19.bin"/><Relationship Id="rId68" Type="http://schemas.openxmlformats.org/officeDocument/2006/relationships/image" Target="media/image37.png"/><Relationship Id="rId67" Type="http://schemas.openxmlformats.org/officeDocument/2006/relationships/image" Target="media/image36.png"/><Relationship Id="rId66" Type="http://schemas.openxmlformats.org/officeDocument/2006/relationships/image" Target="media/image35.png"/><Relationship Id="rId65" Type="http://schemas.openxmlformats.org/officeDocument/2006/relationships/image" Target="media/image34.emf"/><Relationship Id="rId64" Type="http://schemas.openxmlformats.org/officeDocument/2006/relationships/image" Target="media/image33.emf"/><Relationship Id="rId63" Type="http://schemas.openxmlformats.org/officeDocument/2006/relationships/image" Target="media/image32.wmf"/><Relationship Id="rId62" Type="http://schemas.openxmlformats.org/officeDocument/2006/relationships/oleObject" Target="embeddings/oleObject18.bin"/><Relationship Id="rId61" Type="http://schemas.openxmlformats.org/officeDocument/2006/relationships/image" Target="media/image31.wmf"/><Relationship Id="rId60" Type="http://schemas.openxmlformats.org/officeDocument/2006/relationships/image" Target="media/image30.wmf"/><Relationship Id="rId6" Type="http://schemas.openxmlformats.org/officeDocument/2006/relationships/footer" Target="footer1.xml"/><Relationship Id="rId59" Type="http://schemas.openxmlformats.org/officeDocument/2006/relationships/oleObject" Target="embeddings/oleObject17.bin"/><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wmf"/><Relationship Id="rId54" Type="http://schemas.openxmlformats.org/officeDocument/2006/relationships/oleObject" Target="embeddings/oleObject16.bin"/><Relationship Id="rId53" Type="http://schemas.openxmlformats.org/officeDocument/2006/relationships/image" Target="media/image25.emf"/><Relationship Id="rId52" Type="http://schemas.openxmlformats.org/officeDocument/2006/relationships/oleObject" Target="embeddings/oleObject15.bin"/><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emf"/><Relationship Id="rId48" Type="http://schemas.openxmlformats.org/officeDocument/2006/relationships/oleObject" Target="embeddings/oleObject14.bin"/><Relationship Id="rId47" Type="http://schemas.openxmlformats.org/officeDocument/2006/relationships/image" Target="media/image21.emf"/><Relationship Id="rId46" Type="http://schemas.openxmlformats.org/officeDocument/2006/relationships/oleObject" Target="embeddings/oleObject13.bin"/><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emf"/><Relationship Id="rId38" Type="http://schemas.openxmlformats.org/officeDocument/2006/relationships/oleObject" Target="embeddings/oleObject12.bin"/><Relationship Id="rId37" Type="http://schemas.openxmlformats.org/officeDocument/2006/relationships/image" Target="media/image13.emf"/><Relationship Id="rId36" Type="http://schemas.openxmlformats.org/officeDocument/2006/relationships/oleObject" Target="embeddings/oleObject11.bin"/><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wmf"/><Relationship Id="rId32" Type="http://schemas.openxmlformats.org/officeDocument/2006/relationships/oleObject" Target="embeddings/oleObject10.bin"/><Relationship Id="rId31" Type="http://schemas.openxmlformats.org/officeDocument/2006/relationships/oleObject" Target="embeddings/oleObject9.bin"/><Relationship Id="rId30" Type="http://schemas.openxmlformats.org/officeDocument/2006/relationships/image" Target="media/image9.w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8.wmf"/><Relationship Id="rId27" Type="http://schemas.openxmlformats.org/officeDocument/2006/relationships/oleObject" Target="embeddings/oleObject7.bin"/><Relationship Id="rId26" Type="http://schemas.openxmlformats.org/officeDocument/2006/relationships/image" Target="media/image7.wmf"/><Relationship Id="rId25" Type="http://schemas.openxmlformats.org/officeDocument/2006/relationships/oleObject" Target="embeddings/oleObject6.bin"/><Relationship Id="rId24" Type="http://schemas.openxmlformats.org/officeDocument/2006/relationships/image" Target="media/image6.wmf"/><Relationship Id="rId23" Type="http://schemas.openxmlformats.org/officeDocument/2006/relationships/oleObject" Target="embeddings/oleObject5.bin"/><Relationship Id="rId22" Type="http://schemas.openxmlformats.org/officeDocument/2006/relationships/image" Target="media/image5.wmf"/><Relationship Id="rId21" Type="http://schemas.openxmlformats.org/officeDocument/2006/relationships/oleObject" Target="embeddings/oleObject4.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wmf"/><Relationship Id="rId17" Type="http://schemas.openxmlformats.org/officeDocument/2006/relationships/oleObject" Target="embeddings/oleObject2.bin"/><Relationship Id="rId16" Type="http://schemas.openxmlformats.org/officeDocument/2006/relationships/image" Target="media/image2.w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3" Type="http://schemas.openxmlformats.org/officeDocument/2006/relationships/fontTable" Target="fontTable.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56.png"/><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7491;&#22312;&#36827;&#34892;&#30340;&#39033;&#30446;\&#20975;&#36187;PDBD\&#22270;\&#26032;&#24314;%20XLSX%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7491;&#22312;&#36827;&#34892;&#30340;&#39033;&#30446;\&#20975;&#36187;PDBD\&#22270;\&#26032;&#24314;%20XLSX%20&#24037;&#20316;&#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7491;&#22312;&#36827;&#34892;&#30340;&#39033;&#30446;\&#20975;&#36187;PDBD\&#22270;\&#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scatterChart>
        <c:scatterStyle val="smoothMarker"/>
        <c:varyColors val="0"/>
        <c:ser>
          <c:idx val="0"/>
          <c:order val="0"/>
          <c:tx>
            <c:strRef>
              <c:f>'[新建 XLSX 工作表.xlsx]Sheet1'!$E$145</c:f>
              <c:strCache>
                <c:ptCount val="1"/>
                <c:pt idx="0">
                  <c:v>100天         </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dLbls>
            <c:delete val="1"/>
          </c:dLbls>
          <c:xVal>
            <c:numRef>
              <c:f>'[新建 XLSX 工作表.xlsx]Sheet1'!$D$146:$D$166</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'[新建 XLSX 工作表.xlsx]Sheet1'!$E$146:$E$166</c:f>
              <c:numCache>
                <c:formatCode>0.00E+00</c:formatCode>
                <c:ptCount val="21"/>
                <c:pt idx="0">
                  <c:v>22200</c:v>
                </c:pt>
                <c:pt idx="1">
                  <c:v>25100</c:v>
                </c:pt>
                <c:pt idx="2">
                  <c:v>21900</c:v>
                </c:pt>
                <c:pt idx="3">
                  <c:v>14900</c:v>
                </c:pt>
                <c:pt idx="4">
                  <c:v>7830</c:v>
                </c:pt>
                <c:pt idx="5">
                  <c:v>3190</c:v>
                </c:pt>
                <c:pt idx="6">
                  <c:v>1010</c:v>
                </c:pt>
                <c:pt idx="7">
                  <c:v>246</c:v>
                </c:pt>
                <c:pt idx="8">
                  <c:v>46.7</c:v>
                </c:pt>
                <c:pt idx="9">
                  <c:v>6.85</c:v>
                </c:pt>
                <c:pt idx="10">
                  <c:v>0.78</c:v>
                </c:pt>
                <c:pt idx="11">
                  <c:v>0.0688</c:v>
                </c:pt>
                <c:pt idx="12">
                  <c:v>0.0047</c:v>
                </c:pt>
                <c:pt idx="13">
                  <c:v>0.000249</c:v>
                </c:pt>
                <c:pt idx="14">
                  <c:v>1.02e-5</c:v>
                </c:pt>
                <c:pt idx="15">
                  <c:v>3.24e-7</c:v>
                </c:pt>
                <c:pt idx="16">
                  <c:v>7.98e-9</c:v>
                </c:pt>
                <c:pt idx="17">
                  <c:v>1.52e-10</c:v>
                </c:pt>
                <c:pt idx="18">
                  <c:v>2.25e-12</c:v>
                </c:pt>
                <c:pt idx="19">
                  <c:v>2.58e-14</c:v>
                </c:pt>
                <c:pt idx="20">
                  <c:v>2.29e-16</c:v>
                </c:pt>
              </c:numCache>
            </c:numRef>
          </c:yVal>
          <c:smooth val="1"/>
        </c:ser>
        <c:dLbls>
          <c:showLegendKey val="0"/>
          <c:showVal val="0"/>
          <c:showCatName val="0"/>
          <c:showSerName val="0"/>
          <c:showPercent val="0"/>
          <c:showBubbleSize val="0"/>
        </c:dLbls>
        <c:axId val="647438444"/>
        <c:axId val="96764116"/>
      </c:scatterChart>
      <c:valAx>
        <c:axId val="647438444"/>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altLang="en-US"/>
                  <a:t>（</a:t>
                </a:r>
                <a:r>
                  <a:rPr lang="en-US" altLang="zh-CN"/>
                  <a:t>m</a:t>
                </a:r>
                <a:r>
                  <a:rPr altLang="en-US"/>
                  <a:t>）</a:t>
                </a:r>
                <a:endParaRPr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764116"/>
        <c:crosses val="autoZero"/>
        <c:crossBetween val="midCat"/>
        <c:majorUnit val="10"/>
      </c:valAx>
      <c:valAx>
        <c:axId val="967641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altLang="en-US"/>
                  <a:t>（</a:t>
                </a:r>
                <a:r>
                  <a:rPr lang="en-US" altLang="zh-CN"/>
                  <a:t>mg/L</a:t>
                </a:r>
                <a:r>
                  <a:rPr altLang="en-US"/>
                  <a:t>）</a:t>
                </a:r>
                <a:endParaRPr altLang="en-US"/>
              </a:p>
            </c:rich>
          </c:tx>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74384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scatterChart>
        <c:scatterStyle val="smoothMarker"/>
        <c:varyColors val="0"/>
        <c:ser>
          <c:idx val="0"/>
          <c:order val="0"/>
          <c:tx>
            <c:strRef>
              <c:f>'[新建 XLSX 工作表.xlsx]Sheet1'!$E$169</c:f>
              <c:strCache>
                <c:ptCount val="1"/>
                <c:pt idx="0">
                  <c:v>1000天         </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dLbls>
            <c:delete val="1"/>
          </c:dLbls>
          <c:xVal>
            <c:numRef>
              <c:f>'[新建 XLSX 工作表.xlsx]Sheet1'!$D$170:$D$185</c:f>
              <c:numCache>
                <c:formatCode>General</c:formatCode>
                <c:ptCount val="16"/>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numCache>
            </c:numRef>
          </c:xVal>
          <c:yVal>
            <c:numRef>
              <c:f>'[新建 XLSX 工作表.xlsx]Sheet1'!$E$170:$E$185</c:f>
              <c:numCache>
                <c:formatCode>0.00E+00</c:formatCode>
                <c:ptCount val="16"/>
                <c:pt idx="0">
                  <c:v>2330</c:v>
                </c:pt>
                <c:pt idx="1">
                  <c:v>5160</c:v>
                </c:pt>
                <c:pt idx="2">
                  <c:v>7600</c:v>
                </c:pt>
                <c:pt idx="3">
                  <c:v>7450</c:v>
                </c:pt>
                <c:pt idx="4">
                  <c:v>4850</c:v>
                </c:pt>
                <c:pt idx="5">
                  <c:v>2100</c:v>
                </c:pt>
                <c:pt idx="6">
                  <c:v>605</c:v>
                </c:pt>
                <c:pt idx="7">
                  <c:v>116</c:v>
                </c:pt>
                <c:pt idx="8">
                  <c:v>14.8</c:v>
                </c:pt>
                <c:pt idx="9">
                  <c:v>1.25</c:v>
                </c:pt>
                <c:pt idx="10">
                  <c:v>0.0703</c:v>
                </c:pt>
                <c:pt idx="11">
                  <c:v>0.00263</c:v>
                </c:pt>
                <c:pt idx="12">
                  <c:v>6.54e-5</c:v>
                </c:pt>
                <c:pt idx="13">
                  <c:v>1.08e-6</c:v>
                </c:pt>
                <c:pt idx="14">
                  <c:v>1.19e-8</c:v>
                </c:pt>
                <c:pt idx="15">
                  <c:v>8.7e-11</c:v>
                </c:pt>
              </c:numCache>
            </c:numRef>
          </c:yVal>
          <c:smooth val="1"/>
        </c:ser>
        <c:dLbls>
          <c:showLegendKey val="0"/>
          <c:showVal val="0"/>
          <c:showCatName val="0"/>
          <c:showSerName val="0"/>
          <c:showPercent val="0"/>
          <c:showBubbleSize val="0"/>
        </c:dLbls>
        <c:axId val="285358275"/>
        <c:axId val="991848184"/>
      </c:scatterChart>
      <c:valAx>
        <c:axId val="285358275"/>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altLang="en-US"/>
                  <a:t>（</a:t>
                </a:r>
                <a:r>
                  <a:rPr lang="en-US" altLang="zh-CN"/>
                  <a:t>m</a:t>
                </a:r>
                <a:r>
                  <a:rPr altLang="en-US"/>
                  <a:t>）</a:t>
                </a:r>
                <a:endParaRPr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848184"/>
        <c:crosses val="autoZero"/>
        <c:crossBetween val="midCat"/>
      </c:valAx>
      <c:valAx>
        <c:axId val="991848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altLang="en-US"/>
                  <a:t>（</a:t>
                </a:r>
                <a:r>
                  <a:rPr lang="en-US" altLang="zh-CN"/>
                  <a:t>mg/L</a:t>
                </a:r>
                <a:r>
                  <a:rPr altLang="en-US"/>
                  <a:t>）</a:t>
                </a:r>
                <a:endParaRPr altLang="en-US"/>
              </a:p>
            </c:rich>
          </c:tx>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535827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scatterChart>
        <c:scatterStyle val="smoothMarker"/>
        <c:varyColors val="0"/>
        <c:ser>
          <c:idx val="0"/>
          <c:order val="0"/>
          <c:tx>
            <c:strRef>
              <c:f>'[新建 XLSX 工作表.xlsx]Sheet1'!$E$190</c:f>
              <c:strCache>
                <c:ptCount val="1"/>
                <c:pt idx="0">
                  <c:v>7300天         </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dLbls>
            <c:delete val="1"/>
          </c:dLbls>
          <c:xVal>
            <c:numRef>
              <c:f>'[新建 XLSX 工作表.xlsx]Sheet1'!$D$191:$D$211</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xVal>
          <c:yVal>
            <c:numRef>
              <c:f>'[新建 XLSX 工作表.xlsx]Sheet1'!$E$191:$E$211</c:f>
              <c:numCache>
                <c:formatCode>0.00E+00</c:formatCode>
                <c:ptCount val="21"/>
                <c:pt idx="0">
                  <c:v>0.383</c:v>
                </c:pt>
                <c:pt idx="1">
                  <c:v>3.92</c:v>
                </c:pt>
                <c:pt idx="2">
                  <c:v>28.3</c:v>
                </c:pt>
                <c:pt idx="3">
                  <c:v>144</c:v>
                </c:pt>
                <c:pt idx="4">
                  <c:v>516</c:v>
                </c:pt>
                <c:pt idx="5">
                  <c:v>1300</c:v>
                </c:pt>
                <c:pt idx="6">
                  <c:v>2320</c:v>
                </c:pt>
                <c:pt idx="7">
                  <c:v>2920</c:v>
                </c:pt>
                <c:pt idx="8">
                  <c:v>2590</c:v>
                </c:pt>
                <c:pt idx="9">
                  <c:v>1620</c:v>
                </c:pt>
                <c:pt idx="10">
                  <c:v>712</c:v>
                </c:pt>
                <c:pt idx="11">
                  <c:v>221</c:v>
                </c:pt>
                <c:pt idx="12">
                  <c:v>48.5</c:v>
                </c:pt>
                <c:pt idx="13">
                  <c:v>7.48</c:v>
                </c:pt>
                <c:pt idx="14">
                  <c:v>0.814</c:v>
                </c:pt>
                <c:pt idx="15">
                  <c:v>0.0625</c:v>
                </c:pt>
                <c:pt idx="16">
                  <c:v>0.00338</c:v>
                </c:pt>
                <c:pt idx="17">
                  <c:v>0.000129</c:v>
                </c:pt>
                <c:pt idx="18">
                  <c:v>3.47e-6</c:v>
                </c:pt>
                <c:pt idx="19">
                  <c:v>6.59e-8</c:v>
                </c:pt>
                <c:pt idx="20">
                  <c:v>8.81e-10</c:v>
                </c:pt>
              </c:numCache>
            </c:numRef>
          </c:yVal>
          <c:smooth val="1"/>
        </c:ser>
        <c:dLbls>
          <c:showLegendKey val="0"/>
          <c:showVal val="0"/>
          <c:showCatName val="0"/>
          <c:showSerName val="0"/>
          <c:showPercent val="0"/>
          <c:showBubbleSize val="0"/>
        </c:dLbls>
        <c:axId val="497920342"/>
        <c:axId val="828315133"/>
      </c:scatterChart>
      <c:valAx>
        <c:axId val="497920342"/>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X</a:t>
                </a:r>
                <a:r>
                  <a:rPr altLang="en-US"/>
                  <a:t>（</a:t>
                </a:r>
                <a:r>
                  <a:rPr lang="en-US" altLang="zh-CN"/>
                  <a:t>m</a:t>
                </a:r>
                <a:r>
                  <a:rPr altLang="en-US"/>
                  <a:t>）</a:t>
                </a:r>
                <a:endParaRPr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8315133"/>
        <c:crosses val="autoZero"/>
        <c:crossBetween val="midCat"/>
        <c:majorUnit val="100"/>
      </c:valAx>
      <c:valAx>
        <c:axId val="82831513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C</a:t>
                </a:r>
                <a:r>
                  <a:rPr altLang="en-US"/>
                  <a:t>（</a:t>
                </a:r>
                <a:r>
                  <a:rPr lang="en-US" altLang="zh-CN"/>
                  <a:t>mg/L</a:t>
                </a:r>
                <a:r>
                  <a:rPr altLang="en-US"/>
                  <a:t>）</a:t>
                </a:r>
                <a:endParaRPr altLang="en-US"/>
              </a:p>
            </c:rich>
          </c:tx>
          <c:layout/>
          <c:overlay val="0"/>
          <c:spPr>
            <a:noFill/>
            <a:ln>
              <a:noFill/>
            </a:ln>
            <a:effectLst/>
          </c:sp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92034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104"/>
    <customShpInfo spid="_x0000_s2116"/>
    <customShpInfo spid="_x0000_s2117"/>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lzdx</Company>
  <Pages>239</Pages>
  <Words>143656</Words>
  <Characters>174395</Characters>
  <Lines>1921</Lines>
  <Paragraphs>541</Paragraphs>
  <TotalTime>107</TotalTime>
  <ScaleCrop>false</ScaleCrop>
  <LinksUpToDate>false</LinksUpToDate>
  <CharactersWithSpaces>176096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2017-01-20T06:23:00Z</dcterms:created>
  <dc:creator>ThinkPad</dc:creator>
  <cp:lastModifiedBy>缄默如斯</cp:lastModifiedBy>
  <cp:lastPrinted>2019-06-24T05:06:00Z</cp:lastPrinted>
  <dcterms:modified xsi:type="dcterms:W3CDTF">2023-10-20T10:23:20Z</dcterms:modified>
  <dc:title>前   言</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68D70408CF1B40C2BCE28BF7575DE2B9_13</vt:lpwstr>
  </property>
</Properties>
</file>