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仿宋_GB2312" w:eastAsia="仿宋_GB2312" w:cs="Times New Roman"/>
          <w:kern w:val="2"/>
          <w:sz w:val="32"/>
          <w:szCs w:val="32"/>
          <w:lang w:eastAsia="zh-CN"/>
        </w:rPr>
      </w:pPr>
    </w:p>
    <w:tbl>
      <w:tblPr>
        <w:tblStyle w:val="12"/>
        <w:tblW w:w="8988" w:type="dxa"/>
        <w:tblInd w:w="0" w:type="dxa"/>
        <w:shd w:val="clear" w:color="auto" w:fill="auto"/>
        <w:tblLayout w:type="fixed"/>
        <w:tblCellMar>
          <w:top w:w="0" w:type="dxa"/>
          <w:left w:w="0" w:type="dxa"/>
          <w:bottom w:w="0" w:type="dxa"/>
          <w:right w:w="0" w:type="dxa"/>
        </w:tblCellMar>
      </w:tblPr>
      <w:tblGrid>
        <w:gridCol w:w="7772"/>
        <w:gridCol w:w="1216"/>
      </w:tblGrid>
      <w:tr>
        <w:tblPrEx>
          <w:shd w:val="clear" w:color="auto" w:fill="auto"/>
          <w:tblLayout w:type="fixed"/>
          <w:tblCellMar>
            <w:top w:w="0" w:type="dxa"/>
            <w:left w:w="0" w:type="dxa"/>
            <w:bottom w:w="0" w:type="dxa"/>
            <w:right w:w="0" w:type="dxa"/>
          </w:tblCellMar>
        </w:tblPrEx>
        <w:trPr>
          <w:trHeight w:val="340" w:hRule="atLeast"/>
        </w:trPr>
        <w:tc>
          <w:tcPr>
            <w:tcW w:w="7772" w:type="dxa"/>
            <w:tcBorders>
              <w:top w:val="nil"/>
              <w:left w:val="nil"/>
              <w:bottom w:val="nil"/>
              <w:right w:val="nil"/>
            </w:tcBorders>
            <w:shd w:val="clear" w:color="auto" w:fill="auto"/>
            <w:noWrap/>
            <w:tcMar>
              <w:top w:w="15" w:type="dxa"/>
              <w:left w:w="15" w:type="dxa"/>
              <w:right w:w="15" w:type="dxa"/>
            </w:tcMar>
            <w:vAlign w:val="center"/>
          </w:tcPr>
          <w:p>
            <w:pPr>
              <w:ind w:left="0" w:leftChars="0" w:firstLine="0" w:firstLineChars="0"/>
              <w:jc w:val="distribute"/>
              <w:rPr>
                <w:rFonts w:hint="eastAsia" w:ascii="宋体" w:hAnsi="宋体" w:eastAsia="宋体" w:cs="宋体"/>
                <w:i w:val="0"/>
                <w:color w:val="000000"/>
                <w:sz w:val="50"/>
                <w:szCs w:val="50"/>
                <w:u w:val="none"/>
              </w:rPr>
            </w:pPr>
            <w:r>
              <w:rPr>
                <w:rFonts w:hint="eastAsia" w:ascii="方正小标宋_GBK" w:hAnsi="华文中宋" w:eastAsia="方正小标宋_GBK" w:cs="Times New Roman"/>
                <w:b/>
                <w:color w:val="FF0000"/>
                <w:kern w:val="2"/>
                <w:sz w:val="50"/>
                <w:szCs w:val="50"/>
              </w:rPr>
              <w:t>塔城地区发展和改革委员会</w:t>
            </w:r>
          </w:p>
        </w:tc>
        <w:tc>
          <w:tcPr>
            <w:tcW w:w="1216" w:type="dxa"/>
            <w:vMerge w:val="restart"/>
            <w:tcBorders>
              <w:top w:val="nil"/>
              <w:left w:val="nil"/>
              <w:bottom w:val="nil"/>
              <w:right w:val="nil"/>
            </w:tcBorders>
            <w:shd w:val="clear" w:color="auto" w:fill="auto"/>
            <w:noWrap/>
            <w:tcMar>
              <w:top w:w="15" w:type="dxa"/>
              <w:left w:w="15" w:type="dxa"/>
              <w:right w:w="15" w:type="dxa"/>
            </w:tcMar>
            <w:vAlign w:val="center"/>
          </w:tcPr>
          <w:p>
            <w:pPr>
              <w:ind w:left="0" w:leftChars="0" w:firstLine="0" w:firstLineChars="0"/>
              <w:jc w:val="both"/>
              <w:rPr>
                <w:rFonts w:hint="eastAsia" w:ascii="宋体" w:hAnsi="宋体" w:eastAsia="宋体" w:cs="宋体"/>
                <w:i w:val="0"/>
                <w:color w:val="000000"/>
                <w:sz w:val="22"/>
                <w:szCs w:val="22"/>
                <w:u w:val="none"/>
              </w:rPr>
            </w:pPr>
            <w:r>
              <w:rPr>
                <w:rFonts w:hint="eastAsia" w:ascii="方正小标宋_GBK" w:hAnsi="华文中宋" w:eastAsia="方正小标宋_GBK" w:cs="Times New Roman"/>
                <w:b/>
                <w:color w:val="FF0000"/>
                <w:kern w:val="2"/>
                <w:sz w:val="56"/>
                <w:szCs w:val="56"/>
                <w:lang w:val="en-US" w:eastAsia="zh-CN"/>
              </w:rPr>
              <w:t>文件</w:t>
            </w:r>
          </w:p>
        </w:tc>
      </w:tr>
      <w:tr>
        <w:tblPrEx>
          <w:tblLayout w:type="fixed"/>
          <w:tblCellMar>
            <w:top w:w="0" w:type="dxa"/>
            <w:left w:w="0" w:type="dxa"/>
            <w:bottom w:w="0" w:type="dxa"/>
            <w:right w:w="0" w:type="dxa"/>
          </w:tblCellMar>
        </w:tblPrEx>
        <w:trPr>
          <w:trHeight w:val="340" w:hRule="atLeast"/>
        </w:trPr>
        <w:tc>
          <w:tcPr>
            <w:tcW w:w="7772" w:type="dxa"/>
            <w:tcBorders>
              <w:top w:val="nil"/>
              <w:left w:val="nil"/>
              <w:bottom w:val="nil"/>
              <w:right w:val="nil"/>
            </w:tcBorders>
            <w:shd w:val="clear" w:color="auto" w:fill="auto"/>
            <w:noWrap/>
            <w:tcMar>
              <w:top w:w="15" w:type="dxa"/>
              <w:left w:w="15" w:type="dxa"/>
              <w:right w:w="15" w:type="dxa"/>
            </w:tcMar>
            <w:vAlign w:val="center"/>
          </w:tcPr>
          <w:p>
            <w:pPr>
              <w:ind w:left="0" w:leftChars="0" w:firstLine="0" w:firstLineChars="0"/>
              <w:jc w:val="distribute"/>
              <w:rPr>
                <w:rFonts w:hint="eastAsia" w:ascii="宋体" w:hAnsi="宋体" w:eastAsia="宋体" w:cs="宋体"/>
                <w:i w:val="0"/>
                <w:color w:val="000000"/>
                <w:sz w:val="50"/>
                <w:szCs w:val="50"/>
                <w:u w:val="none"/>
              </w:rPr>
            </w:pPr>
            <w:r>
              <w:rPr>
                <w:rFonts w:hint="eastAsia" w:ascii="方正小标宋_GBK" w:hAnsi="华文中宋" w:eastAsia="方正小标宋_GBK" w:cs="Times New Roman"/>
                <w:b/>
                <w:color w:val="FF0000"/>
                <w:spacing w:val="-11"/>
                <w:kern w:val="2"/>
                <w:sz w:val="50"/>
                <w:szCs w:val="50"/>
                <w:lang w:val="en-US" w:eastAsia="zh-CN"/>
              </w:rPr>
              <w:t>塔城地区文化体育广播电视和旅游局</w:t>
            </w:r>
          </w:p>
        </w:tc>
        <w:tc>
          <w:tcPr>
            <w:tcW w:w="1216"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40" w:hRule="atLeast"/>
        </w:trPr>
        <w:tc>
          <w:tcPr>
            <w:tcW w:w="7772" w:type="dxa"/>
            <w:tcBorders>
              <w:top w:val="nil"/>
              <w:left w:val="nil"/>
              <w:bottom w:val="nil"/>
              <w:right w:val="nil"/>
            </w:tcBorders>
            <w:shd w:val="clear" w:color="auto" w:fill="auto"/>
            <w:noWrap/>
            <w:tcMar>
              <w:top w:w="15" w:type="dxa"/>
              <w:left w:w="15" w:type="dxa"/>
              <w:right w:w="15" w:type="dxa"/>
            </w:tcMar>
            <w:vAlign w:val="center"/>
          </w:tcPr>
          <w:p>
            <w:pPr>
              <w:ind w:left="0" w:leftChars="0" w:firstLine="0" w:firstLineChars="0"/>
              <w:jc w:val="distribute"/>
              <w:rPr>
                <w:rFonts w:hint="eastAsia" w:ascii="宋体" w:hAnsi="宋体" w:eastAsia="宋体" w:cs="宋体"/>
                <w:i w:val="0"/>
                <w:color w:val="000000"/>
                <w:sz w:val="50"/>
                <w:szCs w:val="50"/>
                <w:u w:val="none"/>
              </w:rPr>
            </w:pPr>
            <w:r>
              <w:rPr>
                <w:rFonts w:hint="eastAsia" w:ascii="方正小标宋_GBK" w:hAnsi="华文中宋" w:eastAsia="方正小标宋_GBK" w:cs="Times New Roman"/>
                <w:b/>
                <w:color w:val="FF0000"/>
                <w:kern w:val="2"/>
                <w:sz w:val="50"/>
                <w:szCs w:val="50"/>
              </w:rPr>
              <w:t>塔城地区</w:t>
            </w:r>
            <w:r>
              <w:rPr>
                <w:rFonts w:hint="eastAsia" w:ascii="方正小标宋_GBK" w:hAnsi="华文中宋" w:eastAsia="方正小标宋_GBK" w:cs="Times New Roman"/>
                <w:b/>
                <w:color w:val="FF0000"/>
                <w:kern w:val="2"/>
                <w:sz w:val="50"/>
                <w:szCs w:val="50"/>
                <w:lang w:val="en-US" w:eastAsia="zh-CN"/>
              </w:rPr>
              <w:t>财政</w:t>
            </w:r>
            <w:r>
              <w:rPr>
                <w:rFonts w:hint="eastAsia" w:ascii="方正小标宋_GBK" w:hAnsi="华文中宋" w:eastAsia="方正小标宋_GBK" w:cs="Times New Roman"/>
                <w:b/>
                <w:color w:val="FF0000"/>
                <w:kern w:val="2"/>
                <w:sz w:val="50"/>
                <w:szCs w:val="50"/>
              </w:rPr>
              <w:t>局</w:t>
            </w:r>
          </w:p>
        </w:tc>
        <w:tc>
          <w:tcPr>
            <w:tcW w:w="1216"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40" w:hRule="atLeast"/>
        </w:trPr>
        <w:tc>
          <w:tcPr>
            <w:tcW w:w="7772" w:type="dxa"/>
            <w:tcBorders>
              <w:top w:val="nil"/>
              <w:left w:val="nil"/>
              <w:bottom w:val="nil"/>
              <w:right w:val="nil"/>
            </w:tcBorders>
            <w:shd w:val="clear" w:color="auto" w:fill="auto"/>
            <w:noWrap/>
            <w:tcMar>
              <w:top w:w="15" w:type="dxa"/>
              <w:left w:w="15" w:type="dxa"/>
              <w:right w:w="15" w:type="dxa"/>
            </w:tcMar>
            <w:vAlign w:val="center"/>
          </w:tcPr>
          <w:p>
            <w:pPr>
              <w:ind w:left="0" w:leftChars="0" w:firstLine="0" w:firstLineChars="0"/>
              <w:jc w:val="distribute"/>
              <w:rPr>
                <w:rFonts w:hint="eastAsia" w:ascii="宋体" w:hAnsi="宋体" w:eastAsia="宋体" w:cs="宋体"/>
                <w:i w:val="0"/>
                <w:color w:val="000000"/>
                <w:sz w:val="50"/>
                <w:szCs w:val="50"/>
                <w:u w:val="none"/>
              </w:rPr>
            </w:pPr>
            <w:r>
              <w:rPr>
                <w:rFonts w:hint="eastAsia" w:ascii="方正小标宋_GBK" w:hAnsi="华文中宋" w:eastAsia="方正小标宋_GBK" w:cs="Times New Roman"/>
                <w:b/>
                <w:color w:val="FF0000"/>
                <w:kern w:val="2"/>
                <w:sz w:val="50"/>
                <w:szCs w:val="50"/>
              </w:rPr>
              <w:t>塔城地区</w:t>
            </w:r>
            <w:r>
              <w:rPr>
                <w:rFonts w:hint="eastAsia" w:ascii="方正小标宋_GBK" w:hAnsi="华文中宋" w:eastAsia="方正小标宋_GBK" w:cs="Times New Roman"/>
                <w:b/>
                <w:color w:val="FF0000"/>
                <w:kern w:val="2"/>
                <w:sz w:val="50"/>
                <w:szCs w:val="50"/>
                <w:lang w:val="en-US" w:eastAsia="zh-CN"/>
              </w:rPr>
              <w:t>商务</w:t>
            </w:r>
            <w:r>
              <w:rPr>
                <w:rFonts w:hint="eastAsia" w:ascii="方正小标宋_GBK" w:hAnsi="华文中宋" w:eastAsia="方正小标宋_GBK" w:cs="Times New Roman"/>
                <w:b/>
                <w:color w:val="FF0000"/>
                <w:kern w:val="2"/>
                <w:sz w:val="50"/>
                <w:szCs w:val="50"/>
              </w:rPr>
              <w:t>局</w:t>
            </w:r>
          </w:p>
        </w:tc>
        <w:tc>
          <w:tcPr>
            <w:tcW w:w="1216"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ind w:firstLine="0" w:firstLineChars="0"/>
        <w:jc w:val="center"/>
        <w:rPr>
          <w:rFonts w:hint="eastAsia" w:ascii="仿宋_GB2312" w:eastAsia="仿宋_GB2312" w:cs="Times New Roman"/>
          <w:kern w:val="2"/>
          <w:sz w:val="32"/>
          <w:szCs w:val="32"/>
          <w:lang w:eastAsia="zh-CN"/>
        </w:rPr>
      </w:pPr>
    </w:p>
    <w:p>
      <w:pPr>
        <w:ind w:firstLine="0" w:firstLineChars="0"/>
        <w:jc w:val="center"/>
        <w:rPr>
          <w:rFonts w:hint="eastAsia" w:ascii="仿宋_GB2312" w:hAnsi="华文中宋" w:eastAsia="仿宋_GB2312" w:cs="Times New Roman"/>
          <w:kern w:val="2"/>
          <w:sz w:val="32"/>
          <w:szCs w:val="32"/>
        </w:rPr>
      </w:pPr>
      <w:r>
        <w:rPr>
          <w:rFonts w:hint="eastAsia" w:ascii="仿宋_GB2312" w:hAnsi="Times New Roman" w:eastAsia="仿宋_GB2312" w:cs="Times New Roman"/>
          <w:kern w:val="2"/>
          <w:sz w:val="32"/>
          <w:szCs w:val="32"/>
        </w:rPr>
        <w:t>塔地发改</w:t>
      </w:r>
      <w:r>
        <w:rPr>
          <w:rFonts w:hint="eastAsia" w:ascii="仿宋_GB2312" w:hAnsi="Times New Roman" w:eastAsia="仿宋_GB2312" w:cs="Times New Roman"/>
          <w:kern w:val="2"/>
          <w:sz w:val="32"/>
          <w:szCs w:val="32"/>
          <w:lang w:val="en-US" w:eastAsia="zh-CN"/>
        </w:rPr>
        <w:t>基础</w:t>
      </w:r>
      <w:r>
        <w:rPr>
          <w:rFonts w:hint="default" w:ascii="Times New Roman" w:hAnsi="Times New Roman" w:eastAsia="仿宋_GB2312" w:cs="Times New Roman"/>
          <w:kern w:val="2"/>
          <w:sz w:val="32"/>
          <w:szCs w:val="32"/>
        </w:rPr>
        <w:t>〔20</w:t>
      </w:r>
      <w:r>
        <w:rPr>
          <w:rFonts w:hint="default" w:ascii="Times New Roman" w:hAnsi="Times New Roman" w:eastAsia="仿宋_GB2312" w:cs="Times New Roman"/>
          <w:kern w:val="2"/>
          <w:sz w:val="32"/>
          <w:szCs w:val="32"/>
          <w:lang w:val="en-US" w:eastAsia="zh-CN"/>
        </w:rPr>
        <w:t>2</w:t>
      </w:r>
      <w:r>
        <w:rPr>
          <w:rFonts w:hint="eastAsia"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22</w:t>
      </w:r>
      <w:r>
        <w:rPr>
          <w:rFonts w:hint="eastAsia" w:ascii="仿宋_GB2312" w:hAnsi="Times New Roman" w:eastAsia="仿宋_GB2312" w:cs="Times New Roman"/>
          <w:kern w:val="2"/>
          <w:sz w:val="32"/>
          <w:szCs w:val="32"/>
        </w:rPr>
        <w:t>号</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rPr>
      </w:pPr>
      <w:r>
        <w:rPr>
          <w:rFonts w:eastAsia="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50165</wp:posOffset>
                </wp:positionH>
                <wp:positionV relativeFrom="paragraph">
                  <wp:posOffset>196215</wp:posOffset>
                </wp:positionV>
                <wp:extent cx="5486400" cy="0"/>
                <wp:effectExtent l="0" t="13970" r="0" b="24130"/>
                <wp:wrapSquare wrapText="bothSides"/>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95pt;margin-top:15.45pt;height:0pt;width:432pt;mso-wrap-distance-bottom:0pt;mso-wrap-distance-left:9pt;mso-wrap-distance-right:9pt;mso-wrap-distance-top:0pt;z-index:251661312;mso-width-relative:page;mso-height-relative:page;" filled="f" stroked="t" coordsize="21600,21600" o:gfxdata="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xr0gNQAAAAHAQAADwAAAAAA&#10;AAABACAAAAAiAAAAZHJzL2Rvd25yZXYueG1sUEsBAhQAFAAAAAgAh07iQHFi+EHeAQAAlwMAAA4A&#10;AAAAAAAAAQAgAAAAIwEAAGRycy9lMm9Eb2MueG1sUEsFBgAAAAAGAAYAWQEAAHMFAAAAAA==&#10;">
                <v:fill on="f" focussize="0,0"/>
                <v:stroke weight="2.25pt" color="#FF0000" joinstyle="round"/>
                <v:imagedata o:title=""/>
                <o:lock v:ext="edit" aspectratio="f"/>
                <w10:wrap type="square"/>
              </v:line>
            </w:pict>
          </mc:Fallback>
        </mc:AlternateConten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outlineLvl w:val="9"/>
        <w:rPr>
          <w:rFonts w:hint="default" w:ascii="Times New Roman" w:hAnsi="Times New Roman" w:cs="Times New Roman"/>
          <w:bCs/>
          <w:sz w:val="44"/>
          <w:szCs w:val="44"/>
        </w:rPr>
      </w:pPr>
      <w:r>
        <w:rPr>
          <w:rFonts w:hint="eastAsia" w:eastAsia="方正小标宋简体" w:cs="Times New Roman"/>
          <w:bCs/>
          <w:sz w:val="44"/>
          <w:szCs w:val="44"/>
          <w:lang w:eastAsia="zh-CN"/>
        </w:rPr>
        <w:t>关于</w:t>
      </w:r>
      <w:r>
        <w:rPr>
          <w:rFonts w:hint="default" w:ascii="Times New Roman" w:hAnsi="Times New Roman" w:eastAsia="方正小标宋简体" w:cs="Times New Roman"/>
          <w:bCs/>
          <w:sz w:val="44"/>
          <w:szCs w:val="44"/>
        </w:rPr>
        <w:t>塔城地区2024年</w:t>
      </w:r>
      <w:bookmarkStart w:id="0" w:name="_GoBack"/>
      <w:bookmarkEnd w:id="0"/>
      <w:r>
        <w:rPr>
          <w:rFonts w:hint="eastAsia" w:eastAsia="方正小标宋简体" w:cs="Times New Roman"/>
          <w:bCs/>
          <w:sz w:val="44"/>
          <w:szCs w:val="44"/>
          <w:lang w:eastAsia="zh-CN"/>
        </w:rPr>
        <w:t>度</w:t>
      </w:r>
      <w:r>
        <w:rPr>
          <w:rFonts w:hint="default" w:ascii="Times New Roman" w:hAnsi="Times New Roman" w:cs="Times New Roman"/>
          <w:bCs/>
          <w:sz w:val="44"/>
          <w:szCs w:val="44"/>
        </w:rPr>
        <w:t>“</w:t>
      </w:r>
      <w:r>
        <w:rPr>
          <w:rFonts w:hint="default" w:ascii="Times New Roman" w:hAnsi="Times New Roman" w:eastAsia="方正小标宋简体" w:cs="Times New Roman"/>
          <w:bCs/>
          <w:sz w:val="44"/>
          <w:szCs w:val="44"/>
        </w:rPr>
        <w:t>航游塔城</w:t>
      </w:r>
      <w:r>
        <w:rPr>
          <w:rFonts w:hint="default" w:ascii="Times New Roman" w:hAnsi="Times New Roman" w:cs="Times New Roman"/>
          <w:bCs/>
          <w:sz w:val="44"/>
          <w:szCs w:val="44"/>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outlineLvl w:val="9"/>
        <w:rPr>
          <w:rFonts w:hint="eastAsia" w:ascii="Times New Roman" w:hAnsi="Times New Roman" w:eastAsia="方正小标宋简体" w:cs="Times New Roman"/>
          <w:bCs/>
          <w:sz w:val="44"/>
          <w:szCs w:val="44"/>
          <w:lang w:eastAsia="zh-CN"/>
        </w:rPr>
      </w:pPr>
      <w:r>
        <w:rPr>
          <w:rFonts w:hint="default" w:ascii="Times New Roman" w:hAnsi="Times New Roman" w:eastAsia="方正小标宋简体" w:cs="Times New Roman"/>
          <w:bCs/>
          <w:sz w:val="44"/>
          <w:szCs w:val="44"/>
        </w:rPr>
        <w:t>优惠</w:t>
      </w:r>
      <w:r>
        <w:rPr>
          <w:rFonts w:hint="eastAsia" w:eastAsia="方正小标宋简体" w:cs="Times New Roman"/>
          <w:bCs/>
          <w:sz w:val="44"/>
          <w:szCs w:val="44"/>
          <w:lang w:eastAsia="zh-CN"/>
        </w:rPr>
        <w:t>及奖励</w:t>
      </w:r>
      <w:r>
        <w:rPr>
          <w:rFonts w:hint="default" w:ascii="Times New Roman" w:hAnsi="Times New Roman" w:eastAsia="方正小标宋简体" w:cs="Times New Roman"/>
          <w:bCs/>
          <w:sz w:val="44"/>
          <w:szCs w:val="44"/>
        </w:rPr>
        <w:t>政策</w:t>
      </w:r>
      <w:r>
        <w:rPr>
          <w:rFonts w:hint="eastAsia" w:eastAsia="方正小标宋简体" w:cs="Times New Roman"/>
          <w:bCs/>
          <w:sz w:val="44"/>
          <w:szCs w:val="44"/>
          <w:lang w:eastAsia="zh-CN"/>
        </w:rPr>
        <w:t>的通知</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eastAsia="仿宋_GB2312" w:cs="Times New Roman"/>
          <w:kern w:val="2"/>
          <w:sz w:val="32"/>
          <w:szCs w:val="32"/>
          <w:lang w:eastAsia="zh-CN"/>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Times New Roman" w:hAnsi="Times New Roman" w:eastAsia="仿宋_GB2312" w:cs="Times New Roman"/>
          <w:kern w:val="2"/>
          <w:sz w:val="32"/>
          <w:szCs w:val="32"/>
          <w:lang w:eastAsia="zh-CN"/>
        </w:rPr>
      </w:pPr>
      <w:r>
        <w:rPr>
          <w:rFonts w:hint="eastAsia" w:eastAsia="仿宋_GB2312" w:cs="Times New Roman"/>
          <w:kern w:val="2"/>
          <w:sz w:val="32"/>
          <w:szCs w:val="32"/>
          <w:lang w:eastAsia="zh-CN"/>
        </w:rPr>
        <w:t>各县（市）发展改革委、文体广旅局、财政局、商工信局：</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仿宋_GB2312" w:hAnsi="仿宋_GB2312" w:eastAsia="仿宋_GB2312" w:cs="仿宋_GB2312"/>
          <w:kern w:val="2"/>
          <w:sz w:val="32"/>
          <w:szCs w:val="32"/>
          <w:lang w:val="en-US" w:eastAsia="zh-CN"/>
        </w:rPr>
      </w:pPr>
      <w:r>
        <w:rPr>
          <w:rFonts w:hint="eastAsia" w:eastAsia="仿宋_GB2312" w:cs="Times New Roman"/>
          <w:kern w:val="2"/>
          <w:sz w:val="32"/>
          <w:szCs w:val="32"/>
          <w:lang w:val="en-US" w:eastAsia="zh-CN"/>
        </w:rPr>
        <w:t>为深入贯彻习近平总书记关于文化旅游及航空运输工作的重要论述思想，落实《国务院办公厅印发&lt;关于释放旅游消费潜力推动旅游业高质量发展的若干措施&gt;的通知》（国办发</w:t>
      </w:r>
      <w:r>
        <w:rPr>
          <w:rFonts w:hint="eastAsia" w:ascii="仿宋_GB2312" w:hAnsi="仿宋_GB2312" w:eastAsia="仿宋_GB2312" w:cs="仿宋_GB2312"/>
          <w:kern w:val="2"/>
          <w:sz w:val="32"/>
          <w:szCs w:val="32"/>
          <w:lang w:val="en-US" w:eastAsia="zh-CN"/>
        </w:rPr>
        <w:t>〔2024〕36号）精神，推动地区航空+旅游产业发展，发挥旅游业对推动地区航空运输产业发展及经济社会发展的重要作用，经研究，提出以下优惠及奖励政策，现正式印发执行。具体如下：</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Times New Roman" w:hAnsi="Times New Roman" w:eastAsia="黑体" w:cs="Times New Roman"/>
          <w:kern w:val="2"/>
          <w:sz w:val="32"/>
          <w:szCs w:val="32"/>
          <w:lang w:val="en-US" w:eastAsia="zh-CN"/>
        </w:rPr>
      </w:pPr>
      <w:r>
        <w:rPr>
          <w:rFonts w:hint="eastAsia" w:ascii="Times New Roman" w:hAnsi="Times New Roman" w:eastAsia="黑体" w:cs="Times New Roman"/>
          <w:kern w:val="2"/>
          <w:sz w:val="32"/>
          <w:szCs w:val="32"/>
          <w:lang w:val="en-US" w:eastAsia="zh-CN"/>
        </w:rPr>
        <w:t>一、乘机来塔旅游优惠政策</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仿宋_GB2312" w:cs="Times New Roman"/>
          <w:kern w:val="2"/>
          <w:sz w:val="32"/>
          <w:szCs w:val="32"/>
        </w:rPr>
      </w:pPr>
      <w:r>
        <w:rPr>
          <w:rFonts w:hint="eastAsia" w:eastAsia="仿宋_GB2312" w:cs="Times New Roman"/>
          <w:kern w:val="2"/>
          <w:sz w:val="32"/>
          <w:szCs w:val="32"/>
          <w:lang w:val="en-US" w:eastAsia="zh-CN"/>
        </w:rPr>
        <w:t>2024年度，</w:t>
      </w:r>
      <w:r>
        <w:rPr>
          <w:rFonts w:hint="default" w:ascii="Times New Roman" w:hAnsi="Times New Roman" w:eastAsia="仿宋_GB2312" w:cs="Times New Roman"/>
          <w:kern w:val="2"/>
          <w:sz w:val="32"/>
          <w:szCs w:val="32"/>
        </w:rPr>
        <w:t>凡落地塔城</w:t>
      </w:r>
      <w:r>
        <w:rPr>
          <w:rFonts w:hint="eastAsia" w:ascii="Times New Roman" w:hAnsi="Times New Roman" w:eastAsia="仿宋_GB2312" w:cs="Times New Roman"/>
          <w:kern w:val="2"/>
          <w:sz w:val="32"/>
          <w:szCs w:val="32"/>
          <w:lang w:eastAsia="zh-CN"/>
        </w:rPr>
        <w:t>（千泉）</w:t>
      </w:r>
      <w:r>
        <w:rPr>
          <w:rFonts w:hint="default" w:ascii="Times New Roman" w:hAnsi="Times New Roman" w:eastAsia="仿宋_GB2312" w:cs="Times New Roman"/>
          <w:kern w:val="2"/>
          <w:sz w:val="32"/>
          <w:szCs w:val="32"/>
        </w:rPr>
        <w:t>机场的</w:t>
      </w:r>
      <w:r>
        <w:rPr>
          <w:rFonts w:hint="eastAsia" w:eastAsia="仿宋_GB2312" w:cs="Times New Roman"/>
          <w:kern w:val="2"/>
          <w:sz w:val="32"/>
          <w:szCs w:val="32"/>
          <w:lang w:eastAsia="zh-CN"/>
        </w:rPr>
        <w:t>乘</w:t>
      </w:r>
      <w:r>
        <w:rPr>
          <w:rFonts w:hint="default" w:ascii="Times New Roman" w:hAnsi="Times New Roman" w:eastAsia="仿宋_GB2312" w:cs="Times New Roman"/>
          <w:kern w:val="2"/>
          <w:sz w:val="32"/>
          <w:szCs w:val="32"/>
        </w:rPr>
        <w:t>客，凭本人5日内登机牌（纸质或电子版）可享受如下优惠政策：</w:t>
      </w:r>
    </w:p>
    <w:p>
      <w:pPr>
        <w:keepNext w:val="0"/>
        <w:keepLines w:val="0"/>
        <w:pageBreakBefore w:val="0"/>
        <w:numPr>
          <w:ilvl w:val="0"/>
          <w:numId w:val="1"/>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0" w:firstLine="643" w:firstLineChars="200"/>
        <w:jc w:val="both"/>
        <w:textAlignment w:val="auto"/>
        <w:outlineLvl w:val="9"/>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游览景区、滑雪优惠</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地区所有A级旅游景区及各文博场馆均可免费游览。（</w:t>
      </w:r>
      <w:r>
        <w:rPr>
          <w:rFonts w:hint="eastAsia" w:eastAsia="仿宋_GB2312" w:cs="Times New Roman"/>
          <w:kern w:val="2"/>
          <w:sz w:val="32"/>
          <w:szCs w:val="32"/>
          <w:lang w:eastAsia="zh-CN"/>
        </w:rPr>
        <w:t>详见附件</w:t>
      </w:r>
      <w:r>
        <w:rPr>
          <w:rFonts w:hint="eastAsia"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rPr>
        <w:t>2</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塔城市千泉国际滑雪场游玩可享5折优惠</w:t>
      </w:r>
      <w:r>
        <w:rPr>
          <w:rFonts w:hint="eastAsia" w:eastAsia="仿宋_GB2312" w:cs="Times New Roman"/>
          <w:kern w:val="2"/>
          <w:sz w:val="32"/>
          <w:szCs w:val="32"/>
          <w:lang w:eastAsia="zh-CN"/>
        </w:rPr>
        <w:t>；</w:t>
      </w:r>
      <w:r>
        <w:rPr>
          <w:rFonts w:hint="default" w:ascii="Times New Roman" w:hAnsi="Times New Roman" w:eastAsia="仿宋_GB2312" w:cs="Times New Roman"/>
          <w:kern w:val="2"/>
          <w:sz w:val="32"/>
          <w:szCs w:val="32"/>
        </w:rPr>
        <w:t>额敏县也迷里滑雪场可享滑雪体验8.5折优惠</w:t>
      </w:r>
      <w:r>
        <w:rPr>
          <w:rFonts w:hint="eastAsia" w:eastAsia="仿宋_GB2312" w:cs="Times New Roman"/>
          <w:kern w:val="2"/>
          <w:sz w:val="32"/>
          <w:szCs w:val="32"/>
          <w:lang w:eastAsia="zh-CN"/>
        </w:rPr>
        <w:t>；乌苏市冰雪嘉年华游乐园娱乐项目可享</w:t>
      </w:r>
      <w:r>
        <w:rPr>
          <w:rFonts w:hint="eastAsia" w:eastAsia="仿宋_GB2312" w:cs="Times New Roman"/>
          <w:kern w:val="2"/>
          <w:sz w:val="32"/>
          <w:szCs w:val="32"/>
          <w:lang w:val="en-US" w:eastAsia="zh-CN"/>
        </w:rPr>
        <w:t>5折优惠；和布克赛尔县天赐滑冰场可享受7.5折优惠。</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0" w:firstLine="643" w:firstLineChars="200"/>
        <w:jc w:val="both"/>
        <w:textAlignment w:val="auto"/>
        <w:outlineLvl w:val="9"/>
        <w:rPr>
          <w:rFonts w:hint="default" w:ascii="楷体_GB2312" w:hAnsi="楷体_GB2312" w:eastAsia="楷体_GB2312" w:cs="楷体_GB2312"/>
          <w:b/>
          <w:bCs/>
          <w:kern w:val="2"/>
          <w:sz w:val="32"/>
          <w:szCs w:val="32"/>
          <w:lang w:eastAsia="zh-CN"/>
        </w:rPr>
      </w:pPr>
      <w:r>
        <w:rPr>
          <w:rFonts w:hint="eastAsia" w:ascii="楷体_GB2312" w:hAnsi="楷体_GB2312" w:eastAsia="楷体_GB2312" w:cs="楷体_GB2312"/>
          <w:b/>
          <w:bCs/>
          <w:kern w:val="2"/>
          <w:sz w:val="32"/>
          <w:szCs w:val="32"/>
          <w:lang w:eastAsia="zh-CN"/>
        </w:rPr>
        <w:t>（二）</w:t>
      </w:r>
      <w:r>
        <w:rPr>
          <w:rFonts w:hint="default" w:ascii="楷体_GB2312" w:hAnsi="楷体_GB2312" w:eastAsia="楷体_GB2312" w:cs="楷体_GB2312"/>
          <w:b/>
          <w:bCs/>
          <w:kern w:val="2"/>
          <w:sz w:val="32"/>
          <w:szCs w:val="32"/>
          <w:lang w:eastAsia="zh-CN"/>
        </w:rPr>
        <w:t>餐饮、住宿优惠</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游客本人及陪同人员在指定餐厅、酒店消费，可享受不同折扣优惠活动</w:t>
      </w:r>
      <w:r>
        <w:rPr>
          <w:rFonts w:hint="eastAsia" w:eastAsia="仿宋_GB2312" w:cs="Times New Roman"/>
          <w:kern w:val="2"/>
          <w:sz w:val="32"/>
          <w:szCs w:val="32"/>
          <w:lang w:val="en-US" w:eastAsia="zh-CN"/>
        </w:rPr>
        <w:t>。（</w:t>
      </w:r>
      <w:r>
        <w:rPr>
          <w:rFonts w:hint="default" w:ascii="Times New Roman" w:hAnsi="Times New Roman" w:eastAsia="仿宋_GB2312" w:cs="Times New Roman"/>
          <w:kern w:val="2"/>
          <w:sz w:val="32"/>
          <w:szCs w:val="32"/>
        </w:rPr>
        <w:t>详见</w:t>
      </w:r>
      <w:r>
        <w:rPr>
          <w:rFonts w:hint="eastAsia" w:eastAsia="仿宋_GB2312" w:cs="Times New Roman"/>
          <w:kern w:val="2"/>
          <w:sz w:val="32"/>
          <w:szCs w:val="32"/>
          <w:lang w:eastAsia="zh-CN"/>
        </w:rPr>
        <w:t>附件</w:t>
      </w:r>
      <w:r>
        <w:rPr>
          <w:rFonts w:hint="eastAsia" w:eastAsia="仿宋_GB2312" w:cs="Times New Roman"/>
          <w:kern w:val="2"/>
          <w:sz w:val="32"/>
          <w:szCs w:val="32"/>
          <w:lang w:val="en-US" w:eastAsia="zh-CN"/>
        </w:rPr>
        <w:t>2、3）</w:t>
      </w:r>
      <w:r>
        <w:rPr>
          <w:rFonts w:hint="default" w:ascii="Times New Roman" w:hAnsi="Times New Roman" w:eastAsia="仿宋_GB2312" w:cs="Times New Roman"/>
          <w:kern w:val="2"/>
          <w:sz w:val="32"/>
          <w:szCs w:val="32"/>
        </w:rPr>
        <w:t>。</w:t>
      </w:r>
    </w:p>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Chars="200" w:firstLine="320" w:firstLineChars="100"/>
        <w:jc w:val="both"/>
        <w:textAlignment w:val="auto"/>
        <w:outlineLvl w:val="9"/>
        <w:rPr>
          <w:rFonts w:hint="default"/>
        </w:rPr>
      </w:pPr>
      <w:r>
        <w:rPr>
          <w:rFonts w:hint="eastAsia" w:ascii="Times New Roman" w:hAnsi="Times New Roman" w:eastAsia="黑体" w:cs="Times New Roman"/>
          <w:kern w:val="2"/>
          <w:sz w:val="32"/>
          <w:szCs w:val="32"/>
          <w:lang w:eastAsia="zh-CN"/>
        </w:rPr>
        <w:t>二、</w:t>
      </w:r>
      <w:r>
        <w:rPr>
          <w:rFonts w:hint="default" w:ascii="Times New Roman" w:hAnsi="Times New Roman" w:eastAsia="黑体" w:cs="Times New Roman"/>
          <w:kern w:val="2"/>
          <w:sz w:val="32"/>
          <w:szCs w:val="32"/>
        </w:rPr>
        <w:t>组织航空游塔奖励政策</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w:t>
      </w:r>
      <w:r>
        <w:rPr>
          <w:rFonts w:hint="default"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2024年，</w:t>
      </w:r>
      <w:r>
        <w:rPr>
          <w:rFonts w:hint="default" w:ascii="Times New Roman" w:hAnsi="Times New Roman" w:eastAsia="仿宋_GB2312" w:cs="Times New Roman"/>
          <w:kern w:val="2"/>
          <w:sz w:val="32"/>
          <w:szCs w:val="32"/>
        </w:rPr>
        <w:t>组织塔城地区以外50人以上游客乘机来塔旅游，落地塔城机场并在塔城地区游览2个A级以上景区、入住地方星级酒店1晚，按属地原则</w:t>
      </w:r>
      <w:r>
        <w:rPr>
          <w:rFonts w:hint="default" w:ascii="Times New Roman" w:hAnsi="Times New Roman" w:eastAsia="仿宋_GB2312" w:cs="Times New Roman"/>
          <w:kern w:val="2"/>
          <w:sz w:val="32"/>
          <w:szCs w:val="32"/>
          <w:lang w:val="en-US" w:eastAsia="zh-CN"/>
        </w:rPr>
        <w:t>以</w:t>
      </w:r>
      <w:r>
        <w:rPr>
          <w:rFonts w:hint="default" w:ascii="Times New Roman" w:hAnsi="Times New Roman" w:eastAsia="仿宋_GB2312" w:cs="Times New Roman"/>
          <w:kern w:val="2"/>
          <w:sz w:val="32"/>
          <w:szCs w:val="32"/>
        </w:rPr>
        <w:t>30-100元</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rPr>
        <w:t>位标准奖励组团旅行社。</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2</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针对</w:t>
      </w:r>
      <w:r>
        <w:rPr>
          <w:rFonts w:hint="eastAsia" w:ascii="Times New Roman" w:hAnsi="Times New Roman" w:eastAsia="仿宋_GB2312" w:cs="Times New Roman"/>
          <w:kern w:val="2"/>
          <w:sz w:val="32"/>
          <w:szCs w:val="32"/>
          <w:lang w:val="en-US" w:eastAsia="zh-CN"/>
        </w:rPr>
        <w:t>2024</w:t>
      </w:r>
      <w:r>
        <w:rPr>
          <w:rFonts w:hint="default" w:ascii="Times New Roman" w:hAnsi="Times New Roman" w:eastAsia="仿宋_GB2312" w:cs="Times New Roman"/>
          <w:kern w:val="2"/>
          <w:sz w:val="32"/>
          <w:szCs w:val="32"/>
        </w:rPr>
        <w:t>年度累计向塔城地区输送航空游客不少于3000人且排名前5名的旅行社，</w:t>
      </w:r>
      <w:r>
        <w:rPr>
          <w:rFonts w:hint="eastAsia" w:eastAsia="仿宋_GB2312" w:cs="Times New Roman"/>
          <w:kern w:val="2"/>
          <w:sz w:val="32"/>
          <w:szCs w:val="32"/>
          <w:lang w:eastAsia="zh-CN"/>
        </w:rPr>
        <w:t>按照属地管理原则</w:t>
      </w:r>
      <w:r>
        <w:rPr>
          <w:rFonts w:hint="default" w:ascii="Times New Roman" w:hAnsi="Times New Roman" w:eastAsia="仿宋_GB2312" w:cs="Times New Roman"/>
          <w:kern w:val="2"/>
          <w:sz w:val="32"/>
          <w:szCs w:val="32"/>
        </w:rPr>
        <w:t>一次性奖励10-30万元。</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以上奖励</w:t>
      </w:r>
      <w:r>
        <w:rPr>
          <w:rFonts w:hint="eastAsia" w:eastAsia="仿宋_GB2312" w:cs="Times New Roman"/>
          <w:kern w:val="2"/>
          <w:sz w:val="32"/>
          <w:szCs w:val="32"/>
          <w:highlight w:val="none"/>
          <w:lang w:eastAsia="zh-CN"/>
        </w:rPr>
        <w:t>费用</w:t>
      </w:r>
      <w:r>
        <w:rPr>
          <w:rFonts w:hint="eastAsia" w:ascii="Times New Roman" w:hAnsi="Times New Roman" w:eastAsia="仿宋_GB2312" w:cs="Times New Roman"/>
          <w:kern w:val="2"/>
          <w:sz w:val="32"/>
          <w:szCs w:val="32"/>
          <w:highlight w:val="none"/>
          <w:lang w:eastAsia="zh-CN"/>
        </w:rPr>
        <w:t>均由县（市）承担，且</w:t>
      </w:r>
      <w:r>
        <w:rPr>
          <w:rFonts w:hint="default" w:ascii="Times New Roman" w:hAnsi="Times New Roman" w:eastAsia="仿宋_GB2312" w:cs="Times New Roman"/>
          <w:kern w:val="2"/>
          <w:sz w:val="32"/>
          <w:szCs w:val="32"/>
          <w:highlight w:val="none"/>
          <w:lang w:val="en-US" w:eastAsia="zh-CN"/>
        </w:rPr>
        <w:t>仅</w:t>
      </w:r>
      <w:r>
        <w:rPr>
          <w:rFonts w:hint="default" w:ascii="Times New Roman" w:hAnsi="Times New Roman" w:eastAsia="仿宋_GB2312" w:cs="Times New Roman"/>
          <w:kern w:val="2"/>
          <w:sz w:val="32"/>
          <w:szCs w:val="32"/>
          <w:highlight w:val="none"/>
        </w:rPr>
        <w:t>可享受一次</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不可与县</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市</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奖补政策重复享受。</w:t>
      </w:r>
    </w:p>
    <w:p>
      <w:pPr>
        <w:pStyle w:val="4"/>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仿宋_GB2312" w:cs="Times New Roman"/>
          <w:kern w:val="2"/>
          <w:sz w:val="32"/>
          <w:szCs w:val="32"/>
          <w:lang w:val="en-US" w:eastAsia="zh-CN"/>
        </w:rPr>
      </w:pPr>
    </w:p>
    <w:p>
      <w:pPr>
        <w:pStyle w:val="4"/>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附件：1.塔城地区A级旅游景区名录</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1600" w:firstLineChars="500"/>
        <w:jc w:val="both"/>
        <w:textAlignment w:val="auto"/>
        <w:outlineLvl w:val="9"/>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2.参加优惠活动商贸企业名单及活动内容（餐饮）</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1600" w:firstLineChars="5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3.参加优惠活动商贸企业名单及活动内容（住宿）</w:t>
      </w:r>
    </w:p>
    <w:p>
      <w:pPr>
        <w:pStyle w:val="14"/>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eastAsia" w:ascii="Times New Roman" w:hAnsi="Times New Roman" w:eastAsia="仿宋_GB2312" w:cs="Times New Roman"/>
          <w:spacing w:val="-20"/>
          <w:sz w:val="32"/>
          <w:szCs w:val="32"/>
          <w:lang w:val="en-US" w:eastAsia="zh-CN"/>
        </w:rPr>
      </w:pPr>
    </w:p>
    <w:p>
      <w:pPr>
        <w:pStyle w:val="14"/>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Times New Roman" w:hAnsi="Times New Roman" w:eastAsia="仿宋_GB2312" w:cs="Times New Roman"/>
          <w:spacing w:val="-20"/>
          <w:sz w:val="32"/>
          <w:szCs w:val="32"/>
          <w:lang w:val="en-US" w:eastAsia="zh-CN"/>
        </w:rPr>
      </w:pPr>
    </w:p>
    <w:p>
      <w:pPr>
        <w:pStyle w:val="14"/>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Times New Roman" w:hAnsi="Times New Roman" w:eastAsia="仿宋_GB2312" w:cs="Times New Roman"/>
          <w:spacing w:val="-20"/>
          <w:sz w:val="32"/>
          <w:szCs w:val="32"/>
          <w:lang w:val="en-US" w:eastAsia="zh-CN"/>
        </w:rPr>
      </w:pP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imes New Roman" w:hAnsi="Times New Roman" w:eastAsia="仿宋_GB2312" w:cs="Times New Roman"/>
          <w:spacing w:val="-20"/>
          <w:sz w:val="32"/>
          <w:szCs w:val="32"/>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5438" w:leftChars="304" w:right="1260" w:rightChars="600" w:hanging="4800" w:hangingChars="1500"/>
        <w:jc w:val="both"/>
        <w:textAlignment w:val="auto"/>
        <w:outlineLvl w:val="9"/>
        <w:rPr>
          <w:rFonts w:hint="eastAsia"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地区发展</w:t>
      </w:r>
      <w:r>
        <w:rPr>
          <w:rFonts w:hint="eastAsia" w:ascii="Times New Roman" w:hAnsi="Times New Roman" w:eastAsia="仿宋_GB2312" w:cs="Times New Roman"/>
          <w:kern w:val="2"/>
          <w:sz w:val="32"/>
          <w:szCs w:val="32"/>
          <w:lang w:val="en-US" w:eastAsia="zh-CN"/>
        </w:rPr>
        <w:t>和</w:t>
      </w:r>
      <w:r>
        <w:rPr>
          <w:rFonts w:hint="default" w:ascii="Times New Roman" w:hAnsi="Times New Roman" w:eastAsia="仿宋_GB2312" w:cs="Times New Roman"/>
          <w:kern w:val="2"/>
          <w:sz w:val="32"/>
          <w:szCs w:val="32"/>
          <w:lang w:val="en-US" w:eastAsia="zh-CN"/>
        </w:rPr>
        <w:t>改革</w:t>
      </w:r>
      <w:r>
        <w:rPr>
          <w:rFonts w:hint="eastAsia" w:ascii="Times New Roman" w:hAnsi="Times New Roman" w:eastAsia="仿宋_GB2312" w:cs="Times New Roman"/>
          <w:kern w:val="2"/>
          <w:sz w:val="32"/>
          <w:szCs w:val="32"/>
          <w:lang w:val="en-US" w:eastAsia="zh-CN"/>
        </w:rPr>
        <w:t xml:space="preserve">委员会  </w:t>
      </w:r>
      <w:r>
        <w:rPr>
          <w:rFonts w:hint="eastAsia" w:eastAsia="仿宋_GB2312" w:cs="Times New Roman"/>
          <w:kern w:val="2"/>
          <w:sz w:val="32"/>
          <w:szCs w:val="32"/>
          <w:lang w:val="en-US" w:eastAsia="zh-CN"/>
        </w:rPr>
        <w:t xml:space="preserve">     </w:t>
      </w:r>
      <w:r>
        <w:rPr>
          <w:rFonts w:hint="eastAsia" w:ascii="Times New Roman" w:hAnsi="Times New Roman" w:eastAsia="仿宋_GB2312" w:cs="Times New Roman"/>
          <w:kern w:val="2"/>
          <w:sz w:val="32"/>
          <w:szCs w:val="32"/>
          <w:lang w:val="en-US" w:eastAsia="zh-CN"/>
        </w:rPr>
        <w:t xml:space="preserve"> 地区文化体育广播电视和旅游局</w:t>
      </w:r>
    </w:p>
    <w:p>
      <w:pPr>
        <w:pStyle w:val="2"/>
        <w:pageBreakBefore w:val="0"/>
        <w:widowControl w:val="0"/>
        <w:kinsoku/>
        <w:wordWrap/>
        <w:overflowPunct/>
        <w:topLinePunct w:val="0"/>
        <w:autoSpaceDE/>
        <w:autoSpaceDN/>
        <w:bidi w:val="0"/>
        <w:adjustRightInd/>
        <w:snapToGrid/>
        <w:ind w:left="0" w:leftChars="0" w:firstLine="643" w:firstLineChars="200"/>
        <w:textAlignment w:val="auto"/>
        <w:rPr>
          <w:rFonts w:hint="eastAsia"/>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right="1680" w:rightChars="800" w:firstLine="640" w:firstLineChars="200"/>
        <w:jc w:val="both"/>
        <w:textAlignment w:val="auto"/>
        <w:outlineLvl w:val="9"/>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 xml:space="preserve">地区财政局 </w:t>
      </w:r>
      <w:r>
        <w:rPr>
          <w:rFonts w:hint="eastAsia" w:eastAsia="仿宋_GB2312" w:cs="Times New Roman"/>
          <w:kern w:val="2"/>
          <w:sz w:val="32"/>
          <w:szCs w:val="32"/>
          <w:lang w:val="en-US" w:eastAsia="zh-CN"/>
        </w:rPr>
        <w:t xml:space="preserve">                    </w:t>
      </w:r>
      <w:r>
        <w:rPr>
          <w:rFonts w:hint="eastAsia" w:ascii="Times New Roman" w:hAnsi="Times New Roman" w:eastAsia="仿宋_GB2312" w:cs="Times New Roman"/>
          <w:kern w:val="2"/>
          <w:sz w:val="32"/>
          <w:szCs w:val="32"/>
          <w:lang w:val="en-US" w:eastAsia="zh-CN"/>
        </w:rPr>
        <w:t>地区商务局</w:t>
      </w:r>
    </w:p>
    <w:p>
      <w:pPr>
        <w:pStyle w:val="14"/>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 xml:space="preserve">        </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Times New Roman" w:hAnsi="Times New Roman" w:eastAsia="仿宋_GB2312" w:cs="Times New Roman"/>
          <w:sz w:val="32"/>
          <w:szCs w:val="32"/>
          <w:lang w:val="en-US" w:eastAsia="zh-CN"/>
        </w:rPr>
      </w:pPr>
    </w:p>
    <w:p>
      <w:pPr>
        <w:pStyle w:val="14"/>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sz w:val="32"/>
          <w:szCs w:val="32"/>
          <w:lang w:val="en-US" w:eastAsia="zh-CN"/>
        </w:rPr>
      </w:pPr>
    </w:p>
    <w:p>
      <w:pPr>
        <w:pStyle w:val="14"/>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sz w:val="32"/>
          <w:szCs w:val="32"/>
          <w:lang w:val="en-US" w:eastAsia="zh-CN"/>
        </w:rPr>
      </w:pPr>
    </w:p>
    <w:p>
      <w:pPr>
        <w:pStyle w:val="14"/>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sz w:val="32"/>
          <w:szCs w:val="32"/>
          <w:lang w:val="en-US" w:eastAsia="zh-CN"/>
        </w:rPr>
      </w:pPr>
    </w:p>
    <w:p>
      <w:pPr>
        <w:pStyle w:val="14"/>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sz w:val="32"/>
          <w:szCs w:val="32"/>
          <w:lang w:val="en-US" w:eastAsia="zh-CN"/>
        </w:rPr>
      </w:pPr>
    </w:p>
    <w:p>
      <w:pPr>
        <w:pStyle w:val="14"/>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sz w:val="32"/>
          <w:szCs w:val="32"/>
          <w:lang w:val="en-US" w:eastAsia="zh-CN"/>
        </w:rPr>
      </w:pPr>
    </w:p>
    <w:p>
      <w:pPr>
        <w:pStyle w:val="14"/>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sz w:val="32"/>
          <w:szCs w:val="32"/>
          <w:lang w:val="en-US" w:eastAsia="zh-CN"/>
        </w:rPr>
      </w:pPr>
    </w:p>
    <w:p>
      <w:pPr>
        <w:pStyle w:val="14"/>
        <w:keepNext w:val="0"/>
        <w:keepLines w:val="0"/>
        <w:pageBreakBefore w:val="0"/>
        <w:widowControl w:val="0"/>
        <w:pBdr>
          <w:bottom w:val="single" w:color="auto" w:sz="4" w:space="0"/>
        </w:pBdr>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sz w:val="32"/>
          <w:szCs w:val="32"/>
          <w:lang w:val="en-US" w:eastAsia="zh-CN"/>
        </w:rPr>
      </w:pPr>
    </w:p>
    <w:p>
      <w:pPr>
        <w:pStyle w:val="14"/>
        <w:keepNext w:val="0"/>
        <w:keepLines w:val="0"/>
        <w:pageBreakBefore w:val="0"/>
        <w:widowControl w:val="0"/>
        <w:kinsoku/>
        <w:wordWrap/>
        <w:overflowPunct/>
        <w:topLinePunct w:val="0"/>
        <w:autoSpaceDE/>
        <w:autoSpaceDN/>
        <w:bidi w:val="0"/>
        <w:adjustRightInd w:val="0"/>
        <w:snapToGrid w:val="0"/>
        <w:spacing w:line="560" w:lineRule="exact"/>
        <w:ind w:left="1159" w:leftChars="152" w:hanging="840" w:hangingChars="300"/>
        <w:jc w:val="both"/>
        <w:textAlignment w:val="auto"/>
        <w:rPr>
          <w:rFonts w:hint="eastAsia" w:ascii="Times New Roman" w:hAnsi="Times New Roman" w:eastAsia="仿宋_GB2312" w:cs="Times New Roman"/>
          <w:w w:val="100"/>
          <w:kern w:val="0"/>
          <w:sz w:val="28"/>
          <w:szCs w:val="28"/>
          <w:highlight w:val="none"/>
          <w:u w:val="none"/>
          <w:lang w:val="en-US" w:eastAsia="zh-CN" w:bidi="ar-SA"/>
        </w:rPr>
      </w:pPr>
      <w:r>
        <w:rPr>
          <w:rFonts w:hint="eastAsia" w:ascii="Times New Roman" w:hAnsi="Times New Roman" w:eastAsia="仿宋_GB2312" w:cs="Times New Roman"/>
          <w:w w:val="100"/>
          <w:kern w:val="0"/>
          <w:sz w:val="28"/>
          <w:szCs w:val="28"/>
          <w:highlight w:val="none"/>
          <w:u w:val="none"/>
          <w:lang w:val="en-US" w:eastAsia="zh-CN" w:bidi="ar-SA"/>
        </w:rPr>
        <w:t>抄送：塔城机场、各航空公司</w:t>
      </w:r>
    </w:p>
    <w:p>
      <w:pPr>
        <w:pBdr>
          <w:top w:val="single" w:color="auto" w:sz="4" w:space="0"/>
          <w:bottom w:val="single" w:color="auto" w:sz="4" w:space="0"/>
        </w:pBdr>
        <w:ind w:left="0" w:leftChars="0" w:firstLine="0" w:firstLineChars="0"/>
        <w:jc w:val="center"/>
      </w:pPr>
      <w:r>
        <w:rPr>
          <w:rFonts w:hint="default" w:ascii="Times New Roman" w:hAnsi="Times New Roman" w:eastAsia="仿宋_GB2312" w:cs="Times New Roman"/>
          <w:w w:val="100"/>
          <w:kern w:val="0"/>
          <w:sz w:val="28"/>
          <w:szCs w:val="28"/>
          <w:highlight w:val="none"/>
          <w:u w:val="none"/>
          <w:lang w:val="en-US" w:eastAsia="zh-CN"/>
        </w:rPr>
        <w:t>塔城地区发展改革委办公室                 202</w:t>
      </w:r>
      <w:r>
        <w:rPr>
          <w:rFonts w:hint="eastAsia" w:ascii="Times New Roman" w:hAnsi="Times New Roman" w:eastAsia="仿宋_GB2312" w:cs="Times New Roman"/>
          <w:w w:val="100"/>
          <w:kern w:val="0"/>
          <w:sz w:val="28"/>
          <w:szCs w:val="28"/>
          <w:highlight w:val="none"/>
          <w:u w:val="none"/>
          <w:lang w:val="en-US" w:eastAsia="zh-CN"/>
        </w:rPr>
        <w:t>4</w:t>
      </w:r>
      <w:r>
        <w:rPr>
          <w:rFonts w:hint="default" w:ascii="Times New Roman" w:hAnsi="Times New Roman" w:eastAsia="仿宋_GB2312" w:cs="Times New Roman"/>
          <w:w w:val="100"/>
          <w:kern w:val="0"/>
          <w:sz w:val="28"/>
          <w:szCs w:val="28"/>
          <w:highlight w:val="none"/>
          <w:u w:val="none"/>
          <w:lang w:val="en-US" w:eastAsia="zh-CN"/>
        </w:rPr>
        <w:t>年</w:t>
      </w:r>
      <w:r>
        <w:rPr>
          <w:rFonts w:hint="eastAsia" w:ascii="Times New Roman" w:hAnsi="Times New Roman" w:eastAsia="仿宋_GB2312" w:cs="Times New Roman"/>
          <w:w w:val="100"/>
          <w:kern w:val="0"/>
          <w:sz w:val="28"/>
          <w:szCs w:val="28"/>
          <w:highlight w:val="none"/>
          <w:u w:val="none"/>
          <w:lang w:val="en-US" w:eastAsia="zh-CN"/>
        </w:rPr>
        <w:t>2</w:t>
      </w:r>
      <w:r>
        <w:rPr>
          <w:rFonts w:hint="default" w:ascii="Times New Roman" w:hAnsi="Times New Roman" w:eastAsia="仿宋_GB2312" w:cs="Times New Roman"/>
          <w:w w:val="100"/>
          <w:kern w:val="0"/>
          <w:sz w:val="28"/>
          <w:szCs w:val="28"/>
          <w:highlight w:val="none"/>
          <w:u w:val="none"/>
          <w:lang w:val="en-US" w:eastAsia="zh-CN"/>
        </w:rPr>
        <w:t>月</w:t>
      </w:r>
      <w:r>
        <w:rPr>
          <w:rFonts w:hint="eastAsia" w:eastAsia="仿宋_GB2312" w:cs="Times New Roman"/>
          <w:w w:val="100"/>
          <w:kern w:val="0"/>
          <w:sz w:val="28"/>
          <w:szCs w:val="28"/>
          <w:highlight w:val="none"/>
          <w:u w:val="none"/>
          <w:lang w:val="en-US" w:eastAsia="zh-CN"/>
        </w:rPr>
        <w:t>8</w:t>
      </w:r>
      <w:r>
        <w:rPr>
          <w:rFonts w:hint="default" w:ascii="Times New Roman" w:hAnsi="Times New Roman" w:eastAsia="仿宋_GB2312" w:cs="Times New Roman"/>
          <w:w w:val="100"/>
          <w:kern w:val="0"/>
          <w:sz w:val="28"/>
          <w:szCs w:val="28"/>
          <w:highlight w:val="none"/>
          <w:u w:val="none"/>
          <w:lang w:val="en-US" w:eastAsia="zh-CN"/>
        </w:rPr>
        <w:t>日印发</w:t>
      </w:r>
    </w:p>
    <w:sectPr>
      <w:pgSz w:w="11906" w:h="16838"/>
      <w:pgMar w:top="2098" w:right="1474" w:bottom="198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43C539"/>
    <w:multiLevelType w:val="singleLevel"/>
    <w:tmpl w:val="DA43C53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E57D0"/>
    <w:rsid w:val="07390A4C"/>
    <w:rsid w:val="126202D6"/>
    <w:rsid w:val="1C0C00E1"/>
    <w:rsid w:val="1D7B529E"/>
    <w:rsid w:val="25F14009"/>
    <w:rsid w:val="3AAC059E"/>
    <w:rsid w:val="3B77121A"/>
    <w:rsid w:val="3ED661F0"/>
    <w:rsid w:val="4AC8245F"/>
    <w:rsid w:val="4CDC2CC8"/>
    <w:rsid w:val="50F737B9"/>
    <w:rsid w:val="53006053"/>
    <w:rsid w:val="54F818E0"/>
    <w:rsid w:val="595759EB"/>
    <w:rsid w:val="5BEE57D0"/>
    <w:rsid w:val="5C991C9F"/>
    <w:rsid w:val="5EFF10DE"/>
    <w:rsid w:val="60D36583"/>
    <w:rsid w:val="632D49CC"/>
    <w:rsid w:val="677D63DE"/>
    <w:rsid w:val="6F2D4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 w:firstLineChars="200"/>
    </w:pPr>
    <w:rPr>
      <w:rFonts w:ascii="Times New Roman" w:hAnsi="Times New Roman" w:eastAsia="宋体" w:cs="Times New Roman"/>
      <w:sz w:val="21"/>
      <w:lang w:val="en-US" w:eastAsia="zh-CN" w:bidi="ar-SA"/>
    </w:rPr>
  </w:style>
  <w:style w:type="paragraph" w:styleId="3">
    <w:name w:val="heading 1"/>
    <w:basedOn w:val="1"/>
    <w:next w:val="1"/>
    <w:qFormat/>
    <w:uiPriority w:val="9"/>
    <w:pPr>
      <w:keepNext/>
      <w:keepLines/>
      <w:widowControl w:val="0"/>
      <w:spacing w:before="312" w:beforeLines="100" w:after="312" w:afterLines="100" w:line="480" w:lineRule="auto"/>
      <w:jc w:val="both"/>
      <w:outlineLvl w:val="0"/>
    </w:pPr>
    <w:rPr>
      <w:rFonts w:ascii="Times New Roman" w:hAnsi="Times New Roman" w:eastAsia="黑体" w:cs="Times New Roman"/>
      <w:b/>
      <w:bCs/>
      <w:kern w:val="44"/>
      <w:sz w:val="28"/>
      <w:szCs w:val="44"/>
      <w:lang w:val="en-US" w:eastAsia="zh-CN" w:bidi="ar-SA"/>
    </w:rPr>
  </w:style>
  <w:style w:type="paragraph" w:styleId="2">
    <w:name w:val="heading 2"/>
    <w:basedOn w:val="3"/>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kern w:val="44"/>
      <w:sz w:val="32"/>
      <w:szCs w:val="44"/>
      <w:lang w:val="en-US" w:eastAsia="zh-CN" w:bidi="ar-SA"/>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next w:val="5"/>
    <w:qFormat/>
    <w:uiPriority w:val="99"/>
    <w:pPr>
      <w:ind w:firstLine="560" w:firstLineChars="200"/>
    </w:pPr>
  </w:style>
  <w:style w:type="paragraph" w:styleId="5">
    <w:name w:val="Normal (Web)"/>
    <w:basedOn w:val="1"/>
    <w:next w:val="6"/>
    <w:qFormat/>
    <w:uiPriority w:val="0"/>
    <w:pPr>
      <w:spacing w:before="100" w:beforeAutospacing="1" w:after="100" w:afterAutospacing="1"/>
      <w:jc w:val="left"/>
    </w:pPr>
    <w:rPr>
      <w:rFonts w:cs="Times New Roman"/>
      <w:kern w:val="0"/>
      <w:sz w:val="24"/>
    </w:rPr>
  </w:style>
  <w:style w:type="paragraph" w:customStyle="1" w:styleId="6">
    <w:name w:val="标题 21"/>
    <w:basedOn w:val="1"/>
    <w:next w:val="7"/>
    <w:qFormat/>
    <w:uiPriority w:val="0"/>
    <w:pPr>
      <w:widowControl/>
      <w:spacing w:before="258" w:after="258" w:line="464" w:lineRule="atLeast"/>
      <w:ind w:left="200" w:firstLine="24"/>
      <w:outlineLvl w:val="2"/>
    </w:pPr>
    <w:rPr>
      <w:rFonts w:ascii="宋体"/>
    </w:rPr>
  </w:style>
  <w:style w:type="paragraph" w:customStyle="1" w:styleId="7">
    <w:name w:val="普通(网站)1"/>
    <w:basedOn w:val="1"/>
    <w:next w:val="8"/>
    <w:qFormat/>
    <w:uiPriority w:val="0"/>
    <w:pPr>
      <w:widowControl/>
      <w:spacing w:before="280" w:after="280"/>
      <w:ind w:firstLine="3584"/>
    </w:pPr>
  </w:style>
  <w:style w:type="paragraph" w:styleId="8">
    <w:name w:val="footer"/>
    <w:basedOn w:val="1"/>
    <w:next w:val="9"/>
    <w:qFormat/>
    <w:uiPriority w:val="0"/>
    <w:pPr>
      <w:tabs>
        <w:tab w:val="center" w:pos="4153"/>
        <w:tab w:val="right" w:pos="8306"/>
      </w:tabs>
      <w:snapToGrid w:val="0"/>
      <w:jc w:val="left"/>
    </w:pPr>
    <w:rPr>
      <w:sz w:val="18"/>
    </w:rPr>
  </w:style>
  <w:style w:type="paragraph" w:styleId="9">
    <w:name w:val="Body Text"/>
    <w:basedOn w:val="1"/>
    <w:next w:val="10"/>
    <w:qFormat/>
    <w:uiPriority w:val="0"/>
    <w:rPr>
      <w:rFonts w:ascii="仿宋_GB2312" w:hAnsi="宋体" w:eastAsia="仿宋_GB2312"/>
      <w:sz w:val="32"/>
      <w:szCs w:val="28"/>
    </w:rPr>
  </w:style>
  <w:style w:type="paragraph" w:styleId="10">
    <w:name w:val="toc 3"/>
    <w:basedOn w:val="1"/>
    <w:next w:val="1"/>
    <w:unhideWhenUsed/>
    <w:qFormat/>
    <w:uiPriority w:val="39"/>
    <w:pPr>
      <w:ind w:left="840" w:leftChars="400"/>
    </w:p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默认段落"/>
    <w:basedOn w:val="1"/>
    <w:qFormat/>
    <w:uiPriority w:val="0"/>
    <w:pPr>
      <w:adjustRightInd w:val="0"/>
      <w:snapToGrid w:val="0"/>
      <w:spacing w:line="360" w:lineRule="auto"/>
    </w:pPr>
    <w:rPr>
      <w:rFonts w:ascii="Calibri" w:hAnsi="Calibri"/>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2024-02-06T10:15:00Z</dcterms:created>
  <dc:creator>Administrator</dc:creator>
  <cp:lastModifiedBy>Administrator</cp:lastModifiedBy>
  <dcterms:modified xsi:type="dcterms:W3CDTF">2024-02-18T10:06:32Z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